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077F9A">
        <w:tblPrEx>
          <w:tblCellMar>
            <w:top w:w="0" w:type="dxa"/>
            <w:bottom w:w="0" w:type="dxa"/>
          </w:tblCellMar>
        </w:tblPrEx>
        <w:trPr>
          <w:cantSplit/>
          <w:trHeight w:val="1720"/>
        </w:trPr>
        <w:tc>
          <w:tcPr>
            <w:tcW w:w="6024" w:type="dxa"/>
            <w:gridSpan w:val="2"/>
          </w:tcPr>
          <w:p w:rsidR="00F53A97" w:rsidRPr="00077F9A" w:rsidRDefault="00BD61DD">
            <w:pPr>
              <w:pStyle w:val="HuvudRubrik"/>
            </w:pPr>
            <w:r w:rsidRPr="00077F9A">
              <w:t>Riksda</w:t>
            </w:r>
            <w:r w:rsidR="00DC3272" w:rsidRPr="00077F9A">
              <w:t>gsstyrelsens framställning</w:t>
            </w:r>
          </w:p>
          <w:bookmarkStart w:id="0" w:name="BetänkandeNr"/>
          <w:bookmarkEnd w:id="0"/>
          <w:p w:rsidR="00F53A97" w:rsidRPr="00077F9A" w:rsidRDefault="00F53A97">
            <w:pPr>
              <w:pStyle w:val="HuvudRubrikRad2"/>
            </w:pPr>
            <w:r w:rsidRPr="00077F9A">
              <w:fldChar w:fldCharType="begin" w:fldLock="1"/>
            </w:r>
            <w:r w:rsidRPr="00077F9A">
              <w:instrText xml:space="preserve"> DOCPROPERTY BetänkandeÅr</w:instrText>
            </w:r>
            <w:r w:rsidRPr="00077F9A">
              <w:fldChar w:fldCharType="separate"/>
            </w:r>
            <w:r w:rsidR="00AF0A69" w:rsidRPr="00077F9A">
              <w:t>2008/09</w:t>
            </w:r>
            <w:r w:rsidRPr="00077F9A">
              <w:fldChar w:fldCharType="end"/>
            </w:r>
            <w:r w:rsidRPr="00077F9A">
              <w:t>:</w:t>
            </w:r>
            <w:r w:rsidRPr="00077F9A">
              <w:fldChar w:fldCharType="begin" w:fldLock="1"/>
            </w:r>
            <w:r w:rsidRPr="00077F9A">
              <w:instrText xml:space="preserve"> DOCPROPERTY Utskott</w:instrText>
            </w:r>
            <w:r w:rsidRPr="00077F9A">
              <w:fldChar w:fldCharType="separate"/>
            </w:r>
            <w:r w:rsidR="00AF0A69" w:rsidRPr="00077F9A">
              <w:t>RS</w:t>
            </w:r>
            <w:r w:rsidRPr="00077F9A">
              <w:fldChar w:fldCharType="end"/>
            </w:r>
            <w:r w:rsidRPr="00077F9A">
              <w:fldChar w:fldCharType="begin" w:fldLock="1"/>
            </w:r>
            <w:r w:rsidRPr="00077F9A">
              <w:instrText xml:space="preserve"> DOCPROPERTY BetänkandeNr</w:instrText>
            </w:r>
            <w:r w:rsidRPr="00077F9A">
              <w:fldChar w:fldCharType="separate"/>
            </w:r>
            <w:r w:rsidR="00AF0A69" w:rsidRPr="00077F9A">
              <w:t>4</w:t>
            </w:r>
            <w:r w:rsidRPr="00077F9A">
              <w:fldChar w:fldCharType="end"/>
            </w:r>
          </w:p>
        </w:tc>
        <w:bookmarkStart w:id="1" w:name="_MON_1016526495"/>
        <w:bookmarkStart w:id="2" w:name="_MON_1016526516"/>
        <w:bookmarkStart w:id="3" w:name="_MON_1016527141"/>
        <w:bookmarkStart w:id="4" w:name="_MON_1016527716"/>
        <w:bookmarkStart w:id="5" w:name="_MON_1016527915"/>
        <w:bookmarkStart w:id="6" w:name="_MON_1304414982"/>
        <w:bookmarkStart w:id="7" w:name="_MON_1304941893"/>
        <w:bookmarkStart w:id="8" w:name="_MON_1304943137"/>
        <w:bookmarkEnd w:id="1"/>
        <w:bookmarkEnd w:id="2"/>
        <w:bookmarkEnd w:id="3"/>
        <w:bookmarkEnd w:id="4"/>
        <w:bookmarkEnd w:id="5"/>
        <w:bookmarkEnd w:id="6"/>
        <w:bookmarkEnd w:id="7"/>
        <w:bookmarkEnd w:id="8"/>
        <w:tc>
          <w:tcPr>
            <w:tcW w:w="1418" w:type="dxa"/>
            <w:tcBorders>
              <w:bottom w:val="nil"/>
            </w:tcBorders>
          </w:tcPr>
          <w:p w:rsidR="00F53A97" w:rsidRPr="00077F9A" w:rsidRDefault="00F53A97">
            <w:pPr>
              <w:spacing w:line="230" w:lineRule="auto"/>
              <w:jc w:val="center"/>
            </w:pPr>
            <w:r w:rsidRPr="00077F9A">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32.5pt" o:ole="" fillcolor="window">
                  <v:imagedata r:id="rId7" o:title="" cropleft="42582f"/>
                </v:shape>
                <o:OLEObject Type="Embed" ProgID="Word.Picture.8" ShapeID="_x0000_i1025" DrawAspect="Content" ObjectID="_1827509852" r:id="rId8"/>
              </w:object>
            </w:r>
          </w:p>
          <w:p w:rsidR="00F53A97" w:rsidRPr="00077F9A" w:rsidRDefault="00F53A97">
            <w:pPr>
              <w:pStyle w:val="Normaltindrag"/>
              <w:jc w:val="center"/>
            </w:pPr>
          </w:p>
          <w:p w:rsidR="00F53A97" w:rsidRPr="00077F9A" w:rsidRDefault="00F53A97">
            <w:pPr>
              <w:pStyle w:val="UtskriftsdatumSida1"/>
              <w:framePr w:wrap="around"/>
            </w:pPr>
            <w:r w:rsidRPr="00077F9A">
              <w:fldChar w:fldCharType="begin" w:fldLock="1"/>
            </w:r>
            <w:r w:rsidRPr="00077F9A">
              <w:instrText xml:space="preserve"> if </w:instrText>
            </w:r>
            <w:r w:rsidRPr="00077F9A">
              <w:fldChar w:fldCharType="begin" w:fldLock="1"/>
            </w:r>
            <w:r w:rsidRPr="00077F9A">
              <w:instrText xml:space="preserve"> DO</w:instrText>
            </w:r>
            <w:r w:rsidRPr="00077F9A">
              <w:instrText>C</w:instrText>
            </w:r>
            <w:r w:rsidRPr="00077F9A">
              <w:instrText>PROPE</w:instrText>
            </w:r>
            <w:r w:rsidRPr="00077F9A">
              <w:instrText>R</w:instrText>
            </w:r>
            <w:r w:rsidRPr="00077F9A">
              <w:instrText>TY "UtkastD</w:instrText>
            </w:r>
            <w:r w:rsidRPr="00077F9A">
              <w:instrText>a</w:instrText>
            </w:r>
            <w:r w:rsidRPr="00077F9A">
              <w:instrText>tum"</w:instrText>
            </w:r>
            <w:r w:rsidRPr="00077F9A">
              <w:fldChar w:fldCharType="separate"/>
            </w:r>
            <w:r w:rsidR="00AF0A69" w:rsidRPr="00077F9A">
              <w:instrText>Nej</w:instrText>
            </w:r>
            <w:r w:rsidRPr="00077F9A">
              <w:fldChar w:fldCharType="end"/>
            </w:r>
            <w:r w:rsidRPr="00077F9A">
              <w:instrText xml:space="preserve"> = "Ja" "</w:instrText>
            </w:r>
            <w:r w:rsidRPr="00077F9A">
              <w:fldChar w:fldCharType="begin" w:fldLock="1"/>
            </w:r>
            <w:r w:rsidRPr="00077F9A">
              <w:instrText xml:space="preserve"> PRINTDATE \@ "yyyy-MM-dd HH.mm" </w:instrText>
            </w:r>
            <w:r w:rsidRPr="00077F9A">
              <w:fldChar w:fldCharType="separate"/>
            </w:r>
            <w:r w:rsidRPr="00077F9A">
              <w:instrText>2000-08-11 16.42</w:instrText>
            </w:r>
            <w:r w:rsidRPr="00077F9A">
              <w:fldChar w:fldCharType="end"/>
            </w:r>
            <w:r w:rsidRPr="00077F9A">
              <w:instrText xml:space="preserve">" </w:instrText>
            </w:r>
            <w:r w:rsidRPr="00077F9A">
              <w:fldChar w:fldCharType="end"/>
            </w:r>
          </w:p>
        </w:tc>
      </w:tr>
      <w:tr w:rsidR="00F53A97" w:rsidRPr="00077F9A">
        <w:tblPrEx>
          <w:tblCellMar>
            <w:top w:w="0" w:type="dxa"/>
            <w:bottom w:w="0" w:type="dxa"/>
          </w:tblCellMar>
        </w:tblPrEx>
        <w:trPr>
          <w:cantSplit/>
        </w:trPr>
        <w:tc>
          <w:tcPr>
            <w:tcW w:w="6024" w:type="dxa"/>
            <w:gridSpan w:val="2"/>
            <w:tcBorders>
              <w:bottom w:val="single" w:sz="4" w:space="0" w:color="auto"/>
            </w:tcBorders>
          </w:tcPr>
          <w:p w:rsidR="00F53A97" w:rsidRPr="00077F9A" w:rsidRDefault="00BD61DD">
            <w:pPr>
              <w:pStyle w:val="DokumentRubrik"/>
              <w:rPr>
                <w:noProof w:val="0"/>
              </w:rPr>
            </w:pPr>
            <w:bookmarkStart w:id="9" w:name="Huvudrubrik"/>
            <w:bookmarkEnd w:id="9"/>
            <w:r w:rsidRPr="00077F9A">
              <w:rPr>
                <w:noProof w:val="0"/>
              </w:rPr>
              <w:t>Tillämpningen av Lissabonfördraget i riksdagen</w:t>
            </w:r>
          </w:p>
        </w:tc>
        <w:tc>
          <w:tcPr>
            <w:tcW w:w="1418" w:type="dxa"/>
            <w:tcBorders>
              <w:bottom w:val="nil"/>
            </w:tcBorders>
          </w:tcPr>
          <w:p w:rsidR="00F53A97" w:rsidRPr="00077F9A" w:rsidRDefault="00F53A97"/>
        </w:tc>
      </w:tr>
      <w:tr w:rsidR="00F53A97" w:rsidRPr="00077F9A">
        <w:tblPrEx>
          <w:tblCellMar>
            <w:top w:w="0" w:type="dxa"/>
            <w:bottom w:w="0" w:type="dxa"/>
          </w:tblCellMar>
        </w:tblPrEx>
        <w:trPr>
          <w:cantSplit/>
          <w:trHeight w:hRule="exact" w:val="360"/>
        </w:trPr>
        <w:tc>
          <w:tcPr>
            <w:tcW w:w="3012" w:type="dxa"/>
          </w:tcPr>
          <w:p w:rsidR="00F53A97" w:rsidRPr="00077F9A" w:rsidRDefault="00F53A97"/>
        </w:tc>
        <w:tc>
          <w:tcPr>
            <w:tcW w:w="3012" w:type="dxa"/>
          </w:tcPr>
          <w:p w:rsidR="00F53A97" w:rsidRPr="00077F9A" w:rsidRDefault="00F53A97"/>
        </w:tc>
        <w:tc>
          <w:tcPr>
            <w:tcW w:w="1418" w:type="dxa"/>
          </w:tcPr>
          <w:p w:rsidR="00F53A97" w:rsidRPr="00077F9A" w:rsidRDefault="00F53A97"/>
        </w:tc>
      </w:tr>
    </w:tbl>
    <w:p w:rsidR="00F53A97" w:rsidRPr="00077F9A" w:rsidRDefault="00F53A97" w:rsidP="004C36CA">
      <w:pPr>
        <w:pStyle w:val="Rubrik1"/>
        <w:spacing w:after="0" w:line="20" w:lineRule="exact"/>
        <w:rPr>
          <w:noProof w:val="0"/>
        </w:rPr>
      </w:pPr>
    </w:p>
    <w:p w:rsidR="00BD61DD" w:rsidRPr="00077F9A" w:rsidRDefault="00BD61DD" w:rsidP="00AF0A69">
      <w:pPr>
        <w:pStyle w:val="R1"/>
      </w:pPr>
      <w:bookmarkStart w:id="10" w:name="_Toc230677027"/>
      <w:bookmarkStart w:id="11" w:name="_Toc230708077"/>
      <w:r w:rsidRPr="00077F9A">
        <w:t>Sammanfattning</w:t>
      </w:r>
      <w:bookmarkEnd w:id="10"/>
      <w:bookmarkEnd w:id="11"/>
    </w:p>
    <w:p w:rsidR="00D126B6" w:rsidRPr="00077F9A" w:rsidRDefault="00D126B6" w:rsidP="00D126B6">
      <w:r w:rsidRPr="00077F9A">
        <w:t xml:space="preserve">Lissabonutredningen har till riksdagsstyrelsen överlämnat betänkandet </w:t>
      </w:r>
      <w:r w:rsidRPr="00077F9A">
        <w:rPr>
          <w:i/>
        </w:rPr>
        <w:t>Ti</w:t>
      </w:r>
      <w:r w:rsidRPr="00077F9A">
        <w:rPr>
          <w:i/>
        </w:rPr>
        <w:t>l</w:t>
      </w:r>
      <w:r w:rsidRPr="00077F9A">
        <w:rPr>
          <w:i/>
        </w:rPr>
        <w:t xml:space="preserve">lämpningen av Lissabonfördraget i riksdagen. </w:t>
      </w:r>
      <w:r w:rsidRPr="00077F9A">
        <w:t>Utredningens betänkande finns som bilaga till denna framställning. Riksdagsstyrelsen överlämnar genom denna framställning utredningens lagförslag till riksdagen för ställningstaga</w:t>
      </w:r>
      <w:r w:rsidRPr="00077F9A">
        <w:t>n</w:t>
      </w:r>
      <w:r w:rsidRPr="00077F9A">
        <w:t>de. Beträffande motiveringen hänvisas till betänka</w:t>
      </w:r>
      <w:r w:rsidRPr="00077F9A">
        <w:t>n</w:t>
      </w:r>
      <w:r w:rsidRPr="00077F9A">
        <w:t>det.</w:t>
      </w:r>
    </w:p>
    <w:p w:rsidR="00D126B6" w:rsidRPr="00077F9A" w:rsidRDefault="00D126B6" w:rsidP="00D126B6">
      <w:pPr>
        <w:pStyle w:val="Normaltindrag"/>
      </w:pPr>
      <w:r w:rsidRPr="00077F9A">
        <w:t>Utredningens förslag innebär i korthet fö</w:t>
      </w:r>
      <w:r w:rsidRPr="00077F9A">
        <w:t>l</w:t>
      </w:r>
      <w:r w:rsidRPr="00077F9A">
        <w:t>jande.</w:t>
      </w:r>
    </w:p>
    <w:p w:rsidR="00D126B6" w:rsidRPr="00077F9A" w:rsidRDefault="00D126B6" w:rsidP="00D126B6">
      <w:pPr>
        <w:pStyle w:val="Normaltindrag"/>
        <w:rPr>
          <w:szCs w:val="24"/>
        </w:rPr>
      </w:pPr>
      <w:r w:rsidRPr="00077F9A">
        <w:t>För riksdagens deltagande i beslutsfattandet inom EU enligt Lissabonfö</w:t>
      </w:r>
      <w:r w:rsidRPr="00077F9A">
        <w:t>r</w:t>
      </w:r>
      <w:r w:rsidRPr="00077F9A">
        <w:t>draget måste nya procedurer skapas när det gäller två typer av ärenden. Den ena och utan tvekan vanligaste ärendetypen är utkasten till lagstif</w:t>
      </w:r>
      <w:r w:rsidRPr="00077F9A">
        <w:t>t</w:t>
      </w:r>
      <w:r w:rsidRPr="00077F9A">
        <w:t xml:space="preserve">ningsakter där riksdagen ska kontrollera att subsidiaritetsprincipen följs. </w:t>
      </w:r>
      <w:r w:rsidRPr="00077F9A">
        <w:rPr>
          <w:szCs w:val="24"/>
        </w:rPr>
        <w:t>Utredningen, som gör bedömningen att subsidiaritetsprövningen huvudsakligen är en läm</w:t>
      </w:r>
      <w:r w:rsidRPr="00077F9A">
        <w:rPr>
          <w:szCs w:val="24"/>
        </w:rPr>
        <w:t>p</w:t>
      </w:r>
      <w:r w:rsidRPr="00077F9A">
        <w:rPr>
          <w:szCs w:val="24"/>
        </w:rPr>
        <w:t>li</w:t>
      </w:r>
      <w:r w:rsidRPr="00077F9A">
        <w:rPr>
          <w:szCs w:val="24"/>
        </w:rPr>
        <w:t>g</w:t>
      </w:r>
      <w:r w:rsidRPr="00077F9A">
        <w:rPr>
          <w:szCs w:val="24"/>
        </w:rPr>
        <w:t>hetsfråga, anser att det utskott som besitter den sakliga kompetensen på det område förslaget gäller också är bäst skickat att göra denna prövning. Utsko</w:t>
      </w:r>
      <w:r w:rsidRPr="00077F9A">
        <w:rPr>
          <w:szCs w:val="24"/>
        </w:rPr>
        <w:t>t</w:t>
      </w:r>
      <w:r w:rsidRPr="00077F9A">
        <w:rPr>
          <w:szCs w:val="24"/>
        </w:rPr>
        <w:t>tet ska kunna begära att regeringen informerar om sin bedömning av subsidi</w:t>
      </w:r>
      <w:r w:rsidRPr="00077F9A">
        <w:rPr>
          <w:szCs w:val="24"/>
        </w:rPr>
        <w:t>a</w:t>
      </w:r>
      <w:r w:rsidRPr="00077F9A">
        <w:rPr>
          <w:szCs w:val="24"/>
        </w:rPr>
        <w:t>ritetsfrågan inom två veckor. Ett utkast till lagstiftningsakt där ett utskott kommit till slutsatsen att utkastet strider mot subsidiaritetsprincipen ska u</w:t>
      </w:r>
      <w:r w:rsidRPr="00077F9A">
        <w:rPr>
          <w:szCs w:val="24"/>
        </w:rPr>
        <w:t>n</w:t>
      </w:r>
      <w:r w:rsidRPr="00077F9A">
        <w:rPr>
          <w:szCs w:val="24"/>
        </w:rPr>
        <w:t>derställas kammarens prövning. Utredningen anser att det ska räcka med att en minoritet av fem ledamöter i utskottet står bakom uppfattningen att utka</w:t>
      </w:r>
      <w:r w:rsidRPr="00077F9A">
        <w:rPr>
          <w:szCs w:val="24"/>
        </w:rPr>
        <w:t>s</w:t>
      </w:r>
      <w:r w:rsidRPr="00077F9A">
        <w:rPr>
          <w:szCs w:val="24"/>
        </w:rPr>
        <w:t xml:space="preserve">tet strider mot </w:t>
      </w:r>
      <w:r w:rsidRPr="00077F9A">
        <w:t>subs</w:t>
      </w:r>
      <w:r w:rsidRPr="00077F9A">
        <w:t>i</w:t>
      </w:r>
      <w:r w:rsidRPr="00077F9A">
        <w:t>diaritetsprincipen</w:t>
      </w:r>
      <w:r w:rsidRPr="00077F9A">
        <w:rPr>
          <w:szCs w:val="24"/>
        </w:rPr>
        <w:t xml:space="preserve"> för att det ska gå vidare till kammaren för beslut. Om utskottet enhälligt eller med en tillräckligt kvalificerad major</w:t>
      </w:r>
      <w:r w:rsidRPr="00077F9A">
        <w:rPr>
          <w:szCs w:val="24"/>
        </w:rPr>
        <w:t>i</w:t>
      </w:r>
      <w:r w:rsidRPr="00077F9A">
        <w:rPr>
          <w:szCs w:val="24"/>
        </w:rPr>
        <w:t>tet kommer till slutsa</w:t>
      </w:r>
      <w:r w:rsidRPr="00077F9A">
        <w:rPr>
          <w:szCs w:val="24"/>
        </w:rPr>
        <w:t>t</w:t>
      </w:r>
      <w:r w:rsidRPr="00077F9A">
        <w:rPr>
          <w:szCs w:val="24"/>
        </w:rPr>
        <w:t>sen att förslaget inte strider mot subsidiaritetsprincipen gäller utskottets bedömning. Konstitutionsutskottet ska följa tillämpningen av subsidiaritetsprincipen och en gång om året meddela kammaren sina iaktt</w:t>
      </w:r>
      <w:r w:rsidRPr="00077F9A">
        <w:rPr>
          <w:szCs w:val="24"/>
        </w:rPr>
        <w:t>a</w:t>
      </w:r>
      <w:r w:rsidRPr="00077F9A">
        <w:rPr>
          <w:szCs w:val="24"/>
        </w:rPr>
        <w:t>gelser.</w:t>
      </w:r>
    </w:p>
    <w:p w:rsidR="00CF1B5E" w:rsidRPr="00077F9A" w:rsidRDefault="00D126B6" w:rsidP="00CF1B5E">
      <w:pPr>
        <w:pStyle w:val="Normaltindrag"/>
      </w:pPr>
      <w:r w:rsidRPr="00077F9A">
        <w:t>Den andra ärendetypen är fördragsändringar. När fördragsändringar görs genom det förenklade förfarandet kan riksdagen liksom andra nationella parlament lägga in sitt veto. Ett beslut att utnyttja eller inte utnyttja denna vet</w:t>
      </w:r>
      <w:r w:rsidRPr="00077F9A">
        <w:t>o</w:t>
      </w:r>
      <w:r w:rsidRPr="00077F9A">
        <w:t>rätt ska alltid fattas av kammaren efter beredning av det berörda utskottet. När fördragsän</w:t>
      </w:r>
      <w:r w:rsidRPr="00077F9A">
        <w:t>d</w:t>
      </w:r>
      <w:r w:rsidRPr="00077F9A">
        <w:t xml:space="preserve">ringarna görs enligt det ordinarie förfarandet ska kammaren välja </w:t>
      </w:r>
      <w:r w:rsidRPr="00077F9A">
        <w:lastRenderedPageBreak/>
        <w:t>företrädare i fördragskonventet. Enligt utredningen bör konventsrepr</w:t>
      </w:r>
      <w:r w:rsidRPr="00077F9A">
        <w:t>e</w:t>
      </w:r>
      <w:r w:rsidRPr="00077F9A">
        <w:t>sentanterna ha skyldighet att fortlöpande rapportera till riksdagen om disku</w:t>
      </w:r>
      <w:r w:rsidRPr="00077F9A">
        <w:t>s</w:t>
      </w:r>
      <w:r w:rsidRPr="00077F9A">
        <w:t>sionerna inom kon</w:t>
      </w:r>
      <w:r w:rsidR="00CF1B5E" w:rsidRPr="00077F9A">
        <w:t>ventet.</w:t>
      </w:r>
    </w:p>
    <w:p w:rsidR="00D126B6" w:rsidRPr="00077F9A" w:rsidRDefault="00D126B6" w:rsidP="00CF1B5E">
      <w:pPr>
        <w:pStyle w:val="Normaltindrag"/>
      </w:pPr>
      <w:r w:rsidRPr="00077F9A">
        <w:t>När det gäller kontakter med andra parlament framhåller utredningen vä</w:t>
      </w:r>
      <w:r w:rsidRPr="00077F9A">
        <w:t>r</w:t>
      </w:r>
      <w:r w:rsidRPr="00077F9A">
        <w:t>det av dessa kontakter och anser att behovet av dem kommer att öka med Lissabonfördraget. Från svensk sida är utskottens kontakter med sina motsv</w:t>
      </w:r>
      <w:r w:rsidRPr="00077F9A">
        <w:t>a</w:t>
      </w:r>
      <w:r w:rsidRPr="00077F9A">
        <w:t>righ</w:t>
      </w:r>
      <w:r w:rsidRPr="00077F9A">
        <w:t>e</w:t>
      </w:r>
      <w:r w:rsidRPr="00077F9A">
        <w:t>ter i de andra europeiska parlamenten av särskild vikt. Utredningen anser att Cosac är ett värdefullt organ för diskussion och utbyte av erfarenheter när det gäller parlamentens arbete med EU-frågor över</w:t>
      </w:r>
      <w:r w:rsidR="00312E0B" w:rsidRPr="00077F9A">
        <w:t xml:space="preserve"> </w:t>
      </w:r>
      <w:r w:rsidRPr="00077F9A">
        <w:t>huvu</w:t>
      </w:r>
      <w:r w:rsidRPr="00077F9A">
        <w:t>d</w:t>
      </w:r>
      <w:r w:rsidR="00312E0B" w:rsidRPr="00077F9A">
        <w:t xml:space="preserve"> </w:t>
      </w:r>
      <w:r w:rsidRPr="00077F9A">
        <w:t>taget, således även för diskussion av subsidiaritetsfrågor.</w:t>
      </w:r>
    </w:p>
    <w:p w:rsidR="00BD61DD" w:rsidRPr="00077F9A" w:rsidRDefault="00BD61DD" w:rsidP="00BD61DD">
      <w:bookmarkStart w:id="12" w:name="TextStart"/>
      <w:bookmarkEnd w:id="12"/>
    </w:p>
    <w:p w:rsidR="00BD61DD" w:rsidRPr="00077F9A" w:rsidRDefault="00BD61DD" w:rsidP="00BD61DD">
      <w:pPr>
        <w:pStyle w:val="Normaltindrag"/>
        <w:sectPr w:rsidR="00BD61DD" w:rsidRPr="00077F9A" w:rsidSect="00312E0B">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BD61DD" w:rsidRPr="00077F9A" w:rsidRDefault="00BD61DD" w:rsidP="00AF0A69">
      <w:pPr>
        <w:pStyle w:val="R1"/>
      </w:pPr>
      <w:bookmarkStart w:id="13" w:name="_Toc230677028"/>
      <w:bookmarkStart w:id="14" w:name="_Toc230708078"/>
      <w:r w:rsidRPr="00077F9A">
        <w:t>Innehållsförteckning</w:t>
      </w:r>
      <w:bookmarkEnd w:id="13"/>
      <w:bookmarkEnd w:id="14"/>
    </w:p>
    <w:p w:rsidR="00121018" w:rsidRPr="00077F9A" w:rsidRDefault="00D126B6">
      <w:pPr>
        <w:pStyle w:val="Innehll1"/>
        <w:rPr>
          <w:sz w:val="24"/>
          <w:szCs w:val="24"/>
        </w:rPr>
      </w:pPr>
      <w:r w:rsidRPr="00077F9A">
        <w:fldChar w:fldCharType="begin" w:fldLock="1"/>
      </w:r>
      <w:r w:rsidRPr="00077F9A">
        <w:instrText xml:space="preserve"> TOC \o "1-4" </w:instrText>
      </w:r>
      <w:r w:rsidRPr="00077F9A">
        <w:fldChar w:fldCharType="separate"/>
      </w:r>
      <w:r w:rsidR="00121018" w:rsidRPr="00077F9A">
        <w:t>Sammanfattning</w:t>
      </w:r>
      <w:r w:rsidR="00121018" w:rsidRPr="00077F9A">
        <w:tab/>
      </w:r>
      <w:r w:rsidR="00121018" w:rsidRPr="00077F9A">
        <w:fldChar w:fldCharType="begin" w:fldLock="1"/>
      </w:r>
      <w:r w:rsidR="00121018" w:rsidRPr="00077F9A">
        <w:instrText xml:space="preserve"> PAGEREF _Toc230708077 \h </w:instrText>
      </w:r>
      <w:r w:rsidR="00121018" w:rsidRPr="00077F9A">
        <w:fldChar w:fldCharType="separate"/>
      </w:r>
      <w:r w:rsidR="00A56E21" w:rsidRPr="00077F9A">
        <w:t>1</w:t>
      </w:r>
      <w:r w:rsidR="00121018" w:rsidRPr="00077F9A">
        <w:fldChar w:fldCharType="end"/>
      </w:r>
    </w:p>
    <w:p w:rsidR="00121018" w:rsidRPr="00077F9A" w:rsidRDefault="00121018">
      <w:pPr>
        <w:pStyle w:val="Innehll1"/>
        <w:rPr>
          <w:sz w:val="24"/>
          <w:szCs w:val="24"/>
        </w:rPr>
      </w:pPr>
      <w:r w:rsidRPr="00077F9A">
        <w:t>Innehållsförteckning</w:t>
      </w:r>
      <w:r w:rsidRPr="00077F9A">
        <w:tab/>
      </w:r>
      <w:r w:rsidRPr="00077F9A">
        <w:fldChar w:fldCharType="begin" w:fldLock="1"/>
      </w:r>
      <w:r w:rsidRPr="00077F9A">
        <w:instrText xml:space="preserve"> PAGEREF _Toc230708078 \h </w:instrText>
      </w:r>
      <w:r w:rsidRPr="00077F9A">
        <w:fldChar w:fldCharType="separate"/>
      </w:r>
      <w:r w:rsidR="00A56E21" w:rsidRPr="00077F9A">
        <w:t>3</w:t>
      </w:r>
      <w:r w:rsidRPr="00077F9A">
        <w:fldChar w:fldCharType="end"/>
      </w:r>
    </w:p>
    <w:p w:rsidR="00121018" w:rsidRPr="00077F9A" w:rsidRDefault="00121018">
      <w:pPr>
        <w:pStyle w:val="Innehll1"/>
        <w:rPr>
          <w:sz w:val="24"/>
          <w:szCs w:val="24"/>
        </w:rPr>
      </w:pPr>
      <w:r w:rsidRPr="00077F9A">
        <w:t>Riksdagsstyrelsens förslag till riksdagsbeslut</w:t>
      </w:r>
      <w:r w:rsidRPr="00077F9A">
        <w:tab/>
      </w:r>
      <w:r w:rsidRPr="00077F9A">
        <w:fldChar w:fldCharType="begin" w:fldLock="1"/>
      </w:r>
      <w:r w:rsidRPr="00077F9A">
        <w:instrText xml:space="preserve"> PAGEREF _Toc230708079 \h </w:instrText>
      </w:r>
      <w:r w:rsidRPr="00077F9A">
        <w:fldChar w:fldCharType="separate"/>
      </w:r>
      <w:r w:rsidR="00A56E21" w:rsidRPr="00077F9A">
        <w:t>5</w:t>
      </w:r>
      <w:r w:rsidRPr="00077F9A">
        <w:fldChar w:fldCharType="end"/>
      </w:r>
    </w:p>
    <w:p w:rsidR="00121018" w:rsidRPr="00077F9A" w:rsidRDefault="000933CA">
      <w:pPr>
        <w:pStyle w:val="Innehll1"/>
        <w:rPr>
          <w:sz w:val="24"/>
          <w:szCs w:val="24"/>
        </w:rPr>
      </w:pPr>
      <w:r w:rsidRPr="00077F9A">
        <w:t>Lagförslaget</w:t>
      </w:r>
      <w:r w:rsidR="00121018" w:rsidRPr="00077F9A">
        <w:tab/>
      </w:r>
      <w:r w:rsidR="00121018" w:rsidRPr="00077F9A">
        <w:fldChar w:fldCharType="begin" w:fldLock="1"/>
      </w:r>
      <w:r w:rsidR="00121018" w:rsidRPr="00077F9A">
        <w:instrText xml:space="preserve"> PAGEREF _Toc230708080 \h </w:instrText>
      </w:r>
      <w:r w:rsidR="00121018" w:rsidRPr="00077F9A">
        <w:fldChar w:fldCharType="separate"/>
      </w:r>
      <w:r w:rsidR="00A56E21" w:rsidRPr="00077F9A">
        <w:t>6</w:t>
      </w:r>
      <w:r w:rsidR="00121018" w:rsidRPr="00077F9A">
        <w:fldChar w:fldCharType="end"/>
      </w:r>
    </w:p>
    <w:p w:rsidR="00121018" w:rsidRPr="00077F9A" w:rsidRDefault="00121018">
      <w:pPr>
        <w:pStyle w:val="Innehll1"/>
        <w:rPr>
          <w:sz w:val="24"/>
          <w:szCs w:val="24"/>
        </w:rPr>
      </w:pPr>
      <w:r w:rsidRPr="00077F9A">
        <w:rPr>
          <w:i/>
        </w:rPr>
        <w:t>Bilaga</w:t>
      </w:r>
      <w:r w:rsidRPr="00077F9A">
        <w:t xml:space="preserve"> Lissabonutredningens betänkande</w:t>
      </w:r>
      <w:r w:rsidRPr="00077F9A">
        <w:tab/>
      </w:r>
      <w:r w:rsidR="006C0F1F" w:rsidRPr="00077F9A">
        <w:t>13</w:t>
      </w:r>
    </w:p>
    <w:p w:rsidR="00BD61DD" w:rsidRPr="00077F9A" w:rsidRDefault="00D126B6" w:rsidP="00BD61DD">
      <w:r w:rsidRPr="00077F9A">
        <w:fldChar w:fldCharType="end"/>
      </w:r>
    </w:p>
    <w:p w:rsidR="00BD61DD" w:rsidRPr="00077F9A" w:rsidRDefault="00BD61DD" w:rsidP="00BD61DD">
      <w:pPr>
        <w:pStyle w:val="Normaltindrag"/>
      </w:pPr>
    </w:p>
    <w:p w:rsidR="00406332" w:rsidRPr="00077F9A" w:rsidRDefault="00406332" w:rsidP="00BD61DD">
      <w:pPr>
        <w:pStyle w:val="Normaltindrag"/>
      </w:pPr>
    </w:p>
    <w:p w:rsidR="00406332" w:rsidRPr="00077F9A" w:rsidRDefault="00406332" w:rsidP="00BD61DD">
      <w:pPr>
        <w:pStyle w:val="Normaltindrag"/>
      </w:pPr>
    </w:p>
    <w:p w:rsidR="00406332" w:rsidRPr="00077F9A" w:rsidRDefault="00406332" w:rsidP="00BD61DD">
      <w:pPr>
        <w:pStyle w:val="Normaltindrag"/>
      </w:pPr>
    </w:p>
    <w:p w:rsidR="00406332" w:rsidRPr="00077F9A" w:rsidRDefault="00406332" w:rsidP="00BD61DD">
      <w:pPr>
        <w:pStyle w:val="Normaltindrag"/>
      </w:pPr>
    </w:p>
    <w:p w:rsidR="00F336A2" w:rsidRPr="00077F9A" w:rsidRDefault="00F336A2" w:rsidP="00F336A2"/>
    <w:p w:rsidR="00F336A2" w:rsidRPr="00077F9A" w:rsidRDefault="00F336A2" w:rsidP="00F336A2"/>
    <w:p w:rsidR="00F336A2" w:rsidRPr="00077F9A" w:rsidRDefault="00F336A2" w:rsidP="00F336A2">
      <w:pPr>
        <w:sectPr w:rsidR="00F336A2" w:rsidRPr="00077F9A" w:rsidSect="00F336A2">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7" w:left="1304" w:header="340" w:footer="227" w:gutter="0"/>
          <w:cols w:space="720"/>
          <w:titlePg/>
          <w:docGrid w:linePitch="258"/>
        </w:sectPr>
      </w:pPr>
    </w:p>
    <w:p w:rsidR="00406332" w:rsidRPr="00077F9A" w:rsidRDefault="00406332" w:rsidP="00BD61DD">
      <w:pPr>
        <w:pStyle w:val="Normaltindrag"/>
        <w:sectPr w:rsidR="00406332" w:rsidRPr="00077F9A">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BD61DD" w:rsidRPr="00077F9A" w:rsidRDefault="00BD61DD" w:rsidP="00BD61DD">
      <w:pPr>
        <w:pStyle w:val="Rubrik1"/>
        <w:rPr>
          <w:noProof w:val="0"/>
        </w:rPr>
      </w:pPr>
      <w:bookmarkStart w:id="15" w:name="_Toc230677029"/>
      <w:bookmarkStart w:id="16" w:name="_Toc230708079"/>
      <w:r w:rsidRPr="00077F9A">
        <w:rPr>
          <w:noProof w:val="0"/>
        </w:rPr>
        <w:t>Riksdagsstyrelsens förslag till riksdagsbeslut</w:t>
      </w:r>
      <w:bookmarkEnd w:id="15"/>
      <w:bookmarkEnd w:id="16"/>
    </w:p>
    <w:p w:rsidR="0079519E" w:rsidRPr="00077F9A" w:rsidRDefault="0079519E" w:rsidP="0079519E">
      <w:r w:rsidRPr="00077F9A">
        <w:t>Riksdagsstyrelsen överlämnar genom denna framställning utredningens la</w:t>
      </w:r>
      <w:r w:rsidRPr="00077F9A">
        <w:t>g</w:t>
      </w:r>
      <w:r w:rsidRPr="00077F9A">
        <w:t>förslag till riksdagen för ställningstagande. Beträffande motiveringen hänv</w:t>
      </w:r>
      <w:r w:rsidRPr="00077F9A">
        <w:t>i</w:t>
      </w:r>
      <w:r w:rsidRPr="00077F9A">
        <w:t>sas till Lissabonutredningens betänka</w:t>
      </w:r>
      <w:r w:rsidRPr="00077F9A">
        <w:t>n</w:t>
      </w:r>
      <w:r w:rsidRPr="00077F9A">
        <w:t>de (se bilaga).</w:t>
      </w:r>
    </w:p>
    <w:p w:rsidR="0079519E" w:rsidRPr="00077F9A" w:rsidRDefault="0079519E" w:rsidP="0079519E">
      <w:pPr>
        <w:pStyle w:val="Normaltindrag"/>
      </w:pPr>
    </w:p>
    <w:p w:rsidR="0079519E" w:rsidRPr="00077F9A" w:rsidRDefault="0079519E" w:rsidP="0079519E">
      <w:pPr>
        <w:rPr>
          <w:b/>
        </w:rPr>
      </w:pPr>
      <w:r w:rsidRPr="00077F9A">
        <w:rPr>
          <w:b/>
        </w:rPr>
        <w:t>Riksdagen antar bifogat förslag till</w:t>
      </w:r>
    </w:p>
    <w:p w:rsidR="0079519E" w:rsidRPr="00077F9A" w:rsidRDefault="0079519E" w:rsidP="0079519E">
      <w:pPr>
        <w:pStyle w:val="Normaltindrag"/>
      </w:pPr>
      <w:r w:rsidRPr="00077F9A">
        <w:t>lag om ändring i riksdagsordningen.</w:t>
      </w:r>
    </w:p>
    <w:p w:rsidR="0079519E" w:rsidRPr="00077F9A" w:rsidRDefault="0079519E" w:rsidP="0079519E">
      <w:pPr>
        <w:pStyle w:val="Normaltindrag"/>
      </w:pPr>
    </w:p>
    <w:p w:rsidR="0079519E" w:rsidRPr="00077F9A" w:rsidRDefault="0079519E" w:rsidP="0079519E">
      <w:pPr>
        <w:pStyle w:val="Utskriftsdatum"/>
      </w:pPr>
      <w:r w:rsidRPr="00077F9A">
        <w:t>Stockholm den 20 maj 2009</w:t>
      </w:r>
    </w:p>
    <w:p w:rsidR="0079519E" w:rsidRPr="00077F9A" w:rsidRDefault="0079519E" w:rsidP="0079519E">
      <w:r w:rsidRPr="00077F9A">
        <w:t>På riksdagsstyrelsens vägnar</w:t>
      </w:r>
    </w:p>
    <w:p w:rsidR="0079519E" w:rsidRPr="00077F9A" w:rsidRDefault="0079519E" w:rsidP="0079519E">
      <w:pPr>
        <w:pStyle w:val="Normaltindrag"/>
      </w:pPr>
    </w:p>
    <w:p w:rsidR="0079519E" w:rsidRPr="00077F9A" w:rsidRDefault="0079519E" w:rsidP="0079519E">
      <w:pPr>
        <w:pStyle w:val="Normaltindrag"/>
      </w:pPr>
    </w:p>
    <w:p w:rsidR="0079519E" w:rsidRPr="00077F9A" w:rsidRDefault="0079519E" w:rsidP="0079519E">
      <w:pPr>
        <w:pStyle w:val="Normaltindrag"/>
      </w:pPr>
    </w:p>
    <w:p w:rsidR="0079519E" w:rsidRPr="00077F9A" w:rsidRDefault="0079519E" w:rsidP="0079519E">
      <w:pPr>
        <w:rPr>
          <w:i/>
        </w:rPr>
      </w:pPr>
      <w:r w:rsidRPr="00077F9A">
        <w:rPr>
          <w:i/>
        </w:rPr>
        <w:t>Per Westerberg</w:t>
      </w:r>
    </w:p>
    <w:p w:rsidR="0079519E" w:rsidRPr="00077F9A" w:rsidRDefault="0079519E" w:rsidP="0079519E">
      <w:pPr>
        <w:pStyle w:val="Normaltindrag"/>
      </w:pPr>
    </w:p>
    <w:p w:rsidR="0079519E" w:rsidRPr="00077F9A" w:rsidRDefault="0079519E" w:rsidP="0079519E">
      <w:pPr>
        <w:pStyle w:val="Normaltindrag"/>
        <w:jc w:val="right"/>
        <w:rPr>
          <w:i/>
        </w:rPr>
      </w:pPr>
      <w:r w:rsidRPr="00077F9A">
        <w:rPr>
          <w:i/>
        </w:rPr>
        <w:t>Anders Forsberg</w:t>
      </w:r>
    </w:p>
    <w:p w:rsidR="0079519E" w:rsidRPr="00077F9A" w:rsidRDefault="0079519E" w:rsidP="0079519E"/>
    <w:p w:rsidR="00BD61DD" w:rsidRPr="00077F9A" w:rsidRDefault="00BD61DD" w:rsidP="00BD61DD"/>
    <w:p w:rsidR="00BD61DD" w:rsidRPr="00077F9A" w:rsidRDefault="00BD61DD" w:rsidP="00BD61DD">
      <w:pPr>
        <w:pStyle w:val="Normaltindrag"/>
      </w:pPr>
      <w:bookmarkStart w:id="17" w:name="Nästa_Hpunkt"/>
      <w:bookmarkEnd w:id="17"/>
    </w:p>
    <w:p w:rsidR="0079519E" w:rsidRPr="00077F9A" w:rsidRDefault="0079519E" w:rsidP="00A23DD7">
      <w:pPr>
        <w:pStyle w:val="Deltagare"/>
        <w:rPr>
          <w:noProof w:val="0"/>
        </w:rPr>
      </w:pPr>
      <w:bookmarkStart w:id="18" w:name="Ordförande"/>
      <w:bookmarkEnd w:id="18"/>
      <w:r w:rsidRPr="00077F9A">
        <w:rPr>
          <w:noProof w:val="0"/>
        </w:rPr>
        <w:t>I detta beslut har deltagit: Per Westerberg, ordförande, Sven-Erik Österberg (s) Lars Lindblad (m), Leif Jakobsson (s), Margareta Pålsson (m), Berit Andnor (s), Morgan Johansson (s), Magdalena Andersson (m), Roger Tiefe</w:t>
      </w:r>
      <w:r w:rsidRPr="00077F9A">
        <w:rPr>
          <w:noProof w:val="0"/>
        </w:rPr>
        <w:t>n</w:t>
      </w:r>
      <w:r w:rsidRPr="00077F9A">
        <w:rPr>
          <w:noProof w:val="0"/>
        </w:rPr>
        <w:t>see (c), Johan Pehrson (fp) och Margareta Israelsson (s)</w:t>
      </w:r>
    </w:p>
    <w:p w:rsidR="002F5594" w:rsidRPr="00077F9A" w:rsidRDefault="002F5594" w:rsidP="002F5594">
      <w:pPr>
        <w:pStyle w:val="Normaltindrag"/>
      </w:pPr>
    </w:p>
    <w:p w:rsidR="002F5594" w:rsidRPr="00077F9A" w:rsidRDefault="002F5594" w:rsidP="002F5594">
      <w:pPr>
        <w:pStyle w:val="Normaltindrag"/>
      </w:pPr>
    </w:p>
    <w:p w:rsidR="0079519E" w:rsidRPr="00077F9A" w:rsidRDefault="00AF0A69" w:rsidP="00AF0A69">
      <w:pPr>
        <w:pStyle w:val="R1"/>
      </w:pPr>
      <w:r w:rsidRPr="00077F9A">
        <w:br w:type="page"/>
      </w:r>
      <w:bookmarkStart w:id="19" w:name="_Toc229891799"/>
      <w:bookmarkStart w:id="20" w:name="_Toc230677030"/>
      <w:bookmarkStart w:id="21" w:name="_Toc230708080"/>
      <w:r w:rsidR="0079519E" w:rsidRPr="00077F9A">
        <w:t>Lag</w:t>
      </w:r>
      <w:r w:rsidR="000933CA" w:rsidRPr="00077F9A">
        <w:t>förslaget</w:t>
      </w:r>
      <w:bookmarkEnd w:id="19"/>
      <w:bookmarkEnd w:id="20"/>
      <w:bookmarkEnd w:id="21"/>
    </w:p>
    <w:p w:rsidR="0079519E" w:rsidRPr="00077F9A" w:rsidRDefault="0079519E" w:rsidP="00BB65DE">
      <w:pPr>
        <w:pStyle w:val="R2"/>
      </w:pPr>
      <w:bookmarkStart w:id="22" w:name="_Toc230677031"/>
      <w:bookmarkStart w:id="23" w:name="_Toc230708081"/>
      <w:r w:rsidRPr="00077F9A">
        <w:t>Förslag till lag om ändring i riksdagsordningen</w:t>
      </w:r>
      <w:bookmarkEnd w:id="22"/>
      <w:bookmarkEnd w:id="23"/>
    </w:p>
    <w:p w:rsidR="00641BC1" w:rsidRPr="00077F9A" w:rsidRDefault="00641BC1" w:rsidP="00641BC1">
      <w:pPr>
        <w:pStyle w:val="Normaltindrag"/>
      </w:pPr>
      <w:bookmarkStart w:id="24" w:name="Deltagare"/>
      <w:bookmarkEnd w:id="24"/>
      <w:r w:rsidRPr="00077F9A">
        <w:t>Härigenom föreskrivs i fråga om riksdagsor</w:t>
      </w:r>
      <w:r w:rsidRPr="00077F9A">
        <w:t>d</w:t>
      </w:r>
      <w:r w:rsidRPr="00077F9A">
        <w:t>ningen</w:t>
      </w:r>
      <w:r w:rsidRPr="00077F9A">
        <w:rPr>
          <w:rStyle w:val="Fotnotsreferens"/>
        </w:rPr>
        <w:footnoteReference w:id="1"/>
      </w:r>
      <w:r w:rsidRPr="00077F9A">
        <w:t xml:space="preserve"> </w:t>
      </w:r>
    </w:p>
    <w:p w:rsidR="00641BC1" w:rsidRPr="00077F9A" w:rsidRDefault="00641BC1" w:rsidP="00641BC1">
      <w:pPr>
        <w:pStyle w:val="LagtextIndrag"/>
      </w:pPr>
      <w:r w:rsidRPr="00077F9A">
        <w:rPr>
          <w:i/>
        </w:rPr>
        <w:t xml:space="preserve">dels </w:t>
      </w:r>
      <w:r w:rsidRPr="00077F9A">
        <w:t>att nuvarande 10 kap. 1–4 och 5–9 §§ samt tilläggsbestämmelserna 10.5.1 och 10.7.1–4 ska betecknas 10 kap. 2–5 och 9–13 §§ r</w:t>
      </w:r>
      <w:r w:rsidRPr="00077F9A">
        <w:t>e</w:t>
      </w:r>
      <w:r w:rsidRPr="00077F9A">
        <w:t>spektive 10.9.1 och 10.11.1–4,</w:t>
      </w:r>
    </w:p>
    <w:p w:rsidR="00641BC1" w:rsidRPr="00077F9A" w:rsidRDefault="00641BC1" w:rsidP="00641BC1">
      <w:pPr>
        <w:pStyle w:val="LagtextIndrag"/>
      </w:pPr>
      <w:r w:rsidRPr="00077F9A">
        <w:rPr>
          <w:i/>
        </w:rPr>
        <w:t xml:space="preserve">dels </w:t>
      </w:r>
      <w:r w:rsidRPr="00077F9A">
        <w:t xml:space="preserve">att 3 kap. </w:t>
      </w:r>
      <w:smartTag w:uri="urn:schemas-microsoft-com:office:smarttags" w:element="metricconverter">
        <w:smartTagPr>
          <w:attr w:name="ProductID" w:val="14 a"/>
        </w:smartTagPr>
        <w:r w:rsidRPr="00077F9A">
          <w:t>14 a</w:t>
        </w:r>
      </w:smartTag>
      <w:r w:rsidRPr="00077F9A">
        <w:t xml:space="preserve"> § och 4 kap. 4 § samt tilläggsbestämmelserna 2.7.1, 4.6.2 och 5.12.1 samt rubriken närmast före 10 kap. 3 § ska ha följande lyde</w:t>
      </w:r>
      <w:r w:rsidRPr="00077F9A">
        <w:t>l</w:t>
      </w:r>
      <w:r w:rsidRPr="00077F9A">
        <w:t>se,</w:t>
      </w:r>
    </w:p>
    <w:p w:rsidR="00641BC1" w:rsidRPr="00077F9A" w:rsidRDefault="00641BC1" w:rsidP="00641BC1">
      <w:pPr>
        <w:pStyle w:val="LagtextIndrag"/>
      </w:pPr>
      <w:r w:rsidRPr="00077F9A">
        <w:rPr>
          <w:i/>
        </w:rPr>
        <w:t xml:space="preserve">dels </w:t>
      </w:r>
      <w:r w:rsidRPr="00077F9A">
        <w:t xml:space="preserve">att nya 10 kap. 3 och 5 §§ ska ha följande lydelse, </w:t>
      </w:r>
    </w:p>
    <w:p w:rsidR="00641BC1" w:rsidRPr="00077F9A" w:rsidRDefault="00641BC1" w:rsidP="00641BC1">
      <w:pPr>
        <w:pStyle w:val="LagtextIndrag"/>
      </w:pPr>
      <w:r w:rsidRPr="00077F9A">
        <w:rPr>
          <w:i/>
        </w:rPr>
        <w:t xml:space="preserve">dels </w:t>
      </w:r>
      <w:r w:rsidRPr="00077F9A">
        <w:t>att det ska införas fyra nya paragrafer, 10 kap. 1, 6–8 §§, av följande lydelse.</w:t>
      </w:r>
    </w:p>
    <w:p w:rsidR="00641BC1" w:rsidRPr="00077F9A" w:rsidRDefault="00641BC1" w:rsidP="00641BC1">
      <w:pPr>
        <w:pStyle w:val="Lagtext"/>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4"/>
        <w:gridCol w:w="29"/>
        <w:gridCol w:w="2980"/>
      </w:tblGrid>
      <w:tr w:rsidR="00641BC1" w:rsidRPr="00077F9A" w:rsidTr="00641BC1">
        <w:trPr>
          <w:tblHeader/>
        </w:trPr>
        <w:tc>
          <w:tcPr>
            <w:tcW w:w="3081" w:type="dxa"/>
            <w:gridSpan w:val="2"/>
          </w:tcPr>
          <w:p w:rsidR="00641BC1" w:rsidRPr="00077F9A" w:rsidRDefault="00641BC1" w:rsidP="00641BC1">
            <w:pPr>
              <w:spacing w:after="120"/>
              <w:rPr>
                <w:i/>
              </w:rPr>
            </w:pPr>
            <w:r w:rsidRPr="00077F9A">
              <w:rPr>
                <w:i/>
              </w:rPr>
              <w:t>Nuvarande lydelse</w:t>
            </w:r>
          </w:p>
        </w:tc>
        <w:tc>
          <w:tcPr>
            <w:tcW w:w="3088" w:type="dxa"/>
          </w:tcPr>
          <w:p w:rsidR="00641BC1" w:rsidRPr="00077F9A" w:rsidRDefault="00641BC1" w:rsidP="00641BC1">
            <w:pPr>
              <w:spacing w:after="120"/>
              <w:rPr>
                <w:i/>
              </w:rPr>
            </w:pPr>
            <w:r w:rsidRPr="00077F9A">
              <w:rPr>
                <w:i/>
              </w:rPr>
              <w:t>Föreslagen lydelse</w:t>
            </w:r>
          </w:p>
        </w:tc>
      </w:tr>
      <w:tr w:rsidR="00641BC1" w:rsidRPr="00077F9A" w:rsidTr="00641BC1">
        <w:tc>
          <w:tcPr>
            <w:tcW w:w="6169" w:type="dxa"/>
            <w:gridSpan w:val="3"/>
          </w:tcPr>
          <w:p w:rsidR="00641BC1" w:rsidRPr="00077F9A" w:rsidRDefault="00641BC1" w:rsidP="00641BC1">
            <w:pPr>
              <w:pStyle w:val="Lagtext"/>
              <w:jc w:val="center"/>
            </w:pPr>
            <w:r w:rsidRPr="00077F9A">
              <w:t xml:space="preserve">2.7.1  </w:t>
            </w:r>
          </w:p>
        </w:tc>
      </w:tr>
      <w:tr w:rsidR="00641BC1" w:rsidRPr="00077F9A" w:rsidTr="00641BC1">
        <w:tc>
          <w:tcPr>
            <w:tcW w:w="3081" w:type="dxa"/>
            <w:gridSpan w:val="2"/>
          </w:tcPr>
          <w:p w:rsidR="00641BC1" w:rsidRPr="00077F9A" w:rsidRDefault="00641BC1" w:rsidP="00641BC1">
            <w:pPr>
              <w:pStyle w:val="LagtextIndrag"/>
            </w:pPr>
            <w:r w:rsidRPr="00077F9A">
              <w:t>Yrkande om folko</w:t>
            </w:r>
            <w:r w:rsidRPr="00077F9A">
              <w:t>m</w:t>
            </w:r>
            <w:r w:rsidRPr="00077F9A">
              <w:t>röstning i en grundlagsfråga, förslag till ny stat</w:t>
            </w:r>
            <w:r w:rsidRPr="00077F9A">
              <w:t>s</w:t>
            </w:r>
            <w:r w:rsidRPr="00077F9A">
              <w:t>minister eller yrkande om misstroe</w:t>
            </w:r>
            <w:r w:rsidRPr="00077F9A">
              <w:t>n</w:t>
            </w:r>
            <w:r w:rsidRPr="00077F9A">
              <w:t>deförklaring förs upp som första punkt på föredragning</w:t>
            </w:r>
            <w:r w:rsidRPr="00077F9A">
              <w:t>s</w:t>
            </w:r>
            <w:r w:rsidRPr="00077F9A">
              <w:t>listan. Om det finns mer än ett sådant ärende, tas de upp i den ordning de nu har a</w:t>
            </w:r>
            <w:r w:rsidRPr="00077F9A">
              <w:t>n</w:t>
            </w:r>
            <w:r w:rsidRPr="00077F9A">
              <w:t>getts. I övrigt tas äre</w:t>
            </w:r>
            <w:r w:rsidRPr="00077F9A">
              <w:t>n</w:t>
            </w:r>
            <w:r w:rsidRPr="00077F9A">
              <w:t>dena upp i följande ordning, om inte talmannen bestä</w:t>
            </w:r>
            <w:r w:rsidRPr="00077F9A">
              <w:t>m</w:t>
            </w:r>
            <w:r w:rsidRPr="00077F9A">
              <w:t xml:space="preserve">mer annat: </w:t>
            </w:r>
          </w:p>
          <w:p w:rsidR="00641BC1" w:rsidRPr="00077F9A" w:rsidRDefault="00641BC1" w:rsidP="00641BC1">
            <w:pPr>
              <w:pStyle w:val="LagtextIndrag"/>
            </w:pPr>
            <w:r w:rsidRPr="00077F9A">
              <w:t>1. val,</w:t>
            </w:r>
          </w:p>
          <w:p w:rsidR="00641BC1" w:rsidRPr="00077F9A" w:rsidRDefault="00641BC1" w:rsidP="00641BC1">
            <w:pPr>
              <w:pStyle w:val="LagtextIndrag"/>
            </w:pPr>
            <w:r w:rsidRPr="00077F9A">
              <w:t>2. propositioner samt skrivelser från rege</w:t>
            </w:r>
            <w:r w:rsidRPr="00077F9A">
              <w:t>r</w:t>
            </w:r>
            <w:r w:rsidRPr="00077F9A">
              <w:t>ingen,</w:t>
            </w:r>
          </w:p>
          <w:p w:rsidR="00641BC1" w:rsidRPr="00077F9A" w:rsidRDefault="00641BC1" w:rsidP="00641BC1">
            <w:pPr>
              <w:pStyle w:val="LagtextIndrag"/>
            </w:pPr>
            <w:r w:rsidRPr="00077F9A">
              <w:t>3. framställningar och redogörelser från andra riksdagsorgan än u</w:t>
            </w:r>
            <w:r w:rsidRPr="00077F9A">
              <w:t>t</w:t>
            </w:r>
            <w:r w:rsidRPr="00077F9A">
              <w:t>skott,</w:t>
            </w:r>
          </w:p>
          <w:p w:rsidR="00641BC1" w:rsidRPr="00077F9A" w:rsidRDefault="00641BC1" w:rsidP="00641BC1">
            <w:pPr>
              <w:pStyle w:val="LagtextIndrag"/>
            </w:pPr>
            <w:r w:rsidRPr="00077F9A">
              <w:t>4. motioner,</w:t>
            </w:r>
          </w:p>
          <w:p w:rsidR="00641BC1" w:rsidRPr="00077F9A" w:rsidRDefault="00641BC1" w:rsidP="00641BC1">
            <w:pPr>
              <w:pStyle w:val="LagtextIndrag"/>
            </w:pPr>
            <w:r w:rsidRPr="00077F9A">
              <w:t>5. </w:t>
            </w:r>
            <w:r w:rsidRPr="00077F9A">
              <w:rPr>
                <w:spacing w:val="-4"/>
              </w:rPr>
              <w:t>EU-dokument som a</w:t>
            </w:r>
            <w:r w:rsidRPr="00077F9A">
              <w:rPr>
                <w:spacing w:val="-4"/>
              </w:rPr>
              <w:t>v</w:t>
            </w:r>
            <w:r w:rsidRPr="00077F9A">
              <w:rPr>
                <w:spacing w:val="-4"/>
              </w:rPr>
              <w:t xml:space="preserve">ses i 10 </w:t>
            </w:r>
            <w:r w:rsidRPr="00077F9A">
              <w:t xml:space="preserve">kap. </w:t>
            </w:r>
            <w:r w:rsidRPr="00077F9A">
              <w:rPr>
                <w:i/>
              </w:rPr>
              <w:t>4 §</w:t>
            </w:r>
            <w:r w:rsidRPr="00077F9A">
              <w:t>,</w:t>
            </w:r>
          </w:p>
          <w:p w:rsidR="00641BC1" w:rsidRPr="00077F9A" w:rsidRDefault="00641BC1" w:rsidP="00641BC1">
            <w:pPr>
              <w:pStyle w:val="LagtextIndrag"/>
            </w:pPr>
            <w:r w:rsidRPr="00077F9A">
              <w:t>6. utskottsbetänkanden och utl</w:t>
            </w:r>
            <w:r w:rsidRPr="00077F9A">
              <w:t>å</w:t>
            </w:r>
            <w:r w:rsidRPr="00077F9A">
              <w:t>tan</w:t>
            </w:r>
            <w:r w:rsidRPr="00077F9A">
              <w:softHyphen/>
              <w:t>den som a</w:t>
            </w:r>
            <w:r w:rsidRPr="00077F9A">
              <w:t>v</w:t>
            </w:r>
            <w:r w:rsidRPr="00077F9A">
              <w:t xml:space="preserve">ses i 10 kap. </w:t>
            </w:r>
            <w:r w:rsidRPr="00077F9A">
              <w:rPr>
                <w:i/>
              </w:rPr>
              <w:t>4 §</w:t>
            </w:r>
            <w:r w:rsidRPr="00077F9A">
              <w:t xml:space="preserve"> i den ordning utskotten anges i tilläggsb</w:t>
            </w:r>
            <w:r w:rsidRPr="00077F9A">
              <w:t>e</w:t>
            </w:r>
            <w:r w:rsidRPr="00077F9A">
              <w:t>stämme</w:t>
            </w:r>
            <w:r w:rsidRPr="00077F9A">
              <w:t>l</w:t>
            </w:r>
            <w:r w:rsidRPr="00077F9A">
              <w:t>se 4.2.1.</w:t>
            </w:r>
          </w:p>
        </w:tc>
        <w:tc>
          <w:tcPr>
            <w:tcW w:w="3088" w:type="dxa"/>
          </w:tcPr>
          <w:p w:rsidR="00641BC1" w:rsidRPr="00077F9A" w:rsidRDefault="00641BC1" w:rsidP="00641BC1">
            <w:pPr>
              <w:pStyle w:val="LagtextIndrag"/>
            </w:pPr>
            <w:r w:rsidRPr="00077F9A">
              <w:t>Yrkande om folko</w:t>
            </w:r>
            <w:r w:rsidRPr="00077F9A">
              <w:t>m</w:t>
            </w:r>
            <w:r w:rsidRPr="00077F9A">
              <w:t>röstning i en grundlagsfråga, förslag till ny stat</w:t>
            </w:r>
            <w:r w:rsidRPr="00077F9A">
              <w:t>s</w:t>
            </w:r>
            <w:r w:rsidRPr="00077F9A">
              <w:t>minister eller yrkande om misstroe</w:t>
            </w:r>
            <w:r w:rsidRPr="00077F9A">
              <w:t>n</w:t>
            </w:r>
            <w:r w:rsidRPr="00077F9A">
              <w:t>deförklaring förs upp som första punkt på föredragning</w:t>
            </w:r>
            <w:r w:rsidRPr="00077F9A">
              <w:t>s</w:t>
            </w:r>
            <w:r w:rsidRPr="00077F9A">
              <w:t>listan. Om det finns mer än ett sådant ärende, tas de upp i den ordning de nu har a</w:t>
            </w:r>
            <w:r w:rsidRPr="00077F9A">
              <w:t>n</w:t>
            </w:r>
            <w:r w:rsidRPr="00077F9A">
              <w:t>getts. I övrigt tas äre</w:t>
            </w:r>
            <w:r w:rsidRPr="00077F9A">
              <w:t>n</w:t>
            </w:r>
            <w:r w:rsidRPr="00077F9A">
              <w:t>dena upp i följande ordning, om inte talmannen bestä</w:t>
            </w:r>
            <w:r w:rsidRPr="00077F9A">
              <w:t>m</w:t>
            </w:r>
            <w:r w:rsidRPr="00077F9A">
              <w:t xml:space="preserve">mer annat: </w:t>
            </w:r>
          </w:p>
          <w:p w:rsidR="00641BC1" w:rsidRPr="00077F9A" w:rsidRDefault="00641BC1" w:rsidP="00641BC1">
            <w:pPr>
              <w:pStyle w:val="LagtextIndrag"/>
            </w:pPr>
            <w:r w:rsidRPr="00077F9A">
              <w:t>1. val,</w:t>
            </w:r>
          </w:p>
          <w:p w:rsidR="00641BC1" w:rsidRPr="00077F9A" w:rsidRDefault="00641BC1" w:rsidP="00641BC1">
            <w:pPr>
              <w:pStyle w:val="LagtextIndrag"/>
            </w:pPr>
            <w:r w:rsidRPr="00077F9A">
              <w:t>2. propositioner samt skrivelser från rege</w:t>
            </w:r>
            <w:r w:rsidRPr="00077F9A">
              <w:t>r</w:t>
            </w:r>
            <w:r w:rsidRPr="00077F9A">
              <w:t>ingen,</w:t>
            </w:r>
          </w:p>
          <w:p w:rsidR="00641BC1" w:rsidRPr="00077F9A" w:rsidRDefault="00641BC1" w:rsidP="00641BC1">
            <w:pPr>
              <w:pStyle w:val="LagtextIndrag"/>
            </w:pPr>
            <w:r w:rsidRPr="00077F9A">
              <w:t>3. framställningar och redogörelser från andra riksdagsorgan än u</w:t>
            </w:r>
            <w:r w:rsidRPr="00077F9A">
              <w:t>t</w:t>
            </w:r>
            <w:r w:rsidRPr="00077F9A">
              <w:t>skott,</w:t>
            </w:r>
          </w:p>
          <w:p w:rsidR="00641BC1" w:rsidRPr="00077F9A" w:rsidRDefault="00641BC1" w:rsidP="00641BC1">
            <w:pPr>
              <w:pStyle w:val="LagtextIndrag"/>
            </w:pPr>
            <w:r w:rsidRPr="00077F9A">
              <w:t>4. motioner,</w:t>
            </w:r>
          </w:p>
          <w:p w:rsidR="00641BC1" w:rsidRPr="00077F9A" w:rsidRDefault="00641BC1" w:rsidP="00641BC1">
            <w:pPr>
              <w:pStyle w:val="LagtextIndrag"/>
            </w:pPr>
            <w:r w:rsidRPr="00077F9A">
              <w:t>5. </w:t>
            </w:r>
            <w:r w:rsidRPr="00077F9A">
              <w:rPr>
                <w:spacing w:val="-4"/>
              </w:rPr>
              <w:t>EU-dokument som a</w:t>
            </w:r>
            <w:r w:rsidRPr="00077F9A">
              <w:rPr>
                <w:spacing w:val="-4"/>
              </w:rPr>
              <w:t>v</w:t>
            </w:r>
            <w:r w:rsidRPr="00077F9A">
              <w:rPr>
                <w:spacing w:val="-4"/>
              </w:rPr>
              <w:t xml:space="preserve">ses i 10 </w:t>
            </w:r>
            <w:r w:rsidRPr="00077F9A">
              <w:t xml:space="preserve">kap. </w:t>
            </w:r>
            <w:r w:rsidRPr="00077F9A">
              <w:rPr>
                <w:i/>
              </w:rPr>
              <w:t>5–6 och 8 §§,</w:t>
            </w:r>
          </w:p>
          <w:p w:rsidR="00641BC1" w:rsidRPr="00077F9A" w:rsidRDefault="00641BC1" w:rsidP="00641BC1">
            <w:pPr>
              <w:pStyle w:val="LagtextIndrag"/>
            </w:pPr>
            <w:r w:rsidRPr="00077F9A">
              <w:t>6. utskottsbetänkanden och utl</w:t>
            </w:r>
            <w:r w:rsidRPr="00077F9A">
              <w:t>å</w:t>
            </w:r>
            <w:r w:rsidRPr="00077F9A">
              <w:t>tan</w:t>
            </w:r>
            <w:r w:rsidRPr="00077F9A">
              <w:softHyphen/>
              <w:t>den som a</w:t>
            </w:r>
            <w:r w:rsidRPr="00077F9A">
              <w:t>v</w:t>
            </w:r>
            <w:r w:rsidRPr="00077F9A">
              <w:t xml:space="preserve">ses i 10 kap. </w:t>
            </w:r>
            <w:r w:rsidRPr="00077F9A">
              <w:rPr>
                <w:i/>
              </w:rPr>
              <w:t>5–6 och 8 §§</w:t>
            </w:r>
            <w:r w:rsidRPr="00077F9A">
              <w:t xml:space="preserve"> i den ordning utskotten anges i tilläggsb</w:t>
            </w:r>
            <w:r w:rsidRPr="00077F9A">
              <w:t>e</w:t>
            </w:r>
            <w:r w:rsidRPr="00077F9A">
              <w:t>stämmelse 4.2.1.</w:t>
            </w:r>
          </w:p>
        </w:tc>
      </w:tr>
      <w:tr w:rsidR="00641BC1" w:rsidRPr="00077F9A" w:rsidTr="00641BC1">
        <w:tc>
          <w:tcPr>
            <w:tcW w:w="6169" w:type="dxa"/>
            <w:gridSpan w:val="3"/>
          </w:tcPr>
          <w:p w:rsidR="00641BC1" w:rsidRPr="00077F9A" w:rsidRDefault="00641BC1" w:rsidP="00641BC1">
            <w:pPr>
              <w:pStyle w:val="Lagtext"/>
              <w:spacing w:before="125"/>
              <w:jc w:val="center"/>
            </w:pPr>
            <w:r w:rsidRPr="00077F9A">
              <w:t>3 kap.</w:t>
            </w:r>
          </w:p>
        </w:tc>
      </w:tr>
      <w:tr w:rsidR="00641BC1" w:rsidRPr="00077F9A" w:rsidTr="00641BC1">
        <w:tc>
          <w:tcPr>
            <w:tcW w:w="6169" w:type="dxa"/>
            <w:gridSpan w:val="3"/>
          </w:tcPr>
          <w:p w:rsidR="00641BC1" w:rsidRPr="00077F9A" w:rsidRDefault="00641BC1" w:rsidP="00641BC1">
            <w:pPr>
              <w:pStyle w:val="Lagtext"/>
              <w:jc w:val="center"/>
            </w:pPr>
            <w:smartTag w:uri="urn:schemas-microsoft-com:office:smarttags" w:element="metricconverter">
              <w:smartTagPr>
                <w:attr w:name="ProductID" w:val="14 a"/>
              </w:smartTagPr>
              <w:r w:rsidRPr="00077F9A">
                <w:t>14 a</w:t>
              </w:r>
            </w:smartTag>
            <w:r w:rsidRPr="00077F9A">
              <w:t xml:space="preserve"> §</w:t>
            </w:r>
          </w:p>
        </w:tc>
      </w:tr>
      <w:tr w:rsidR="00641BC1" w:rsidRPr="00077F9A" w:rsidTr="00641BC1">
        <w:tc>
          <w:tcPr>
            <w:tcW w:w="3081" w:type="dxa"/>
            <w:gridSpan w:val="2"/>
          </w:tcPr>
          <w:p w:rsidR="00641BC1" w:rsidRPr="00077F9A" w:rsidRDefault="00641BC1" w:rsidP="00641BC1">
            <w:pPr>
              <w:pStyle w:val="LagtextIndrag"/>
            </w:pPr>
            <w:r w:rsidRPr="00077F9A">
              <w:t xml:space="preserve">Grön- och vitböcker som </w:t>
            </w:r>
            <w:r w:rsidRPr="00077F9A">
              <w:rPr>
                <w:i/>
              </w:rPr>
              <w:t>skall til</w:t>
            </w:r>
            <w:r w:rsidRPr="00077F9A">
              <w:rPr>
                <w:i/>
              </w:rPr>
              <w:t>l</w:t>
            </w:r>
            <w:r w:rsidRPr="00077F9A">
              <w:rPr>
                <w:i/>
              </w:rPr>
              <w:t>ställas</w:t>
            </w:r>
            <w:r w:rsidRPr="00077F9A">
              <w:t xml:space="preserve"> riksdagen </w:t>
            </w:r>
            <w:r w:rsidRPr="00077F9A">
              <w:rPr>
                <w:i/>
              </w:rPr>
              <w:t>enligt prot</w:t>
            </w:r>
            <w:r w:rsidRPr="00077F9A">
              <w:rPr>
                <w:i/>
              </w:rPr>
              <w:t>o</w:t>
            </w:r>
            <w:r w:rsidRPr="00077F9A">
              <w:rPr>
                <w:i/>
              </w:rPr>
              <w:t>kollet om de nationella parlame</w:t>
            </w:r>
            <w:r w:rsidRPr="00077F9A">
              <w:rPr>
                <w:i/>
              </w:rPr>
              <w:t>n</w:t>
            </w:r>
            <w:r w:rsidRPr="00077F9A">
              <w:rPr>
                <w:i/>
              </w:rPr>
              <w:t xml:space="preserve">tens roll i Europeiska unionen skall </w:t>
            </w:r>
            <w:r w:rsidRPr="00077F9A">
              <w:t>behan</w:t>
            </w:r>
            <w:r w:rsidRPr="00077F9A">
              <w:t>d</w:t>
            </w:r>
            <w:r w:rsidRPr="00077F9A">
              <w:t>las av riksdagen enligt b</w:t>
            </w:r>
            <w:r w:rsidRPr="00077F9A">
              <w:t>e</w:t>
            </w:r>
            <w:r w:rsidRPr="00077F9A">
              <w:t xml:space="preserve">stämmelserna i 10 kap. </w:t>
            </w:r>
            <w:r w:rsidRPr="00077F9A">
              <w:rPr>
                <w:i/>
              </w:rPr>
              <w:t xml:space="preserve">4 </w:t>
            </w:r>
            <w:r w:rsidRPr="00077F9A">
              <w:t>§. De</w:t>
            </w:r>
            <w:r w:rsidRPr="00077F9A">
              <w:t>t</w:t>
            </w:r>
            <w:r w:rsidRPr="00077F9A">
              <w:t>samma gäller i fråga om de andra dokument från Europ</w:t>
            </w:r>
            <w:r w:rsidRPr="00077F9A">
              <w:t>e</w:t>
            </w:r>
            <w:r w:rsidRPr="00077F9A">
              <w:t xml:space="preserve">iska unionen, med undantag för </w:t>
            </w:r>
            <w:r w:rsidRPr="00077F9A">
              <w:rPr>
                <w:i/>
              </w:rPr>
              <w:t>förslag från Europeiska gemensk</w:t>
            </w:r>
            <w:r w:rsidRPr="00077F9A">
              <w:rPr>
                <w:i/>
              </w:rPr>
              <w:t>a</w:t>
            </w:r>
            <w:r w:rsidRPr="00077F9A">
              <w:rPr>
                <w:i/>
              </w:rPr>
              <w:t>pernas kommi</w:t>
            </w:r>
            <w:r w:rsidRPr="00077F9A">
              <w:rPr>
                <w:i/>
              </w:rPr>
              <w:t>s</w:t>
            </w:r>
            <w:r w:rsidRPr="00077F9A">
              <w:rPr>
                <w:i/>
              </w:rPr>
              <w:t>sion</w:t>
            </w:r>
            <w:r w:rsidRPr="00077F9A">
              <w:t>, som talmannen efter samråd med de särskilda för</w:t>
            </w:r>
            <w:r w:rsidRPr="00077F9A">
              <w:t>e</w:t>
            </w:r>
            <w:r w:rsidRPr="00077F9A">
              <w:t>trädarna för partigrupperna bestä</w:t>
            </w:r>
            <w:r w:rsidRPr="00077F9A">
              <w:t>m</w:t>
            </w:r>
            <w:r w:rsidRPr="00077F9A">
              <w:t xml:space="preserve">mer </w:t>
            </w:r>
            <w:r w:rsidRPr="00077F9A">
              <w:rPr>
                <w:i/>
              </w:rPr>
              <w:t>skall</w:t>
            </w:r>
            <w:r w:rsidRPr="00077F9A">
              <w:t xml:space="preserve"> b</w:t>
            </w:r>
            <w:r w:rsidRPr="00077F9A">
              <w:t>e</w:t>
            </w:r>
            <w:r w:rsidRPr="00077F9A">
              <w:t>handlas på detta sätt.</w:t>
            </w:r>
          </w:p>
        </w:tc>
        <w:tc>
          <w:tcPr>
            <w:tcW w:w="3088" w:type="dxa"/>
          </w:tcPr>
          <w:p w:rsidR="00641BC1" w:rsidRPr="00077F9A" w:rsidRDefault="00641BC1" w:rsidP="00641BC1">
            <w:pPr>
              <w:pStyle w:val="LagtextIndrag"/>
            </w:pPr>
            <w:r w:rsidRPr="00077F9A">
              <w:t xml:space="preserve">Grön- och vitböcker som </w:t>
            </w:r>
            <w:r w:rsidRPr="00077F9A">
              <w:rPr>
                <w:i/>
              </w:rPr>
              <w:t>överlä</w:t>
            </w:r>
            <w:r w:rsidRPr="00077F9A">
              <w:rPr>
                <w:i/>
              </w:rPr>
              <w:t>m</w:t>
            </w:r>
            <w:r w:rsidRPr="00077F9A">
              <w:rPr>
                <w:spacing w:val="-4"/>
              </w:rPr>
              <w:t>nas till riksdagen ska behandlas av rik</w:t>
            </w:r>
            <w:r w:rsidRPr="00077F9A">
              <w:rPr>
                <w:spacing w:val="-4"/>
              </w:rPr>
              <w:t>s</w:t>
            </w:r>
            <w:r w:rsidRPr="00077F9A">
              <w:rPr>
                <w:spacing w:val="-4"/>
              </w:rPr>
              <w:softHyphen/>
              <w:t>dagen enligt bestämmelserna i 10 kap.</w:t>
            </w:r>
            <w:r w:rsidRPr="00077F9A">
              <w:t xml:space="preserve"> </w:t>
            </w:r>
            <w:r w:rsidRPr="00077F9A">
              <w:rPr>
                <w:i/>
              </w:rPr>
              <w:t xml:space="preserve">5 </w:t>
            </w:r>
            <w:r w:rsidRPr="00077F9A">
              <w:t>§. De</w:t>
            </w:r>
            <w:r w:rsidRPr="00077F9A">
              <w:t>t</w:t>
            </w:r>
            <w:r w:rsidRPr="00077F9A">
              <w:t>samma gäller i fråga om de andra dokument från Europ</w:t>
            </w:r>
            <w:r w:rsidRPr="00077F9A">
              <w:t>e</w:t>
            </w:r>
            <w:r w:rsidRPr="00077F9A">
              <w:t xml:space="preserve">iska unionen, med undantag för </w:t>
            </w:r>
            <w:r w:rsidRPr="00077F9A">
              <w:rPr>
                <w:i/>
              </w:rPr>
              <w:t>utkast till lagstiftningsakter</w:t>
            </w:r>
            <w:r w:rsidRPr="00077F9A">
              <w:t>, som talmannen efter samråd med de särskilda för</w:t>
            </w:r>
            <w:r w:rsidRPr="00077F9A">
              <w:t>e</w:t>
            </w:r>
            <w:r w:rsidRPr="00077F9A">
              <w:t>trädarna för partigrupperna bestä</w:t>
            </w:r>
            <w:r w:rsidRPr="00077F9A">
              <w:t>m</w:t>
            </w:r>
            <w:r w:rsidRPr="00077F9A">
              <w:t xml:space="preserve">mer </w:t>
            </w:r>
            <w:r w:rsidRPr="00077F9A">
              <w:rPr>
                <w:i/>
              </w:rPr>
              <w:t>ska</w:t>
            </w:r>
            <w:r w:rsidRPr="00077F9A">
              <w:t xml:space="preserve"> behandlas på detta sätt.</w:t>
            </w:r>
          </w:p>
        </w:tc>
      </w:tr>
      <w:tr w:rsidR="00641BC1" w:rsidRPr="00077F9A" w:rsidTr="00641BC1">
        <w:tc>
          <w:tcPr>
            <w:tcW w:w="3081" w:type="dxa"/>
            <w:gridSpan w:val="2"/>
          </w:tcPr>
          <w:p w:rsidR="00641BC1" w:rsidRPr="00077F9A" w:rsidRDefault="00641BC1" w:rsidP="00641BC1">
            <w:pPr>
              <w:pStyle w:val="LagtextIndrag"/>
              <w:rPr>
                <w:color w:val="000000"/>
              </w:rPr>
            </w:pPr>
          </w:p>
        </w:tc>
        <w:tc>
          <w:tcPr>
            <w:tcW w:w="3088" w:type="dxa"/>
          </w:tcPr>
          <w:p w:rsidR="00641BC1" w:rsidRPr="00077F9A" w:rsidRDefault="00641BC1" w:rsidP="00641BC1">
            <w:pPr>
              <w:pStyle w:val="LagtextIndrag"/>
              <w:rPr>
                <w:i/>
              </w:rPr>
            </w:pPr>
            <w:r w:rsidRPr="00077F9A">
              <w:rPr>
                <w:i/>
              </w:rPr>
              <w:t>Riksdagen ska på det sätt som a</w:t>
            </w:r>
            <w:r w:rsidRPr="00077F9A">
              <w:rPr>
                <w:i/>
              </w:rPr>
              <w:t>n</w:t>
            </w:r>
            <w:r w:rsidRPr="00077F9A">
              <w:rPr>
                <w:i/>
              </w:rPr>
              <w:t>ges i 10 kap. 6 §  pröva om ett utkast till en lagstiftningsakt strider mot subsidiar</w:t>
            </w:r>
            <w:r w:rsidRPr="00077F9A">
              <w:rPr>
                <w:i/>
              </w:rPr>
              <w:t>i</w:t>
            </w:r>
            <w:r w:rsidRPr="00077F9A">
              <w:rPr>
                <w:i/>
              </w:rPr>
              <w:t xml:space="preserve">tetsprincipen. </w:t>
            </w:r>
          </w:p>
          <w:p w:rsidR="00641BC1" w:rsidRPr="00077F9A" w:rsidRDefault="00641BC1" w:rsidP="00641BC1">
            <w:pPr>
              <w:pStyle w:val="LagtextIndrag"/>
              <w:rPr>
                <w:i/>
                <w:color w:val="000000"/>
              </w:rPr>
            </w:pPr>
            <w:r w:rsidRPr="00077F9A">
              <w:rPr>
                <w:i/>
              </w:rPr>
              <w:t>Riksdagen ska på det sätt som a</w:t>
            </w:r>
            <w:r w:rsidRPr="00077F9A">
              <w:rPr>
                <w:i/>
              </w:rPr>
              <w:t>n</w:t>
            </w:r>
            <w:r w:rsidRPr="00077F9A">
              <w:rPr>
                <w:i/>
              </w:rPr>
              <w:t>ges i 10 kap. 8 § godkänna eller avslå ett initi</w:t>
            </w:r>
            <w:r w:rsidRPr="00077F9A">
              <w:rPr>
                <w:i/>
              </w:rPr>
              <w:t>a</w:t>
            </w:r>
            <w:r w:rsidRPr="00077F9A">
              <w:rPr>
                <w:i/>
              </w:rPr>
              <w:t>tiv från Europeiska rådet att besluta om ett bemyndiga</w:t>
            </w:r>
            <w:r w:rsidRPr="00077F9A">
              <w:rPr>
                <w:i/>
              </w:rPr>
              <w:t>n</w:t>
            </w:r>
            <w:r w:rsidRPr="00077F9A">
              <w:rPr>
                <w:i/>
              </w:rPr>
              <w:t>de för rådet att ändra beslutsor</w:t>
            </w:r>
            <w:r w:rsidRPr="00077F9A">
              <w:rPr>
                <w:i/>
              </w:rPr>
              <w:t>d</w:t>
            </w:r>
            <w:r w:rsidRPr="00077F9A">
              <w:rPr>
                <w:i/>
              </w:rPr>
              <w:t>ningen på ett visst område eller i ett visst fall från enhällighet till kvalif</w:t>
            </w:r>
            <w:r w:rsidRPr="00077F9A">
              <w:rPr>
                <w:i/>
              </w:rPr>
              <w:t>i</w:t>
            </w:r>
            <w:r w:rsidRPr="00077F9A">
              <w:rPr>
                <w:i/>
              </w:rPr>
              <w:t>cerad majoritet eller från ett särskilt lagstiftningsförfarande till det ord</w:t>
            </w:r>
            <w:r w:rsidRPr="00077F9A">
              <w:rPr>
                <w:i/>
              </w:rPr>
              <w:t>i</w:t>
            </w:r>
            <w:r w:rsidRPr="00077F9A">
              <w:rPr>
                <w:i/>
              </w:rPr>
              <w:t>narie lagstiftningsförfarandet. Rik</w:t>
            </w:r>
            <w:r w:rsidRPr="00077F9A">
              <w:rPr>
                <w:i/>
              </w:rPr>
              <w:t>s</w:t>
            </w:r>
            <w:r w:rsidRPr="00077F9A">
              <w:rPr>
                <w:i/>
              </w:rPr>
              <w:t>dagen ska också på samma sätt go</w:t>
            </w:r>
            <w:r w:rsidRPr="00077F9A">
              <w:rPr>
                <w:i/>
              </w:rPr>
              <w:t>d</w:t>
            </w:r>
            <w:r w:rsidRPr="00077F9A">
              <w:rPr>
                <w:i/>
              </w:rPr>
              <w:t>känna eller avslå ett förslag från Europeiska kommissi</w:t>
            </w:r>
            <w:r w:rsidRPr="00077F9A">
              <w:rPr>
                <w:i/>
              </w:rPr>
              <w:t>o</w:t>
            </w:r>
            <w:r w:rsidRPr="00077F9A">
              <w:rPr>
                <w:i/>
              </w:rPr>
              <w:t>nen att ange vilka aspekter av fami</w:t>
            </w:r>
            <w:r w:rsidRPr="00077F9A">
              <w:rPr>
                <w:i/>
              </w:rPr>
              <w:t>l</w:t>
            </w:r>
            <w:r w:rsidRPr="00077F9A">
              <w:rPr>
                <w:i/>
              </w:rPr>
              <w:t>jerätten som har gränsöve</w:t>
            </w:r>
            <w:r w:rsidRPr="00077F9A">
              <w:rPr>
                <w:i/>
              </w:rPr>
              <w:t>r</w:t>
            </w:r>
            <w:r w:rsidRPr="00077F9A">
              <w:rPr>
                <w:i/>
              </w:rPr>
              <w:t>skridande följder och som kan bli föremål för lagstiftning</w:t>
            </w:r>
            <w:r w:rsidRPr="00077F9A">
              <w:rPr>
                <w:i/>
              </w:rPr>
              <w:t>s</w:t>
            </w:r>
            <w:r w:rsidRPr="00077F9A">
              <w:rPr>
                <w:i/>
              </w:rPr>
              <w:t>akter som antas i enlighet med det ordinarie lagstiftning</w:t>
            </w:r>
            <w:r w:rsidRPr="00077F9A">
              <w:rPr>
                <w:i/>
              </w:rPr>
              <w:t>s</w:t>
            </w:r>
            <w:r w:rsidRPr="00077F9A">
              <w:rPr>
                <w:i/>
              </w:rPr>
              <w:t xml:space="preserve">förfarandet. </w:t>
            </w:r>
          </w:p>
        </w:tc>
      </w:tr>
      <w:tr w:rsidR="00641BC1" w:rsidRPr="00077F9A" w:rsidTr="00641BC1">
        <w:tc>
          <w:tcPr>
            <w:tcW w:w="6169" w:type="dxa"/>
            <w:gridSpan w:val="3"/>
          </w:tcPr>
          <w:p w:rsidR="00641BC1" w:rsidRPr="00077F9A" w:rsidRDefault="00641BC1" w:rsidP="00641BC1">
            <w:pPr>
              <w:pStyle w:val="Lagtext"/>
              <w:spacing w:before="125"/>
              <w:jc w:val="center"/>
            </w:pPr>
            <w:r w:rsidRPr="00077F9A">
              <w:t>4 kap.</w:t>
            </w:r>
          </w:p>
        </w:tc>
      </w:tr>
      <w:tr w:rsidR="00641BC1" w:rsidRPr="00077F9A" w:rsidTr="00641BC1">
        <w:tc>
          <w:tcPr>
            <w:tcW w:w="6169" w:type="dxa"/>
            <w:gridSpan w:val="3"/>
          </w:tcPr>
          <w:p w:rsidR="00641BC1" w:rsidRPr="00077F9A" w:rsidRDefault="00641BC1" w:rsidP="00641BC1">
            <w:pPr>
              <w:pStyle w:val="Lagtext"/>
              <w:jc w:val="center"/>
            </w:pPr>
            <w:r w:rsidRPr="00077F9A">
              <w:t>4 §</w:t>
            </w:r>
          </w:p>
        </w:tc>
      </w:tr>
      <w:tr w:rsidR="00641BC1" w:rsidRPr="00077F9A" w:rsidTr="00641BC1">
        <w:tc>
          <w:tcPr>
            <w:tcW w:w="3051" w:type="dxa"/>
          </w:tcPr>
          <w:p w:rsidR="00641BC1" w:rsidRPr="00077F9A" w:rsidRDefault="00641BC1" w:rsidP="00641BC1">
            <w:pPr>
              <w:pStyle w:val="LagtextIndrag"/>
            </w:pPr>
            <w:r w:rsidRPr="00077F9A">
              <w:t xml:space="preserve">Konstitutionsutskottet </w:t>
            </w:r>
            <w:r w:rsidRPr="00077F9A">
              <w:rPr>
                <w:i/>
              </w:rPr>
              <w:t>skall</w:t>
            </w:r>
            <w:r w:rsidRPr="00077F9A">
              <w:t xml:space="preserve"> bereda ärenden som rör grundlagarna och riksdagsordningen. Bestämmelser om konstitutionsutskottets uppgifter finns också i 2 kap. 12 §, 8 kap. 15 § och 12 kap. 1 § rege</w:t>
            </w:r>
            <w:r w:rsidRPr="00077F9A">
              <w:t>r</w:t>
            </w:r>
            <w:r w:rsidRPr="00077F9A">
              <w:t>ingsformen samt i 2 kap. 9 §, 3 kap. 14 §, 4 kap. 11 §, 6 kap. 1 och 4 §§, 8 kap. 11 och 13 §§, 9 kap. 8 § samt tillägg</w:t>
            </w:r>
            <w:r w:rsidRPr="00077F9A">
              <w:t>s</w:t>
            </w:r>
            <w:r w:rsidRPr="00077F9A">
              <w:t>bestämmelserna 4.6.1, 5.4.1, 8.4.1, 8.5.1, 8.11.1, 8.11.2 och 8.12.1 de</w:t>
            </w:r>
            <w:r w:rsidRPr="00077F9A">
              <w:t>n</w:t>
            </w:r>
            <w:r w:rsidRPr="00077F9A">
              <w:t>na lag.</w:t>
            </w:r>
          </w:p>
        </w:tc>
        <w:tc>
          <w:tcPr>
            <w:tcW w:w="3118" w:type="dxa"/>
            <w:gridSpan w:val="2"/>
          </w:tcPr>
          <w:p w:rsidR="00641BC1" w:rsidRPr="00077F9A" w:rsidRDefault="00641BC1" w:rsidP="00641BC1">
            <w:pPr>
              <w:pStyle w:val="LagtextIndrag"/>
            </w:pPr>
            <w:r w:rsidRPr="00077F9A">
              <w:t xml:space="preserve">Konstitutionsutskottet </w:t>
            </w:r>
            <w:r w:rsidRPr="00077F9A">
              <w:rPr>
                <w:i/>
              </w:rPr>
              <w:t>ska</w:t>
            </w:r>
            <w:r w:rsidRPr="00077F9A">
              <w:t xml:space="preserve"> bereda ärenden som rör grundlagarna och riksdagsordningen. Bestämmelser om ko</w:t>
            </w:r>
            <w:r w:rsidRPr="00077F9A">
              <w:t>n</w:t>
            </w:r>
            <w:r w:rsidRPr="00077F9A">
              <w:t>stitutionsutskottets uppgifter finns också i 2 kap. 12 §, 8 kap. 15 § och 12 kap. 1 § rege</w:t>
            </w:r>
            <w:r w:rsidRPr="00077F9A">
              <w:t>r</w:t>
            </w:r>
            <w:r w:rsidRPr="00077F9A">
              <w:t xml:space="preserve">ingsformen samt i 2 kap. 9 §, 3 kap. 14 §, 4 kap. 11 §, 6 kap. 1 och 4 §§, 8 kap. 11 och 13 §§, 9 kap. 8 § </w:t>
            </w:r>
            <w:r w:rsidRPr="00077F9A">
              <w:rPr>
                <w:i/>
              </w:rPr>
              <w:t xml:space="preserve">och 10 kap. 6 § </w:t>
            </w:r>
            <w:r w:rsidRPr="00077F9A">
              <w:t>samt tillägg</w:t>
            </w:r>
            <w:r w:rsidRPr="00077F9A">
              <w:t>s</w:t>
            </w:r>
            <w:r w:rsidRPr="00077F9A">
              <w:t>bestämmelserna 4.6.1, 5.4.1, 8.4.1, 8.5.1, 8.11.1, 8.11.2 och 8.12.1 denna lag.</w:t>
            </w:r>
          </w:p>
        </w:tc>
      </w:tr>
      <w:tr w:rsidR="00641BC1" w:rsidRPr="00077F9A" w:rsidTr="00641BC1">
        <w:tc>
          <w:tcPr>
            <w:tcW w:w="3051" w:type="dxa"/>
          </w:tcPr>
          <w:p w:rsidR="00641BC1" w:rsidRPr="00077F9A" w:rsidRDefault="00641BC1" w:rsidP="00641BC1">
            <w:pPr>
              <w:pStyle w:val="Lagtext"/>
            </w:pPr>
          </w:p>
        </w:tc>
        <w:tc>
          <w:tcPr>
            <w:tcW w:w="3118" w:type="dxa"/>
            <w:gridSpan w:val="2"/>
          </w:tcPr>
          <w:p w:rsidR="00641BC1" w:rsidRPr="00077F9A" w:rsidRDefault="00641BC1" w:rsidP="00641BC1">
            <w:pPr>
              <w:pStyle w:val="Lagtext"/>
            </w:pPr>
          </w:p>
        </w:tc>
      </w:tr>
      <w:tr w:rsidR="00641BC1" w:rsidRPr="00077F9A" w:rsidTr="00641BC1">
        <w:tc>
          <w:tcPr>
            <w:tcW w:w="6169" w:type="dxa"/>
            <w:gridSpan w:val="3"/>
          </w:tcPr>
          <w:p w:rsidR="00641BC1" w:rsidRPr="00077F9A" w:rsidRDefault="00641BC1" w:rsidP="00641BC1">
            <w:pPr>
              <w:pStyle w:val="Lagtext"/>
              <w:pageBreakBefore/>
              <w:spacing w:before="125"/>
              <w:jc w:val="center"/>
            </w:pPr>
            <w:r w:rsidRPr="00077F9A">
              <w:t xml:space="preserve">4.6.2  </w:t>
            </w:r>
          </w:p>
        </w:tc>
      </w:tr>
      <w:tr w:rsidR="00641BC1" w:rsidRPr="00077F9A" w:rsidTr="00641BC1">
        <w:tc>
          <w:tcPr>
            <w:tcW w:w="3081" w:type="dxa"/>
            <w:gridSpan w:val="2"/>
          </w:tcPr>
          <w:p w:rsidR="00641BC1" w:rsidRPr="00077F9A" w:rsidRDefault="00641BC1" w:rsidP="00641BC1">
            <w:pPr>
              <w:pStyle w:val="LagtextIndrag"/>
            </w:pPr>
            <w:r w:rsidRPr="00077F9A">
              <w:t xml:space="preserve">Finansutskottet </w:t>
            </w:r>
            <w:r w:rsidRPr="00077F9A">
              <w:rPr>
                <w:i/>
              </w:rPr>
              <w:t>skall</w:t>
            </w:r>
            <w:r w:rsidRPr="00077F9A">
              <w:t xml:space="preserve"> bereda äre</w:t>
            </w:r>
            <w:r w:rsidRPr="00077F9A">
              <w:t>n</w:t>
            </w:r>
            <w:r w:rsidRPr="00077F9A">
              <w:t>den om</w:t>
            </w:r>
          </w:p>
          <w:p w:rsidR="00641BC1" w:rsidRPr="00077F9A" w:rsidRDefault="00641BC1" w:rsidP="00641BC1">
            <w:pPr>
              <w:pStyle w:val="LagtextIndrag"/>
            </w:pPr>
            <w:r w:rsidRPr="00077F9A">
              <w:t>1. penning-, kredit-, valuta- och stats</w:t>
            </w:r>
            <w:r w:rsidRPr="00077F9A">
              <w:softHyphen/>
              <w:t>skuld</w:t>
            </w:r>
            <w:r w:rsidRPr="00077F9A">
              <w:t>s</w:t>
            </w:r>
            <w:r w:rsidRPr="00077F9A">
              <w:t xml:space="preserve">politiken, </w:t>
            </w:r>
          </w:p>
          <w:p w:rsidR="00641BC1" w:rsidRPr="00077F9A" w:rsidRDefault="00641BC1" w:rsidP="00641BC1">
            <w:pPr>
              <w:pStyle w:val="LagtextIndrag"/>
            </w:pPr>
            <w:r w:rsidRPr="00077F9A">
              <w:t>2. kredit- och fondv</w:t>
            </w:r>
            <w:r w:rsidRPr="00077F9A">
              <w:t>ä</w:t>
            </w:r>
            <w:r w:rsidRPr="00077F9A">
              <w:t xml:space="preserve">sendet, </w:t>
            </w:r>
          </w:p>
          <w:p w:rsidR="00641BC1" w:rsidRPr="00077F9A" w:rsidRDefault="00641BC1" w:rsidP="00641BC1">
            <w:pPr>
              <w:pStyle w:val="LagtextIndrag"/>
            </w:pPr>
            <w:r w:rsidRPr="00077F9A">
              <w:t>3. det affärsmässiga försäkringsv</w:t>
            </w:r>
            <w:r w:rsidRPr="00077F9A">
              <w:t>ä</w:t>
            </w:r>
            <w:r w:rsidRPr="00077F9A">
              <w:t xml:space="preserve">sendet, </w:t>
            </w:r>
          </w:p>
          <w:p w:rsidR="00641BC1" w:rsidRPr="00077F9A" w:rsidRDefault="00641BC1" w:rsidP="00641BC1">
            <w:pPr>
              <w:pStyle w:val="LagtextIndrag"/>
            </w:pPr>
            <w:r w:rsidRPr="00077F9A">
              <w:t>4. Riksrevisionen i den mån äre</w:t>
            </w:r>
            <w:r w:rsidRPr="00077F9A">
              <w:t>n</w:t>
            </w:r>
            <w:r w:rsidRPr="00077F9A">
              <w:t>dena inte tillhör konstitutionsutsko</w:t>
            </w:r>
            <w:r w:rsidRPr="00077F9A">
              <w:t>t</w:t>
            </w:r>
            <w:r w:rsidRPr="00077F9A">
              <w:t xml:space="preserve">tets beredning, </w:t>
            </w:r>
          </w:p>
          <w:p w:rsidR="00641BC1" w:rsidRPr="00077F9A" w:rsidRDefault="00641BC1" w:rsidP="00641BC1">
            <w:pPr>
              <w:pStyle w:val="LagtextIndrag"/>
            </w:pPr>
            <w:r w:rsidRPr="00077F9A">
              <w:t xml:space="preserve">5. den kommunala ekonomin, </w:t>
            </w:r>
          </w:p>
          <w:p w:rsidR="00641BC1" w:rsidRPr="00077F9A" w:rsidRDefault="00641BC1" w:rsidP="00641BC1">
            <w:pPr>
              <w:pStyle w:val="LagtextIndrag"/>
            </w:pPr>
            <w:r w:rsidRPr="00077F9A">
              <w:t>6. statliga arbetsgiva</w:t>
            </w:r>
            <w:r w:rsidRPr="00077F9A">
              <w:t>r</w:t>
            </w:r>
            <w:r w:rsidRPr="00077F9A">
              <w:t xml:space="preserve">frågor, statlig statistik, redovisning, revision och rationalisering, </w:t>
            </w:r>
          </w:p>
          <w:p w:rsidR="00641BC1" w:rsidRPr="00077F9A" w:rsidRDefault="00641BC1" w:rsidP="00641BC1">
            <w:pPr>
              <w:pStyle w:val="LagtextIndrag"/>
            </w:pPr>
            <w:r w:rsidRPr="00077F9A">
              <w:t>7. statens egendom och upphan</w:t>
            </w:r>
            <w:r w:rsidRPr="00077F9A">
              <w:t>d</w:t>
            </w:r>
            <w:r w:rsidRPr="00077F9A">
              <w:t>ling i allmä</w:t>
            </w:r>
            <w:r w:rsidRPr="00077F9A">
              <w:t>n</w:t>
            </w:r>
            <w:r w:rsidRPr="00077F9A">
              <w:t xml:space="preserve">het, </w:t>
            </w:r>
          </w:p>
          <w:p w:rsidR="00641BC1" w:rsidRPr="00077F9A" w:rsidRDefault="00641BC1" w:rsidP="00641BC1">
            <w:pPr>
              <w:pStyle w:val="LagtextIndrag"/>
            </w:pPr>
            <w:r w:rsidRPr="00077F9A">
              <w:t>8. förvaltningsekon</w:t>
            </w:r>
            <w:r w:rsidRPr="00077F9A">
              <w:t>o</w:t>
            </w:r>
            <w:r w:rsidRPr="00077F9A">
              <w:t xml:space="preserve">miska frågor i övrigt som inte rör enbart ett visst ämnesområde samt </w:t>
            </w:r>
          </w:p>
          <w:p w:rsidR="00641BC1" w:rsidRPr="00077F9A" w:rsidRDefault="00641BC1" w:rsidP="00641BC1">
            <w:pPr>
              <w:pStyle w:val="LagtextIndrag"/>
            </w:pPr>
            <w:r w:rsidRPr="00077F9A">
              <w:t>9. budgettekniska fr</w:t>
            </w:r>
            <w:r w:rsidRPr="00077F9A">
              <w:t>å</w:t>
            </w:r>
            <w:r w:rsidRPr="00077F9A">
              <w:t xml:space="preserve">gor. </w:t>
            </w:r>
          </w:p>
          <w:p w:rsidR="00641BC1" w:rsidRPr="00077F9A" w:rsidRDefault="00641BC1" w:rsidP="00641BC1">
            <w:pPr>
              <w:pStyle w:val="LagtextIndrag"/>
            </w:pPr>
            <w:r w:rsidRPr="00077F9A">
              <w:t xml:space="preserve">Utskottet </w:t>
            </w:r>
            <w:r w:rsidRPr="00077F9A">
              <w:rPr>
                <w:i/>
              </w:rPr>
              <w:t>skall</w:t>
            </w:r>
            <w:r w:rsidRPr="00077F9A">
              <w:t xml:space="preserve"> även granska b</w:t>
            </w:r>
            <w:r w:rsidRPr="00077F9A">
              <w:t>e</w:t>
            </w:r>
            <w:r w:rsidRPr="00077F9A">
              <w:t>räkningen av statens inkomster och sammanställa statsbu</w:t>
            </w:r>
            <w:r w:rsidRPr="00077F9A">
              <w:t>d</w:t>
            </w:r>
            <w:r w:rsidRPr="00077F9A">
              <w:t xml:space="preserve">geten. </w:t>
            </w:r>
          </w:p>
        </w:tc>
        <w:tc>
          <w:tcPr>
            <w:tcW w:w="3088" w:type="dxa"/>
          </w:tcPr>
          <w:p w:rsidR="00641BC1" w:rsidRPr="00077F9A" w:rsidRDefault="00641BC1" w:rsidP="00641BC1">
            <w:pPr>
              <w:pStyle w:val="LagtextIndrag"/>
            </w:pPr>
            <w:r w:rsidRPr="00077F9A">
              <w:t xml:space="preserve">Finansutskottet </w:t>
            </w:r>
            <w:r w:rsidRPr="00077F9A">
              <w:rPr>
                <w:i/>
              </w:rPr>
              <w:t>ska</w:t>
            </w:r>
            <w:r w:rsidRPr="00077F9A">
              <w:t xml:space="preserve"> bereda ärenden om</w:t>
            </w:r>
          </w:p>
          <w:p w:rsidR="00641BC1" w:rsidRPr="00077F9A" w:rsidRDefault="00641BC1" w:rsidP="00641BC1">
            <w:pPr>
              <w:pStyle w:val="LagtextIndrag"/>
            </w:pPr>
            <w:r w:rsidRPr="00077F9A">
              <w:t>1. penning-, kredit-, valuta- och stats</w:t>
            </w:r>
            <w:r w:rsidRPr="00077F9A">
              <w:softHyphen/>
              <w:t>skuld</w:t>
            </w:r>
            <w:r w:rsidRPr="00077F9A">
              <w:t>s</w:t>
            </w:r>
            <w:r w:rsidRPr="00077F9A">
              <w:softHyphen/>
              <w:t xml:space="preserve">politiken, </w:t>
            </w:r>
          </w:p>
          <w:p w:rsidR="00641BC1" w:rsidRPr="00077F9A" w:rsidRDefault="00641BC1" w:rsidP="00641BC1">
            <w:pPr>
              <w:pStyle w:val="LagtextIndrag"/>
            </w:pPr>
            <w:r w:rsidRPr="00077F9A">
              <w:t>2. kredit- och fondv</w:t>
            </w:r>
            <w:r w:rsidRPr="00077F9A">
              <w:t>ä</w:t>
            </w:r>
            <w:r w:rsidRPr="00077F9A">
              <w:t xml:space="preserve">sendet, </w:t>
            </w:r>
          </w:p>
          <w:p w:rsidR="00641BC1" w:rsidRPr="00077F9A" w:rsidRDefault="00641BC1" w:rsidP="00641BC1">
            <w:pPr>
              <w:pStyle w:val="LagtextIndrag"/>
            </w:pPr>
            <w:r w:rsidRPr="00077F9A">
              <w:t>3. det affärsmässiga försäkringsv</w:t>
            </w:r>
            <w:r w:rsidRPr="00077F9A">
              <w:t>ä</w:t>
            </w:r>
            <w:r w:rsidRPr="00077F9A">
              <w:t xml:space="preserve">sendet, </w:t>
            </w:r>
          </w:p>
          <w:p w:rsidR="00641BC1" w:rsidRPr="00077F9A" w:rsidRDefault="00641BC1" w:rsidP="00641BC1">
            <w:pPr>
              <w:pStyle w:val="LagtextIndrag"/>
            </w:pPr>
            <w:r w:rsidRPr="00077F9A">
              <w:t>4. Riksrevisionen i den mån äre</w:t>
            </w:r>
            <w:r w:rsidRPr="00077F9A">
              <w:t>n</w:t>
            </w:r>
            <w:r w:rsidRPr="00077F9A">
              <w:t>dena inte tillhör konstitutionsutsko</w:t>
            </w:r>
            <w:r w:rsidRPr="00077F9A">
              <w:t>t</w:t>
            </w:r>
            <w:r w:rsidRPr="00077F9A">
              <w:t xml:space="preserve">tets beredning, </w:t>
            </w:r>
          </w:p>
          <w:p w:rsidR="00641BC1" w:rsidRPr="00077F9A" w:rsidRDefault="00641BC1" w:rsidP="00641BC1">
            <w:pPr>
              <w:pStyle w:val="LagtextIndrag"/>
            </w:pPr>
            <w:r w:rsidRPr="00077F9A">
              <w:t xml:space="preserve">5. den kommunala ekonomin, </w:t>
            </w:r>
          </w:p>
          <w:p w:rsidR="00641BC1" w:rsidRPr="00077F9A" w:rsidRDefault="00641BC1" w:rsidP="00641BC1">
            <w:pPr>
              <w:pStyle w:val="LagtextIndrag"/>
            </w:pPr>
            <w:r w:rsidRPr="00077F9A">
              <w:t>6. statliga arbetsgiva</w:t>
            </w:r>
            <w:r w:rsidRPr="00077F9A">
              <w:t>r</w:t>
            </w:r>
            <w:r w:rsidRPr="00077F9A">
              <w:t xml:space="preserve">frågor, statlig statistik, redovisning, revision och rationalisering, </w:t>
            </w:r>
          </w:p>
          <w:p w:rsidR="00641BC1" w:rsidRPr="00077F9A" w:rsidRDefault="00641BC1" w:rsidP="00641BC1">
            <w:pPr>
              <w:pStyle w:val="LagtextIndrag"/>
            </w:pPr>
            <w:r w:rsidRPr="00077F9A">
              <w:t>7. statens egendom och upphan</w:t>
            </w:r>
            <w:r w:rsidRPr="00077F9A">
              <w:t>d</w:t>
            </w:r>
            <w:r w:rsidRPr="00077F9A">
              <w:t>ling i allmä</w:t>
            </w:r>
            <w:r w:rsidRPr="00077F9A">
              <w:t>n</w:t>
            </w:r>
            <w:r w:rsidRPr="00077F9A">
              <w:t xml:space="preserve">het, </w:t>
            </w:r>
          </w:p>
          <w:p w:rsidR="00641BC1" w:rsidRPr="00077F9A" w:rsidRDefault="00641BC1" w:rsidP="00641BC1">
            <w:pPr>
              <w:pStyle w:val="LagtextIndrag"/>
            </w:pPr>
            <w:r w:rsidRPr="00077F9A">
              <w:t>8. förvaltningsekon</w:t>
            </w:r>
            <w:r w:rsidRPr="00077F9A">
              <w:t>o</w:t>
            </w:r>
            <w:r w:rsidRPr="00077F9A">
              <w:t xml:space="preserve">miska frågor i övrigt som inte rör enbart ett visst ämnesområde samt </w:t>
            </w:r>
          </w:p>
          <w:p w:rsidR="00641BC1" w:rsidRPr="00077F9A" w:rsidRDefault="00641BC1" w:rsidP="00641BC1">
            <w:pPr>
              <w:pStyle w:val="LagtextIndrag"/>
            </w:pPr>
            <w:r w:rsidRPr="00077F9A">
              <w:t>9. budgettekniska fr</w:t>
            </w:r>
            <w:r w:rsidRPr="00077F9A">
              <w:t>å</w:t>
            </w:r>
            <w:r w:rsidRPr="00077F9A">
              <w:t xml:space="preserve">gor. </w:t>
            </w:r>
          </w:p>
          <w:p w:rsidR="00641BC1" w:rsidRPr="00077F9A" w:rsidRDefault="00641BC1" w:rsidP="00641BC1">
            <w:pPr>
              <w:pStyle w:val="LagtextIndrag"/>
            </w:pPr>
            <w:r w:rsidRPr="00077F9A">
              <w:t xml:space="preserve">Utskottet </w:t>
            </w:r>
            <w:r w:rsidRPr="00077F9A">
              <w:rPr>
                <w:i/>
              </w:rPr>
              <w:t>ska</w:t>
            </w:r>
            <w:r w:rsidRPr="00077F9A">
              <w:t xml:space="preserve"> även granska berä</w:t>
            </w:r>
            <w:r w:rsidRPr="00077F9A">
              <w:t>k</w:t>
            </w:r>
            <w:r w:rsidRPr="00077F9A">
              <w:t>ningen av statens inkomster och sammanställa statsbu</w:t>
            </w:r>
            <w:r w:rsidRPr="00077F9A">
              <w:t>d</w:t>
            </w:r>
            <w:r w:rsidRPr="00077F9A">
              <w:t xml:space="preserve">geten. </w:t>
            </w:r>
          </w:p>
        </w:tc>
      </w:tr>
      <w:tr w:rsidR="00641BC1" w:rsidRPr="00077F9A" w:rsidTr="00641BC1">
        <w:tc>
          <w:tcPr>
            <w:tcW w:w="3081" w:type="dxa"/>
            <w:gridSpan w:val="2"/>
          </w:tcPr>
          <w:p w:rsidR="00641BC1" w:rsidRPr="00077F9A" w:rsidRDefault="00641BC1" w:rsidP="00641BC1">
            <w:pPr>
              <w:pStyle w:val="LagtextIndrag"/>
            </w:pPr>
            <w:r w:rsidRPr="00077F9A">
              <w:t>Ärenden om anslag inom utgift</w:t>
            </w:r>
            <w:r w:rsidRPr="00077F9A">
              <w:t>s</w:t>
            </w:r>
            <w:r w:rsidRPr="00077F9A">
              <w:t>områdena 2 Samhällsekonomi och finansförvaltning, 25 Allmänna b</w:t>
            </w:r>
            <w:r w:rsidRPr="00077F9A">
              <w:t>i</w:t>
            </w:r>
            <w:r w:rsidRPr="00077F9A">
              <w:t>drag till kommuner, 26 Statsskuld</w:t>
            </w:r>
            <w:r w:rsidRPr="00077F9A">
              <w:t>s</w:t>
            </w:r>
            <w:r w:rsidRPr="00077F9A">
              <w:t>räntor m.m. samt 27 Avgiften till Europ</w:t>
            </w:r>
            <w:r w:rsidRPr="00077F9A">
              <w:t>e</w:t>
            </w:r>
            <w:r w:rsidRPr="00077F9A">
              <w:t xml:space="preserve">iska </w:t>
            </w:r>
            <w:r w:rsidRPr="00077F9A">
              <w:rPr>
                <w:i/>
              </w:rPr>
              <w:t>gemenskapen</w:t>
            </w:r>
            <w:r w:rsidRPr="00077F9A">
              <w:t xml:space="preserve"> bereds av finansutsko</w:t>
            </w:r>
            <w:r w:rsidRPr="00077F9A">
              <w:t>t</w:t>
            </w:r>
            <w:r w:rsidRPr="00077F9A">
              <w:t>tet.</w:t>
            </w:r>
          </w:p>
        </w:tc>
        <w:tc>
          <w:tcPr>
            <w:tcW w:w="3088" w:type="dxa"/>
          </w:tcPr>
          <w:p w:rsidR="00641BC1" w:rsidRPr="00077F9A" w:rsidRDefault="00641BC1" w:rsidP="00641BC1">
            <w:pPr>
              <w:pStyle w:val="LagtextIndrag"/>
            </w:pPr>
            <w:r w:rsidRPr="00077F9A">
              <w:t>Ärenden om anslag inom utgift</w:t>
            </w:r>
            <w:r w:rsidRPr="00077F9A">
              <w:t>s</w:t>
            </w:r>
            <w:r w:rsidRPr="00077F9A">
              <w:t>områdena 2 Samhällsekonomi och finansförvaltning, 25 Allmänna b</w:t>
            </w:r>
            <w:r w:rsidRPr="00077F9A">
              <w:t>i</w:t>
            </w:r>
            <w:r w:rsidRPr="00077F9A">
              <w:t>drag till kommuner, 26 Statsskuld</w:t>
            </w:r>
            <w:r w:rsidRPr="00077F9A">
              <w:t>s</w:t>
            </w:r>
            <w:r w:rsidRPr="00077F9A">
              <w:t xml:space="preserve">räntor m.m. samt 27 Avgiften till Europeiska </w:t>
            </w:r>
            <w:r w:rsidRPr="00077F9A">
              <w:rPr>
                <w:i/>
              </w:rPr>
              <w:t>unionen</w:t>
            </w:r>
            <w:r w:rsidRPr="00077F9A">
              <w:t xml:space="preserve"> bereds av f</w:t>
            </w:r>
            <w:r w:rsidRPr="00077F9A">
              <w:t>i</w:t>
            </w:r>
            <w:r w:rsidRPr="00077F9A">
              <w:t>nansutskottet.</w:t>
            </w:r>
          </w:p>
        </w:tc>
      </w:tr>
      <w:tr w:rsidR="00641BC1" w:rsidRPr="00077F9A" w:rsidTr="00641BC1">
        <w:tc>
          <w:tcPr>
            <w:tcW w:w="6169" w:type="dxa"/>
            <w:gridSpan w:val="3"/>
          </w:tcPr>
          <w:p w:rsidR="00641BC1" w:rsidRPr="00077F9A" w:rsidRDefault="00641BC1" w:rsidP="00641BC1">
            <w:pPr>
              <w:pStyle w:val="Lagtext"/>
              <w:spacing w:before="125"/>
              <w:jc w:val="center"/>
            </w:pPr>
            <w:r w:rsidRPr="00077F9A">
              <w:t xml:space="preserve">5 kap.  </w:t>
            </w:r>
          </w:p>
        </w:tc>
      </w:tr>
      <w:tr w:rsidR="00641BC1" w:rsidRPr="00077F9A" w:rsidTr="00641BC1">
        <w:tc>
          <w:tcPr>
            <w:tcW w:w="6169" w:type="dxa"/>
            <w:gridSpan w:val="3"/>
          </w:tcPr>
          <w:p w:rsidR="00641BC1" w:rsidRPr="00077F9A" w:rsidRDefault="00641BC1" w:rsidP="00641BC1">
            <w:pPr>
              <w:pStyle w:val="Lagtext"/>
              <w:jc w:val="center"/>
            </w:pPr>
            <w:r w:rsidRPr="00077F9A">
              <w:t>5.12.1</w:t>
            </w:r>
            <w:r w:rsidRPr="00077F9A">
              <w:rPr>
                <w:rStyle w:val="Fotnotsreferens"/>
              </w:rPr>
              <w:footnoteReference w:id="2"/>
            </w:r>
          </w:p>
        </w:tc>
      </w:tr>
      <w:tr w:rsidR="00641BC1" w:rsidRPr="00077F9A" w:rsidTr="00641BC1">
        <w:tc>
          <w:tcPr>
            <w:tcW w:w="3081" w:type="dxa"/>
            <w:gridSpan w:val="2"/>
          </w:tcPr>
          <w:p w:rsidR="00641BC1" w:rsidRPr="00077F9A" w:rsidRDefault="00641BC1" w:rsidP="00641BC1">
            <w:pPr>
              <w:pStyle w:val="LagtextIndrag"/>
            </w:pPr>
            <w:r w:rsidRPr="00077F9A">
              <w:t>Statsutgifterna ska hänföras till fö</w:t>
            </w:r>
            <w:r w:rsidRPr="00077F9A">
              <w:t>l</w:t>
            </w:r>
            <w:r w:rsidRPr="00077F9A">
              <w:t>jande utgiftsområden: 1 Rikets st</w:t>
            </w:r>
            <w:r w:rsidRPr="00077F9A">
              <w:t>y</w:t>
            </w:r>
            <w:r w:rsidRPr="00077F9A">
              <w:t>relse, 2 Samhällsekonomi och finan</w:t>
            </w:r>
            <w:r w:rsidRPr="00077F9A">
              <w:t>s</w:t>
            </w:r>
            <w:r w:rsidRPr="00077F9A">
              <w:t>förvaltning, 3 Skatt, tull och exek</w:t>
            </w:r>
            <w:r w:rsidRPr="00077F9A">
              <w:t>u</w:t>
            </w:r>
            <w:r w:rsidRPr="00077F9A">
              <w:t>tion, 4 Rättsväsendet, 5 Internationell samve</w:t>
            </w:r>
            <w:r w:rsidRPr="00077F9A">
              <w:t>r</w:t>
            </w:r>
            <w:r w:rsidRPr="00077F9A">
              <w:t>kan, 6 Försvar och samhällets krisberedskap, 7 Internationellt b</w:t>
            </w:r>
            <w:r w:rsidRPr="00077F9A">
              <w:t>i</w:t>
            </w:r>
            <w:r w:rsidRPr="00077F9A">
              <w:t>stånd, 8 Migration, 9 Hälsovård, sjukvård och social omsorg, 10 Ek</w:t>
            </w:r>
            <w:r w:rsidRPr="00077F9A">
              <w:t>o</w:t>
            </w:r>
            <w:r w:rsidRPr="00077F9A">
              <w:t>nomisk trygghet vid sjukdom och hand</w:t>
            </w:r>
            <w:r w:rsidRPr="00077F9A">
              <w:t>i</w:t>
            </w:r>
            <w:r w:rsidRPr="00077F9A">
              <w:t>kapp, 11 Ekonomisk trygghet vid ålderdom, 12 Ekonomisk tryg</w:t>
            </w:r>
            <w:r w:rsidRPr="00077F9A">
              <w:t>g</w:t>
            </w:r>
            <w:r w:rsidRPr="00077F9A">
              <w:t>het för familjer och barn, 13 Integr</w:t>
            </w:r>
            <w:r w:rsidRPr="00077F9A">
              <w:t>a</w:t>
            </w:r>
            <w:r w:rsidRPr="00077F9A">
              <w:t>tion och jämställdhet, 14 Arbet</w:t>
            </w:r>
            <w:r w:rsidRPr="00077F9A">
              <w:t>s</w:t>
            </w:r>
            <w:r w:rsidRPr="00077F9A">
              <w:t>marknad och arbetsliv, 15 Studi</w:t>
            </w:r>
            <w:r w:rsidRPr="00077F9A">
              <w:t>e</w:t>
            </w:r>
            <w:r w:rsidRPr="00077F9A">
              <w:t>stöd, 16 Utbildning och universitet</w:t>
            </w:r>
            <w:r w:rsidRPr="00077F9A">
              <w:t>s</w:t>
            </w:r>
            <w:r w:rsidRPr="00077F9A">
              <w:t>forskning, 17 Kultur, medier, tro</w:t>
            </w:r>
            <w:r w:rsidRPr="00077F9A">
              <w:t>s</w:t>
            </w:r>
            <w:r w:rsidRPr="00077F9A">
              <w:t>samfund och fritid, 18 Samhällspl</w:t>
            </w:r>
            <w:r w:rsidRPr="00077F9A">
              <w:t>a</w:t>
            </w:r>
            <w:r w:rsidRPr="00077F9A">
              <w:t>nering, bostadsförsörjning, byggande samt konsumentpolitik, 19 Regi</w:t>
            </w:r>
            <w:r w:rsidRPr="00077F9A">
              <w:t>o</w:t>
            </w:r>
            <w:r w:rsidRPr="00077F9A">
              <w:t>nal tillväxt, 20 Allmän miljö- och natu</w:t>
            </w:r>
            <w:r w:rsidRPr="00077F9A">
              <w:t>r</w:t>
            </w:r>
            <w:r w:rsidRPr="00077F9A">
              <w:t>vård, 21 Energi, 22 Kommunikati</w:t>
            </w:r>
            <w:r w:rsidRPr="00077F9A">
              <w:t>o</w:t>
            </w:r>
            <w:r w:rsidRPr="00077F9A">
              <w:t>ner, 23 Jord- och skogsbruk, fiske med anslutande näringar, 24 Näring</w:t>
            </w:r>
            <w:r w:rsidRPr="00077F9A">
              <w:t>s</w:t>
            </w:r>
            <w:r w:rsidRPr="00077F9A">
              <w:t>liv, 25 Allmänna bidrag till komm</w:t>
            </w:r>
            <w:r w:rsidRPr="00077F9A">
              <w:t>u</w:t>
            </w:r>
            <w:r w:rsidRPr="00077F9A">
              <w:t>ner, 26 Statsskuldsrä</w:t>
            </w:r>
            <w:r w:rsidRPr="00077F9A">
              <w:t>n</w:t>
            </w:r>
            <w:r w:rsidRPr="00077F9A">
              <w:t xml:space="preserve">tor m.m. och 27 Avgiften till Europeiska </w:t>
            </w:r>
            <w:r w:rsidRPr="00077F9A">
              <w:rPr>
                <w:i/>
              </w:rPr>
              <w:t>geme</w:t>
            </w:r>
            <w:r w:rsidRPr="00077F9A">
              <w:rPr>
                <w:i/>
              </w:rPr>
              <w:t>n</w:t>
            </w:r>
            <w:r w:rsidRPr="00077F9A">
              <w:rPr>
                <w:i/>
              </w:rPr>
              <w:t>skapen</w:t>
            </w:r>
            <w:r w:rsidRPr="00077F9A">
              <w:t xml:space="preserve">. </w:t>
            </w:r>
          </w:p>
        </w:tc>
        <w:tc>
          <w:tcPr>
            <w:tcW w:w="3088" w:type="dxa"/>
          </w:tcPr>
          <w:p w:rsidR="00641BC1" w:rsidRPr="00077F9A" w:rsidRDefault="00641BC1" w:rsidP="00641BC1">
            <w:pPr>
              <w:pStyle w:val="LagtextIndrag"/>
            </w:pPr>
            <w:r w:rsidRPr="00077F9A">
              <w:t>Statsutgifterna ska hänföras till fö</w:t>
            </w:r>
            <w:r w:rsidRPr="00077F9A">
              <w:t>l</w:t>
            </w:r>
            <w:r w:rsidRPr="00077F9A">
              <w:t>jande utgiftsområden: 1 Rikets st</w:t>
            </w:r>
            <w:r w:rsidRPr="00077F9A">
              <w:t>y</w:t>
            </w:r>
            <w:r w:rsidRPr="00077F9A">
              <w:t>relse, 2 Samhällsekonomi och finan</w:t>
            </w:r>
            <w:r w:rsidRPr="00077F9A">
              <w:t>s</w:t>
            </w:r>
            <w:r w:rsidRPr="00077F9A">
              <w:t>förvaltning, 3 Skatt, tull och exek</w:t>
            </w:r>
            <w:r w:rsidRPr="00077F9A">
              <w:t>u</w:t>
            </w:r>
            <w:r w:rsidRPr="00077F9A">
              <w:t>tion, 4 Rättsväsendet, 5 Internationell samve</w:t>
            </w:r>
            <w:r w:rsidRPr="00077F9A">
              <w:t>r</w:t>
            </w:r>
            <w:r w:rsidRPr="00077F9A">
              <w:t>kan, 6 Försvar och samhällets krisberedskap, 7 Internationellt b</w:t>
            </w:r>
            <w:r w:rsidRPr="00077F9A">
              <w:t>i</w:t>
            </w:r>
            <w:r w:rsidRPr="00077F9A">
              <w:t>stånd, 8 Migration, 9 Hälsovård, sjukvård och social omsorg, 10 Ek</w:t>
            </w:r>
            <w:r w:rsidRPr="00077F9A">
              <w:t>o</w:t>
            </w:r>
            <w:r w:rsidRPr="00077F9A">
              <w:t>nomisk trygghet vid sjukdom och hand</w:t>
            </w:r>
            <w:r w:rsidRPr="00077F9A">
              <w:t>i</w:t>
            </w:r>
            <w:r w:rsidRPr="00077F9A">
              <w:t>kapp, 11 Ekonomisk trygghet vid ålderdom, 12 Ekonomisk tryg</w:t>
            </w:r>
            <w:r w:rsidRPr="00077F9A">
              <w:t>g</w:t>
            </w:r>
            <w:r w:rsidRPr="00077F9A">
              <w:t>het för familjer och barn, 13 Integr</w:t>
            </w:r>
            <w:r w:rsidRPr="00077F9A">
              <w:t>a</w:t>
            </w:r>
            <w:r w:rsidRPr="00077F9A">
              <w:t>tion och jämställdhet, 14 Arbet</w:t>
            </w:r>
            <w:r w:rsidRPr="00077F9A">
              <w:t>s</w:t>
            </w:r>
            <w:r w:rsidRPr="00077F9A">
              <w:t>marknad och arbet</w:t>
            </w:r>
            <w:r w:rsidRPr="00077F9A">
              <w:t>s</w:t>
            </w:r>
            <w:r w:rsidRPr="00077F9A">
              <w:t>liv, 15 Studiestöd, 16 Utbildning och universitetsfors</w:t>
            </w:r>
            <w:r w:rsidRPr="00077F9A">
              <w:t>k</w:t>
            </w:r>
            <w:r w:rsidRPr="00077F9A">
              <w:t>ning, 17 Kultur, medier, tro</w:t>
            </w:r>
            <w:r w:rsidRPr="00077F9A">
              <w:t>s</w:t>
            </w:r>
            <w:r w:rsidRPr="00077F9A">
              <w:t>samfund och fritid, 18 Samhällspl</w:t>
            </w:r>
            <w:r w:rsidRPr="00077F9A">
              <w:t>a</w:t>
            </w:r>
            <w:r w:rsidRPr="00077F9A">
              <w:t>nering, bostadsförsörjning, byggande samt konsumentpolitik, 19 Regional til</w:t>
            </w:r>
            <w:r w:rsidRPr="00077F9A">
              <w:t>l</w:t>
            </w:r>
            <w:r w:rsidRPr="00077F9A">
              <w:t>växt, 20 Allmän miljö- och natu</w:t>
            </w:r>
            <w:r w:rsidRPr="00077F9A">
              <w:t>r</w:t>
            </w:r>
            <w:r w:rsidRPr="00077F9A">
              <w:t>vård, 21 Energi, 22 Kommunikati</w:t>
            </w:r>
            <w:r w:rsidRPr="00077F9A">
              <w:t>o</w:t>
            </w:r>
            <w:r w:rsidRPr="00077F9A">
              <w:t>ner, 23 Jord- och skogsbruk, fiske med anslutande näringar, 24 Näring</w:t>
            </w:r>
            <w:r w:rsidRPr="00077F9A">
              <w:t>s</w:t>
            </w:r>
            <w:r w:rsidRPr="00077F9A">
              <w:t>liv, 25 Allmänna bidrag till komm</w:t>
            </w:r>
            <w:r w:rsidRPr="00077F9A">
              <w:t>u</w:t>
            </w:r>
            <w:r w:rsidRPr="00077F9A">
              <w:t>ner, 26 Statsskuldsrä</w:t>
            </w:r>
            <w:r w:rsidRPr="00077F9A">
              <w:t>n</w:t>
            </w:r>
            <w:r w:rsidRPr="00077F9A">
              <w:t>tor m.m. och 27 Avgi</w:t>
            </w:r>
            <w:r w:rsidRPr="00077F9A">
              <w:t>f</w:t>
            </w:r>
            <w:r w:rsidRPr="00077F9A">
              <w:t xml:space="preserve">ten till Europeiska </w:t>
            </w:r>
            <w:r w:rsidRPr="00077F9A">
              <w:rPr>
                <w:i/>
              </w:rPr>
              <w:t>unionen</w:t>
            </w:r>
            <w:r w:rsidRPr="00077F9A">
              <w:t>.</w:t>
            </w:r>
          </w:p>
          <w:p w:rsidR="00641BC1" w:rsidRPr="00077F9A" w:rsidRDefault="00641BC1" w:rsidP="00641BC1">
            <w:pPr>
              <w:pStyle w:val="Lagtext"/>
            </w:pPr>
          </w:p>
        </w:tc>
      </w:tr>
      <w:tr w:rsidR="00641BC1" w:rsidRPr="00077F9A" w:rsidTr="00641BC1">
        <w:tc>
          <w:tcPr>
            <w:tcW w:w="6169" w:type="dxa"/>
            <w:gridSpan w:val="3"/>
          </w:tcPr>
          <w:p w:rsidR="00641BC1" w:rsidRPr="00077F9A" w:rsidRDefault="00641BC1" w:rsidP="00641BC1">
            <w:pPr>
              <w:pStyle w:val="Lagtext"/>
              <w:spacing w:before="125"/>
              <w:jc w:val="center"/>
            </w:pPr>
            <w:r w:rsidRPr="00077F9A">
              <w:t>10 kap.</w:t>
            </w:r>
          </w:p>
        </w:tc>
      </w:tr>
      <w:tr w:rsidR="00641BC1" w:rsidRPr="00077F9A" w:rsidTr="00641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41BC1" w:rsidRPr="00077F9A" w:rsidRDefault="00641BC1" w:rsidP="00641BC1">
            <w:pPr>
              <w:spacing w:before="187"/>
              <w:rPr>
                <w:b/>
              </w:rPr>
            </w:pPr>
          </w:p>
        </w:tc>
        <w:tc>
          <w:tcPr>
            <w:tcW w:w="3088" w:type="dxa"/>
            <w:tcBorders>
              <w:top w:val="nil"/>
              <w:left w:val="nil"/>
              <w:bottom w:val="nil"/>
              <w:right w:val="nil"/>
            </w:tcBorders>
          </w:tcPr>
          <w:p w:rsidR="00641BC1" w:rsidRPr="00077F9A" w:rsidRDefault="00641BC1" w:rsidP="00641BC1">
            <w:pPr>
              <w:pStyle w:val="Lagtext"/>
              <w:spacing w:before="125"/>
              <w:rPr>
                <w:b/>
                <w:i/>
              </w:rPr>
            </w:pPr>
            <w:r w:rsidRPr="00077F9A">
              <w:rPr>
                <w:b/>
                <w:i/>
              </w:rPr>
              <w:t>Information från Europeiska uni</w:t>
            </w:r>
            <w:r w:rsidRPr="00077F9A">
              <w:rPr>
                <w:b/>
                <w:i/>
              </w:rPr>
              <w:t>o</w:t>
            </w:r>
            <w:r w:rsidRPr="00077F9A">
              <w:rPr>
                <w:b/>
                <w:i/>
              </w:rPr>
              <w:t>nen</w:t>
            </w:r>
          </w:p>
        </w:tc>
      </w:tr>
      <w:tr w:rsidR="00641BC1" w:rsidRPr="00077F9A" w:rsidTr="00641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41BC1" w:rsidRPr="00077F9A" w:rsidRDefault="00641BC1" w:rsidP="00641BC1">
            <w:pPr>
              <w:rPr>
                <w:b/>
              </w:rPr>
            </w:pPr>
          </w:p>
        </w:tc>
        <w:tc>
          <w:tcPr>
            <w:tcW w:w="3088" w:type="dxa"/>
            <w:tcBorders>
              <w:top w:val="nil"/>
              <w:left w:val="nil"/>
              <w:bottom w:val="nil"/>
              <w:right w:val="nil"/>
            </w:tcBorders>
          </w:tcPr>
          <w:p w:rsidR="00641BC1" w:rsidRPr="00077F9A" w:rsidRDefault="00641BC1" w:rsidP="00641BC1">
            <w:pPr>
              <w:pStyle w:val="Lagtext"/>
              <w:spacing w:before="125"/>
              <w:rPr>
                <w:i/>
              </w:rPr>
            </w:pPr>
            <w:r w:rsidRPr="00077F9A">
              <w:rPr>
                <w:i/>
              </w:rPr>
              <w:t>1 §</w:t>
            </w:r>
          </w:p>
        </w:tc>
      </w:tr>
      <w:tr w:rsidR="00641BC1" w:rsidRPr="00077F9A" w:rsidTr="00641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41BC1" w:rsidRPr="00077F9A" w:rsidRDefault="00641BC1" w:rsidP="00641BC1">
            <w:pPr>
              <w:jc w:val="center"/>
            </w:pPr>
          </w:p>
        </w:tc>
        <w:tc>
          <w:tcPr>
            <w:tcW w:w="3088" w:type="dxa"/>
            <w:tcBorders>
              <w:top w:val="nil"/>
              <w:left w:val="nil"/>
              <w:bottom w:val="nil"/>
              <w:right w:val="nil"/>
            </w:tcBorders>
          </w:tcPr>
          <w:p w:rsidR="00641BC1" w:rsidRPr="00077F9A" w:rsidRDefault="00641BC1" w:rsidP="00641BC1">
            <w:pPr>
              <w:pStyle w:val="LagtextIndrag"/>
              <w:rPr>
                <w:i/>
              </w:rPr>
            </w:pPr>
            <w:r w:rsidRPr="00077F9A">
              <w:rPr>
                <w:i/>
              </w:rPr>
              <w:t>Riksdagen får skriftlig information om arbetet i Europeiska unionen från unionens instit</w:t>
            </w:r>
            <w:r w:rsidRPr="00077F9A">
              <w:rPr>
                <w:i/>
              </w:rPr>
              <w:t>u</w:t>
            </w:r>
            <w:r w:rsidRPr="00077F9A">
              <w:rPr>
                <w:i/>
              </w:rPr>
              <w:t>tioner i enlighet med fördragen och de till fördragen h</w:t>
            </w:r>
            <w:r w:rsidRPr="00077F9A">
              <w:rPr>
                <w:i/>
              </w:rPr>
              <w:t>ö</w:t>
            </w:r>
            <w:r w:rsidRPr="00077F9A">
              <w:rPr>
                <w:i/>
              </w:rPr>
              <w:t>rande prot</w:t>
            </w:r>
            <w:r w:rsidRPr="00077F9A">
              <w:rPr>
                <w:i/>
              </w:rPr>
              <w:t>o</w:t>
            </w:r>
            <w:r w:rsidRPr="00077F9A">
              <w:rPr>
                <w:i/>
              </w:rPr>
              <w:t>kollen.</w:t>
            </w:r>
          </w:p>
        </w:tc>
      </w:tr>
      <w:tr w:rsidR="00641BC1" w:rsidRPr="00077F9A" w:rsidTr="00641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41BC1" w:rsidRPr="00077F9A" w:rsidRDefault="00641BC1" w:rsidP="00641BC1">
            <w:pPr>
              <w:pStyle w:val="Lagtext"/>
            </w:pPr>
          </w:p>
        </w:tc>
        <w:tc>
          <w:tcPr>
            <w:tcW w:w="3088" w:type="dxa"/>
            <w:tcBorders>
              <w:top w:val="nil"/>
              <w:left w:val="nil"/>
              <w:bottom w:val="nil"/>
              <w:right w:val="nil"/>
            </w:tcBorders>
          </w:tcPr>
          <w:p w:rsidR="00641BC1" w:rsidRPr="00077F9A" w:rsidRDefault="00641BC1" w:rsidP="00641BC1">
            <w:pPr>
              <w:pStyle w:val="Lagtext"/>
              <w:rPr>
                <w:i/>
              </w:rPr>
            </w:pPr>
          </w:p>
        </w:tc>
      </w:tr>
      <w:tr w:rsidR="00641BC1" w:rsidRPr="00077F9A" w:rsidTr="00641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41BC1" w:rsidRPr="00077F9A" w:rsidRDefault="00641BC1" w:rsidP="00641BC1">
            <w:pPr>
              <w:pStyle w:val="Lagtext"/>
              <w:rPr>
                <w:b/>
                <w:i/>
              </w:rPr>
            </w:pPr>
            <w:r w:rsidRPr="00077F9A">
              <w:rPr>
                <w:b/>
              </w:rPr>
              <w:t>Regeringens skyldighet att info</w:t>
            </w:r>
            <w:r w:rsidRPr="00077F9A">
              <w:rPr>
                <w:b/>
              </w:rPr>
              <w:t>r</w:t>
            </w:r>
            <w:r w:rsidRPr="00077F9A">
              <w:rPr>
                <w:b/>
              </w:rPr>
              <w:t>mera riksdagen om sin syn</w:t>
            </w:r>
            <w:r w:rsidRPr="00077F9A">
              <w:rPr>
                <w:b/>
                <w:i/>
              </w:rPr>
              <w:t xml:space="preserve"> </w:t>
            </w:r>
            <w:r w:rsidRPr="00077F9A">
              <w:rPr>
                <w:b/>
              </w:rPr>
              <w:t>på</w:t>
            </w:r>
            <w:r w:rsidRPr="00077F9A">
              <w:rPr>
                <w:b/>
                <w:i/>
              </w:rPr>
              <w:t xml:space="preserve"> kommissi</w:t>
            </w:r>
            <w:r w:rsidRPr="00077F9A">
              <w:rPr>
                <w:b/>
                <w:i/>
              </w:rPr>
              <w:t>o</w:t>
            </w:r>
            <w:r w:rsidRPr="00077F9A">
              <w:rPr>
                <w:b/>
                <w:i/>
              </w:rPr>
              <w:t xml:space="preserve">nens förslag </w:t>
            </w:r>
          </w:p>
        </w:tc>
        <w:tc>
          <w:tcPr>
            <w:tcW w:w="3088" w:type="dxa"/>
            <w:tcBorders>
              <w:top w:val="nil"/>
              <w:left w:val="nil"/>
              <w:bottom w:val="nil"/>
              <w:right w:val="nil"/>
            </w:tcBorders>
          </w:tcPr>
          <w:p w:rsidR="00641BC1" w:rsidRPr="00077F9A" w:rsidRDefault="00641BC1" w:rsidP="00641BC1">
            <w:pPr>
              <w:pStyle w:val="Lagtext"/>
              <w:rPr>
                <w:b/>
                <w:i/>
              </w:rPr>
            </w:pPr>
            <w:r w:rsidRPr="00077F9A">
              <w:rPr>
                <w:b/>
              </w:rPr>
              <w:t>Regeringens skyldighet att info</w:t>
            </w:r>
            <w:r w:rsidRPr="00077F9A">
              <w:rPr>
                <w:b/>
              </w:rPr>
              <w:t>r</w:t>
            </w:r>
            <w:r w:rsidRPr="00077F9A">
              <w:rPr>
                <w:b/>
              </w:rPr>
              <w:t>mera riksdagen om sin syn</w:t>
            </w:r>
            <w:r w:rsidRPr="00077F9A">
              <w:rPr>
                <w:b/>
                <w:i/>
              </w:rPr>
              <w:t xml:space="preserve"> </w:t>
            </w:r>
            <w:r w:rsidRPr="00077F9A">
              <w:rPr>
                <w:b/>
              </w:rPr>
              <w:t>på</w:t>
            </w:r>
            <w:r w:rsidRPr="00077F9A">
              <w:rPr>
                <w:b/>
                <w:i/>
              </w:rPr>
              <w:t xml:space="preserve"> dokument från Europeiska uni</w:t>
            </w:r>
            <w:r w:rsidRPr="00077F9A">
              <w:rPr>
                <w:b/>
                <w:i/>
              </w:rPr>
              <w:t>o</w:t>
            </w:r>
            <w:r w:rsidRPr="00077F9A">
              <w:rPr>
                <w:b/>
                <w:i/>
              </w:rPr>
              <w:t>nen</w:t>
            </w:r>
          </w:p>
        </w:tc>
      </w:tr>
      <w:tr w:rsidR="00641BC1" w:rsidRPr="00077F9A" w:rsidTr="00641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41BC1" w:rsidRPr="00077F9A" w:rsidRDefault="00641BC1" w:rsidP="00641BC1">
            <w:pPr>
              <w:pStyle w:val="Lagtext"/>
              <w:spacing w:before="125"/>
              <w:rPr>
                <w:i/>
              </w:rPr>
            </w:pPr>
            <w:r w:rsidRPr="00077F9A">
              <w:rPr>
                <w:i/>
              </w:rPr>
              <w:t xml:space="preserve">2 </w:t>
            </w:r>
            <w:r w:rsidRPr="00077F9A">
              <w:t>§</w:t>
            </w:r>
          </w:p>
        </w:tc>
        <w:tc>
          <w:tcPr>
            <w:tcW w:w="3088" w:type="dxa"/>
            <w:tcBorders>
              <w:top w:val="nil"/>
              <w:left w:val="nil"/>
              <w:bottom w:val="nil"/>
              <w:right w:val="nil"/>
            </w:tcBorders>
          </w:tcPr>
          <w:p w:rsidR="00641BC1" w:rsidRPr="00077F9A" w:rsidRDefault="00641BC1" w:rsidP="00641BC1">
            <w:pPr>
              <w:pStyle w:val="Lagtext"/>
              <w:spacing w:before="125"/>
              <w:rPr>
                <w:i/>
              </w:rPr>
            </w:pPr>
            <w:r w:rsidRPr="00077F9A">
              <w:rPr>
                <w:i/>
              </w:rPr>
              <w:t xml:space="preserve">3 </w:t>
            </w:r>
            <w:r w:rsidRPr="00077F9A">
              <w:t>§</w:t>
            </w:r>
          </w:p>
        </w:tc>
      </w:tr>
      <w:tr w:rsidR="00641BC1" w:rsidRPr="00077F9A" w:rsidTr="00641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41BC1" w:rsidRPr="00077F9A" w:rsidRDefault="00641BC1" w:rsidP="00641BC1">
            <w:pPr>
              <w:pStyle w:val="Lagtext"/>
              <w:ind w:firstLine="190"/>
            </w:pPr>
            <w:r w:rsidRPr="00077F9A">
              <w:rPr>
                <w:spacing w:val="-2"/>
              </w:rPr>
              <w:t xml:space="preserve">Regeringen </w:t>
            </w:r>
            <w:r w:rsidRPr="00077F9A">
              <w:rPr>
                <w:i/>
              </w:rPr>
              <w:t>skall</w:t>
            </w:r>
            <w:r w:rsidRPr="00077F9A">
              <w:t xml:space="preserve"> informera riksd</w:t>
            </w:r>
            <w:r w:rsidRPr="00077F9A">
              <w:t>a</w:t>
            </w:r>
            <w:r w:rsidRPr="00077F9A">
              <w:t xml:space="preserve">gen om sin syn på de </w:t>
            </w:r>
            <w:r w:rsidRPr="00077F9A">
              <w:rPr>
                <w:i/>
              </w:rPr>
              <w:t>förslag från Europeiska gemenskapernas ko</w:t>
            </w:r>
            <w:r w:rsidRPr="00077F9A">
              <w:rPr>
                <w:i/>
              </w:rPr>
              <w:t>m</w:t>
            </w:r>
            <w:r w:rsidRPr="00077F9A">
              <w:rPr>
                <w:i/>
              </w:rPr>
              <w:t xml:space="preserve">mission </w:t>
            </w:r>
            <w:r w:rsidRPr="00077F9A">
              <w:t>som regeringen bedömer som betydelsefu</w:t>
            </w:r>
            <w:r w:rsidRPr="00077F9A">
              <w:t>l</w:t>
            </w:r>
            <w:r w:rsidRPr="00077F9A">
              <w:t xml:space="preserve">la. </w:t>
            </w:r>
          </w:p>
        </w:tc>
        <w:tc>
          <w:tcPr>
            <w:tcW w:w="3088" w:type="dxa"/>
            <w:tcBorders>
              <w:top w:val="nil"/>
              <w:left w:val="nil"/>
              <w:bottom w:val="nil"/>
              <w:right w:val="nil"/>
            </w:tcBorders>
          </w:tcPr>
          <w:p w:rsidR="00641BC1" w:rsidRPr="00077F9A" w:rsidRDefault="00641BC1" w:rsidP="00641BC1">
            <w:pPr>
              <w:pStyle w:val="LagtextIndrag"/>
              <w:rPr>
                <w:i/>
                <w:spacing w:val="-2"/>
              </w:rPr>
            </w:pPr>
            <w:r w:rsidRPr="00077F9A">
              <w:rPr>
                <w:spacing w:val="-2"/>
              </w:rPr>
              <w:t xml:space="preserve">Regeringen </w:t>
            </w:r>
            <w:r w:rsidRPr="00077F9A">
              <w:rPr>
                <w:i/>
                <w:spacing w:val="-2"/>
              </w:rPr>
              <w:t>ska</w:t>
            </w:r>
            <w:r w:rsidRPr="00077F9A">
              <w:rPr>
                <w:spacing w:val="-2"/>
              </w:rPr>
              <w:t xml:space="preserve"> informera riksd</w:t>
            </w:r>
            <w:r w:rsidRPr="00077F9A">
              <w:rPr>
                <w:spacing w:val="-2"/>
              </w:rPr>
              <w:t>a</w:t>
            </w:r>
            <w:r w:rsidRPr="00077F9A">
              <w:rPr>
                <w:spacing w:val="-2"/>
              </w:rPr>
              <w:t xml:space="preserve">gen om sin syn på de </w:t>
            </w:r>
            <w:r w:rsidRPr="00077F9A">
              <w:rPr>
                <w:i/>
                <w:spacing w:val="-2"/>
              </w:rPr>
              <w:t>dokument som Eur</w:t>
            </w:r>
            <w:r w:rsidRPr="00077F9A">
              <w:rPr>
                <w:i/>
                <w:spacing w:val="-2"/>
              </w:rPr>
              <w:t>o</w:t>
            </w:r>
            <w:r w:rsidRPr="00077F9A">
              <w:rPr>
                <w:i/>
                <w:spacing w:val="-2"/>
              </w:rPr>
              <w:t>peiska unionens institutioner öve</w:t>
            </w:r>
            <w:r w:rsidRPr="00077F9A">
              <w:rPr>
                <w:i/>
                <w:spacing w:val="-2"/>
              </w:rPr>
              <w:t>r</w:t>
            </w:r>
            <w:r w:rsidRPr="00077F9A">
              <w:rPr>
                <w:i/>
                <w:spacing w:val="-2"/>
              </w:rPr>
              <w:t xml:space="preserve">lämnat till riksdagen och </w:t>
            </w:r>
            <w:r w:rsidRPr="00077F9A">
              <w:rPr>
                <w:spacing w:val="-2"/>
              </w:rPr>
              <w:t>som rege</w:t>
            </w:r>
            <w:r w:rsidRPr="00077F9A">
              <w:rPr>
                <w:spacing w:val="-2"/>
              </w:rPr>
              <w:t>r</w:t>
            </w:r>
            <w:r w:rsidRPr="00077F9A">
              <w:rPr>
                <w:spacing w:val="-2"/>
              </w:rPr>
              <w:t>ingen bedömer som betydelsefu</w:t>
            </w:r>
            <w:r w:rsidRPr="00077F9A">
              <w:rPr>
                <w:spacing w:val="-2"/>
              </w:rPr>
              <w:t>l</w:t>
            </w:r>
            <w:r w:rsidRPr="00077F9A">
              <w:rPr>
                <w:spacing w:val="-2"/>
              </w:rPr>
              <w:t>la.</w:t>
            </w:r>
          </w:p>
        </w:tc>
      </w:tr>
      <w:tr w:rsidR="00641BC1" w:rsidRPr="00077F9A" w:rsidTr="00641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41BC1" w:rsidRPr="00077F9A" w:rsidRDefault="00641BC1" w:rsidP="00641BC1">
            <w:pPr>
              <w:pStyle w:val="LagtextIndrag"/>
            </w:pPr>
          </w:p>
        </w:tc>
        <w:tc>
          <w:tcPr>
            <w:tcW w:w="3088" w:type="dxa"/>
            <w:tcBorders>
              <w:top w:val="nil"/>
              <w:left w:val="nil"/>
              <w:bottom w:val="nil"/>
              <w:right w:val="nil"/>
            </w:tcBorders>
          </w:tcPr>
          <w:p w:rsidR="00641BC1" w:rsidRPr="00077F9A" w:rsidRDefault="00641BC1" w:rsidP="00641BC1">
            <w:pPr>
              <w:pStyle w:val="LagtextIndrag"/>
              <w:rPr>
                <w:i/>
              </w:rPr>
            </w:pPr>
          </w:p>
        </w:tc>
      </w:tr>
      <w:tr w:rsidR="00641BC1" w:rsidRPr="00077F9A" w:rsidTr="00641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69" w:type="dxa"/>
            <w:gridSpan w:val="3"/>
            <w:tcBorders>
              <w:top w:val="nil"/>
              <w:left w:val="nil"/>
              <w:bottom w:val="nil"/>
              <w:right w:val="nil"/>
            </w:tcBorders>
          </w:tcPr>
          <w:p w:rsidR="00641BC1" w:rsidRPr="00077F9A" w:rsidRDefault="00641BC1" w:rsidP="00641BC1">
            <w:pPr>
              <w:pStyle w:val="LagtextIndrag"/>
              <w:jc w:val="center"/>
            </w:pPr>
            <w:r w:rsidRPr="00077F9A">
              <w:rPr>
                <w:b/>
              </w:rPr>
              <w:t>Behandlingen av EU-dokument</w:t>
            </w:r>
          </w:p>
        </w:tc>
      </w:tr>
      <w:tr w:rsidR="00641BC1" w:rsidRPr="00077F9A" w:rsidTr="00641BC1">
        <w:tc>
          <w:tcPr>
            <w:tcW w:w="3081" w:type="dxa"/>
            <w:gridSpan w:val="2"/>
          </w:tcPr>
          <w:p w:rsidR="00641BC1" w:rsidRPr="00077F9A" w:rsidRDefault="00641BC1" w:rsidP="00641BC1">
            <w:pPr>
              <w:pStyle w:val="Lagtext"/>
              <w:spacing w:before="125"/>
            </w:pPr>
            <w:r w:rsidRPr="00077F9A">
              <w:rPr>
                <w:i/>
              </w:rPr>
              <w:t>4</w:t>
            </w:r>
            <w:r w:rsidRPr="00077F9A">
              <w:t xml:space="preserve"> §</w:t>
            </w:r>
          </w:p>
        </w:tc>
        <w:tc>
          <w:tcPr>
            <w:tcW w:w="3088" w:type="dxa"/>
          </w:tcPr>
          <w:p w:rsidR="00641BC1" w:rsidRPr="00077F9A" w:rsidRDefault="00641BC1" w:rsidP="00641BC1">
            <w:pPr>
              <w:pStyle w:val="Lagtext"/>
              <w:spacing w:before="125"/>
            </w:pPr>
            <w:r w:rsidRPr="00077F9A">
              <w:rPr>
                <w:i/>
              </w:rPr>
              <w:t>5</w:t>
            </w:r>
            <w:r w:rsidRPr="00077F9A">
              <w:t xml:space="preserve"> §</w:t>
            </w:r>
          </w:p>
        </w:tc>
      </w:tr>
      <w:tr w:rsidR="00641BC1" w:rsidRPr="00077F9A" w:rsidTr="00641BC1">
        <w:tc>
          <w:tcPr>
            <w:tcW w:w="3081" w:type="dxa"/>
            <w:gridSpan w:val="2"/>
          </w:tcPr>
          <w:p w:rsidR="00641BC1" w:rsidRPr="00077F9A" w:rsidRDefault="00641BC1" w:rsidP="00641BC1">
            <w:pPr>
              <w:pStyle w:val="LagtextIndrag"/>
            </w:pPr>
            <w:r w:rsidRPr="00077F9A">
              <w:t>På det sätt som anges i denna p</w:t>
            </w:r>
            <w:r w:rsidRPr="00077F9A">
              <w:t>a</w:t>
            </w:r>
            <w:r w:rsidRPr="00077F9A">
              <w:t xml:space="preserve">ragraf </w:t>
            </w:r>
            <w:r w:rsidRPr="00077F9A">
              <w:rPr>
                <w:i/>
              </w:rPr>
              <w:t>skall</w:t>
            </w:r>
            <w:r w:rsidRPr="00077F9A">
              <w:t xml:space="preserve"> riksdagen behandla de grönböcker och vi</w:t>
            </w:r>
            <w:r w:rsidRPr="00077F9A">
              <w:t>t</w:t>
            </w:r>
            <w:r w:rsidRPr="00077F9A">
              <w:t xml:space="preserve">böcker som </w:t>
            </w:r>
            <w:r w:rsidRPr="00077F9A">
              <w:rPr>
                <w:i/>
              </w:rPr>
              <w:t>skall til</w:t>
            </w:r>
            <w:r w:rsidRPr="00077F9A">
              <w:rPr>
                <w:i/>
              </w:rPr>
              <w:t>l</w:t>
            </w:r>
            <w:r w:rsidRPr="00077F9A">
              <w:rPr>
                <w:i/>
              </w:rPr>
              <w:t>ställas</w:t>
            </w:r>
            <w:r w:rsidRPr="00077F9A">
              <w:t xml:space="preserve"> riksdagen </w:t>
            </w:r>
            <w:r w:rsidRPr="00077F9A">
              <w:rPr>
                <w:i/>
              </w:rPr>
              <w:t>enligt protokollet om de n</w:t>
            </w:r>
            <w:r w:rsidRPr="00077F9A">
              <w:rPr>
                <w:i/>
              </w:rPr>
              <w:t>a</w:t>
            </w:r>
            <w:r w:rsidRPr="00077F9A">
              <w:rPr>
                <w:i/>
              </w:rPr>
              <w:t>tionella parlamentens roll i Europeiska uni</w:t>
            </w:r>
            <w:r w:rsidRPr="00077F9A">
              <w:rPr>
                <w:i/>
              </w:rPr>
              <w:t>o</w:t>
            </w:r>
            <w:r w:rsidRPr="00077F9A">
              <w:rPr>
                <w:i/>
              </w:rPr>
              <w:t>nen</w:t>
            </w:r>
            <w:r w:rsidRPr="00077F9A">
              <w:t>. Talmannen får efter samråd med de särskilda för</w:t>
            </w:r>
            <w:r w:rsidRPr="00077F9A">
              <w:t>e</w:t>
            </w:r>
            <w:r w:rsidRPr="00077F9A">
              <w:t>trädarna för partigrupperna bestä</w:t>
            </w:r>
            <w:r w:rsidRPr="00077F9A">
              <w:t>m</w:t>
            </w:r>
            <w:r w:rsidRPr="00077F9A">
              <w:t xml:space="preserve">ma att även andra dokument från Europeiska unionen, med undantag för </w:t>
            </w:r>
            <w:r w:rsidRPr="00077F9A">
              <w:rPr>
                <w:i/>
              </w:rPr>
              <w:t>förslag från Europeiska geme</w:t>
            </w:r>
            <w:r w:rsidRPr="00077F9A">
              <w:rPr>
                <w:i/>
              </w:rPr>
              <w:t>n</w:t>
            </w:r>
            <w:r w:rsidRPr="00077F9A">
              <w:rPr>
                <w:i/>
              </w:rPr>
              <w:t>skapernas kommission, skall</w:t>
            </w:r>
            <w:r w:rsidRPr="00077F9A">
              <w:t xml:space="preserve"> behan</w:t>
            </w:r>
            <w:r w:rsidRPr="00077F9A">
              <w:t>d</w:t>
            </w:r>
            <w:r w:rsidRPr="00077F9A">
              <w:t>las på sa</w:t>
            </w:r>
            <w:r w:rsidRPr="00077F9A">
              <w:t>m</w:t>
            </w:r>
            <w:r w:rsidRPr="00077F9A">
              <w:t>ma sätt.</w:t>
            </w:r>
          </w:p>
          <w:p w:rsidR="00641BC1" w:rsidRPr="00077F9A" w:rsidRDefault="00641BC1" w:rsidP="00641BC1">
            <w:pPr>
              <w:pStyle w:val="LagtextIndrag"/>
            </w:pPr>
            <w:r w:rsidRPr="00077F9A">
              <w:t xml:space="preserve">Kammaren </w:t>
            </w:r>
            <w:r w:rsidRPr="00077F9A">
              <w:rPr>
                <w:i/>
              </w:rPr>
              <w:t>skall</w:t>
            </w:r>
            <w:r w:rsidRPr="00077F9A">
              <w:t xml:space="preserve"> med tillämpning av 4 kap. 1 och 7 §§ för granskning hänvisa ett sådant d</w:t>
            </w:r>
            <w:r w:rsidRPr="00077F9A">
              <w:t>o</w:t>
            </w:r>
            <w:r w:rsidRPr="00077F9A">
              <w:t>kument till berört utskott enligt bestämme</w:t>
            </w:r>
            <w:r w:rsidRPr="00077F9A">
              <w:t>l</w:t>
            </w:r>
            <w:r w:rsidRPr="00077F9A">
              <w:t>serna i 4 kap. 4–6 §§ med tillhörande tillägg</w:t>
            </w:r>
            <w:r w:rsidRPr="00077F9A">
              <w:t>s</w:t>
            </w:r>
            <w:r w:rsidRPr="00077F9A">
              <w:t>bestämmelser.</w:t>
            </w:r>
          </w:p>
          <w:p w:rsidR="00641BC1" w:rsidRPr="00077F9A" w:rsidRDefault="00641BC1" w:rsidP="00641BC1">
            <w:pPr>
              <w:pStyle w:val="LagtextIndrag"/>
            </w:pPr>
            <w:r w:rsidRPr="00077F9A">
              <w:t>Vid utskottets granskning av d</w:t>
            </w:r>
            <w:r w:rsidRPr="00077F9A">
              <w:t>o</w:t>
            </w:r>
            <w:r w:rsidRPr="00077F9A">
              <w:t>kumentet är 4 kap. 8 § tillämplig. U</w:t>
            </w:r>
            <w:r w:rsidRPr="00077F9A">
              <w:t>t</w:t>
            </w:r>
            <w:r w:rsidRPr="00077F9A">
              <w:t xml:space="preserve">skotten </w:t>
            </w:r>
            <w:r w:rsidRPr="00077F9A">
              <w:rPr>
                <w:i/>
              </w:rPr>
              <w:t>skall</w:t>
            </w:r>
            <w:r w:rsidRPr="00077F9A">
              <w:t xml:space="preserve"> inhämta behövliga upplysningar från r</w:t>
            </w:r>
            <w:r w:rsidRPr="00077F9A">
              <w:t>e</w:t>
            </w:r>
            <w:r w:rsidRPr="00077F9A">
              <w:t>geringen.</w:t>
            </w:r>
          </w:p>
          <w:p w:rsidR="00641BC1" w:rsidRPr="00077F9A" w:rsidRDefault="00641BC1" w:rsidP="00641BC1">
            <w:pPr>
              <w:pStyle w:val="LagtextIndrag"/>
            </w:pPr>
            <w:r w:rsidRPr="00077F9A">
              <w:t xml:space="preserve">Utskottet </w:t>
            </w:r>
            <w:r w:rsidRPr="00077F9A">
              <w:rPr>
                <w:i/>
              </w:rPr>
              <w:t>skall</w:t>
            </w:r>
            <w:r w:rsidRPr="00077F9A">
              <w:t xml:space="preserve"> red</w:t>
            </w:r>
            <w:r w:rsidRPr="00077F9A">
              <w:t>o</w:t>
            </w:r>
            <w:r w:rsidRPr="00077F9A">
              <w:t>visa sin granskning i ett utlåtande till kamm</w:t>
            </w:r>
            <w:r w:rsidRPr="00077F9A">
              <w:t>a</w:t>
            </w:r>
            <w:r w:rsidRPr="00077F9A">
              <w:t>ren. Vid beslutet om utlåtandet är 4 kap. 15 och 16 §§ tillämpliga.</w:t>
            </w:r>
          </w:p>
          <w:p w:rsidR="00641BC1" w:rsidRPr="00077F9A" w:rsidRDefault="00641BC1" w:rsidP="00641BC1">
            <w:pPr>
              <w:pStyle w:val="LagtextIndrag"/>
            </w:pPr>
          </w:p>
        </w:tc>
        <w:tc>
          <w:tcPr>
            <w:tcW w:w="3088" w:type="dxa"/>
          </w:tcPr>
          <w:p w:rsidR="00641BC1" w:rsidRPr="00077F9A" w:rsidRDefault="00641BC1" w:rsidP="00641BC1">
            <w:pPr>
              <w:pStyle w:val="LagtextIndrag"/>
            </w:pPr>
            <w:r w:rsidRPr="00077F9A">
              <w:t>På det sätt som anges i denna par</w:t>
            </w:r>
            <w:r w:rsidRPr="00077F9A">
              <w:t>a</w:t>
            </w:r>
            <w:r w:rsidRPr="00077F9A">
              <w:t xml:space="preserve">graf </w:t>
            </w:r>
            <w:r w:rsidRPr="00077F9A">
              <w:rPr>
                <w:i/>
              </w:rPr>
              <w:t>ska</w:t>
            </w:r>
            <w:r w:rsidRPr="00077F9A">
              <w:t xml:space="preserve"> riksdagen behandla de grö</w:t>
            </w:r>
            <w:r w:rsidRPr="00077F9A">
              <w:t>n</w:t>
            </w:r>
            <w:r w:rsidRPr="00077F9A">
              <w:t xml:space="preserve">böcker och vitböcker som </w:t>
            </w:r>
            <w:r w:rsidRPr="00077F9A">
              <w:rPr>
                <w:i/>
              </w:rPr>
              <w:t>överlä</w:t>
            </w:r>
            <w:r w:rsidRPr="00077F9A">
              <w:rPr>
                <w:i/>
              </w:rPr>
              <w:t>m</w:t>
            </w:r>
            <w:r w:rsidRPr="00077F9A">
              <w:rPr>
                <w:i/>
              </w:rPr>
              <w:t>nas till</w:t>
            </w:r>
            <w:r w:rsidRPr="00077F9A">
              <w:t xml:space="preserve"> riksdagen. Talma</w:t>
            </w:r>
            <w:r w:rsidRPr="00077F9A">
              <w:t>n</w:t>
            </w:r>
            <w:r w:rsidRPr="00077F9A">
              <w:t>nen får efter samråd med de särskilda för</w:t>
            </w:r>
            <w:r w:rsidRPr="00077F9A">
              <w:t>e</w:t>
            </w:r>
            <w:r w:rsidRPr="00077F9A">
              <w:t>trädarna för partigrupperna bestä</w:t>
            </w:r>
            <w:r w:rsidRPr="00077F9A">
              <w:t>m</w:t>
            </w:r>
            <w:r w:rsidRPr="00077F9A">
              <w:t>ma att även andra dokument från Europeiska uni</w:t>
            </w:r>
            <w:r w:rsidRPr="00077F9A">
              <w:t>o</w:t>
            </w:r>
            <w:r w:rsidRPr="00077F9A">
              <w:t xml:space="preserve">nen, med undantag för </w:t>
            </w:r>
            <w:r w:rsidRPr="00077F9A">
              <w:rPr>
                <w:i/>
              </w:rPr>
              <w:t>utkast till lagstiftning</w:t>
            </w:r>
            <w:r w:rsidRPr="00077F9A">
              <w:rPr>
                <w:i/>
              </w:rPr>
              <w:t>s</w:t>
            </w:r>
            <w:r w:rsidRPr="00077F9A">
              <w:rPr>
                <w:i/>
              </w:rPr>
              <w:t>akter, ska</w:t>
            </w:r>
            <w:r w:rsidRPr="00077F9A">
              <w:t xml:space="preserve"> behandlas på sa</w:t>
            </w:r>
            <w:r w:rsidRPr="00077F9A">
              <w:t>m</w:t>
            </w:r>
            <w:r w:rsidRPr="00077F9A">
              <w:t>ma sätt.</w:t>
            </w:r>
          </w:p>
          <w:p w:rsidR="00641BC1" w:rsidRPr="00077F9A" w:rsidRDefault="00641BC1" w:rsidP="00641BC1">
            <w:pPr>
              <w:pStyle w:val="LagtextIndrag"/>
            </w:pPr>
          </w:p>
          <w:p w:rsidR="00641BC1" w:rsidRPr="00077F9A" w:rsidRDefault="00641BC1" w:rsidP="00641BC1">
            <w:pPr>
              <w:pStyle w:val="LagtextIndrag"/>
            </w:pPr>
          </w:p>
          <w:p w:rsidR="00641BC1" w:rsidRPr="00077F9A" w:rsidRDefault="00641BC1" w:rsidP="00641BC1">
            <w:pPr>
              <w:pStyle w:val="LagtextIndrag"/>
            </w:pPr>
          </w:p>
          <w:p w:rsidR="00641BC1" w:rsidRPr="00077F9A" w:rsidRDefault="00641BC1" w:rsidP="00641BC1">
            <w:pPr>
              <w:pStyle w:val="LagtextIndrag"/>
            </w:pPr>
            <w:r w:rsidRPr="00077F9A">
              <w:t xml:space="preserve">Kammaren </w:t>
            </w:r>
            <w:r w:rsidRPr="00077F9A">
              <w:rPr>
                <w:i/>
              </w:rPr>
              <w:t>ska</w:t>
            </w:r>
            <w:r w:rsidRPr="00077F9A">
              <w:t xml:space="preserve"> med tillämpning av 4 kap. 1 och 7 §§ för granskning hänvisa ett sådant d</w:t>
            </w:r>
            <w:r w:rsidRPr="00077F9A">
              <w:t>o</w:t>
            </w:r>
            <w:r w:rsidRPr="00077F9A">
              <w:t>kument till berört utskott enligt bestämme</w:t>
            </w:r>
            <w:r w:rsidRPr="00077F9A">
              <w:t>l</w:t>
            </w:r>
            <w:r w:rsidRPr="00077F9A">
              <w:t>serna i 4 kap. 4–6 §§ med tillhörande tillägg</w:t>
            </w:r>
            <w:r w:rsidRPr="00077F9A">
              <w:t>s</w:t>
            </w:r>
            <w:r w:rsidRPr="00077F9A">
              <w:t>bestämmelser.</w:t>
            </w:r>
          </w:p>
          <w:p w:rsidR="00641BC1" w:rsidRPr="00077F9A" w:rsidRDefault="00641BC1" w:rsidP="00641BC1">
            <w:pPr>
              <w:pStyle w:val="LagtextIndrag"/>
            </w:pPr>
            <w:r w:rsidRPr="00077F9A">
              <w:t>Vid utskottets granskning av d</w:t>
            </w:r>
            <w:r w:rsidRPr="00077F9A">
              <w:t>o</w:t>
            </w:r>
            <w:r w:rsidRPr="00077F9A">
              <w:t xml:space="preserve">kumentet är 4 kap. 8 § tillämplig. Utskotten </w:t>
            </w:r>
            <w:r w:rsidRPr="00077F9A">
              <w:rPr>
                <w:i/>
              </w:rPr>
              <w:t>ska</w:t>
            </w:r>
            <w:r w:rsidRPr="00077F9A">
              <w:t xml:space="preserve"> inhämta behövliga upplysningar från rege</w:t>
            </w:r>
            <w:r w:rsidRPr="00077F9A">
              <w:t>r</w:t>
            </w:r>
            <w:r w:rsidRPr="00077F9A">
              <w:t>ingen.</w:t>
            </w:r>
          </w:p>
          <w:p w:rsidR="00641BC1" w:rsidRPr="00077F9A" w:rsidRDefault="00641BC1" w:rsidP="00641BC1">
            <w:pPr>
              <w:pStyle w:val="LagtextIndrag"/>
            </w:pPr>
            <w:r w:rsidRPr="00077F9A">
              <w:t xml:space="preserve">Utskottet </w:t>
            </w:r>
            <w:r w:rsidRPr="00077F9A">
              <w:rPr>
                <w:i/>
              </w:rPr>
              <w:t>ska</w:t>
            </w:r>
            <w:r w:rsidRPr="00077F9A">
              <w:t xml:space="preserve"> redovisa sin grans</w:t>
            </w:r>
            <w:r w:rsidRPr="00077F9A">
              <w:t>k</w:t>
            </w:r>
            <w:r w:rsidRPr="00077F9A">
              <w:t>ning i ett utlåtande till kammaren. Vid beslutet om utl</w:t>
            </w:r>
            <w:r w:rsidRPr="00077F9A">
              <w:t>å</w:t>
            </w:r>
            <w:r w:rsidRPr="00077F9A">
              <w:t>tandet är 4 kap. 15 och 16 §§ tillämpliga.</w:t>
            </w:r>
          </w:p>
          <w:p w:rsidR="00641BC1" w:rsidRPr="00077F9A" w:rsidRDefault="00641BC1" w:rsidP="00641BC1">
            <w:pPr>
              <w:pStyle w:val="LagtextIndrag"/>
            </w:pPr>
          </w:p>
        </w:tc>
      </w:tr>
      <w:tr w:rsidR="00641BC1" w:rsidRPr="00077F9A" w:rsidTr="00641BC1">
        <w:tc>
          <w:tcPr>
            <w:tcW w:w="6169" w:type="dxa"/>
            <w:gridSpan w:val="3"/>
          </w:tcPr>
          <w:p w:rsidR="00641BC1" w:rsidRPr="00077F9A" w:rsidRDefault="00641BC1" w:rsidP="00641BC1">
            <w:pPr>
              <w:pStyle w:val="LagtextIndrag"/>
            </w:pPr>
            <w:r w:rsidRPr="00077F9A">
              <w:t>Kammaren beslutar om utlåtandet med tilläm</w:t>
            </w:r>
            <w:r w:rsidRPr="00077F9A">
              <w:t>p</w:t>
            </w:r>
            <w:r w:rsidRPr="00077F9A">
              <w:t>ning av reglerna i 4 kap. 10 §, 5 kap. 1, 3–7 och 10 §§ med tillhörande tilläggsbestämmelser.</w:t>
            </w:r>
          </w:p>
          <w:p w:rsidR="00641BC1" w:rsidRPr="00077F9A" w:rsidRDefault="00641BC1" w:rsidP="00641BC1">
            <w:pPr>
              <w:pStyle w:val="LagtextIndrag"/>
            </w:pPr>
            <w:r w:rsidRPr="00077F9A">
              <w:t>Beträffande regeringens och andra statliga my</w:t>
            </w:r>
            <w:r w:rsidRPr="00077F9A">
              <w:t>n</w:t>
            </w:r>
            <w:r w:rsidRPr="00077F9A">
              <w:t>digheters skyldighet att lämna upplysninga</w:t>
            </w:r>
            <w:r w:rsidRPr="00077F9A">
              <w:rPr>
                <w:spacing w:val="-2"/>
              </w:rPr>
              <w:t>r i EU-frågor till utskotten finns bestämmelser i 4 kap. 11</w:t>
            </w:r>
            <w:r w:rsidRPr="00077F9A">
              <w:t xml:space="preserve"> §.</w:t>
            </w:r>
          </w:p>
        </w:tc>
      </w:tr>
      <w:tr w:rsidR="00641BC1" w:rsidRPr="00077F9A" w:rsidTr="00641BC1">
        <w:tc>
          <w:tcPr>
            <w:tcW w:w="6169" w:type="dxa"/>
            <w:gridSpan w:val="3"/>
          </w:tcPr>
          <w:p w:rsidR="00641BC1" w:rsidRPr="00077F9A" w:rsidRDefault="00641BC1" w:rsidP="00641BC1">
            <w:pPr>
              <w:pStyle w:val="LagtextIndrag"/>
            </w:pPr>
          </w:p>
        </w:tc>
      </w:tr>
      <w:tr w:rsidR="00641BC1" w:rsidRPr="00077F9A" w:rsidTr="00641BC1">
        <w:tc>
          <w:tcPr>
            <w:tcW w:w="3081" w:type="dxa"/>
            <w:gridSpan w:val="2"/>
          </w:tcPr>
          <w:p w:rsidR="00641BC1" w:rsidRPr="00077F9A" w:rsidRDefault="00641BC1" w:rsidP="00641BC1"/>
        </w:tc>
        <w:tc>
          <w:tcPr>
            <w:tcW w:w="3088" w:type="dxa"/>
          </w:tcPr>
          <w:p w:rsidR="00641BC1" w:rsidRPr="00077F9A" w:rsidRDefault="00641BC1" w:rsidP="00641BC1">
            <w:pPr>
              <w:pStyle w:val="Lagtext"/>
              <w:rPr>
                <w:b/>
                <w:i/>
              </w:rPr>
            </w:pPr>
            <w:r w:rsidRPr="00077F9A">
              <w:rPr>
                <w:b/>
                <w:i/>
              </w:rPr>
              <w:t>Subsidiaritetskontroll</w:t>
            </w:r>
          </w:p>
        </w:tc>
      </w:tr>
      <w:tr w:rsidR="00641BC1" w:rsidRPr="00077F9A" w:rsidTr="00641BC1">
        <w:tc>
          <w:tcPr>
            <w:tcW w:w="3081" w:type="dxa"/>
            <w:gridSpan w:val="2"/>
          </w:tcPr>
          <w:p w:rsidR="00641BC1" w:rsidRPr="00077F9A" w:rsidRDefault="00641BC1" w:rsidP="00641BC1">
            <w:pPr>
              <w:pStyle w:val="Lagtext"/>
            </w:pPr>
          </w:p>
        </w:tc>
        <w:tc>
          <w:tcPr>
            <w:tcW w:w="3088" w:type="dxa"/>
          </w:tcPr>
          <w:p w:rsidR="00641BC1" w:rsidRPr="00077F9A" w:rsidRDefault="00641BC1" w:rsidP="00641BC1">
            <w:pPr>
              <w:pStyle w:val="Lagtext"/>
              <w:rPr>
                <w:i/>
              </w:rPr>
            </w:pPr>
            <w:r w:rsidRPr="00077F9A">
              <w:rPr>
                <w:i/>
              </w:rPr>
              <w:t>6 §</w:t>
            </w:r>
          </w:p>
        </w:tc>
      </w:tr>
      <w:tr w:rsidR="00641BC1" w:rsidRPr="00077F9A" w:rsidTr="00641BC1">
        <w:tc>
          <w:tcPr>
            <w:tcW w:w="3081" w:type="dxa"/>
            <w:gridSpan w:val="2"/>
          </w:tcPr>
          <w:p w:rsidR="00641BC1" w:rsidRPr="00077F9A" w:rsidRDefault="00641BC1" w:rsidP="00641BC1"/>
        </w:tc>
        <w:tc>
          <w:tcPr>
            <w:tcW w:w="3088" w:type="dxa"/>
          </w:tcPr>
          <w:p w:rsidR="00641BC1" w:rsidRPr="00077F9A" w:rsidRDefault="00641BC1" w:rsidP="00641BC1">
            <w:pPr>
              <w:pStyle w:val="LagtextIndrag"/>
              <w:rPr>
                <w:i/>
              </w:rPr>
            </w:pPr>
            <w:r w:rsidRPr="00077F9A">
              <w:rPr>
                <w:i/>
              </w:rPr>
              <w:t>Riksdagen ska pröva om ett utkast till en lagstiftningsakt strider mot subsidiaritetspri</w:t>
            </w:r>
            <w:r w:rsidRPr="00077F9A">
              <w:rPr>
                <w:i/>
              </w:rPr>
              <w:t>n</w:t>
            </w:r>
            <w:r w:rsidRPr="00077F9A">
              <w:rPr>
                <w:i/>
              </w:rPr>
              <w:t xml:space="preserve">cipen. </w:t>
            </w:r>
          </w:p>
          <w:p w:rsidR="00641BC1" w:rsidRPr="00077F9A" w:rsidRDefault="00641BC1" w:rsidP="00641BC1">
            <w:pPr>
              <w:pStyle w:val="LagtextIndrag"/>
              <w:rPr>
                <w:i/>
              </w:rPr>
            </w:pPr>
            <w:r w:rsidRPr="00077F9A">
              <w:rPr>
                <w:i/>
              </w:rPr>
              <w:t>Kammaren ska med tillämpning av 4 kap. 1 och 7 §§ för prövning hänv</w:t>
            </w:r>
            <w:r w:rsidRPr="00077F9A">
              <w:rPr>
                <w:i/>
              </w:rPr>
              <w:t>i</w:t>
            </w:r>
            <w:r w:rsidRPr="00077F9A">
              <w:rPr>
                <w:i/>
              </w:rPr>
              <w:t>sa ett utkast till berört utskott enligt bestämmelserna i 4 kap. 4–6 §§ med tillhörande tilläggsb</w:t>
            </w:r>
            <w:r w:rsidRPr="00077F9A">
              <w:rPr>
                <w:i/>
              </w:rPr>
              <w:t>e</w:t>
            </w:r>
            <w:r w:rsidRPr="00077F9A">
              <w:rPr>
                <w:i/>
              </w:rPr>
              <w:t>stämmelser.</w:t>
            </w:r>
          </w:p>
          <w:p w:rsidR="00641BC1" w:rsidRPr="00077F9A" w:rsidRDefault="00641BC1" w:rsidP="00641BC1">
            <w:pPr>
              <w:pStyle w:val="LagtextIndrag"/>
              <w:rPr>
                <w:i/>
              </w:rPr>
            </w:pPr>
            <w:r w:rsidRPr="00077F9A">
              <w:rPr>
                <w:i/>
              </w:rPr>
              <w:t>Vid utskottets prö</w:t>
            </w:r>
            <w:r w:rsidRPr="00077F9A">
              <w:rPr>
                <w:i/>
              </w:rPr>
              <w:t>v</w:t>
            </w:r>
            <w:r w:rsidRPr="00077F9A">
              <w:rPr>
                <w:i/>
              </w:rPr>
              <w:t>ning är 4 kap. 8 § ti</w:t>
            </w:r>
            <w:r w:rsidRPr="00077F9A">
              <w:rPr>
                <w:i/>
              </w:rPr>
              <w:t>l</w:t>
            </w:r>
            <w:r w:rsidRPr="00077F9A">
              <w:rPr>
                <w:i/>
              </w:rPr>
              <w:t>lämplig. Regeringen ska inom två veckor från den dag då utskottet begär det informera om sin bedö</w:t>
            </w:r>
            <w:r w:rsidRPr="00077F9A">
              <w:rPr>
                <w:i/>
              </w:rPr>
              <w:t>m</w:t>
            </w:r>
            <w:r w:rsidRPr="00077F9A">
              <w:rPr>
                <w:i/>
              </w:rPr>
              <w:t>ning av tillämpningen av subsidiar</w:t>
            </w:r>
            <w:r w:rsidRPr="00077F9A">
              <w:rPr>
                <w:i/>
              </w:rPr>
              <w:t>i</w:t>
            </w:r>
            <w:r w:rsidRPr="00077F9A">
              <w:rPr>
                <w:i/>
              </w:rPr>
              <w:t>tetsprincipen i det aktuella utka</w:t>
            </w:r>
            <w:r w:rsidRPr="00077F9A">
              <w:rPr>
                <w:i/>
              </w:rPr>
              <w:t>s</w:t>
            </w:r>
            <w:r w:rsidRPr="00077F9A">
              <w:rPr>
                <w:i/>
              </w:rPr>
              <w:t>tet.</w:t>
            </w:r>
          </w:p>
          <w:p w:rsidR="00641BC1" w:rsidRPr="00077F9A" w:rsidRDefault="00641BC1" w:rsidP="00641BC1">
            <w:pPr>
              <w:pStyle w:val="LagtextIndrag"/>
              <w:rPr>
                <w:i/>
              </w:rPr>
            </w:pPr>
            <w:r w:rsidRPr="00077F9A">
              <w:rPr>
                <w:i/>
              </w:rPr>
              <w:t>Om minst fem ledamöter av utsko</w:t>
            </w:r>
            <w:r w:rsidRPr="00077F9A">
              <w:rPr>
                <w:i/>
              </w:rPr>
              <w:t>t</w:t>
            </w:r>
            <w:r w:rsidRPr="00077F9A">
              <w:rPr>
                <w:i/>
              </w:rPr>
              <w:t>tet a</w:t>
            </w:r>
            <w:r w:rsidRPr="00077F9A">
              <w:rPr>
                <w:i/>
              </w:rPr>
              <w:t>n</w:t>
            </w:r>
            <w:r w:rsidRPr="00077F9A">
              <w:rPr>
                <w:i/>
              </w:rPr>
              <w:t>ser att utkastet strider mot subsidiaritetsprinc</w:t>
            </w:r>
            <w:r w:rsidRPr="00077F9A">
              <w:rPr>
                <w:i/>
              </w:rPr>
              <w:t>i</w:t>
            </w:r>
            <w:r w:rsidRPr="00077F9A">
              <w:rPr>
                <w:i/>
              </w:rPr>
              <w:t>pen ska utskottet avge ett utlåtande till kammaren med förslag om att riksdagen ska avge ett motiverat yttrande till Europaparl</w:t>
            </w:r>
            <w:r w:rsidRPr="00077F9A">
              <w:rPr>
                <w:i/>
              </w:rPr>
              <w:t>a</w:t>
            </w:r>
            <w:r w:rsidRPr="00077F9A">
              <w:rPr>
                <w:i/>
              </w:rPr>
              <w:t>mentets, rådets och kommissi</w:t>
            </w:r>
            <w:r w:rsidRPr="00077F9A">
              <w:rPr>
                <w:i/>
              </w:rPr>
              <w:t>o</w:t>
            </w:r>
            <w:r w:rsidRPr="00077F9A">
              <w:rPr>
                <w:i/>
              </w:rPr>
              <w:t>nens ordförande. I annat fall ska utskottet anmäla genom prot</w:t>
            </w:r>
            <w:r w:rsidRPr="00077F9A">
              <w:rPr>
                <w:i/>
              </w:rPr>
              <w:t>o</w:t>
            </w:r>
            <w:r w:rsidRPr="00077F9A">
              <w:rPr>
                <w:i/>
              </w:rPr>
              <w:t>kollsutdrag till kamm</w:t>
            </w:r>
            <w:r w:rsidRPr="00077F9A">
              <w:rPr>
                <w:i/>
              </w:rPr>
              <w:t>a</w:t>
            </w:r>
            <w:r w:rsidRPr="00077F9A">
              <w:rPr>
                <w:i/>
              </w:rPr>
              <w:t>ren att utkastet inte strider mot subsidiar</w:t>
            </w:r>
            <w:r w:rsidRPr="00077F9A">
              <w:rPr>
                <w:i/>
              </w:rPr>
              <w:t>i</w:t>
            </w:r>
            <w:r w:rsidRPr="00077F9A">
              <w:rPr>
                <w:i/>
              </w:rPr>
              <w:t>tetsprincipen.</w:t>
            </w:r>
          </w:p>
          <w:p w:rsidR="00641BC1" w:rsidRPr="00077F9A" w:rsidRDefault="00641BC1" w:rsidP="00641BC1">
            <w:pPr>
              <w:pStyle w:val="LagtextIndrag"/>
              <w:rPr>
                <w:i/>
              </w:rPr>
            </w:pPr>
            <w:r w:rsidRPr="00077F9A">
              <w:rPr>
                <w:i/>
              </w:rPr>
              <w:t>Vid utskottets beslut om utlåtande är 4 kap. 15 och 16 §§ tillämpl</w:t>
            </w:r>
            <w:r w:rsidRPr="00077F9A">
              <w:rPr>
                <w:i/>
              </w:rPr>
              <w:t>i</w:t>
            </w:r>
            <w:r w:rsidRPr="00077F9A">
              <w:rPr>
                <w:i/>
              </w:rPr>
              <w:t>ga.</w:t>
            </w:r>
          </w:p>
          <w:p w:rsidR="00641BC1" w:rsidRPr="00077F9A" w:rsidRDefault="00641BC1" w:rsidP="00641BC1">
            <w:pPr>
              <w:pStyle w:val="LagtextIndrag"/>
              <w:rPr>
                <w:i/>
              </w:rPr>
            </w:pPr>
            <w:r w:rsidRPr="00077F9A">
              <w:rPr>
                <w:i/>
              </w:rPr>
              <w:t>Kammaren beslutar om utlåtandet med tillämpning av reglerna i 4 kap. 10 §, 5 kap. 1, 3–7 och 10 §§ med tillhörande tilläggsb</w:t>
            </w:r>
            <w:r w:rsidRPr="00077F9A">
              <w:rPr>
                <w:i/>
              </w:rPr>
              <w:t>e</w:t>
            </w:r>
            <w:r w:rsidRPr="00077F9A">
              <w:rPr>
                <w:i/>
              </w:rPr>
              <w:t>stämmelser.</w:t>
            </w:r>
          </w:p>
          <w:p w:rsidR="00641BC1" w:rsidRPr="00077F9A" w:rsidRDefault="00641BC1" w:rsidP="00641BC1">
            <w:pPr>
              <w:pStyle w:val="LagtextIndrag"/>
              <w:rPr>
                <w:i/>
              </w:rPr>
            </w:pPr>
            <w:r w:rsidRPr="00077F9A">
              <w:rPr>
                <w:i/>
              </w:rPr>
              <w:t>Konstitutionsutskottet ska följa ti</w:t>
            </w:r>
            <w:r w:rsidRPr="00077F9A">
              <w:rPr>
                <w:i/>
              </w:rPr>
              <w:t>l</w:t>
            </w:r>
            <w:r w:rsidRPr="00077F9A">
              <w:rPr>
                <w:i/>
              </w:rPr>
              <w:t>lämpningen av subsidiaritetsprinc</w:t>
            </w:r>
            <w:r w:rsidRPr="00077F9A">
              <w:rPr>
                <w:i/>
              </w:rPr>
              <w:t>i</w:t>
            </w:r>
            <w:r w:rsidRPr="00077F9A">
              <w:rPr>
                <w:i/>
              </w:rPr>
              <w:t>pen och en gång om året meddela kammaren sina iakttage</w:t>
            </w:r>
            <w:r w:rsidRPr="00077F9A">
              <w:rPr>
                <w:i/>
              </w:rPr>
              <w:t>l</w:t>
            </w:r>
            <w:r w:rsidRPr="00077F9A">
              <w:rPr>
                <w:i/>
              </w:rPr>
              <w:t>ser.</w:t>
            </w:r>
          </w:p>
        </w:tc>
      </w:tr>
      <w:tr w:rsidR="00641BC1" w:rsidRPr="00077F9A" w:rsidTr="00641BC1">
        <w:tc>
          <w:tcPr>
            <w:tcW w:w="3081" w:type="dxa"/>
            <w:gridSpan w:val="2"/>
          </w:tcPr>
          <w:p w:rsidR="00641BC1" w:rsidRPr="00077F9A" w:rsidRDefault="00641BC1" w:rsidP="00641BC1">
            <w:pPr>
              <w:pStyle w:val="Lagtext"/>
            </w:pPr>
          </w:p>
        </w:tc>
        <w:tc>
          <w:tcPr>
            <w:tcW w:w="3088" w:type="dxa"/>
          </w:tcPr>
          <w:p w:rsidR="00641BC1" w:rsidRPr="00077F9A" w:rsidRDefault="00641BC1" w:rsidP="00641BC1">
            <w:pPr>
              <w:pStyle w:val="Lagtext"/>
              <w:rPr>
                <w:i/>
                <w:iCs/>
              </w:rPr>
            </w:pPr>
          </w:p>
        </w:tc>
      </w:tr>
      <w:tr w:rsidR="00641BC1" w:rsidRPr="00077F9A" w:rsidTr="00641BC1">
        <w:tc>
          <w:tcPr>
            <w:tcW w:w="3081" w:type="dxa"/>
            <w:gridSpan w:val="2"/>
          </w:tcPr>
          <w:p w:rsidR="00641BC1" w:rsidRPr="00077F9A" w:rsidRDefault="00641BC1" w:rsidP="00641BC1"/>
        </w:tc>
        <w:tc>
          <w:tcPr>
            <w:tcW w:w="3088" w:type="dxa"/>
          </w:tcPr>
          <w:p w:rsidR="00641BC1" w:rsidRPr="00077F9A" w:rsidRDefault="00641BC1" w:rsidP="00641BC1">
            <w:pPr>
              <w:pStyle w:val="Lagtext"/>
              <w:rPr>
                <w:b/>
                <w:bCs/>
                <w:i/>
                <w:iCs/>
              </w:rPr>
            </w:pPr>
            <w:r w:rsidRPr="00077F9A">
              <w:rPr>
                <w:b/>
                <w:bCs/>
                <w:i/>
                <w:iCs/>
              </w:rPr>
              <w:t>Ledamöter i konvent för fördrag</w:t>
            </w:r>
            <w:r w:rsidRPr="00077F9A">
              <w:rPr>
                <w:b/>
                <w:bCs/>
                <w:i/>
                <w:iCs/>
              </w:rPr>
              <w:t>s</w:t>
            </w:r>
            <w:r w:rsidRPr="00077F9A">
              <w:rPr>
                <w:b/>
                <w:bCs/>
                <w:i/>
                <w:iCs/>
              </w:rPr>
              <w:t>ändringar inom Europeiska uni</w:t>
            </w:r>
            <w:r w:rsidRPr="00077F9A">
              <w:rPr>
                <w:b/>
                <w:bCs/>
                <w:i/>
                <w:iCs/>
              </w:rPr>
              <w:t>o</w:t>
            </w:r>
            <w:r w:rsidRPr="00077F9A">
              <w:rPr>
                <w:b/>
                <w:bCs/>
                <w:i/>
                <w:iCs/>
              </w:rPr>
              <w:t>nen</w:t>
            </w:r>
          </w:p>
        </w:tc>
      </w:tr>
      <w:tr w:rsidR="00641BC1" w:rsidRPr="00077F9A" w:rsidTr="00641BC1">
        <w:tc>
          <w:tcPr>
            <w:tcW w:w="3081" w:type="dxa"/>
            <w:gridSpan w:val="2"/>
          </w:tcPr>
          <w:p w:rsidR="00641BC1" w:rsidRPr="00077F9A" w:rsidRDefault="00641BC1" w:rsidP="00641BC1">
            <w:pPr>
              <w:pStyle w:val="Lagtext"/>
            </w:pPr>
          </w:p>
        </w:tc>
        <w:tc>
          <w:tcPr>
            <w:tcW w:w="3088" w:type="dxa"/>
          </w:tcPr>
          <w:p w:rsidR="00641BC1" w:rsidRPr="00077F9A" w:rsidRDefault="00641BC1" w:rsidP="00641BC1">
            <w:pPr>
              <w:pStyle w:val="Lagtext"/>
              <w:spacing w:before="125"/>
              <w:rPr>
                <w:i/>
                <w:iCs/>
              </w:rPr>
            </w:pPr>
            <w:r w:rsidRPr="00077F9A">
              <w:rPr>
                <w:i/>
              </w:rPr>
              <w:t>7 §</w:t>
            </w:r>
          </w:p>
        </w:tc>
      </w:tr>
      <w:tr w:rsidR="00641BC1" w:rsidRPr="00077F9A" w:rsidTr="00641BC1">
        <w:tc>
          <w:tcPr>
            <w:tcW w:w="3081" w:type="dxa"/>
            <w:gridSpan w:val="2"/>
          </w:tcPr>
          <w:p w:rsidR="00641BC1" w:rsidRPr="00077F9A" w:rsidRDefault="00641BC1" w:rsidP="00641BC1"/>
        </w:tc>
        <w:tc>
          <w:tcPr>
            <w:tcW w:w="3088" w:type="dxa"/>
          </w:tcPr>
          <w:p w:rsidR="00641BC1" w:rsidRPr="00077F9A" w:rsidRDefault="00641BC1" w:rsidP="00641BC1">
            <w:pPr>
              <w:pStyle w:val="LagtextIndrag"/>
              <w:rPr>
                <w:i/>
              </w:rPr>
            </w:pPr>
            <w:r w:rsidRPr="00077F9A">
              <w:rPr>
                <w:i/>
              </w:rPr>
              <w:t>Kammaren ska inom sig välja l</w:t>
            </w:r>
            <w:r w:rsidRPr="00077F9A">
              <w:rPr>
                <w:i/>
              </w:rPr>
              <w:t>e</w:t>
            </w:r>
            <w:r w:rsidRPr="00077F9A">
              <w:rPr>
                <w:i/>
              </w:rPr>
              <w:t>damöter och suppleanter för dessa led</w:t>
            </w:r>
            <w:r w:rsidRPr="00077F9A">
              <w:rPr>
                <w:i/>
              </w:rPr>
              <w:t>a</w:t>
            </w:r>
            <w:r w:rsidRPr="00077F9A">
              <w:rPr>
                <w:i/>
              </w:rPr>
              <w:t>möter i konvent som inrättas för att förbereda fördragsän</w:t>
            </w:r>
            <w:r w:rsidRPr="00077F9A">
              <w:rPr>
                <w:i/>
              </w:rPr>
              <w:t>d</w:t>
            </w:r>
            <w:r w:rsidRPr="00077F9A">
              <w:rPr>
                <w:i/>
              </w:rPr>
              <w:t>ringar inom Europeiska unionen. Om ett rik</w:t>
            </w:r>
            <w:r w:rsidRPr="00077F9A">
              <w:rPr>
                <w:i/>
              </w:rPr>
              <w:t>s</w:t>
            </w:r>
            <w:r w:rsidRPr="00077F9A">
              <w:rPr>
                <w:i/>
              </w:rPr>
              <w:t>dagsval äger rum under tiden som ett konvent arbetar ska riksd</w:t>
            </w:r>
            <w:r w:rsidRPr="00077F9A">
              <w:rPr>
                <w:i/>
              </w:rPr>
              <w:t>a</w:t>
            </w:r>
            <w:r w:rsidRPr="00077F9A">
              <w:rPr>
                <w:i/>
              </w:rPr>
              <w:t>gen efter riksdag</w:t>
            </w:r>
            <w:r w:rsidRPr="00077F9A">
              <w:rPr>
                <w:i/>
              </w:rPr>
              <w:t>s</w:t>
            </w:r>
            <w:r w:rsidRPr="00077F9A">
              <w:rPr>
                <w:i/>
              </w:rPr>
              <w:t>valet förrätta ett nytt val av ledamöter och supplea</w:t>
            </w:r>
            <w:r w:rsidRPr="00077F9A">
              <w:rPr>
                <w:i/>
              </w:rPr>
              <w:t>n</w:t>
            </w:r>
            <w:r w:rsidRPr="00077F9A">
              <w:rPr>
                <w:i/>
              </w:rPr>
              <w:t>ter i konve</w:t>
            </w:r>
            <w:r w:rsidRPr="00077F9A">
              <w:rPr>
                <w:i/>
              </w:rPr>
              <w:t>n</w:t>
            </w:r>
            <w:r w:rsidRPr="00077F9A">
              <w:rPr>
                <w:i/>
              </w:rPr>
              <w:t>tet. Vid valet tillämpas i övrigt bestämme</w:t>
            </w:r>
            <w:r w:rsidRPr="00077F9A">
              <w:rPr>
                <w:i/>
              </w:rPr>
              <w:t>l</w:t>
            </w:r>
            <w:r w:rsidRPr="00077F9A">
              <w:rPr>
                <w:i/>
              </w:rPr>
              <w:t>serna i 7 kap. 2–5 och 7 §§ samt för suppleanternas tjäns</w:t>
            </w:r>
            <w:r w:rsidRPr="00077F9A">
              <w:rPr>
                <w:i/>
              </w:rPr>
              <w:t>t</w:t>
            </w:r>
            <w:r w:rsidRPr="00077F9A">
              <w:rPr>
                <w:i/>
              </w:rPr>
              <w:t>göring 7 kap. 9 §.</w:t>
            </w:r>
          </w:p>
          <w:p w:rsidR="00641BC1" w:rsidRPr="00077F9A" w:rsidRDefault="00641BC1" w:rsidP="00641BC1">
            <w:pPr>
              <w:pStyle w:val="LagtextIndrag"/>
              <w:rPr>
                <w:i/>
              </w:rPr>
            </w:pPr>
            <w:r w:rsidRPr="00077F9A">
              <w:rPr>
                <w:i/>
              </w:rPr>
              <w:t>Konventsledamöter kan lämna i</w:t>
            </w:r>
            <w:r w:rsidRPr="00077F9A">
              <w:rPr>
                <w:i/>
              </w:rPr>
              <w:t>n</w:t>
            </w:r>
            <w:r w:rsidRPr="00077F9A">
              <w:rPr>
                <w:i/>
              </w:rPr>
              <w:t>form</w:t>
            </w:r>
            <w:r w:rsidRPr="00077F9A">
              <w:rPr>
                <w:i/>
              </w:rPr>
              <w:t>a</w:t>
            </w:r>
            <w:r w:rsidRPr="00077F9A">
              <w:rPr>
                <w:i/>
              </w:rPr>
              <w:t>tion om konventets arbete vid sammantr</w:t>
            </w:r>
            <w:r w:rsidRPr="00077F9A">
              <w:rPr>
                <w:i/>
              </w:rPr>
              <w:t>ä</w:t>
            </w:r>
            <w:r w:rsidRPr="00077F9A">
              <w:rPr>
                <w:i/>
              </w:rPr>
              <w:t xml:space="preserve">den med kammaren. </w:t>
            </w:r>
          </w:p>
        </w:tc>
      </w:tr>
      <w:tr w:rsidR="00641BC1" w:rsidRPr="00077F9A" w:rsidTr="00641BC1">
        <w:tc>
          <w:tcPr>
            <w:tcW w:w="3081" w:type="dxa"/>
            <w:gridSpan w:val="2"/>
          </w:tcPr>
          <w:p w:rsidR="00641BC1" w:rsidRPr="00077F9A" w:rsidRDefault="00641BC1" w:rsidP="00641BC1">
            <w:pPr>
              <w:pStyle w:val="Lagtext"/>
            </w:pPr>
          </w:p>
        </w:tc>
        <w:tc>
          <w:tcPr>
            <w:tcW w:w="3088" w:type="dxa"/>
          </w:tcPr>
          <w:p w:rsidR="00641BC1" w:rsidRPr="00077F9A" w:rsidRDefault="00641BC1" w:rsidP="00641BC1">
            <w:pPr>
              <w:pStyle w:val="Lagtext"/>
              <w:rPr>
                <w:i/>
                <w:iCs/>
              </w:rPr>
            </w:pPr>
          </w:p>
        </w:tc>
      </w:tr>
      <w:tr w:rsidR="00641BC1" w:rsidRPr="00077F9A" w:rsidTr="00641BC1">
        <w:tc>
          <w:tcPr>
            <w:tcW w:w="3081" w:type="dxa"/>
            <w:gridSpan w:val="2"/>
          </w:tcPr>
          <w:p w:rsidR="00641BC1" w:rsidRPr="00077F9A" w:rsidRDefault="00641BC1" w:rsidP="00641BC1"/>
        </w:tc>
        <w:tc>
          <w:tcPr>
            <w:tcW w:w="3088" w:type="dxa"/>
          </w:tcPr>
          <w:p w:rsidR="00641BC1" w:rsidRPr="00077F9A" w:rsidRDefault="00641BC1" w:rsidP="00641BC1">
            <w:pPr>
              <w:pStyle w:val="Lagtext"/>
              <w:rPr>
                <w:b/>
                <w:bCs/>
                <w:i/>
                <w:iCs/>
              </w:rPr>
            </w:pPr>
            <w:r w:rsidRPr="00077F9A">
              <w:rPr>
                <w:b/>
                <w:bCs/>
                <w:i/>
                <w:iCs/>
              </w:rPr>
              <w:t>Godkännande av vissa initiativ från Europei</w:t>
            </w:r>
            <w:r w:rsidRPr="00077F9A">
              <w:rPr>
                <w:b/>
                <w:bCs/>
                <w:i/>
                <w:iCs/>
              </w:rPr>
              <w:t>s</w:t>
            </w:r>
            <w:r w:rsidRPr="00077F9A">
              <w:rPr>
                <w:b/>
                <w:bCs/>
                <w:i/>
                <w:iCs/>
              </w:rPr>
              <w:t>ka unionen</w:t>
            </w:r>
          </w:p>
        </w:tc>
      </w:tr>
      <w:tr w:rsidR="00641BC1" w:rsidRPr="00077F9A" w:rsidTr="00641BC1">
        <w:tc>
          <w:tcPr>
            <w:tcW w:w="3081" w:type="dxa"/>
            <w:gridSpan w:val="2"/>
          </w:tcPr>
          <w:p w:rsidR="00641BC1" w:rsidRPr="00077F9A" w:rsidRDefault="00641BC1" w:rsidP="00641BC1">
            <w:pPr>
              <w:pStyle w:val="Lagtext"/>
              <w:rPr>
                <w:i/>
                <w:iCs/>
              </w:rPr>
            </w:pPr>
          </w:p>
        </w:tc>
        <w:tc>
          <w:tcPr>
            <w:tcW w:w="3088" w:type="dxa"/>
          </w:tcPr>
          <w:p w:rsidR="00641BC1" w:rsidRPr="00077F9A" w:rsidRDefault="00641BC1" w:rsidP="00641BC1">
            <w:pPr>
              <w:pStyle w:val="Lagtext"/>
              <w:spacing w:before="125"/>
              <w:rPr>
                <w:i/>
                <w:iCs/>
              </w:rPr>
            </w:pPr>
            <w:r w:rsidRPr="00077F9A">
              <w:rPr>
                <w:i/>
              </w:rPr>
              <w:t>8 §</w:t>
            </w:r>
          </w:p>
        </w:tc>
      </w:tr>
      <w:tr w:rsidR="00641BC1" w:rsidRPr="00077F9A" w:rsidTr="00641BC1">
        <w:tc>
          <w:tcPr>
            <w:tcW w:w="3081" w:type="dxa"/>
            <w:gridSpan w:val="2"/>
          </w:tcPr>
          <w:p w:rsidR="00641BC1" w:rsidRPr="00077F9A" w:rsidRDefault="00641BC1" w:rsidP="00641BC1">
            <w:pPr>
              <w:pStyle w:val="Lagtext"/>
              <w:rPr>
                <w:i/>
                <w:iCs/>
              </w:rPr>
            </w:pPr>
          </w:p>
        </w:tc>
        <w:tc>
          <w:tcPr>
            <w:tcW w:w="3088" w:type="dxa"/>
          </w:tcPr>
          <w:p w:rsidR="00641BC1" w:rsidRPr="00077F9A" w:rsidRDefault="00641BC1" w:rsidP="00641BC1">
            <w:pPr>
              <w:pStyle w:val="LagtextIndrag"/>
              <w:rPr>
                <w:i/>
                <w:iCs/>
              </w:rPr>
            </w:pPr>
            <w:r w:rsidRPr="00077F9A">
              <w:rPr>
                <w:i/>
                <w:iCs/>
              </w:rPr>
              <w:t>Riksdagen ska godkänna eller av-slå ett initi</w:t>
            </w:r>
            <w:r w:rsidRPr="00077F9A">
              <w:rPr>
                <w:i/>
                <w:iCs/>
              </w:rPr>
              <w:t>a</w:t>
            </w:r>
            <w:r w:rsidRPr="00077F9A">
              <w:rPr>
                <w:i/>
                <w:iCs/>
              </w:rPr>
              <w:t>tiv från Europeiska rådet att besluta om ett bemyndigande för rådet att ändra beslutsor</w:t>
            </w:r>
            <w:r w:rsidRPr="00077F9A">
              <w:rPr>
                <w:i/>
                <w:iCs/>
              </w:rPr>
              <w:t>d</w:t>
            </w:r>
            <w:r w:rsidRPr="00077F9A">
              <w:rPr>
                <w:i/>
                <w:iCs/>
              </w:rPr>
              <w:t>ningen på ett visst o</w:t>
            </w:r>
            <w:r w:rsidRPr="00077F9A">
              <w:rPr>
                <w:i/>
                <w:iCs/>
              </w:rPr>
              <w:t>m</w:t>
            </w:r>
            <w:r w:rsidRPr="00077F9A">
              <w:rPr>
                <w:i/>
                <w:iCs/>
              </w:rPr>
              <w:t>råde eller i ett visst fall från enhällighet till kvalific</w:t>
            </w:r>
            <w:r w:rsidRPr="00077F9A">
              <w:rPr>
                <w:i/>
                <w:iCs/>
              </w:rPr>
              <w:t>e</w:t>
            </w:r>
            <w:r w:rsidRPr="00077F9A">
              <w:rPr>
                <w:i/>
                <w:iCs/>
              </w:rPr>
              <w:t>rad majoritet eller från ett särskilt la</w:t>
            </w:r>
            <w:r w:rsidRPr="00077F9A">
              <w:rPr>
                <w:i/>
                <w:iCs/>
              </w:rPr>
              <w:t>g</w:t>
            </w:r>
            <w:r w:rsidRPr="00077F9A">
              <w:rPr>
                <w:i/>
                <w:iCs/>
              </w:rPr>
              <w:t>stiftningsförfarande till det ordinarie la</w:t>
            </w:r>
            <w:r w:rsidRPr="00077F9A">
              <w:rPr>
                <w:i/>
                <w:iCs/>
              </w:rPr>
              <w:t>g</w:t>
            </w:r>
            <w:r w:rsidRPr="00077F9A">
              <w:rPr>
                <w:i/>
                <w:iCs/>
              </w:rPr>
              <w:t>stiftningsförfarandet. Riksdagen ska också godkänna eller avslå ett förslag från Europeiska kommissi</w:t>
            </w:r>
            <w:r w:rsidRPr="00077F9A">
              <w:rPr>
                <w:i/>
                <w:iCs/>
              </w:rPr>
              <w:t>o</w:t>
            </w:r>
            <w:r w:rsidRPr="00077F9A">
              <w:rPr>
                <w:i/>
                <w:iCs/>
              </w:rPr>
              <w:t>nen att ange vilka aspekter av fami</w:t>
            </w:r>
            <w:r w:rsidRPr="00077F9A">
              <w:rPr>
                <w:i/>
                <w:iCs/>
              </w:rPr>
              <w:t>l</w:t>
            </w:r>
            <w:r w:rsidRPr="00077F9A">
              <w:rPr>
                <w:i/>
                <w:iCs/>
              </w:rPr>
              <w:t>jerätten som har grän</w:t>
            </w:r>
            <w:r w:rsidRPr="00077F9A">
              <w:rPr>
                <w:i/>
                <w:iCs/>
              </w:rPr>
              <w:t>s</w:t>
            </w:r>
            <w:r w:rsidRPr="00077F9A">
              <w:rPr>
                <w:i/>
                <w:iCs/>
              </w:rPr>
              <w:t>överskridande följder och som kan bli föremål för lagstiftningsakter som antas i enli</w:t>
            </w:r>
            <w:r w:rsidRPr="00077F9A">
              <w:rPr>
                <w:i/>
                <w:iCs/>
              </w:rPr>
              <w:t>g</w:t>
            </w:r>
            <w:r w:rsidRPr="00077F9A">
              <w:rPr>
                <w:i/>
                <w:iCs/>
              </w:rPr>
              <w:t>het med det ordinarie lagstiftning</w:t>
            </w:r>
            <w:r w:rsidRPr="00077F9A">
              <w:rPr>
                <w:i/>
                <w:iCs/>
              </w:rPr>
              <w:t>s</w:t>
            </w:r>
            <w:r w:rsidRPr="00077F9A">
              <w:rPr>
                <w:i/>
                <w:iCs/>
              </w:rPr>
              <w:t xml:space="preserve">förfarandet. </w:t>
            </w:r>
          </w:p>
          <w:p w:rsidR="00641BC1" w:rsidRPr="00077F9A" w:rsidRDefault="00641BC1" w:rsidP="00641BC1">
            <w:pPr>
              <w:pStyle w:val="LagtextIndrag"/>
              <w:rPr>
                <w:i/>
                <w:iCs/>
              </w:rPr>
            </w:pPr>
            <w:r w:rsidRPr="00077F9A">
              <w:rPr>
                <w:i/>
                <w:iCs/>
              </w:rPr>
              <w:t>Kammaren ska med tillämpning av 4 kap. 1 och 7 §§ hänvisa ett initiativ till berört utskott enligt bestämme</w:t>
            </w:r>
            <w:r w:rsidRPr="00077F9A">
              <w:rPr>
                <w:i/>
                <w:iCs/>
              </w:rPr>
              <w:t>l</w:t>
            </w:r>
            <w:r w:rsidRPr="00077F9A">
              <w:rPr>
                <w:i/>
                <w:iCs/>
              </w:rPr>
              <w:t>serna i 4 kap. 4–6 §§ med tillh</w:t>
            </w:r>
            <w:r w:rsidRPr="00077F9A">
              <w:rPr>
                <w:i/>
                <w:iCs/>
              </w:rPr>
              <w:t>ö</w:t>
            </w:r>
            <w:r w:rsidRPr="00077F9A">
              <w:rPr>
                <w:i/>
                <w:iCs/>
              </w:rPr>
              <w:t>rande tilläggsb</w:t>
            </w:r>
            <w:r w:rsidRPr="00077F9A">
              <w:rPr>
                <w:i/>
                <w:iCs/>
              </w:rPr>
              <w:t>e</w:t>
            </w:r>
            <w:r w:rsidRPr="00077F9A">
              <w:rPr>
                <w:i/>
                <w:iCs/>
              </w:rPr>
              <w:t>stämmelser.</w:t>
            </w:r>
          </w:p>
          <w:p w:rsidR="00641BC1" w:rsidRPr="00077F9A" w:rsidRDefault="00641BC1" w:rsidP="00641BC1">
            <w:pPr>
              <w:pStyle w:val="LagtextIndrag"/>
              <w:rPr>
                <w:i/>
                <w:iCs/>
              </w:rPr>
            </w:pPr>
            <w:r w:rsidRPr="00077F9A">
              <w:rPr>
                <w:i/>
                <w:iCs/>
              </w:rPr>
              <w:t>Vid utskottets b</w:t>
            </w:r>
            <w:r w:rsidRPr="00077F9A">
              <w:rPr>
                <w:i/>
                <w:iCs/>
              </w:rPr>
              <w:t>e</w:t>
            </w:r>
            <w:r w:rsidRPr="00077F9A">
              <w:rPr>
                <w:i/>
                <w:iCs/>
              </w:rPr>
              <w:t>handling är 4 kap. 8 § tillämplig. Utskotten ska inhämta behövliga upplysningar från rege</w:t>
            </w:r>
            <w:r w:rsidRPr="00077F9A">
              <w:rPr>
                <w:i/>
                <w:iCs/>
              </w:rPr>
              <w:t>r</w:t>
            </w:r>
            <w:r w:rsidRPr="00077F9A">
              <w:rPr>
                <w:i/>
                <w:iCs/>
              </w:rPr>
              <w:t>ingen.</w:t>
            </w:r>
          </w:p>
          <w:p w:rsidR="00641BC1" w:rsidRPr="00077F9A" w:rsidRDefault="00641BC1" w:rsidP="00641BC1">
            <w:pPr>
              <w:pStyle w:val="LagtextIndrag"/>
              <w:rPr>
                <w:i/>
                <w:iCs/>
              </w:rPr>
            </w:pPr>
            <w:r w:rsidRPr="00077F9A">
              <w:rPr>
                <w:i/>
                <w:iCs/>
              </w:rPr>
              <w:t>Utskottet ska redov</w:t>
            </w:r>
            <w:r w:rsidRPr="00077F9A">
              <w:rPr>
                <w:i/>
                <w:iCs/>
              </w:rPr>
              <w:t>i</w:t>
            </w:r>
            <w:r w:rsidRPr="00077F9A">
              <w:rPr>
                <w:i/>
                <w:iCs/>
              </w:rPr>
              <w:t>sa sitt förslag till beslut i ett utlåtande till kamm</w:t>
            </w:r>
            <w:r w:rsidRPr="00077F9A">
              <w:rPr>
                <w:i/>
                <w:iCs/>
              </w:rPr>
              <w:t>a</w:t>
            </w:r>
            <w:r w:rsidRPr="00077F9A">
              <w:rPr>
                <w:i/>
                <w:iCs/>
              </w:rPr>
              <w:t>ren. Vid beslutet om utlåtandet är 4 kap. 15 och 16 §§ tillämpliga.</w:t>
            </w:r>
          </w:p>
          <w:p w:rsidR="00641BC1" w:rsidRPr="00077F9A" w:rsidRDefault="00641BC1" w:rsidP="00641BC1">
            <w:pPr>
              <w:pStyle w:val="LagtextIndrag"/>
              <w:rPr>
                <w:i/>
                <w:iCs/>
              </w:rPr>
            </w:pPr>
            <w:r w:rsidRPr="00077F9A">
              <w:rPr>
                <w:i/>
                <w:iCs/>
              </w:rPr>
              <w:t>Kammaren beslutar om utlåtandet med tillämpning av reglerna i 4 kap. 10 §, 5 kap. 1, 3–7 och 10 §§ med tillhörande tilläggsb</w:t>
            </w:r>
            <w:r w:rsidRPr="00077F9A">
              <w:rPr>
                <w:i/>
                <w:iCs/>
              </w:rPr>
              <w:t>e</w:t>
            </w:r>
            <w:r w:rsidRPr="00077F9A">
              <w:rPr>
                <w:i/>
                <w:iCs/>
              </w:rPr>
              <w:t>stämmelser.</w:t>
            </w:r>
          </w:p>
          <w:p w:rsidR="00641BC1" w:rsidRPr="00077F9A" w:rsidRDefault="00641BC1" w:rsidP="00641BC1">
            <w:pPr>
              <w:pStyle w:val="Lagtext"/>
              <w:rPr>
                <w:i/>
                <w:iCs/>
              </w:rPr>
            </w:pPr>
          </w:p>
        </w:tc>
      </w:tr>
    </w:tbl>
    <w:p w:rsidR="00641BC1" w:rsidRPr="00077F9A" w:rsidRDefault="00641BC1" w:rsidP="00641BC1">
      <w:r w:rsidRPr="00077F9A">
        <w:t>____________</w:t>
      </w:r>
    </w:p>
    <w:p w:rsidR="00641BC1" w:rsidRPr="00077F9A" w:rsidRDefault="00641BC1" w:rsidP="00641BC1">
      <w:pPr>
        <w:pStyle w:val="Lagtext"/>
      </w:pPr>
      <w:r w:rsidRPr="00077F9A">
        <w:t>Denna lag träder i kraft den dag regeringen bestämmer.</w:t>
      </w:r>
    </w:p>
    <w:p w:rsidR="00784DB5" w:rsidRPr="00077F9A" w:rsidRDefault="00784DB5" w:rsidP="00DA1127">
      <w:bookmarkStart w:id="25" w:name="_Toc230677032"/>
      <w:bookmarkStart w:id="26" w:name="_Toc230708082"/>
    </w:p>
    <w:p w:rsidR="00784DB5" w:rsidRPr="00077F9A" w:rsidRDefault="00784DB5" w:rsidP="00DA1127"/>
    <w:p w:rsidR="00784DB5" w:rsidRPr="00077F9A" w:rsidRDefault="00784DB5" w:rsidP="00DA1127"/>
    <w:p w:rsidR="00784DB5" w:rsidRPr="00077F9A" w:rsidRDefault="00784DB5" w:rsidP="00DA1127"/>
    <w:p w:rsidR="00784DB5" w:rsidRPr="00077F9A" w:rsidRDefault="00784DB5" w:rsidP="00DA1127"/>
    <w:p w:rsidR="00784DB5" w:rsidRPr="00077F9A" w:rsidRDefault="00784DB5" w:rsidP="00DA1127"/>
    <w:p w:rsidR="00784DB5" w:rsidRPr="00077F9A" w:rsidRDefault="00784DB5" w:rsidP="00DA1127"/>
    <w:p w:rsidR="00784DB5" w:rsidRPr="00077F9A" w:rsidRDefault="00784DB5" w:rsidP="00DA1127"/>
    <w:p w:rsidR="00784DB5" w:rsidRPr="00077F9A" w:rsidRDefault="00784DB5" w:rsidP="00DA1127"/>
    <w:p w:rsidR="00784DB5" w:rsidRPr="00077F9A" w:rsidRDefault="00784DB5" w:rsidP="00DA1127"/>
    <w:p w:rsidR="00784DB5" w:rsidRPr="00077F9A" w:rsidRDefault="00784DB5" w:rsidP="00DA1127"/>
    <w:p w:rsidR="00784DB5" w:rsidRPr="00077F9A" w:rsidRDefault="00784DB5" w:rsidP="00DA1127"/>
    <w:p w:rsidR="00784DB5" w:rsidRPr="00077F9A" w:rsidRDefault="00784DB5" w:rsidP="00DA1127"/>
    <w:p w:rsidR="00784DB5" w:rsidRPr="00077F9A" w:rsidRDefault="00784DB5" w:rsidP="00DA1127"/>
    <w:p w:rsidR="00784DB5" w:rsidRPr="00077F9A" w:rsidRDefault="00784DB5" w:rsidP="00DA1127"/>
    <w:p w:rsidR="00E57510" w:rsidRPr="00077F9A" w:rsidRDefault="00E57510" w:rsidP="00E57510"/>
    <w:p w:rsidR="00E57510" w:rsidRPr="00077F9A" w:rsidRDefault="00E57510" w:rsidP="00E57510">
      <w:pPr>
        <w:sectPr w:rsidR="00E57510" w:rsidRPr="00077F9A" w:rsidSect="00CF1B5E">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6" w:h="16838" w:code="9"/>
          <w:pgMar w:top="907" w:right="4649" w:bottom="4508" w:left="1304" w:header="340" w:footer="227" w:gutter="0"/>
          <w:cols w:space="720"/>
          <w:titlePg/>
        </w:sectPr>
      </w:pPr>
    </w:p>
    <w:p w:rsidR="00C23C55" w:rsidRPr="00077F9A" w:rsidRDefault="00C23C55" w:rsidP="005C3132">
      <w:pPr>
        <w:pStyle w:val="Normaltindrag"/>
      </w:pPr>
    </w:p>
    <w:p w:rsidR="00C23C55" w:rsidRPr="00077F9A" w:rsidRDefault="00C23C55" w:rsidP="005C3132">
      <w:pPr>
        <w:pStyle w:val="Normaltindrag"/>
      </w:pPr>
    </w:p>
    <w:p w:rsidR="00C23C55" w:rsidRPr="00077F9A" w:rsidRDefault="00C23C55" w:rsidP="005C3132">
      <w:pPr>
        <w:pStyle w:val="Normaltindrag"/>
      </w:pPr>
    </w:p>
    <w:p w:rsidR="00C23C55" w:rsidRPr="00077F9A" w:rsidRDefault="00C23C55" w:rsidP="005C3132">
      <w:pPr>
        <w:pStyle w:val="Normaltindrag"/>
      </w:pPr>
    </w:p>
    <w:p w:rsidR="00C23C55" w:rsidRPr="00077F9A" w:rsidRDefault="00C23C55" w:rsidP="005C3132">
      <w:pPr>
        <w:pStyle w:val="Normaltindrag"/>
      </w:pPr>
    </w:p>
    <w:p w:rsidR="00C23C55" w:rsidRPr="00077F9A" w:rsidRDefault="00C23C55" w:rsidP="005C3132">
      <w:pPr>
        <w:pStyle w:val="Normaltindrag"/>
      </w:pPr>
    </w:p>
    <w:p w:rsidR="005C3132" w:rsidRPr="00077F9A" w:rsidRDefault="005C3132" w:rsidP="00DA1127">
      <w:pPr>
        <w:jc w:val="center"/>
      </w:pPr>
      <w:r w:rsidRPr="00077F9A">
        <w:t>Utdrag ur 2008/09:URF2</w:t>
      </w:r>
    </w:p>
    <w:p w:rsidR="00DA1127" w:rsidRPr="00077F9A" w:rsidRDefault="00DA1127" w:rsidP="00E57510"/>
    <w:p w:rsidR="005C3132" w:rsidRPr="00077F9A" w:rsidRDefault="005C3132" w:rsidP="005C3132">
      <w:pPr>
        <w:pStyle w:val="HuvudRubrik"/>
        <w:jc w:val="center"/>
      </w:pPr>
      <w:r w:rsidRPr="00077F9A">
        <w:t xml:space="preserve">Tillämpningen av Lissabonfördraget </w:t>
      </w:r>
      <w:r w:rsidRPr="00077F9A">
        <w:br/>
        <w:t>i riksdagen</w:t>
      </w:r>
    </w:p>
    <w:p w:rsidR="00DA1127" w:rsidRPr="00077F9A" w:rsidRDefault="00DA1127" w:rsidP="00E57510"/>
    <w:p w:rsidR="00C23C55" w:rsidRPr="00077F9A" w:rsidRDefault="00C23C55" w:rsidP="00E57510"/>
    <w:p w:rsidR="00DA1127" w:rsidRPr="00077F9A" w:rsidRDefault="00DA1127" w:rsidP="00C23C55">
      <w:pPr>
        <w:ind w:left="1134" w:right="1134"/>
      </w:pPr>
      <w:r w:rsidRPr="00077F9A">
        <w:t xml:space="preserve">Här har uteslutits bilaga 3 Arbetspromemorior från </w:t>
      </w:r>
      <w:r w:rsidR="00C23C55" w:rsidRPr="00077F9A">
        <w:t>2008/09:</w:t>
      </w:r>
      <w:r w:rsidRPr="00077F9A">
        <w:t>URF2. Med anledning härav har vissa mindre ändringar gjorts i texten.</w:t>
      </w:r>
    </w:p>
    <w:p w:rsidR="005C3132" w:rsidRPr="00077F9A" w:rsidRDefault="005C3132" w:rsidP="00E57510"/>
    <w:p w:rsidR="005C3132" w:rsidRPr="00077F9A" w:rsidRDefault="005C3132" w:rsidP="00E57510"/>
    <w:p w:rsidR="00CF1B5E" w:rsidRPr="00077F9A" w:rsidRDefault="00E57510" w:rsidP="00AF0A69">
      <w:pPr>
        <w:pStyle w:val="Rubrik2"/>
        <w:spacing w:before="0" w:after="240"/>
        <w:rPr>
          <w:sz w:val="32"/>
          <w:szCs w:val="32"/>
        </w:rPr>
      </w:pPr>
      <w:bookmarkStart w:id="27" w:name="_Toc227660618"/>
      <w:bookmarkStart w:id="28" w:name="_Toc227662083"/>
      <w:bookmarkEnd w:id="25"/>
      <w:bookmarkEnd w:id="26"/>
      <w:r w:rsidRPr="00077F9A">
        <w:br w:type="page"/>
      </w:r>
      <w:r w:rsidR="00CF1B5E" w:rsidRPr="00077F9A">
        <w:rPr>
          <w:sz w:val="32"/>
          <w:szCs w:val="32"/>
        </w:rPr>
        <w:t>Till riksdagsstyrelsen</w:t>
      </w:r>
      <w:bookmarkEnd w:id="27"/>
      <w:bookmarkEnd w:id="28"/>
    </w:p>
    <w:p w:rsidR="00CF1B5E" w:rsidRPr="00077F9A" w:rsidRDefault="00CF1B5E" w:rsidP="00CF1B5E">
      <w:pPr>
        <w:rPr>
          <w:rFonts w:cs="Bembo"/>
        </w:rPr>
      </w:pPr>
      <w:r w:rsidRPr="00077F9A">
        <w:rPr>
          <w:rFonts w:cs="Bembo"/>
        </w:rPr>
        <w:t>Riksdagsstyrelsen beslutade den 11 juni 2008 att tillkalla en utredare med uppdrag att utarbeta ett förslag om riksdagens hantering av subsidiaritetsko</w:t>
      </w:r>
      <w:r w:rsidRPr="00077F9A">
        <w:rPr>
          <w:rFonts w:cs="Bembo"/>
        </w:rPr>
        <w:t>n</w:t>
      </w:r>
      <w:r w:rsidRPr="00077F9A">
        <w:rPr>
          <w:rFonts w:cs="Bembo"/>
        </w:rPr>
        <w:t>trollen och andra frågor enligt Lissabonfördraget. Till utredare utsågs f.d. kanslichefen i konstitutionsutskottet Ma</w:t>
      </w:r>
      <w:r w:rsidRPr="00077F9A">
        <w:rPr>
          <w:rFonts w:cs="Bembo"/>
        </w:rPr>
        <w:t>g</w:t>
      </w:r>
      <w:r w:rsidRPr="00077F9A">
        <w:rPr>
          <w:rFonts w:cs="Bembo"/>
        </w:rPr>
        <w:t>nus Isberg. Utredningen har antagit namnet Lissabonutredningen.</w:t>
      </w:r>
    </w:p>
    <w:p w:rsidR="00CF1B5E" w:rsidRPr="00077F9A" w:rsidRDefault="00CF1B5E" w:rsidP="00CF1B5E">
      <w:pPr>
        <w:pStyle w:val="Normaltindrag"/>
      </w:pPr>
      <w:r w:rsidRPr="00077F9A">
        <w:t>Vid fullgörandet av utredningsuppdraget har utredaren biträtts av en av riksdagsdirektören tillsatt expertgrupp bestående av Martin Brothén, för</w:t>
      </w:r>
      <w:r w:rsidRPr="00077F9A">
        <w:t>e</w:t>
      </w:r>
      <w:r w:rsidRPr="00077F9A">
        <w:t>dragande i utrikesutskottet, Thomas Larue, föredragande i konstitutionsu</w:t>
      </w:r>
      <w:r w:rsidRPr="00077F9A">
        <w:t>t</w:t>
      </w:r>
      <w:r w:rsidRPr="00077F9A">
        <w:t>skottet, Bengt Ohlsson, riksdagens representant vid EU:s institutioner, Jan Olsson, kanslichef i EU-nämnden (fr.o.m. den 3 december 2008), Charlotte Rydell, planeringschef, och Kristina Svartz, kanslichef i just</w:t>
      </w:r>
      <w:r w:rsidRPr="00077F9A">
        <w:t>i</w:t>
      </w:r>
      <w:r w:rsidRPr="00077F9A">
        <w:t>tieutskottet.</w:t>
      </w:r>
    </w:p>
    <w:p w:rsidR="00CF1B5E" w:rsidRPr="00077F9A" w:rsidRDefault="00CF1B5E" w:rsidP="00CF1B5E">
      <w:pPr>
        <w:pStyle w:val="Normaltindrag"/>
      </w:pPr>
      <w:r w:rsidRPr="00077F9A">
        <w:t>Utredaren har haft 11 sammanträden med experterna.</w:t>
      </w:r>
    </w:p>
    <w:p w:rsidR="00CF1B5E" w:rsidRPr="00077F9A" w:rsidRDefault="00CF1B5E" w:rsidP="00CF1B5E">
      <w:pPr>
        <w:pStyle w:val="Normaltindrag"/>
      </w:pPr>
      <w:r w:rsidRPr="00077F9A">
        <w:t>Utredningen har fått muntlig information om försöksverksamhet med su</w:t>
      </w:r>
      <w:r w:rsidRPr="00077F9A">
        <w:t>b</w:t>
      </w:r>
      <w:r w:rsidRPr="00077F9A">
        <w:t>sidiaritetsgranskning i justitieutskottet av kanslichef Kristina Svartz, i arbet</w:t>
      </w:r>
      <w:r w:rsidRPr="00077F9A">
        <w:t>s</w:t>
      </w:r>
      <w:r w:rsidRPr="00077F9A">
        <w:t>marknadsutskottet av kanslichef Gunilla Upmark och i socialu</w:t>
      </w:r>
      <w:r w:rsidRPr="00077F9A">
        <w:t>t</w:t>
      </w:r>
      <w:r w:rsidRPr="00077F9A">
        <w:t>skottet av kanslichef Monica Karlsson Dohnhammar och föredragande Kirsten Dieden. Vidare har u</w:t>
      </w:r>
      <w:r w:rsidRPr="00077F9A">
        <w:t>t</w:t>
      </w:r>
      <w:r w:rsidRPr="00077F9A">
        <w:t>redningen träffat en tjänstemannadelegation från Sveriges Kommuner och Land</w:t>
      </w:r>
      <w:r w:rsidRPr="00077F9A">
        <w:t>s</w:t>
      </w:r>
      <w:r w:rsidRPr="00077F9A">
        <w:t>ting.</w:t>
      </w:r>
    </w:p>
    <w:p w:rsidR="00CF1B5E" w:rsidRPr="00077F9A" w:rsidRDefault="00CF1B5E" w:rsidP="00CF1B5E">
      <w:pPr>
        <w:pStyle w:val="Normaltindrag"/>
      </w:pPr>
      <w:r w:rsidRPr="00077F9A">
        <w:t>Utredaren har stämt av sitt förslag med partigruppernas särskilda företräd</w:t>
      </w:r>
      <w:r w:rsidRPr="00077F9A">
        <w:t>a</w:t>
      </w:r>
      <w:r w:rsidRPr="00077F9A">
        <w:t xml:space="preserve">re vid ett sammanträde den 25 mars 2009. </w:t>
      </w:r>
    </w:p>
    <w:p w:rsidR="00CF1B5E" w:rsidRPr="00077F9A" w:rsidRDefault="00CF1B5E" w:rsidP="00CF1B5E">
      <w:pPr>
        <w:pStyle w:val="Normaltindrag"/>
      </w:pPr>
      <w:r w:rsidRPr="00077F9A">
        <w:t>Utredningens arbete är i och med avlämnandet av denna rapport slutfört.</w:t>
      </w:r>
    </w:p>
    <w:p w:rsidR="00CF1B5E" w:rsidRPr="00077F9A" w:rsidRDefault="00CF1B5E" w:rsidP="00CF1B5E">
      <w:pPr>
        <w:pStyle w:val="Normaltindrag"/>
      </w:pPr>
    </w:p>
    <w:p w:rsidR="00CF1B5E" w:rsidRPr="00077F9A" w:rsidRDefault="00CF1B5E" w:rsidP="00CF1B5E">
      <w:r w:rsidRPr="00077F9A">
        <w:t>Stockholm den 5 maj 2009</w:t>
      </w:r>
    </w:p>
    <w:p w:rsidR="00CF1B5E" w:rsidRPr="00077F9A" w:rsidRDefault="00CF1B5E" w:rsidP="00CF1B5E">
      <w:pPr>
        <w:rPr>
          <w:rFonts w:cs="Bembo"/>
        </w:rPr>
      </w:pPr>
    </w:p>
    <w:p w:rsidR="00CF1B5E" w:rsidRPr="00077F9A" w:rsidRDefault="00CF1B5E" w:rsidP="00CF1B5E">
      <w:pPr>
        <w:rPr>
          <w:i/>
        </w:rPr>
      </w:pPr>
      <w:r w:rsidRPr="00077F9A">
        <w:rPr>
          <w:i/>
        </w:rPr>
        <w:t>Magnus Isberg</w:t>
      </w:r>
    </w:p>
    <w:p w:rsidR="00CF1B5E" w:rsidRPr="00077F9A" w:rsidRDefault="00CF1B5E" w:rsidP="00CF1B5E">
      <w:pPr>
        <w:pStyle w:val="Normaltindrag"/>
      </w:pPr>
    </w:p>
    <w:p w:rsidR="00CF1B5E" w:rsidRPr="00077F9A" w:rsidRDefault="00CF1B5E" w:rsidP="00CF1B5E">
      <w:pPr>
        <w:pStyle w:val="Normaltindrag"/>
      </w:pPr>
    </w:p>
    <w:p w:rsidR="00CF1B5E" w:rsidRPr="00077F9A" w:rsidRDefault="00CF1B5E" w:rsidP="00CF1B5E">
      <w:pPr>
        <w:pStyle w:val="Normaltindrag"/>
      </w:pPr>
      <w:bookmarkStart w:id="29" w:name="_Toc223952201"/>
      <w:bookmarkStart w:id="30" w:name="_Toc227660619"/>
      <w:bookmarkStart w:id="31" w:name="_Toc227662084"/>
      <w:bookmarkStart w:id="32" w:name="_Toc227994076"/>
    </w:p>
    <w:p w:rsidR="00067D3D" w:rsidRPr="00077F9A" w:rsidRDefault="00067D3D" w:rsidP="00CF1B5E">
      <w:pPr>
        <w:pStyle w:val="Normaltindrag"/>
      </w:pPr>
    </w:p>
    <w:p w:rsidR="00067D3D" w:rsidRPr="00077F9A" w:rsidRDefault="00067D3D" w:rsidP="00CF1B5E">
      <w:pPr>
        <w:pStyle w:val="Normaltindrag"/>
      </w:pPr>
    </w:p>
    <w:p w:rsidR="00067D3D" w:rsidRPr="00077F9A" w:rsidRDefault="00067D3D" w:rsidP="00CF1B5E">
      <w:pPr>
        <w:pStyle w:val="Normaltindrag"/>
      </w:pPr>
    </w:p>
    <w:p w:rsidR="00067D3D" w:rsidRPr="00077F9A" w:rsidRDefault="00067D3D" w:rsidP="00CF1B5E">
      <w:pPr>
        <w:pStyle w:val="Normaltindrag"/>
      </w:pPr>
    </w:p>
    <w:p w:rsidR="00067D3D" w:rsidRPr="00077F9A" w:rsidRDefault="00067D3D" w:rsidP="00CF1B5E">
      <w:pPr>
        <w:pStyle w:val="Normaltindrag"/>
      </w:pPr>
    </w:p>
    <w:p w:rsidR="00067D3D" w:rsidRPr="00077F9A" w:rsidRDefault="00067D3D" w:rsidP="00CF1B5E">
      <w:pPr>
        <w:pStyle w:val="Normaltindrag"/>
      </w:pPr>
    </w:p>
    <w:p w:rsidR="00067D3D" w:rsidRPr="00077F9A" w:rsidRDefault="00067D3D" w:rsidP="00CF1B5E">
      <w:pPr>
        <w:pStyle w:val="Normaltindrag"/>
      </w:pPr>
    </w:p>
    <w:p w:rsidR="00067D3D" w:rsidRPr="00077F9A" w:rsidRDefault="00067D3D" w:rsidP="00CF1B5E">
      <w:pPr>
        <w:pStyle w:val="Normaltindrag"/>
      </w:pPr>
    </w:p>
    <w:p w:rsidR="00067D3D" w:rsidRPr="00077F9A" w:rsidRDefault="00067D3D" w:rsidP="00CF1B5E">
      <w:pPr>
        <w:pStyle w:val="Normaltindrag"/>
      </w:pPr>
    </w:p>
    <w:p w:rsidR="00AF0A69" w:rsidRPr="00077F9A" w:rsidRDefault="00AF0A69" w:rsidP="00E57510">
      <w:r w:rsidRPr="00077F9A">
        <w:br/>
      </w:r>
    </w:p>
    <w:p w:rsidR="00067D3D" w:rsidRPr="00077F9A" w:rsidRDefault="00AF0A69" w:rsidP="00AF0A69">
      <w:pPr>
        <w:pStyle w:val="R1"/>
      </w:pPr>
      <w:r w:rsidRPr="00077F9A">
        <w:br w:type="page"/>
      </w:r>
      <w:r w:rsidR="00067D3D" w:rsidRPr="00077F9A">
        <w:t>Innehållsförteckning</w:t>
      </w:r>
    </w:p>
    <w:p w:rsidR="00067D3D" w:rsidRPr="00077F9A" w:rsidRDefault="00067D3D">
      <w:pPr>
        <w:pStyle w:val="Innehll1"/>
        <w:rPr>
          <w:sz w:val="24"/>
          <w:szCs w:val="24"/>
        </w:rPr>
      </w:pPr>
      <w:r w:rsidRPr="00077F9A">
        <w:fldChar w:fldCharType="begin" w:fldLock="1"/>
      </w:r>
      <w:r w:rsidRPr="00077F9A">
        <w:instrText xml:space="preserve"> TOC \o "1-2" \u </w:instrText>
      </w:r>
      <w:r w:rsidRPr="00077F9A">
        <w:fldChar w:fldCharType="separate"/>
      </w:r>
      <w:r w:rsidRPr="00077F9A">
        <w:t>1 Sammanfattning</w:t>
      </w:r>
      <w:r w:rsidRPr="00077F9A">
        <w:tab/>
      </w:r>
      <w:r w:rsidRPr="00077F9A">
        <w:fldChar w:fldCharType="begin" w:fldLock="1"/>
      </w:r>
      <w:r w:rsidRPr="00077F9A">
        <w:instrText xml:space="preserve"> PAGEREF _Toc230677033 \h </w:instrText>
      </w:r>
      <w:r w:rsidRPr="00077F9A">
        <w:fldChar w:fldCharType="separate"/>
      </w:r>
      <w:r w:rsidR="00077A44" w:rsidRPr="00077F9A">
        <w:t>16</w:t>
      </w:r>
      <w:r w:rsidRPr="00077F9A">
        <w:fldChar w:fldCharType="end"/>
      </w:r>
    </w:p>
    <w:p w:rsidR="00067D3D" w:rsidRPr="00077F9A" w:rsidRDefault="00067D3D">
      <w:pPr>
        <w:pStyle w:val="Innehll1"/>
        <w:rPr>
          <w:sz w:val="24"/>
          <w:szCs w:val="24"/>
        </w:rPr>
      </w:pPr>
      <w:r w:rsidRPr="00077F9A">
        <w:t>2 Inledning</w:t>
      </w:r>
      <w:r w:rsidRPr="00077F9A">
        <w:tab/>
      </w:r>
      <w:r w:rsidRPr="00077F9A">
        <w:fldChar w:fldCharType="begin" w:fldLock="1"/>
      </w:r>
      <w:r w:rsidRPr="00077F9A">
        <w:instrText xml:space="preserve"> PAGEREF _Toc230677034 \h </w:instrText>
      </w:r>
      <w:r w:rsidRPr="00077F9A">
        <w:fldChar w:fldCharType="separate"/>
      </w:r>
      <w:r w:rsidR="00077A44" w:rsidRPr="00077F9A">
        <w:t>19</w:t>
      </w:r>
      <w:r w:rsidRPr="00077F9A">
        <w:fldChar w:fldCharType="end"/>
      </w:r>
    </w:p>
    <w:p w:rsidR="00067D3D" w:rsidRPr="00077F9A" w:rsidRDefault="00067D3D">
      <w:pPr>
        <w:pStyle w:val="Innehll2"/>
        <w:rPr>
          <w:sz w:val="24"/>
          <w:szCs w:val="24"/>
        </w:rPr>
      </w:pPr>
      <w:r w:rsidRPr="00077F9A">
        <w:t>2.1 Uppdraget</w:t>
      </w:r>
      <w:r w:rsidRPr="00077F9A">
        <w:tab/>
      </w:r>
      <w:r w:rsidRPr="00077F9A">
        <w:fldChar w:fldCharType="begin" w:fldLock="1"/>
      </w:r>
      <w:r w:rsidRPr="00077F9A">
        <w:instrText xml:space="preserve"> PAGEREF _Toc230677035 \h </w:instrText>
      </w:r>
      <w:r w:rsidRPr="00077F9A">
        <w:fldChar w:fldCharType="separate"/>
      </w:r>
      <w:r w:rsidR="00077A44" w:rsidRPr="00077F9A">
        <w:t>19</w:t>
      </w:r>
      <w:r w:rsidRPr="00077F9A">
        <w:fldChar w:fldCharType="end"/>
      </w:r>
    </w:p>
    <w:p w:rsidR="00067D3D" w:rsidRPr="00077F9A" w:rsidRDefault="00067D3D">
      <w:pPr>
        <w:pStyle w:val="Innehll2"/>
        <w:rPr>
          <w:sz w:val="24"/>
          <w:szCs w:val="24"/>
        </w:rPr>
      </w:pPr>
      <w:r w:rsidRPr="00077F9A">
        <w:t>2.2 Rapportens innehåll</w:t>
      </w:r>
      <w:r w:rsidRPr="00077F9A">
        <w:tab/>
      </w:r>
      <w:r w:rsidRPr="00077F9A">
        <w:fldChar w:fldCharType="begin" w:fldLock="1"/>
      </w:r>
      <w:r w:rsidRPr="00077F9A">
        <w:instrText xml:space="preserve"> PAGEREF _Toc230677036 \h </w:instrText>
      </w:r>
      <w:r w:rsidRPr="00077F9A">
        <w:fldChar w:fldCharType="separate"/>
      </w:r>
      <w:r w:rsidR="00077A44" w:rsidRPr="00077F9A">
        <w:t>19</w:t>
      </w:r>
      <w:r w:rsidRPr="00077F9A">
        <w:fldChar w:fldCharType="end"/>
      </w:r>
    </w:p>
    <w:p w:rsidR="00067D3D" w:rsidRPr="00077F9A" w:rsidRDefault="00067D3D">
      <w:pPr>
        <w:pStyle w:val="Innehll1"/>
        <w:rPr>
          <w:sz w:val="24"/>
          <w:szCs w:val="24"/>
        </w:rPr>
      </w:pPr>
      <w:r w:rsidRPr="00077F9A">
        <w:t>3 Utvecklingen före Lissabonfördraget</w:t>
      </w:r>
      <w:r w:rsidRPr="00077F9A">
        <w:tab/>
      </w:r>
      <w:r w:rsidRPr="00077F9A">
        <w:fldChar w:fldCharType="begin" w:fldLock="1"/>
      </w:r>
      <w:r w:rsidRPr="00077F9A">
        <w:instrText xml:space="preserve"> PAGEREF _Toc230677037 \h </w:instrText>
      </w:r>
      <w:r w:rsidRPr="00077F9A">
        <w:fldChar w:fldCharType="separate"/>
      </w:r>
      <w:r w:rsidR="00077A44" w:rsidRPr="00077F9A">
        <w:t>21</w:t>
      </w:r>
      <w:r w:rsidRPr="00077F9A">
        <w:fldChar w:fldCharType="end"/>
      </w:r>
    </w:p>
    <w:p w:rsidR="00067D3D" w:rsidRPr="00077F9A" w:rsidRDefault="00067D3D">
      <w:pPr>
        <w:pStyle w:val="Innehll2"/>
        <w:rPr>
          <w:sz w:val="24"/>
          <w:szCs w:val="24"/>
        </w:rPr>
      </w:pPr>
      <w:r w:rsidRPr="00077F9A">
        <w:t>3.1 Subsidiaritetsprincipen i EU</w:t>
      </w:r>
      <w:r w:rsidRPr="00077F9A">
        <w:tab/>
      </w:r>
      <w:r w:rsidRPr="00077F9A">
        <w:fldChar w:fldCharType="begin" w:fldLock="1"/>
      </w:r>
      <w:r w:rsidRPr="00077F9A">
        <w:instrText xml:space="preserve"> PAGEREF _Toc230677038 \h </w:instrText>
      </w:r>
      <w:r w:rsidRPr="00077F9A">
        <w:fldChar w:fldCharType="separate"/>
      </w:r>
      <w:r w:rsidR="00077A44" w:rsidRPr="00077F9A">
        <w:t>21</w:t>
      </w:r>
      <w:r w:rsidRPr="00077F9A">
        <w:fldChar w:fldCharType="end"/>
      </w:r>
    </w:p>
    <w:p w:rsidR="00067D3D" w:rsidRPr="00077F9A" w:rsidRDefault="00067D3D">
      <w:pPr>
        <w:pStyle w:val="Innehll2"/>
        <w:rPr>
          <w:sz w:val="24"/>
          <w:szCs w:val="24"/>
        </w:rPr>
      </w:pPr>
      <w:r w:rsidRPr="00077F9A">
        <w:t>3.2 De nationella parlamentens roll i EU</w:t>
      </w:r>
      <w:r w:rsidRPr="00077F9A">
        <w:tab/>
      </w:r>
      <w:r w:rsidRPr="00077F9A">
        <w:fldChar w:fldCharType="begin" w:fldLock="1"/>
      </w:r>
      <w:r w:rsidRPr="00077F9A">
        <w:instrText xml:space="preserve"> PAGEREF _Toc230677039 \h </w:instrText>
      </w:r>
      <w:r w:rsidRPr="00077F9A">
        <w:fldChar w:fldCharType="separate"/>
      </w:r>
      <w:r w:rsidR="00077A44" w:rsidRPr="00077F9A">
        <w:t>26</w:t>
      </w:r>
      <w:r w:rsidRPr="00077F9A">
        <w:fldChar w:fldCharType="end"/>
      </w:r>
    </w:p>
    <w:p w:rsidR="00067D3D" w:rsidRPr="00077F9A" w:rsidRDefault="00067D3D">
      <w:pPr>
        <w:pStyle w:val="Innehll2"/>
        <w:rPr>
          <w:sz w:val="24"/>
          <w:szCs w:val="24"/>
        </w:rPr>
      </w:pPr>
      <w:r w:rsidRPr="00077F9A">
        <w:t>3.3 Kontakter mellan parlamenten inom EU</w:t>
      </w:r>
      <w:r w:rsidRPr="00077F9A">
        <w:tab/>
      </w:r>
      <w:r w:rsidRPr="00077F9A">
        <w:fldChar w:fldCharType="begin" w:fldLock="1"/>
      </w:r>
      <w:r w:rsidRPr="00077F9A">
        <w:instrText xml:space="preserve"> PAGEREF _Toc230677040 \h </w:instrText>
      </w:r>
      <w:r w:rsidRPr="00077F9A">
        <w:fldChar w:fldCharType="separate"/>
      </w:r>
      <w:r w:rsidR="00077A44" w:rsidRPr="00077F9A">
        <w:t>29</w:t>
      </w:r>
      <w:r w:rsidRPr="00077F9A">
        <w:fldChar w:fldCharType="end"/>
      </w:r>
    </w:p>
    <w:p w:rsidR="00067D3D" w:rsidRPr="00077F9A" w:rsidRDefault="00067D3D">
      <w:pPr>
        <w:pStyle w:val="Innehll1"/>
        <w:rPr>
          <w:sz w:val="24"/>
          <w:szCs w:val="24"/>
        </w:rPr>
      </w:pPr>
      <w:r w:rsidRPr="00077F9A">
        <w:t>4 Lissabonfördragets bestämmelser</w:t>
      </w:r>
      <w:r w:rsidRPr="00077F9A">
        <w:tab/>
      </w:r>
      <w:r w:rsidRPr="00077F9A">
        <w:fldChar w:fldCharType="begin" w:fldLock="1"/>
      </w:r>
      <w:r w:rsidRPr="00077F9A">
        <w:instrText xml:space="preserve"> PAGEREF _Toc230677041 \h </w:instrText>
      </w:r>
      <w:r w:rsidRPr="00077F9A">
        <w:fldChar w:fldCharType="separate"/>
      </w:r>
      <w:r w:rsidR="00077A44" w:rsidRPr="00077F9A">
        <w:t>32</w:t>
      </w:r>
      <w:r w:rsidRPr="00077F9A">
        <w:fldChar w:fldCharType="end"/>
      </w:r>
    </w:p>
    <w:p w:rsidR="00067D3D" w:rsidRPr="00077F9A" w:rsidRDefault="00067D3D">
      <w:pPr>
        <w:pStyle w:val="Innehll2"/>
        <w:rPr>
          <w:sz w:val="24"/>
          <w:szCs w:val="24"/>
        </w:rPr>
      </w:pPr>
      <w:r w:rsidRPr="00077F9A">
        <w:t>4.1 Inledning</w:t>
      </w:r>
      <w:r w:rsidRPr="00077F9A">
        <w:tab/>
      </w:r>
      <w:r w:rsidRPr="00077F9A">
        <w:fldChar w:fldCharType="begin" w:fldLock="1"/>
      </w:r>
      <w:r w:rsidRPr="00077F9A">
        <w:instrText xml:space="preserve"> PAGEREF _Toc230677042 \h </w:instrText>
      </w:r>
      <w:r w:rsidRPr="00077F9A">
        <w:fldChar w:fldCharType="separate"/>
      </w:r>
      <w:r w:rsidR="00077A44" w:rsidRPr="00077F9A">
        <w:t>32</w:t>
      </w:r>
      <w:r w:rsidRPr="00077F9A">
        <w:fldChar w:fldCharType="end"/>
      </w:r>
    </w:p>
    <w:p w:rsidR="00067D3D" w:rsidRPr="00077F9A" w:rsidRDefault="00067D3D">
      <w:pPr>
        <w:pStyle w:val="Innehll2"/>
        <w:rPr>
          <w:sz w:val="24"/>
          <w:szCs w:val="24"/>
        </w:rPr>
      </w:pPr>
      <w:r w:rsidRPr="00077F9A">
        <w:t>4.2 Unionens befogenheter</w:t>
      </w:r>
      <w:r w:rsidRPr="00077F9A">
        <w:tab/>
      </w:r>
      <w:r w:rsidRPr="00077F9A">
        <w:fldChar w:fldCharType="begin" w:fldLock="1"/>
      </w:r>
      <w:r w:rsidRPr="00077F9A">
        <w:instrText xml:space="preserve"> PAGEREF _Toc230677043 \h </w:instrText>
      </w:r>
      <w:r w:rsidRPr="00077F9A">
        <w:fldChar w:fldCharType="separate"/>
      </w:r>
      <w:r w:rsidR="00077A44" w:rsidRPr="00077F9A">
        <w:t>33</w:t>
      </w:r>
      <w:r w:rsidRPr="00077F9A">
        <w:fldChar w:fldCharType="end"/>
      </w:r>
    </w:p>
    <w:p w:rsidR="00067D3D" w:rsidRPr="00077F9A" w:rsidRDefault="00067D3D">
      <w:pPr>
        <w:pStyle w:val="Innehll2"/>
        <w:rPr>
          <w:sz w:val="24"/>
          <w:szCs w:val="24"/>
        </w:rPr>
      </w:pPr>
      <w:r w:rsidRPr="00077F9A">
        <w:t>4.3 Unionens lagstiftningsförfaranden</w:t>
      </w:r>
      <w:r w:rsidRPr="00077F9A">
        <w:tab/>
      </w:r>
      <w:r w:rsidRPr="00077F9A">
        <w:fldChar w:fldCharType="begin" w:fldLock="1"/>
      </w:r>
      <w:r w:rsidRPr="00077F9A">
        <w:instrText xml:space="preserve"> PAGEREF _Toc230677044 \h </w:instrText>
      </w:r>
      <w:r w:rsidRPr="00077F9A">
        <w:fldChar w:fldCharType="separate"/>
      </w:r>
      <w:r w:rsidR="00077A44" w:rsidRPr="00077F9A">
        <w:t>35</w:t>
      </w:r>
      <w:r w:rsidRPr="00077F9A">
        <w:fldChar w:fldCharType="end"/>
      </w:r>
    </w:p>
    <w:p w:rsidR="00067D3D" w:rsidRPr="00077F9A" w:rsidRDefault="00067D3D">
      <w:pPr>
        <w:pStyle w:val="Innehll2"/>
        <w:rPr>
          <w:sz w:val="24"/>
          <w:szCs w:val="24"/>
        </w:rPr>
      </w:pPr>
      <w:r w:rsidRPr="00077F9A">
        <w:t>4.4 De nationella parlamentens medverkan i EU:s lagstiftningsförfaranden</w:t>
      </w:r>
      <w:r w:rsidRPr="00077F9A">
        <w:tab/>
      </w:r>
      <w:r w:rsidRPr="00077F9A">
        <w:fldChar w:fldCharType="begin" w:fldLock="1"/>
      </w:r>
      <w:r w:rsidRPr="00077F9A">
        <w:instrText xml:space="preserve"> PAGEREF _Toc230677045 \h </w:instrText>
      </w:r>
      <w:r w:rsidRPr="00077F9A">
        <w:fldChar w:fldCharType="separate"/>
      </w:r>
      <w:r w:rsidR="00077A44" w:rsidRPr="00077F9A">
        <w:t>37</w:t>
      </w:r>
      <w:r w:rsidRPr="00077F9A">
        <w:fldChar w:fldCharType="end"/>
      </w:r>
    </w:p>
    <w:p w:rsidR="00067D3D" w:rsidRPr="00077F9A" w:rsidRDefault="00067D3D">
      <w:pPr>
        <w:pStyle w:val="Innehll2"/>
        <w:rPr>
          <w:sz w:val="24"/>
          <w:szCs w:val="24"/>
        </w:rPr>
      </w:pPr>
      <w:r w:rsidRPr="00077F9A">
        <w:t>4.5 Det interparlamentariska samarbetet</w:t>
      </w:r>
      <w:r w:rsidRPr="00077F9A">
        <w:tab/>
      </w:r>
      <w:r w:rsidRPr="00077F9A">
        <w:fldChar w:fldCharType="begin" w:fldLock="1"/>
      </w:r>
      <w:r w:rsidRPr="00077F9A">
        <w:instrText xml:space="preserve"> PAGEREF _Toc230677046 \h </w:instrText>
      </w:r>
      <w:r w:rsidRPr="00077F9A">
        <w:fldChar w:fldCharType="separate"/>
      </w:r>
      <w:r w:rsidR="00077A44" w:rsidRPr="00077F9A">
        <w:t>43</w:t>
      </w:r>
      <w:r w:rsidRPr="00077F9A">
        <w:fldChar w:fldCharType="end"/>
      </w:r>
    </w:p>
    <w:p w:rsidR="00067D3D" w:rsidRPr="00077F9A" w:rsidRDefault="00067D3D">
      <w:pPr>
        <w:pStyle w:val="Innehll2"/>
        <w:rPr>
          <w:sz w:val="24"/>
          <w:szCs w:val="24"/>
        </w:rPr>
      </w:pPr>
      <w:r w:rsidRPr="00077F9A">
        <w:t>4.6 Sammanfattning och slutsatser</w:t>
      </w:r>
      <w:r w:rsidRPr="00077F9A">
        <w:tab/>
      </w:r>
      <w:r w:rsidRPr="00077F9A">
        <w:fldChar w:fldCharType="begin" w:fldLock="1"/>
      </w:r>
      <w:r w:rsidRPr="00077F9A">
        <w:instrText xml:space="preserve"> PAGEREF _Toc230677047 \h </w:instrText>
      </w:r>
      <w:r w:rsidRPr="00077F9A">
        <w:fldChar w:fldCharType="separate"/>
      </w:r>
      <w:r w:rsidR="00077A44" w:rsidRPr="00077F9A">
        <w:t>45</w:t>
      </w:r>
      <w:r w:rsidRPr="00077F9A">
        <w:fldChar w:fldCharType="end"/>
      </w:r>
    </w:p>
    <w:p w:rsidR="00067D3D" w:rsidRPr="00077F9A" w:rsidRDefault="00067D3D">
      <w:pPr>
        <w:pStyle w:val="Innehll1"/>
        <w:rPr>
          <w:sz w:val="24"/>
          <w:szCs w:val="24"/>
        </w:rPr>
      </w:pPr>
      <w:r w:rsidRPr="00077F9A">
        <w:t>5 Försök med subsidiaritetskontroll</w:t>
      </w:r>
      <w:r w:rsidRPr="00077F9A">
        <w:tab/>
      </w:r>
      <w:r w:rsidRPr="00077F9A">
        <w:fldChar w:fldCharType="begin" w:fldLock="1"/>
      </w:r>
      <w:r w:rsidRPr="00077F9A">
        <w:instrText xml:space="preserve"> PAGEREF _Toc230677048 \h </w:instrText>
      </w:r>
      <w:r w:rsidRPr="00077F9A">
        <w:fldChar w:fldCharType="separate"/>
      </w:r>
      <w:r w:rsidR="00077A44" w:rsidRPr="00077F9A">
        <w:t>47</w:t>
      </w:r>
      <w:r w:rsidRPr="00077F9A">
        <w:fldChar w:fldCharType="end"/>
      </w:r>
    </w:p>
    <w:p w:rsidR="00067D3D" w:rsidRPr="00077F9A" w:rsidRDefault="00067D3D">
      <w:pPr>
        <w:pStyle w:val="Innehll1"/>
        <w:rPr>
          <w:sz w:val="24"/>
          <w:szCs w:val="24"/>
        </w:rPr>
      </w:pPr>
      <w:r w:rsidRPr="00077F9A">
        <w:t>6 Riksdagens deltagande i EU:s beslutsprocesser – överväganden och förslag</w:t>
      </w:r>
      <w:r w:rsidRPr="00077F9A">
        <w:tab/>
      </w:r>
      <w:r w:rsidRPr="00077F9A">
        <w:fldChar w:fldCharType="begin" w:fldLock="1"/>
      </w:r>
      <w:r w:rsidRPr="00077F9A">
        <w:instrText xml:space="preserve"> PAGEREF _Toc230677049 \h </w:instrText>
      </w:r>
      <w:r w:rsidRPr="00077F9A">
        <w:fldChar w:fldCharType="separate"/>
      </w:r>
      <w:r w:rsidR="00077A44" w:rsidRPr="00077F9A">
        <w:t>50</w:t>
      </w:r>
      <w:r w:rsidRPr="00077F9A">
        <w:fldChar w:fldCharType="end"/>
      </w:r>
    </w:p>
    <w:p w:rsidR="00067D3D" w:rsidRPr="00077F9A" w:rsidRDefault="00067D3D">
      <w:pPr>
        <w:pStyle w:val="Innehll2"/>
        <w:rPr>
          <w:sz w:val="24"/>
          <w:szCs w:val="24"/>
        </w:rPr>
      </w:pPr>
      <w:r w:rsidRPr="00077F9A">
        <w:t>6.1 Inledning</w:t>
      </w:r>
      <w:r w:rsidRPr="00077F9A">
        <w:tab/>
      </w:r>
      <w:r w:rsidRPr="00077F9A">
        <w:fldChar w:fldCharType="begin" w:fldLock="1"/>
      </w:r>
      <w:r w:rsidRPr="00077F9A">
        <w:instrText xml:space="preserve"> PAGEREF _Toc230677050 \h </w:instrText>
      </w:r>
      <w:r w:rsidRPr="00077F9A">
        <w:fldChar w:fldCharType="separate"/>
      </w:r>
      <w:r w:rsidR="00077A44" w:rsidRPr="00077F9A">
        <w:t>50</w:t>
      </w:r>
      <w:r w:rsidRPr="00077F9A">
        <w:fldChar w:fldCharType="end"/>
      </w:r>
    </w:p>
    <w:p w:rsidR="00067D3D" w:rsidRPr="00077F9A" w:rsidRDefault="00067D3D">
      <w:pPr>
        <w:pStyle w:val="Innehll2"/>
        <w:rPr>
          <w:sz w:val="24"/>
          <w:szCs w:val="24"/>
        </w:rPr>
      </w:pPr>
      <w:r w:rsidRPr="00077F9A">
        <w:t>6.2 Subsidiaritetskontrollen</w:t>
      </w:r>
      <w:r w:rsidRPr="00077F9A">
        <w:tab/>
      </w:r>
      <w:r w:rsidRPr="00077F9A">
        <w:fldChar w:fldCharType="begin" w:fldLock="1"/>
      </w:r>
      <w:r w:rsidRPr="00077F9A">
        <w:instrText xml:space="preserve"> PAGEREF _Toc230677051 \h </w:instrText>
      </w:r>
      <w:r w:rsidRPr="00077F9A">
        <w:fldChar w:fldCharType="separate"/>
      </w:r>
      <w:r w:rsidR="00077A44" w:rsidRPr="00077F9A">
        <w:t>51</w:t>
      </w:r>
      <w:r w:rsidRPr="00077F9A">
        <w:fldChar w:fldCharType="end"/>
      </w:r>
    </w:p>
    <w:p w:rsidR="00067D3D" w:rsidRPr="00077F9A" w:rsidRDefault="00067D3D">
      <w:pPr>
        <w:pStyle w:val="Innehll2"/>
        <w:rPr>
          <w:sz w:val="24"/>
          <w:szCs w:val="24"/>
        </w:rPr>
      </w:pPr>
      <w:r w:rsidRPr="00077F9A">
        <w:t>6.3 Deltagande i konvent enligt det ordinarie förfarandet för fördragsändringar</w:t>
      </w:r>
      <w:r w:rsidRPr="00077F9A">
        <w:tab/>
      </w:r>
      <w:r w:rsidRPr="00077F9A">
        <w:fldChar w:fldCharType="begin" w:fldLock="1"/>
      </w:r>
      <w:r w:rsidRPr="00077F9A">
        <w:instrText xml:space="preserve"> PAGEREF _Toc230677052 \h </w:instrText>
      </w:r>
      <w:r w:rsidRPr="00077F9A">
        <w:fldChar w:fldCharType="separate"/>
      </w:r>
      <w:r w:rsidR="00077A44" w:rsidRPr="00077F9A">
        <w:t>55</w:t>
      </w:r>
      <w:r w:rsidRPr="00077F9A">
        <w:fldChar w:fldCharType="end"/>
      </w:r>
    </w:p>
    <w:p w:rsidR="00067D3D" w:rsidRPr="00077F9A" w:rsidRDefault="00067D3D">
      <w:pPr>
        <w:pStyle w:val="Innehll2"/>
        <w:rPr>
          <w:sz w:val="24"/>
          <w:szCs w:val="24"/>
        </w:rPr>
      </w:pPr>
      <w:r w:rsidRPr="00077F9A">
        <w:t>6.4 Fördragsändringar enligt det förenklade förfarandet m.m.</w:t>
      </w:r>
      <w:r w:rsidRPr="00077F9A">
        <w:tab/>
      </w:r>
      <w:r w:rsidRPr="00077F9A">
        <w:fldChar w:fldCharType="begin" w:fldLock="1"/>
      </w:r>
      <w:r w:rsidRPr="00077F9A">
        <w:instrText xml:space="preserve"> PAGEREF _Toc230677053 \h </w:instrText>
      </w:r>
      <w:r w:rsidRPr="00077F9A">
        <w:fldChar w:fldCharType="separate"/>
      </w:r>
      <w:r w:rsidR="00077A44" w:rsidRPr="00077F9A">
        <w:t>56</w:t>
      </w:r>
      <w:r w:rsidRPr="00077F9A">
        <w:fldChar w:fldCharType="end"/>
      </w:r>
    </w:p>
    <w:p w:rsidR="00067D3D" w:rsidRPr="00077F9A" w:rsidRDefault="00067D3D">
      <w:pPr>
        <w:pStyle w:val="Innehll2"/>
        <w:rPr>
          <w:sz w:val="24"/>
          <w:szCs w:val="24"/>
        </w:rPr>
      </w:pPr>
      <w:r w:rsidRPr="00077F9A">
        <w:t>6.5 Deltagande i den politiska övervakningen av Europol och utvärderingen av Eurojust</w:t>
      </w:r>
      <w:r w:rsidRPr="00077F9A">
        <w:tab/>
      </w:r>
      <w:r w:rsidRPr="00077F9A">
        <w:fldChar w:fldCharType="begin" w:fldLock="1"/>
      </w:r>
      <w:r w:rsidRPr="00077F9A">
        <w:instrText xml:space="preserve"> PAGEREF _Toc230677054 \h </w:instrText>
      </w:r>
      <w:r w:rsidRPr="00077F9A">
        <w:fldChar w:fldCharType="separate"/>
      </w:r>
      <w:r w:rsidR="00077A44" w:rsidRPr="00077F9A">
        <w:t>57</w:t>
      </w:r>
      <w:r w:rsidRPr="00077F9A">
        <w:fldChar w:fldCharType="end"/>
      </w:r>
    </w:p>
    <w:p w:rsidR="00067D3D" w:rsidRPr="00077F9A" w:rsidRDefault="00067D3D">
      <w:pPr>
        <w:pStyle w:val="Innehll2"/>
        <w:rPr>
          <w:sz w:val="24"/>
          <w:szCs w:val="24"/>
        </w:rPr>
      </w:pPr>
      <w:r w:rsidRPr="00077F9A">
        <w:t>6.6 Hantering av övrig information från EU:s institutioner</w:t>
      </w:r>
      <w:r w:rsidRPr="00077F9A">
        <w:tab/>
      </w:r>
      <w:r w:rsidRPr="00077F9A">
        <w:fldChar w:fldCharType="begin" w:fldLock="1"/>
      </w:r>
      <w:r w:rsidRPr="00077F9A">
        <w:instrText xml:space="preserve"> PAGEREF _Toc230677055 \h </w:instrText>
      </w:r>
      <w:r w:rsidRPr="00077F9A">
        <w:fldChar w:fldCharType="separate"/>
      </w:r>
      <w:r w:rsidR="00077A44" w:rsidRPr="00077F9A">
        <w:t>57</w:t>
      </w:r>
      <w:r w:rsidRPr="00077F9A">
        <w:fldChar w:fldCharType="end"/>
      </w:r>
    </w:p>
    <w:p w:rsidR="00067D3D" w:rsidRPr="00077F9A" w:rsidRDefault="00067D3D">
      <w:pPr>
        <w:pStyle w:val="Innehll2"/>
        <w:rPr>
          <w:sz w:val="24"/>
          <w:szCs w:val="24"/>
        </w:rPr>
      </w:pPr>
      <w:r w:rsidRPr="00077F9A">
        <w:t>6.7 Kontakter med övriga parlament inom EU</w:t>
      </w:r>
      <w:r w:rsidRPr="00077F9A">
        <w:tab/>
      </w:r>
      <w:r w:rsidRPr="00077F9A">
        <w:fldChar w:fldCharType="begin" w:fldLock="1"/>
      </w:r>
      <w:r w:rsidRPr="00077F9A">
        <w:instrText xml:space="preserve"> PAGEREF _Toc230677056 \h </w:instrText>
      </w:r>
      <w:r w:rsidRPr="00077F9A">
        <w:fldChar w:fldCharType="separate"/>
      </w:r>
      <w:r w:rsidR="00077A44" w:rsidRPr="00077F9A">
        <w:t>58</w:t>
      </w:r>
      <w:r w:rsidRPr="00077F9A">
        <w:fldChar w:fldCharType="end"/>
      </w:r>
    </w:p>
    <w:p w:rsidR="00067D3D" w:rsidRPr="00077F9A" w:rsidRDefault="00067D3D">
      <w:pPr>
        <w:pStyle w:val="Innehll2"/>
        <w:rPr>
          <w:sz w:val="24"/>
          <w:szCs w:val="24"/>
        </w:rPr>
      </w:pPr>
      <w:r w:rsidRPr="00077F9A">
        <w:t>6.8 Konsekvenser för arbetet i riksdagen</w:t>
      </w:r>
      <w:r w:rsidRPr="00077F9A">
        <w:tab/>
      </w:r>
      <w:r w:rsidRPr="00077F9A">
        <w:fldChar w:fldCharType="begin" w:fldLock="1"/>
      </w:r>
      <w:r w:rsidRPr="00077F9A">
        <w:instrText xml:space="preserve"> PAGEREF _Toc230677057 \h </w:instrText>
      </w:r>
      <w:r w:rsidRPr="00077F9A">
        <w:fldChar w:fldCharType="separate"/>
      </w:r>
      <w:r w:rsidR="00077A44" w:rsidRPr="00077F9A">
        <w:t>60</w:t>
      </w:r>
      <w:r w:rsidRPr="00077F9A">
        <w:fldChar w:fldCharType="end"/>
      </w:r>
    </w:p>
    <w:p w:rsidR="00067D3D" w:rsidRPr="00077F9A" w:rsidRDefault="00067D3D">
      <w:pPr>
        <w:pStyle w:val="Innehll1"/>
        <w:rPr>
          <w:sz w:val="24"/>
          <w:szCs w:val="24"/>
        </w:rPr>
      </w:pPr>
      <w:r w:rsidRPr="00077F9A">
        <w:t>7 Författningskommentar</w:t>
      </w:r>
      <w:r w:rsidRPr="00077F9A">
        <w:tab/>
      </w:r>
      <w:r w:rsidRPr="00077F9A">
        <w:fldChar w:fldCharType="begin" w:fldLock="1"/>
      </w:r>
      <w:r w:rsidRPr="00077F9A">
        <w:instrText xml:space="preserve"> PAGEREF _Toc230677058 \h </w:instrText>
      </w:r>
      <w:r w:rsidRPr="00077F9A">
        <w:fldChar w:fldCharType="separate"/>
      </w:r>
      <w:r w:rsidR="00077A44" w:rsidRPr="00077F9A">
        <w:t>62</w:t>
      </w:r>
      <w:r w:rsidRPr="00077F9A">
        <w:fldChar w:fldCharType="end"/>
      </w:r>
    </w:p>
    <w:p w:rsidR="00067D3D" w:rsidRPr="00077F9A" w:rsidRDefault="00067D3D">
      <w:pPr>
        <w:pStyle w:val="Innehll2"/>
        <w:rPr>
          <w:sz w:val="24"/>
          <w:szCs w:val="24"/>
        </w:rPr>
      </w:pPr>
      <w:r w:rsidRPr="00077F9A">
        <w:t>Förslaget till lag om ändring i riksdagsordningen</w:t>
      </w:r>
      <w:r w:rsidRPr="00077F9A">
        <w:tab/>
      </w:r>
      <w:r w:rsidRPr="00077F9A">
        <w:fldChar w:fldCharType="begin" w:fldLock="1"/>
      </w:r>
      <w:r w:rsidRPr="00077F9A">
        <w:instrText xml:space="preserve"> PAGEREF _Toc230677059 \h </w:instrText>
      </w:r>
      <w:r w:rsidRPr="00077F9A">
        <w:fldChar w:fldCharType="separate"/>
      </w:r>
      <w:r w:rsidR="00077A44" w:rsidRPr="00077F9A">
        <w:t>62</w:t>
      </w:r>
      <w:r w:rsidRPr="00077F9A">
        <w:fldChar w:fldCharType="end"/>
      </w:r>
    </w:p>
    <w:p w:rsidR="00067D3D" w:rsidRPr="00077F9A" w:rsidRDefault="00161AD9">
      <w:pPr>
        <w:pStyle w:val="Innehll1"/>
        <w:rPr>
          <w:sz w:val="24"/>
          <w:szCs w:val="24"/>
        </w:rPr>
      </w:pPr>
      <w:r w:rsidRPr="00077F9A">
        <w:rPr>
          <w:i/>
        </w:rPr>
        <w:t>Bilaga 1</w:t>
      </w:r>
      <w:r w:rsidRPr="00077F9A">
        <w:t xml:space="preserve"> </w:t>
      </w:r>
      <w:r w:rsidR="00067D3D" w:rsidRPr="00077F9A">
        <w:t>Förslag till lag om ändring i riksdagsordningen</w:t>
      </w:r>
      <w:r w:rsidR="00067D3D" w:rsidRPr="00077F9A">
        <w:tab/>
      </w:r>
      <w:r w:rsidR="00067D3D" w:rsidRPr="00077F9A">
        <w:fldChar w:fldCharType="begin" w:fldLock="1"/>
      </w:r>
      <w:r w:rsidR="00067D3D" w:rsidRPr="00077F9A">
        <w:instrText xml:space="preserve"> PAGEREF _Toc230677060 \h </w:instrText>
      </w:r>
      <w:r w:rsidR="00067D3D" w:rsidRPr="00077F9A">
        <w:fldChar w:fldCharType="separate"/>
      </w:r>
      <w:r w:rsidR="00077A44" w:rsidRPr="00077F9A">
        <w:t>66</w:t>
      </w:r>
      <w:r w:rsidR="00067D3D" w:rsidRPr="00077F9A">
        <w:fldChar w:fldCharType="end"/>
      </w:r>
    </w:p>
    <w:p w:rsidR="00067D3D" w:rsidRPr="00077F9A" w:rsidRDefault="00161AD9">
      <w:pPr>
        <w:pStyle w:val="Innehll1"/>
        <w:rPr>
          <w:sz w:val="24"/>
          <w:szCs w:val="24"/>
        </w:rPr>
      </w:pPr>
      <w:r w:rsidRPr="00077F9A">
        <w:rPr>
          <w:i/>
        </w:rPr>
        <w:t>Bilaga 2</w:t>
      </w:r>
      <w:r w:rsidRPr="00077F9A">
        <w:t xml:space="preserve"> </w:t>
      </w:r>
      <w:r w:rsidR="00067D3D" w:rsidRPr="00077F9A">
        <w:t>Information från EU:s institutioner m.m. till de nationella parlamenten</w:t>
      </w:r>
      <w:r w:rsidR="00067D3D" w:rsidRPr="00077F9A">
        <w:tab/>
      </w:r>
      <w:r w:rsidR="00067D3D" w:rsidRPr="00077F9A">
        <w:fldChar w:fldCharType="begin" w:fldLock="1"/>
      </w:r>
      <w:r w:rsidR="00067D3D" w:rsidRPr="00077F9A">
        <w:instrText xml:space="preserve"> PAGEREF _Toc230677061 \h </w:instrText>
      </w:r>
      <w:r w:rsidR="00067D3D" w:rsidRPr="00077F9A">
        <w:fldChar w:fldCharType="separate"/>
      </w:r>
      <w:r w:rsidR="00077A44" w:rsidRPr="00077F9A">
        <w:t>73</w:t>
      </w:r>
      <w:r w:rsidR="00067D3D" w:rsidRPr="00077F9A">
        <w:fldChar w:fldCharType="end"/>
      </w:r>
    </w:p>
    <w:p w:rsidR="00067D3D" w:rsidRPr="00077F9A" w:rsidRDefault="00067D3D" w:rsidP="00067D3D">
      <w:pPr>
        <w:pStyle w:val="Normaltindrag"/>
        <w:sectPr w:rsidR="00067D3D" w:rsidRPr="00077F9A" w:rsidSect="00CF1B5E">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6" w:h="16838" w:code="9"/>
          <w:pgMar w:top="907" w:right="4649" w:bottom="4508" w:left="1304" w:header="340" w:footer="227" w:gutter="0"/>
          <w:cols w:space="720"/>
          <w:titlePg/>
        </w:sectPr>
      </w:pPr>
      <w:r w:rsidRPr="00077F9A">
        <w:fldChar w:fldCharType="end"/>
      </w:r>
    </w:p>
    <w:p w:rsidR="00CF1B5E" w:rsidRPr="00077F9A" w:rsidRDefault="00CF1B5E" w:rsidP="00CF1B5E">
      <w:pPr>
        <w:pStyle w:val="Rubrik1"/>
        <w:spacing w:after="360"/>
        <w:rPr>
          <w:noProof w:val="0"/>
        </w:rPr>
      </w:pPr>
      <w:bookmarkStart w:id="33" w:name="_Toc230676854"/>
      <w:bookmarkStart w:id="34" w:name="_Toc230677033"/>
      <w:bookmarkStart w:id="35" w:name="_Toc230708083"/>
      <w:r w:rsidRPr="00077F9A">
        <w:rPr>
          <w:noProof w:val="0"/>
        </w:rPr>
        <w:t>1 Sammanfattning</w:t>
      </w:r>
      <w:bookmarkEnd w:id="29"/>
      <w:bookmarkEnd w:id="30"/>
      <w:bookmarkEnd w:id="31"/>
      <w:bookmarkEnd w:id="32"/>
      <w:bookmarkEnd w:id="33"/>
      <w:bookmarkEnd w:id="34"/>
      <w:bookmarkEnd w:id="35"/>
    </w:p>
    <w:p w:rsidR="00CF1B5E" w:rsidRPr="00077F9A" w:rsidRDefault="00CF1B5E" w:rsidP="00CF1B5E">
      <w:pPr>
        <w:rPr>
          <w:rFonts w:cs="Bembo"/>
        </w:rPr>
      </w:pPr>
      <w:r w:rsidRPr="00077F9A">
        <w:rPr>
          <w:rFonts w:cs="Bembo"/>
        </w:rPr>
        <w:t xml:space="preserve">Lissabonfördraget ger de nationella parlamenten nya uppgifter i EU-samarbetet. I denna rapport behandlas hur dessa nya uppgifter ska omsättas i riksdagsarbetet och i samarbetet mellan parlamenten inom EU. </w:t>
      </w:r>
    </w:p>
    <w:p w:rsidR="00CF1B5E" w:rsidRPr="00077F9A" w:rsidRDefault="00CF1B5E" w:rsidP="00CF1B5E">
      <w:pPr>
        <w:pStyle w:val="Normaltindrag"/>
        <w:rPr>
          <w:rFonts w:cs="Bembo"/>
        </w:rPr>
      </w:pPr>
      <w:r w:rsidRPr="00077F9A">
        <w:t>En motsvarande utredning med anledning av det konstitutionella fördraget gjordes av Riksdagskommittén (RDK) 2005. Eftersom de nationella parl</w:t>
      </w:r>
      <w:r w:rsidRPr="00077F9A">
        <w:t>a</w:t>
      </w:r>
      <w:r w:rsidRPr="00077F9A">
        <w:t>mentens uppgifter inte skiljer sig annat än i detaljer från de uppgifter som tilldelades dem i fördraget om en konstitution för Europa har utredningen haft RDK:s förslag som u</w:t>
      </w:r>
      <w:r w:rsidRPr="00077F9A">
        <w:t>t</w:t>
      </w:r>
      <w:r w:rsidRPr="00077F9A">
        <w:t>gångspunkt för sina överväganden. Utredningen har ställt sig frågan om RDK:s förslag bör revideras, bl.a. med hänsyn till de erf</w:t>
      </w:r>
      <w:r w:rsidRPr="00077F9A">
        <w:t>a</w:t>
      </w:r>
      <w:r w:rsidRPr="00077F9A">
        <w:t>renheter som vunnits genom olika försök med subsidiaritetskontroll inom ramen för det interparlamentariska samarb</w:t>
      </w:r>
      <w:r w:rsidRPr="00077F9A">
        <w:t>e</w:t>
      </w:r>
      <w:r w:rsidRPr="00077F9A">
        <w:t xml:space="preserve">tet i EU. </w:t>
      </w:r>
    </w:p>
    <w:p w:rsidR="00CF1B5E" w:rsidRPr="00077F9A" w:rsidRDefault="00CF1B5E" w:rsidP="00CF1B5E">
      <w:pPr>
        <w:pStyle w:val="Normaltindrag"/>
      </w:pPr>
      <w:r w:rsidRPr="00077F9A">
        <w:t>De nationella parlamentens roll i unionen ägnas en särskild bestämmelse i det nya fördraget. I denna görs en uppräkning av sex olika sätt på vilka de nati</w:t>
      </w:r>
      <w:r w:rsidRPr="00077F9A">
        <w:t>o</w:t>
      </w:r>
      <w:r w:rsidRPr="00077F9A">
        <w:t xml:space="preserve">nella parlamenten bidrar aktivt till en väl fungerande union. </w:t>
      </w:r>
    </w:p>
    <w:p w:rsidR="00CF1B5E" w:rsidRPr="00077F9A" w:rsidRDefault="00CF1B5E" w:rsidP="00CF1B5E">
      <w:pPr>
        <w:pStyle w:val="Normaltindrag"/>
      </w:pPr>
      <w:r w:rsidRPr="00077F9A">
        <w:t>Det första är att de ska bli informerade av unionens institutioner och få u</w:t>
      </w:r>
      <w:r w:rsidRPr="00077F9A">
        <w:t>t</w:t>
      </w:r>
      <w:r w:rsidRPr="00077F9A">
        <w:t xml:space="preserve">kast till unionens lagstiftningsakter. </w:t>
      </w:r>
    </w:p>
    <w:p w:rsidR="00CF1B5E" w:rsidRPr="00077F9A" w:rsidRDefault="00CF1B5E" w:rsidP="00CF1B5E">
      <w:pPr>
        <w:pStyle w:val="Normaltindrag"/>
      </w:pPr>
      <w:r w:rsidRPr="00077F9A">
        <w:t>Det andra är att se till att subsidiaritetsprincipen följs i unionens lagstif</w:t>
      </w:r>
      <w:r w:rsidRPr="00077F9A">
        <w:t>t</w:t>
      </w:r>
      <w:r w:rsidRPr="00077F9A">
        <w:t>ning. Subsidiaritetsprincipen innebär att unionen på de områden där den delar bef</w:t>
      </w:r>
      <w:r w:rsidRPr="00077F9A">
        <w:t>o</w:t>
      </w:r>
      <w:r w:rsidRPr="00077F9A">
        <w:t>genheten att lagstifta med medlemsstaterna ska vidta en åtgärd endast om och i den mån som målen för den planerade åtgärden inte i tillräcklig u</w:t>
      </w:r>
      <w:r w:rsidRPr="00077F9A">
        <w:t>t</w:t>
      </w:r>
      <w:r w:rsidRPr="00077F9A">
        <w:t>sträckning kan uppnås av medlemsstaterna själva. De nationella parlamenten har åtta veckor på sig att behandla lagstiftningsutkasten från subsidiaritet</w:t>
      </w:r>
      <w:r w:rsidRPr="00077F9A">
        <w:t>s</w:t>
      </w:r>
      <w:r w:rsidRPr="00077F9A">
        <w:t>synpunkt. Om minst en tredjedel av det totala antalet röster som tilldelats de nationella pa</w:t>
      </w:r>
      <w:r w:rsidRPr="00077F9A">
        <w:t>r</w:t>
      </w:r>
      <w:r w:rsidRPr="00077F9A">
        <w:t>lamenten står bakom uppfattningen att ett lagstiftningsutkast strider mot principen ska utkastet omprövas av kommissionen (”gula kortet”). För ett utkast till lagstiftningsakt som avser straffrättsligt samarbete och poli</w:t>
      </w:r>
      <w:r w:rsidRPr="00077F9A">
        <w:t>s</w:t>
      </w:r>
      <w:r w:rsidRPr="00077F9A">
        <w:t>samarbete är tröskeln en fjärdedel, dvs. något lägre. Efter omprövningen kan kommissionen besluta att antingen vidhålla utkastet, ändra det eller dra tillb</w:t>
      </w:r>
      <w:r w:rsidRPr="00077F9A">
        <w:t>a</w:t>
      </w:r>
      <w:r w:rsidRPr="00077F9A">
        <w:t>ka det. Inom ramen för det ordinarie lagstiftningsförfarandet kan ett förslag från kommissionen till lagstiftningsakt, som föranlett att minst en enkel maj</w:t>
      </w:r>
      <w:r w:rsidRPr="00077F9A">
        <w:t>o</w:t>
      </w:r>
      <w:r w:rsidRPr="00077F9A">
        <w:t>ritet av de nationella parlamentens röster har ställt sig bakom kritiska yttra</w:t>
      </w:r>
      <w:r w:rsidRPr="00077F9A">
        <w:t>n</w:t>
      </w:r>
      <w:r w:rsidRPr="00077F9A">
        <w:t>den, få ytterligare konsekvenser under lagstiftningsprocessen (”orangea ko</w:t>
      </w:r>
      <w:r w:rsidRPr="00077F9A">
        <w:t>r</w:t>
      </w:r>
      <w:r w:rsidRPr="00077F9A">
        <w:t xml:space="preserve">tet”). </w:t>
      </w:r>
    </w:p>
    <w:p w:rsidR="00CF1B5E" w:rsidRPr="00077F9A" w:rsidRDefault="00CF1B5E" w:rsidP="00CF1B5E">
      <w:pPr>
        <w:pStyle w:val="Normaltindrag"/>
      </w:pPr>
      <w:r w:rsidRPr="00077F9A">
        <w:t>Det tredje sätt på vilket de nationella parlamenten bidrar till unionens arb</w:t>
      </w:r>
      <w:r w:rsidRPr="00077F9A">
        <w:t>e</w:t>
      </w:r>
      <w:r w:rsidRPr="00077F9A">
        <w:t>te är att inom ramen för området med frihet, säkerhet och rättvisa delta i u</w:t>
      </w:r>
      <w:r w:rsidRPr="00077F9A">
        <w:t>t</w:t>
      </w:r>
      <w:r w:rsidRPr="00077F9A">
        <w:t>värderingen av genomförandet av unionens politik och delta i den politiska övervakningen av Europol och utvärderingen av Eurojusts verksamhet. Enligt fördraget ska de närm</w:t>
      </w:r>
      <w:r w:rsidRPr="00077F9A">
        <w:t>a</w:t>
      </w:r>
      <w:r w:rsidRPr="00077F9A">
        <w:t>re formerna för detta regleras i en särskild lagstiftning. Någon sådan lagstiftning har ännu inte tagits fram av EU. Utredningen har inga förslag på denna punkt utan redovisar synpunkter på riksdagens medve</w:t>
      </w:r>
      <w:r w:rsidRPr="00077F9A">
        <w:t>r</w:t>
      </w:r>
      <w:r w:rsidRPr="00077F9A">
        <w:t>kan i den fortsa</w:t>
      </w:r>
      <w:r w:rsidRPr="00077F9A">
        <w:t>t</w:t>
      </w:r>
      <w:r w:rsidRPr="00077F9A">
        <w:t>ta beredningen av EU:s lagstiftning.</w:t>
      </w:r>
    </w:p>
    <w:p w:rsidR="00CF1B5E" w:rsidRPr="00077F9A" w:rsidRDefault="00CF1B5E" w:rsidP="00CF1B5E">
      <w:pPr>
        <w:pStyle w:val="Normaltindrag"/>
      </w:pPr>
      <w:r w:rsidRPr="00077F9A">
        <w:t>Det fjärde sättet är att delta i förfarandena för ändring av fördragen. Fö</w:t>
      </w:r>
      <w:r w:rsidRPr="00077F9A">
        <w:t>r</w:t>
      </w:r>
      <w:r w:rsidRPr="00077F9A">
        <w:t>dragen får ändras i enlighet med ett ordinarie eller ett förenklat förfarande. De nati</w:t>
      </w:r>
      <w:r w:rsidRPr="00077F9A">
        <w:t>o</w:t>
      </w:r>
      <w:r w:rsidRPr="00077F9A">
        <w:t>nella parlamenten har en roll att spela i båda förfarandena. Enligt det ordin</w:t>
      </w:r>
      <w:r w:rsidRPr="00077F9A">
        <w:t>a</w:t>
      </w:r>
      <w:r w:rsidRPr="00077F9A">
        <w:t>rie förfarandet ska ett konvent med bl.a. företrädare för de nationella parlamenten bereda fördrag</w:t>
      </w:r>
      <w:r w:rsidRPr="00077F9A">
        <w:t>s</w:t>
      </w:r>
      <w:r w:rsidRPr="00077F9A">
        <w:t>ändringarna. Det förenklade förfarandet, den s.k. passerellen, tillämpas i två fall, dels när det gäller övergång från beslut med enhällighet till beslut med kvalificerad majoritet i rådet, dels i fråga om öve</w:t>
      </w:r>
      <w:r w:rsidRPr="00077F9A">
        <w:t>r</w:t>
      </w:r>
      <w:r w:rsidRPr="00077F9A">
        <w:t>gång från ett sä</w:t>
      </w:r>
      <w:r w:rsidRPr="00077F9A">
        <w:t>r</w:t>
      </w:r>
      <w:r w:rsidRPr="00077F9A">
        <w:t>skilt lagstiftningsförfarande till det ordinarie i rådet. Om en invändning från ett nationellt parlament mot ett förslag att utnyttja passerellen har medd</w:t>
      </w:r>
      <w:r w:rsidRPr="00077F9A">
        <w:t>e</w:t>
      </w:r>
      <w:r w:rsidRPr="00077F9A">
        <w:t>lats inom sex månader ska förslaget inte antas. Varje parlament har således vetorätt.</w:t>
      </w:r>
    </w:p>
    <w:p w:rsidR="00CF1B5E" w:rsidRPr="00077F9A" w:rsidRDefault="00CF1B5E" w:rsidP="00CF1B5E">
      <w:pPr>
        <w:pStyle w:val="Normaltindrag"/>
      </w:pPr>
      <w:r w:rsidRPr="00077F9A">
        <w:t>Det femte sättet är att de nationella parlamenten blir informerade om a</w:t>
      </w:r>
      <w:r w:rsidRPr="00077F9A">
        <w:t>n</w:t>
      </w:r>
      <w:r w:rsidRPr="00077F9A">
        <w:t>sökningar om anslutning till uni</w:t>
      </w:r>
      <w:r w:rsidRPr="00077F9A">
        <w:t>o</w:t>
      </w:r>
      <w:r w:rsidRPr="00077F9A">
        <w:t xml:space="preserve">nen. </w:t>
      </w:r>
    </w:p>
    <w:p w:rsidR="00CF1B5E" w:rsidRPr="00077F9A" w:rsidRDefault="00CF1B5E" w:rsidP="00CF1B5E">
      <w:pPr>
        <w:pStyle w:val="Normaltindrag"/>
      </w:pPr>
      <w:r w:rsidRPr="00077F9A">
        <w:t>Det sjätte sättet är att delta i samarbetet mellan de nationella parlamenten och med Europaparlamentet. En konferens mellan parlamentariska organ för EU-frågor får överlämna till Europaparlamentet, rådet och ko</w:t>
      </w:r>
      <w:r w:rsidRPr="00077F9A">
        <w:t>m</w:t>
      </w:r>
      <w:r w:rsidRPr="00077F9A">
        <w:t>missionen alla bidrag som den finner lämpliga. Konferensen ska dessutom främja utbyte av information och bästa praxis mellan de nationella parlamenten och Europ</w:t>
      </w:r>
      <w:r w:rsidRPr="00077F9A">
        <w:t>a</w:t>
      </w:r>
      <w:r w:rsidRPr="00077F9A">
        <w:t>parlamentet, och även mellan deras fackutskott. Konferensens bidrag ska inte vara bindande för de nationella parlamenten eller föregripa deras ståndpun</w:t>
      </w:r>
      <w:r w:rsidRPr="00077F9A">
        <w:t>k</w:t>
      </w:r>
      <w:r w:rsidRPr="00077F9A">
        <w:t>ter. Rollen som en sådan konferens fylls i dag av de s.k. Cosacmötena.</w:t>
      </w:r>
    </w:p>
    <w:p w:rsidR="00CF1B5E" w:rsidRPr="00077F9A" w:rsidRDefault="00CF1B5E" w:rsidP="00CF1B5E">
      <w:pPr>
        <w:pStyle w:val="Normaltindrag"/>
        <w:rPr>
          <w:szCs w:val="24"/>
        </w:rPr>
      </w:pPr>
      <w:r w:rsidRPr="00077F9A">
        <w:t>För riksdagens deltagande i beslutsfattandet inom EU enligt Lissabonfö</w:t>
      </w:r>
      <w:r w:rsidRPr="00077F9A">
        <w:t>r</w:t>
      </w:r>
      <w:r w:rsidRPr="00077F9A">
        <w:t>draget måste nya procedurer skapas när det gäller två typer av ärenden. Den ena och utan tvekan vanligaste ärendetypen är utkasten till lagstif</w:t>
      </w:r>
      <w:r w:rsidRPr="00077F9A">
        <w:t>t</w:t>
      </w:r>
      <w:r w:rsidRPr="00077F9A">
        <w:t xml:space="preserve">ningsakter där riksdagen ska kontrollera att subsidiaritetsprincipen följs. </w:t>
      </w:r>
      <w:r w:rsidRPr="00077F9A">
        <w:rPr>
          <w:szCs w:val="24"/>
        </w:rPr>
        <w:t>Utredningen, som gör bedömningen att subsidiaritetsprövningen huvudsakligen är en läm</w:t>
      </w:r>
      <w:r w:rsidRPr="00077F9A">
        <w:rPr>
          <w:szCs w:val="24"/>
        </w:rPr>
        <w:t>p</w:t>
      </w:r>
      <w:r w:rsidRPr="00077F9A">
        <w:rPr>
          <w:szCs w:val="24"/>
        </w:rPr>
        <w:t>li</w:t>
      </w:r>
      <w:r w:rsidRPr="00077F9A">
        <w:rPr>
          <w:szCs w:val="24"/>
        </w:rPr>
        <w:t>g</w:t>
      </w:r>
      <w:r w:rsidRPr="00077F9A">
        <w:rPr>
          <w:szCs w:val="24"/>
        </w:rPr>
        <w:t>hetsfråga, anser att det utskott som besitter den sakliga kompetensen på det område förslaget gäller också är bäst skickat att göra denna prövning. Utsko</w:t>
      </w:r>
      <w:r w:rsidRPr="00077F9A">
        <w:rPr>
          <w:szCs w:val="24"/>
        </w:rPr>
        <w:t>t</w:t>
      </w:r>
      <w:r w:rsidRPr="00077F9A">
        <w:rPr>
          <w:szCs w:val="24"/>
        </w:rPr>
        <w:t>tet ska kunna begära att regeringen informerar om sin bedömning av subsidi</w:t>
      </w:r>
      <w:r w:rsidRPr="00077F9A">
        <w:rPr>
          <w:szCs w:val="24"/>
        </w:rPr>
        <w:t>a</w:t>
      </w:r>
      <w:r w:rsidRPr="00077F9A">
        <w:rPr>
          <w:szCs w:val="24"/>
        </w:rPr>
        <w:t>ritetsfrågan inom två veckor. Ett utkast till lagstiftningsakt där ett utskott kommit till slutsatsen att utkastet strider mot subsidiaritetsprincipen ska u</w:t>
      </w:r>
      <w:r w:rsidRPr="00077F9A">
        <w:rPr>
          <w:szCs w:val="24"/>
        </w:rPr>
        <w:t>n</w:t>
      </w:r>
      <w:r w:rsidRPr="00077F9A">
        <w:rPr>
          <w:szCs w:val="24"/>
        </w:rPr>
        <w:t>derställas kammarens prövning. Utredningen anser att det ska räcka med att en minoritet av fem ledamöter i utskottet står bakom uppfattningen att utka</w:t>
      </w:r>
      <w:r w:rsidRPr="00077F9A">
        <w:rPr>
          <w:szCs w:val="24"/>
        </w:rPr>
        <w:t>s</w:t>
      </w:r>
      <w:r w:rsidRPr="00077F9A">
        <w:rPr>
          <w:szCs w:val="24"/>
        </w:rPr>
        <w:t xml:space="preserve">tet strider mot </w:t>
      </w:r>
      <w:r w:rsidRPr="00077F9A">
        <w:t>subs</w:t>
      </w:r>
      <w:r w:rsidRPr="00077F9A">
        <w:t>i</w:t>
      </w:r>
      <w:r w:rsidRPr="00077F9A">
        <w:t>diaritetsprincipen</w:t>
      </w:r>
      <w:r w:rsidRPr="00077F9A">
        <w:rPr>
          <w:szCs w:val="24"/>
        </w:rPr>
        <w:t xml:space="preserve"> för att det ska gå vidare till kammaren för beslut. Om utskottet enhälligt eller med en tillräckligt kvalificerad major</w:t>
      </w:r>
      <w:r w:rsidRPr="00077F9A">
        <w:rPr>
          <w:szCs w:val="24"/>
        </w:rPr>
        <w:t>i</w:t>
      </w:r>
      <w:r w:rsidRPr="00077F9A">
        <w:rPr>
          <w:szCs w:val="24"/>
        </w:rPr>
        <w:t>tet kommer till slutsa</w:t>
      </w:r>
      <w:r w:rsidRPr="00077F9A">
        <w:rPr>
          <w:szCs w:val="24"/>
        </w:rPr>
        <w:t>t</w:t>
      </w:r>
      <w:r w:rsidRPr="00077F9A">
        <w:rPr>
          <w:szCs w:val="24"/>
        </w:rPr>
        <w:t>sen att förslaget inte strider mot subsidiaritetsprincipen gäller utskottets bedömning. Konstitutionsutskottet ska följa tillämpningen av subsidiaritetsprincipen och en gång om året meddela kammaren sina iaktt</w:t>
      </w:r>
      <w:r w:rsidRPr="00077F9A">
        <w:rPr>
          <w:szCs w:val="24"/>
        </w:rPr>
        <w:t>a</w:t>
      </w:r>
      <w:r w:rsidRPr="00077F9A">
        <w:rPr>
          <w:szCs w:val="24"/>
        </w:rPr>
        <w:t>gelser.</w:t>
      </w:r>
    </w:p>
    <w:p w:rsidR="00CF1B5E" w:rsidRPr="00077F9A" w:rsidRDefault="00CF1B5E" w:rsidP="00CF1B5E">
      <w:pPr>
        <w:pStyle w:val="Normaltindrag"/>
      </w:pPr>
      <w:r w:rsidRPr="00077F9A">
        <w:t>Den andra ärendetypen är fördragsändringar. När fördragsändringar görs genom det förenklade förfarandet kan riksdagen liksom andra nationella parlament lägga in sitt veto. Ett beslut att utnyttja eller inte utnyttja denna vet</w:t>
      </w:r>
      <w:r w:rsidRPr="00077F9A">
        <w:t>o</w:t>
      </w:r>
      <w:r w:rsidRPr="00077F9A">
        <w:t>rätt ska alltid fattas av kammaren efter beredning av det berörda utskottet. När fördragsän</w:t>
      </w:r>
      <w:r w:rsidRPr="00077F9A">
        <w:t>d</w:t>
      </w:r>
      <w:r w:rsidRPr="00077F9A">
        <w:t>ringarna görs enligt det ordinarie förfarandet ska kammaren välja företrädare i fördragskonventet. Enligt utredningen bör konventsrepr</w:t>
      </w:r>
      <w:r w:rsidRPr="00077F9A">
        <w:t>e</w:t>
      </w:r>
      <w:r w:rsidRPr="00077F9A">
        <w:t>sentanterna ha skyldighet att fortlöpande rapportera till riksdagen om disku</w:t>
      </w:r>
      <w:r w:rsidRPr="00077F9A">
        <w:t>s</w:t>
      </w:r>
      <w:r w:rsidRPr="00077F9A">
        <w:t>sionerna inom ko</w:t>
      </w:r>
      <w:r w:rsidRPr="00077F9A">
        <w:t>n</w:t>
      </w:r>
      <w:r w:rsidRPr="00077F9A">
        <w:t>ventet.</w:t>
      </w:r>
    </w:p>
    <w:p w:rsidR="00CF1B5E" w:rsidRPr="00077F9A" w:rsidRDefault="00CF1B5E" w:rsidP="00CF1B5E">
      <w:pPr>
        <w:pStyle w:val="Normaltindrag"/>
      </w:pPr>
      <w:r w:rsidRPr="00077F9A">
        <w:t>All övrig information som riksdagen mottar från EU:s institutioner kan föranleda riksdagsbehandling. R</w:t>
      </w:r>
      <w:r w:rsidRPr="00077F9A">
        <w:t>e</w:t>
      </w:r>
      <w:r w:rsidRPr="00077F9A">
        <w:t>dan i dag behandlar riksdagen enligt en särskild ordning grön- och vitböcker från kommissionen och även de andra dokument som talmannen bestämmer efter samråd med gruppledarna. De dokument som tillkommer genom Lissabonfördraget kommer enligt utre</w:t>
      </w:r>
      <w:r w:rsidRPr="00077F9A">
        <w:t>d</w:t>
      </w:r>
      <w:r w:rsidRPr="00077F9A">
        <w:t>ningens förslag att omfattas av samma möjlighet till riksdagsb</w:t>
      </w:r>
      <w:r w:rsidRPr="00077F9A">
        <w:t>e</w:t>
      </w:r>
      <w:r w:rsidRPr="00077F9A">
        <w:t>handling. Dit hör t.ex. ansöknin</w:t>
      </w:r>
      <w:r w:rsidRPr="00077F9A">
        <w:t>g</w:t>
      </w:r>
      <w:r w:rsidRPr="00077F9A">
        <w:t>ar om anslutning till unionen.</w:t>
      </w:r>
    </w:p>
    <w:p w:rsidR="00CF1B5E" w:rsidRPr="00077F9A" w:rsidRDefault="00CF1B5E" w:rsidP="00CF1B5E">
      <w:pPr>
        <w:pStyle w:val="Normaltindrag"/>
      </w:pPr>
      <w:r w:rsidRPr="00077F9A">
        <w:t>När det gäller kontakter med andra parlament framhåller utredningen vä</w:t>
      </w:r>
      <w:r w:rsidRPr="00077F9A">
        <w:t>r</w:t>
      </w:r>
      <w:r w:rsidRPr="00077F9A">
        <w:t>det av dessa kontakter och anser att behovet av dem kommer att öka med Lissabonfördraget. Från svensk sida är utskottens kontakter med sina motsv</w:t>
      </w:r>
      <w:r w:rsidRPr="00077F9A">
        <w:t>a</w:t>
      </w:r>
      <w:r w:rsidRPr="00077F9A">
        <w:t>righ</w:t>
      </w:r>
      <w:r w:rsidRPr="00077F9A">
        <w:t>e</w:t>
      </w:r>
      <w:r w:rsidRPr="00077F9A">
        <w:t>ter i de andra europeiska parlamenten av särskild vikt. Utredningen anser att Cosac är ett värdefullt organ för diskussion och utbyte av erfarenheter när det gäller parlamentens arbete med EU-frågor överhuvu</w:t>
      </w:r>
      <w:r w:rsidRPr="00077F9A">
        <w:t>d</w:t>
      </w:r>
      <w:r w:rsidRPr="00077F9A">
        <w:t>taget, således även för diskussion av subsidiaritetsfrågor. I Cosacmötena deltar för svensk del sex ledamöter från EU-nämnden. Kontakterna mellan utskotten och nämnden bör enligt utredningens mening vara omfattande. Nämndens breda sammansät</w:t>
      </w:r>
      <w:r w:rsidRPr="00077F9A">
        <w:t>t</w:t>
      </w:r>
      <w:r w:rsidRPr="00077F9A">
        <w:t>ning av ledamöter och för närvarande över 40 suppleanter ger goda möjligh</w:t>
      </w:r>
      <w:r w:rsidRPr="00077F9A">
        <w:t>e</w:t>
      </w:r>
      <w:r w:rsidRPr="00077F9A">
        <w:t>ter för att samma ledamöter som representerar partiet i ett fackutskott deltar i nämndens behandling av fackutskottets frågor. Därmed är också möjlighete</w:t>
      </w:r>
      <w:r w:rsidRPr="00077F9A">
        <w:t>r</w:t>
      </w:r>
      <w:r w:rsidRPr="00077F9A">
        <w:t xml:space="preserve">na goda att anpassa Cosacdelegationens sammansättning till de frågor som ska behandlas på ett Cosacmöte. </w:t>
      </w:r>
    </w:p>
    <w:p w:rsidR="00CF1B5E" w:rsidRPr="00077F9A" w:rsidRDefault="00CF1B5E" w:rsidP="00CF1B5E">
      <w:pPr>
        <w:pStyle w:val="Normaltindrag"/>
      </w:pPr>
      <w:r w:rsidRPr="00077F9A">
        <w:t>Till sist behandlar utredningen hur Lissabonfördraget förändrar arbetsbö</w:t>
      </w:r>
      <w:r w:rsidRPr="00077F9A">
        <w:t>r</w:t>
      </w:r>
      <w:r w:rsidRPr="00077F9A">
        <w:t>dan för riksdagen och dess utskott. Utredningen anser att subsidiaritet</w:t>
      </w:r>
      <w:r w:rsidRPr="00077F9A">
        <w:t>s</w:t>
      </w:r>
      <w:r w:rsidRPr="00077F9A">
        <w:t>granskningen kommer att medföra en ökning av arbetsbördan för riksd</w:t>
      </w:r>
      <w:r w:rsidRPr="00077F9A">
        <w:t>a</w:t>
      </w:r>
      <w:r w:rsidRPr="00077F9A">
        <w:t>gens utskott. För några utskott kommer denna ökning knappast att vara märkbar men för andra, t.ex. miljö- och jordbruksutskottet och trafikutskottet, påtaglig. Årsrytmen i EU:s lagstiftningsaktivitet kommer med all sann</w:t>
      </w:r>
      <w:r w:rsidRPr="00077F9A">
        <w:t>o</w:t>
      </w:r>
      <w:r w:rsidRPr="00077F9A">
        <w:t>likhet att även i fortsättningen sammanfalla med riksdagens årsrytm med det undantaget att riksdagen för nä</w:t>
      </w:r>
      <w:r w:rsidRPr="00077F9A">
        <w:t>r</w:t>
      </w:r>
      <w:r w:rsidRPr="00077F9A">
        <w:t>varande inte överhuvudtaget sammanträder under juli månad då kommissionen lägger fram många lagstiftningsutkast. Försöksverksamh</w:t>
      </w:r>
      <w:r w:rsidRPr="00077F9A">
        <w:t>e</w:t>
      </w:r>
      <w:r w:rsidRPr="00077F9A">
        <w:t>ten har visat att det inte är bara för riksdagen som detta inn</w:t>
      </w:r>
      <w:r w:rsidRPr="00077F9A">
        <w:t>e</w:t>
      </w:r>
      <w:r w:rsidRPr="00077F9A">
        <w:t>bär problem. Det skulle därför vara positivt om den idé som framförts från ko</w:t>
      </w:r>
      <w:r w:rsidRPr="00077F9A">
        <w:t>m</w:t>
      </w:r>
      <w:r w:rsidRPr="00077F9A">
        <w:t>missionen, att räkna bort augustiveckorna från åttaveckorsperioden, förverklig</w:t>
      </w:r>
      <w:r w:rsidRPr="00077F9A">
        <w:t>a</w:t>
      </w:r>
      <w:r w:rsidRPr="00077F9A">
        <w:t>des.</w:t>
      </w:r>
    </w:p>
    <w:p w:rsidR="00CF1B5E" w:rsidRPr="00077F9A" w:rsidRDefault="00CF1B5E" w:rsidP="00CF1B5E">
      <w:bookmarkStart w:id="36" w:name="_Toc227660620"/>
      <w:bookmarkStart w:id="37" w:name="_Toc227662085"/>
      <w:bookmarkStart w:id="38" w:name="_Toc227994077"/>
    </w:p>
    <w:p w:rsidR="00CF1B5E" w:rsidRPr="00077F9A" w:rsidRDefault="00CF1B5E" w:rsidP="00CF1B5E">
      <w:pPr>
        <w:pStyle w:val="Rubrik1"/>
        <w:rPr>
          <w:noProof w:val="0"/>
        </w:rPr>
        <w:sectPr w:rsidR="00CF1B5E" w:rsidRPr="00077F9A" w:rsidSect="00CF1B5E">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6" w:h="16838" w:code="9"/>
          <w:pgMar w:top="907" w:right="4649" w:bottom="4508" w:left="1304" w:header="340" w:footer="227" w:gutter="0"/>
          <w:cols w:space="720"/>
          <w:titlePg/>
        </w:sectPr>
      </w:pPr>
    </w:p>
    <w:p w:rsidR="00CF1B5E" w:rsidRPr="00077F9A" w:rsidRDefault="00CF1B5E" w:rsidP="00CF1B5E">
      <w:pPr>
        <w:pStyle w:val="Rubrik1"/>
        <w:rPr>
          <w:noProof w:val="0"/>
        </w:rPr>
      </w:pPr>
      <w:bookmarkStart w:id="39" w:name="_Toc230676855"/>
      <w:bookmarkStart w:id="40" w:name="_Toc230677034"/>
      <w:bookmarkStart w:id="41" w:name="_Toc230708084"/>
      <w:r w:rsidRPr="00077F9A">
        <w:rPr>
          <w:noProof w:val="0"/>
        </w:rPr>
        <w:t>2 Inledning</w:t>
      </w:r>
      <w:bookmarkEnd w:id="36"/>
      <w:bookmarkEnd w:id="37"/>
      <w:bookmarkEnd w:id="38"/>
      <w:bookmarkEnd w:id="39"/>
      <w:bookmarkEnd w:id="40"/>
      <w:bookmarkEnd w:id="41"/>
    </w:p>
    <w:p w:rsidR="00CF1B5E" w:rsidRPr="00077F9A" w:rsidRDefault="00CF1B5E" w:rsidP="00CF1B5E">
      <w:pPr>
        <w:pStyle w:val="Rubrik2"/>
        <w:spacing w:before="0"/>
      </w:pPr>
      <w:bookmarkStart w:id="42" w:name="_Toc223952202"/>
      <w:bookmarkStart w:id="43" w:name="_Toc227660621"/>
      <w:bookmarkStart w:id="44" w:name="_Toc227662086"/>
      <w:bookmarkStart w:id="45" w:name="_Toc227994078"/>
      <w:bookmarkStart w:id="46" w:name="_Toc230676856"/>
      <w:bookmarkStart w:id="47" w:name="_Toc230677035"/>
      <w:bookmarkStart w:id="48" w:name="_Toc230708085"/>
      <w:r w:rsidRPr="00077F9A">
        <w:t>2.1 Uppdraget</w:t>
      </w:r>
      <w:bookmarkEnd w:id="42"/>
      <w:bookmarkEnd w:id="43"/>
      <w:bookmarkEnd w:id="44"/>
      <w:bookmarkEnd w:id="45"/>
      <w:bookmarkEnd w:id="46"/>
      <w:bookmarkEnd w:id="47"/>
      <w:bookmarkEnd w:id="48"/>
    </w:p>
    <w:p w:rsidR="00CF1B5E" w:rsidRPr="00077F9A" w:rsidRDefault="00CF1B5E" w:rsidP="00CF1B5E">
      <w:pPr>
        <w:rPr>
          <w:rFonts w:cs="Bembo"/>
        </w:rPr>
      </w:pPr>
      <w:r w:rsidRPr="00077F9A">
        <w:rPr>
          <w:rFonts w:cs="Bembo"/>
        </w:rPr>
        <w:t>I styrelsens direktiv till utredningen erinras om att Riksdagskommi</w:t>
      </w:r>
      <w:r w:rsidRPr="00077F9A">
        <w:rPr>
          <w:rFonts w:cs="Bembo"/>
        </w:rPr>
        <w:t>t</w:t>
      </w:r>
      <w:r w:rsidRPr="00077F9A">
        <w:rPr>
          <w:rFonts w:cs="Bembo"/>
        </w:rPr>
        <w:t>tén (RDK) hade i uppdrag att kartlägga och analysera konsekvenserna för riksd</w:t>
      </w:r>
      <w:r w:rsidRPr="00077F9A">
        <w:rPr>
          <w:rFonts w:cs="Bembo"/>
        </w:rPr>
        <w:t>a</w:t>
      </w:r>
      <w:r w:rsidRPr="00077F9A">
        <w:rPr>
          <w:rFonts w:cs="Bembo"/>
        </w:rPr>
        <w:t>gen av det konstitutionella fördraget både vad gäller formella regler och sakligt inn</w:t>
      </w:r>
      <w:r w:rsidRPr="00077F9A">
        <w:rPr>
          <w:rFonts w:cs="Bembo"/>
        </w:rPr>
        <w:t>e</w:t>
      </w:r>
      <w:r w:rsidRPr="00077F9A">
        <w:rPr>
          <w:rFonts w:cs="Bembo"/>
        </w:rPr>
        <w:t>håll. Kommittén upprättade ett förslag om bl.a. hanteringen av riksdagens prövning av subsidiaritetsprincipen. Förslagen redovisades i styrelsens fra</w:t>
      </w:r>
      <w:r w:rsidRPr="00077F9A">
        <w:rPr>
          <w:rFonts w:cs="Bembo"/>
        </w:rPr>
        <w:t>m</w:t>
      </w:r>
      <w:r w:rsidRPr="00077F9A">
        <w:rPr>
          <w:rFonts w:cs="Bembo"/>
        </w:rPr>
        <w:t xml:space="preserve">ställning till riksdagen </w:t>
      </w:r>
      <w:r w:rsidRPr="00077F9A">
        <w:rPr>
          <w:rFonts w:cs="Bembo"/>
          <w:i/>
          <w:iCs/>
        </w:rPr>
        <w:t xml:space="preserve">Riksdagen i en ny tid </w:t>
      </w:r>
      <w:r w:rsidRPr="00077F9A">
        <w:rPr>
          <w:rFonts w:cs="Bembo"/>
        </w:rPr>
        <w:t>(framst. 2005/06:RS3) men några formella ändringar i riksdagsordningen föreslogs inte.</w:t>
      </w:r>
    </w:p>
    <w:p w:rsidR="00CF1B5E" w:rsidRPr="00077F9A" w:rsidRDefault="00CF1B5E" w:rsidP="00CF1B5E">
      <w:pPr>
        <w:pStyle w:val="Normaltindrag"/>
      </w:pPr>
      <w:r w:rsidRPr="00077F9A">
        <w:t>I direktiven framhålls vidare att Lissabonfördraget ger de nationella parl</w:t>
      </w:r>
      <w:r w:rsidRPr="00077F9A">
        <w:t>a</w:t>
      </w:r>
      <w:r w:rsidRPr="00077F9A">
        <w:t>menten nya uppgifter i EU-samarbetet. Formerna för dessa nya uppgifter behöver utredas. Utredningen gäller både ordningen för det inre riksdagsarb</w:t>
      </w:r>
      <w:r w:rsidRPr="00077F9A">
        <w:t>e</w:t>
      </w:r>
      <w:r w:rsidRPr="00077F9A">
        <w:t>tet och frågor som rör det ökade interparlamentariska samarbete som kan bli en följd av Lissabo</w:t>
      </w:r>
      <w:r w:rsidRPr="00077F9A">
        <w:t>n</w:t>
      </w:r>
      <w:r w:rsidRPr="00077F9A">
        <w:t>fördraget. Mot bakgrund av Riksdagskommitténs förslag i motsvarande frågor bör utredaren bedöma om förslaget bör rev</w:t>
      </w:r>
      <w:r w:rsidRPr="00077F9A">
        <w:t>i</w:t>
      </w:r>
      <w:r w:rsidRPr="00077F9A">
        <w:t>deras, bl.a. med hänsyn till de erfarenheter som vunnits genom olika försök med subsid</w:t>
      </w:r>
      <w:r w:rsidRPr="00077F9A">
        <w:t>i</w:t>
      </w:r>
      <w:r w:rsidRPr="00077F9A">
        <w:t>aritetskontroll inom ramen för Cosacsamarbetet. Utredningen ska även för</w:t>
      </w:r>
      <w:r w:rsidRPr="00077F9A">
        <w:t>e</w:t>
      </w:r>
      <w:r w:rsidRPr="00077F9A">
        <w:t>slå eventuella åtgärder med anledning av andra bestämmelser i fördraget som rör nationella parlament, särskilt inom området med frihet, säkerhet och rättv</w:t>
      </w:r>
      <w:r w:rsidRPr="00077F9A">
        <w:t>i</w:t>
      </w:r>
      <w:r w:rsidRPr="00077F9A">
        <w:t>sa m.m.</w:t>
      </w:r>
    </w:p>
    <w:p w:rsidR="00CF1B5E" w:rsidRPr="00077F9A" w:rsidRDefault="00CF1B5E" w:rsidP="00CF1B5E">
      <w:pPr>
        <w:pStyle w:val="Normaltindrag"/>
      </w:pPr>
      <w:r w:rsidRPr="00077F9A">
        <w:t>En utgångspunkt för uppdraget bör vara att inte skapa särregleringar för hanteringen av dessa frågor i större utsträckning än nödvändigt. I uppdraget ingår också att göra en bedömning av vilka konsekvenser de nya up</w:t>
      </w:r>
      <w:r w:rsidRPr="00077F9A">
        <w:t>p</w:t>
      </w:r>
      <w:r w:rsidRPr="00077F9A">
        <w:t>gifterna kan få för riksdagens arbete med EU-frågor i övrigt. En bedömning bör även göras av eventuella ko</w:t>
      </w:r>
      <w:r w:rsidRPr="00077F9A">
        <w:t>n</w:t>
      </w:r>
      <w:r w:rsidRPr="00077F9A">
        <w:t xml:space="preserve">sekvenser för riksdagsarbetets planering. </w:t>
      </w:r>
    </w:p>
    <w:p w:rsidR="00CF1B5E" w:rsidRPr="00077F9A" w:rsidRDefault="00CF1B5E" w:rsidP="00CF1B5E">
      <w:pPr>
        <w:pStyle w:val="Rubrik2"/>
      </w:pPr>
      <w:bookmarkStart w:id="49" w:name="_Toc223952204"/>
      <w:bookmarkStart w:id="50" w:name="_Toc227660622"/>
      <w:bookmarkStart w:id="51" w:name="_Toc227662087"/>
      <w:bookmarkStart w:id="52" w:name="_Toc230676857"/>
      <w:bookmarkStart w:id="53" w:name="_Toc230677036"/>
      <w:bookmarkStart w:id="54" w:name="_Toc230708086"/>
      <w:r w:rsidRPr="00077F9A">
        <w:t>2.2 Rapportens innehåll</w:t>
      </w:r>
      <w:bookmarkEnd w:id="49"/>
      <w:bookmarkEnd w:id="50"/>
      <w:bookmarkEnd w:id="51"/>
      <w:bookmarkEnd w:id="52"/>
      <w:bookmarkEnd w:id="53"/>
      <w:bookmarkEnd w:id="54"/>
      <w:r w:rsidRPr="00077F9A">
        <w:t xml:space="preserve"> </w:t>
      </w:r>
    </w:p>
    <w:p w:rsidR="00CF1B5E" w:rsidRPr="00077F9A" w:rsidRDefault="00CF1B5E" w:rsidP="00CF1B5E">
      <w:pPr>
        <w:rPr>
          <w:rFonts w:cs="Bembo"/>
        </w:rPr>
      </w:pPr>
      <w:r w:rsidRPr="00077F9A">
        <w:rPr>
          <w:rFonts w:cs="Bembo"/>
        </w:rPr>
        <w:t>Rapporten är disponerad på följande sätt. Först görs en beskrivning av utvec</w:t>
      </w:r>
      <w:r w:rsidRPr="00077F9A">
        <w:rPr>
          <w:rFonts w:cs="Bembo"/>
        </w:rPr>
        <w:t>k</w:t>
      </w:r>
      <w:r w:rsidRPr="00077F9A">
        <w:rPr>
          <w:rFonts w:cs="Bembo"/>
        </w:rPr>
        <w:t>lingen före Lissabonfördraget dels av den princip, subsidiaritetsprincipen, som är central för de nationella parlamentens roll inom EU, dels för utvec</w:t>
      </w:r>
      <w:r w:rsidRPr="00077F9A">
        <w:rPr>
          <w:rFonts w:cs="Bembo"/>
        </w:rPr>
        <w:t>k</w:t>
      </w:r>
      <w:r w:rsidRPr="00077F9A">
        <w:rPr>
          <w:rFonts w:cs="Bembo"/>
        </w:rPr>
        <w:t>lingen av de nationella parlamentens roll generellt inom EU, dels också av utvecklingen av konta</w:t>
      </w:r>
      <w:r w:rsidRPr="00077F9A">
        <w:rPr>
          <w:rFonts w:cs="Bembo"/>
        </w:rPr>
        <w:t>k</w:t>
      </w:r>
      <w:r w:rsidRPr="00077F9A">
        <w:rPr>
          <w:rFonts w:cs="Bembo"/>
        </w:rPr>
        <w:t xml:space="preserve">terna mellan parlamenten inom EU (kap. 3). </w:t>
      </w:r>
    </w:p>
    <w:p w:rsidR="00CF1B5E" w:rsidRPr="00077F9A" w:rsidRDefault="00CF1B5E" w:rsidP="00CF1B5E">
      <w:pPr>
        <w:pStyle w:val="Normaltindrag"/>
      </w:pPr>
      <w:r w:rsidRPr="00077F9A">
        <w:t>Därefter beskrivs Lissabonfördragets bestämmelser i aktuella hänseenden (kap. 4). Efter en inledning följer en redogörelse för bestämmelserna om Europeiska unionens befogenheter och för lagstiftningsförfara</w:t>
      </w:r>
      <w:r w:rsidRPr="00077F9A">
        <w:t>n</w:t>
      </w:r>
      <w:r w:rsidRPr="00077F9A">
        <w:t>dena inom EU. De nationella parlamentens medverkan i unionens lagstiftningsförfara</w:t>
      </w:r>
      <w:r w:rsidRPr="00077F9A">
        <w:t>n</w:t>
      </w:r>
      <w:r w:rsidRPr="00077F9A">
        <w:t>den behandlas därefter. Slutligen i detta kapitel redogörs för det interparl</w:t>
      </w:r>
      <w:r w:rsidRPr="00077F9A">
        <w:t>a</w:t>
      </w:r>
      <w:r w:rsidRPr="00077F9A">
        <w:t>mentariska samarbetet enligt Lissabonfördraget och den europeiska talman</w:t>
      </w:r>
      <w:r w:rsidRPr="00077F9A">
        <w:t>s</w:t>
      </w:r>
      <w:r w:rsidRPr="00077F9A">
        <w:t>konf</w:t>
      </w:r>
      <w:r w:rsidRPr="00077F9A">
        <w:t>e</w:t>
      </w:r>
      <w:r w:rsidRPr="00077F9A">
        <w:t xml:space="preserve">rensens riktlinjer. </w:t>
      </w:r>
    </w:p>
    <w:p w:rsidR="00CF1B5E" w:rsidRPr="00077F9A" w:rsidRDefault="00CF1B5E" w:rsidP="00CF1B5E">
      <w:pPr>
        <w:pStyle w:val="Normaltindrag"/>
      </w:pPr>
      <w:r w:rsidRPr="00077F9A">
        <w:t xml:space="preserve">De försök med parlamentarisk subsidiaritetskontroll som gjorts sedan 2005 beskrivs i det följande kapitlet (kap. 5). </w:t>
      </w:r>
    </w:p>
    <w:p w:rsidR="00CF1B5E" w:rsidRPr="00077F9A" w:rsidRDefault="00CF1B5E" w:rsidP="00CF1B5E">
      <w:pPr>
        <w:pStyle w:val="Normaltindrag"/>
      </w:pPr>
      <w:r w:rsidRPr="00077F9A">
        <w:t>I kapitlet därefter (kap. 6) redovisas utredningens överväganden och fö</w:t>
      </w:r>
      <w:r w:rsidRPr="00077F9A">
        <w:t>r</w:t>
      </w:r>
      <w:r w:rsidRPr="00077F9A">
        <w:t>slag i ett antal olika avsnitt. Efter en inledning behandlas formerna för den subsidiaritetskontroll som riksdagen ska göra av utkasten till lagstiftningsa</w:t>
      </w:r>
      <w:r w:rsidRPr="00077F9A">
        <w:t>k</w:t>
      </w:r>
      <w:r w:rsidRPr="00077F9A">
        <w:t>ter från EU. I de följande avsnitten redovisas hur riksdagens deltagande för fördragsändringar enligt det ordinarie förfarandet (konventsmetoden) respe</w:t>
      </w:r>
      <w:r w:rsidRPr="00077F9A">
        <w:t>k</w:t>
      </w:r>
      <w:r w:rsidRPr="00077F9A">
        <w:t>tive det fö</w:t>
      </w:r>
      <w:r w:rsidRPr="00077F9A">
        <w:t>r</w:t>
      </w:r>
      <w:r w:rsidRPr="00077F9A">
        <w:t>enklade förfarandet bör utformas. När det gäller deltagandet i den politiska överva</w:t>
      </w:r>
      <w:r w:rsidRPr="00077F9A">
        <w:t>k</w:t>
      </w:r>
      <w:r w:rsidRPr="00077F9A">
        <w:t>ningen av Europol och utvärderingen av Eurojust saknas ännu den nödvändiga kompletterande lagstiftningen. Utredningen har därför inga förslag på denna punkt utan redovisar synpunkter på riksdagens medve</w:t>
      </w:r>
      <w:r w:rsidRPr="00077F9A">
        <w:t>r</w:t>
      </w:r>
      <w:r w:rsidRPr="00077F9A">
        <w:t>kan i den fortsatta beredningen av denna lagstiftning. Hur övrig information som fördragse</w:t>
      </w:r>
      <w:r w:rsidRPr="00077F9A">
        <w:t>n</w:t>
      </w:r>
      <w:r w:rsidRPr="00077F9A">
        <w:t>ligt lämnas över från EU till riksdagen bör hanteras redovisas i det följande avsnittet. Därefter b</w:t>
      </w:r>
      <w:r w:rsidRPr="00077F9A">
        <w:t>e</w:t>
      </w:r>
      <w:r w:rsidRPr="00077F9A">
        <w:t>handlas formerna för kontakter och samråd med andra parlament inom EU. I det sista avsnittet av detta kapitel görs ett försök att bedöma konsekvenserna av förslagen för riksdagsarbetets omfat</w:t>
      </w:r>
      <w:r w:rsidRPr="00077F9A">
        <w:t>t</w:t>
      </w:r>
      <w:r w:rsidRPr="00077F9A">
        <w:t>ning och planering.</w:t>
      </w:r>
    </w:p>
    <w:p w:rsidR="00CF1B5E" w:rsidRPr="00077F9A" w:rsidRDefault="00CF1B5E" w:rsidP="00CF1B5E">
      <w:pPr>
        <w:pStyle w:val="Normaltindrag"/>
      </w:pPr>
      <w:r w:rsidRPr="00077F9A">
        <w:t xml:space="preserve">Sist i rapporten finns en kommentar paragraf för paragraf till lagförslaget. </w:t>
      </w:r>
    </w:p>
    <w:p w:rsidR="00CF1B5E" w:rsidRPr="00077F9A" w:rsidRDefault="00CF1B5E" w:rsidP="00CF1B5E">
      <w:pPr>
        <w:pStyle w:val="Normaltindrag"/>
      </w:pPr>
      <w:r w:rsidRPr="00077F9A">
        <w:t>I bilagor finns utredningens lagförslag (</w:t>
      </w:r>
      <w:r w:rsidRPr="00077F9A">
        <w:rPr>
          <w:i/>
        </w:rPr>
        <w:t>bilaga 1</w:t>
      </w:r>
      <w:r w:rsidRPr="00077F9A">
        <w:t>) och en förteckning över de dokument som EU lämnar till riksdagen enligt fördragen (</w:t>
      </w:r>
      <w:r w:rsidRPr="00077F9A">
        <w:rPr>
          <w:i/>
        </w:rPr>
        <w:t>bilaga 2</w:t>
      </w:r>
      <w:r w:rsidRPr="00077F9A">
        <w:t xml:space="preserve">). </w:t>
      </w:r>
      <w:r w:rsidR="00122558" w:rsidRPr="00077F9A">
        <w:t>I den ursprungliga rapporten har</w:t>
      </w:r>
      <w:r w:rsidRPr="00077F9A">
        <w:t xml:space="preserve"> fem arbetspromemorior som använts för utre</w:t>
      </w:r>
      <w:r w:rsidRPr="00077F9A">
        <w:t>d</w:t>
      </w:r>
      <w:r w:rsidRPr="00077F9A">
        <w:t xml:space="preserve">ningens ställningstaganden </w:t>
      </w:r>
      <w:r w:rsidR="00122558" w:rsidRPr="00077F9A">
        <w:t xml:space="preserve">fogats till betänkandet </w:t>
      </w:r>
      <w:r w:rsidRPr="00077F9A">
        <w:t>(</w:t>
      </w:r>
      <w:r w:rsidR="00AD3298" w:rsidRPr="00077F9A">
        <w:t>se</w:t>
      </w:r>
      <w:r w:rsidR="00122558" w:rsidRPr="00077F9A">
        <w:t xml:space="preserve"> 2008/09:URF2 s. 66–124)</w:t>
      </w:r>
      <w:r w:rsidRPr="00077F9A">
        <w:t xml:space="preserve">. </w:t>
      </w:r>
      <w:r w:rsidR="00122558" w:rsidRPr="00077F9A">
        <w:t xml:space="preserve">Dessa har lyfts ut ur </w:t>
      </w:r>
      <w:r w:rsidR="00AD3298" w:rsidRPr="00077F9A">
        <w:t xml:space="preserve">bilagan till riksdagsstyrelsens </w:t>
      </w:r>
      <w:r w:rsidR="00122558" w:rsidRPr="00077F9A">
        <w:t>framställning.</w:t>
      </w:r>
    </w:p>
    <w:p w:rsidR="00CF1B5E" w:rsidRPr="00077F9A" w:rsidRDefault="00CF1B5E" w:rsidP="00CF1B5E">
      <w:bookmarkStart w:id="55" w:name="_Toc227660623"/>
      <w:bookmarkStart w:id="56" w:name="_Toc227662088"/>
      <w:bookmarkStart w:id="57" w:name="_Toc227994079"/>
    </w:p>
    <w:p w:rsidR="00CF1B5E" w:rsidRPr="00077F9A" w:rsidRDefault="00CF1B5E" w:rsidP="00CF1B5E">
      <w:pPr>
        <w:pStyle w:val="Rubrik1"/>
        <w:rPr>
          <w:noProof w:val="0"/>
        </w:rPr>
        <w:sectPr w:rsidR="00CF1B5E" w:rsidRPr="00077F9A" w:rsidSect="00CF1B5E">
          <w:headerReference w:type="even" r:id="rId45"/>
          <w:headerReference w:type="default" r:id="rId46"/>
          <w:footerReference w:type="even" r:id="rId47"/>
          <w:footerReference w:type="default" r:id="rId48"/>
          <w:headerReference w:type="first" r:id="rId49"/>
          <w:footerReference w:type="first" r:id="rId50"/>
          <w:footnotePr>
            <w:numRestart w:val="eachSect"/>
          </w:footnotePr>
          <w:pgSz w:w="11906" w:h="16838" w:code="9"/>
          <w:pgMar w:top="907" w:right="4649" w:bottom="4508" w:left="1304" w:header="340" w:footer="227" w:gutter="0"/>
          <w:cols w:space="720"/>
          <w:titlePg/>
        </w:sectPr>
      </w:pPr>
    </w:p>
    <w:p w:rsidR="00CF1B5E" w:rsidRPr="00077F9A" w:rsidRDefault="00CF1B5E" w:rsidP="00CF1B5E">
      <w:pPr>
        <w:pStyle w:val="Rubrik1"/>
        <w:rPr>
          <w:noProof w:val="0"/>
        </w:rPr>
      </w:pPr>
      <w:bookmarkStart w:id="58" w:name="_Toc230676858"/>
      <w:bookmarkStart w:id="59" w:name="_Toc230677037"/>
      <w:bookmarkStart w:id="60" w:name="_Toc230708087"/>
      <w:r w:rsidRPr="00077F9A">
        <w:rPr>
          <w:noProof w:val="0"/>
        </w:rPr>
        <w:t>3 Utvecklingen före Lissabonfördraget</w:t>
      </w:r>
      <w:bookmarkEnd w:id="55"/>
      <w:bookmarkEnd w:id="56"/>
      <w:bookmarkEnd w:id="57"/>
      <w:bookmarkEnd w:id="58"/>
      <w:bookmarkEnd w:id="59"/>
      <w:bookmarkEnd w:id="60"/>
    </w:p>
    <w:p w:rsidR="00CF1B5E" w:rsidRPr="00077F9A" w:rsidRDefault="00CF1B5E" w:rsidP="00CF1B5E">
      <w:pPr>
        <w:pStyle w:val="Rubrik2"/>
        <w:spacing w:before="0"/>
      </w:pPr>
      <w:bookmarkStart w:id="61" w:name="_Toc223952205"/>
      <w:bookmarkStart w:id="62" w:name="_Toc227660624"/>
      <w:bookmarkStart w:id="63" w:name="_Toc227662089"/>
      <w:bookmarkStart w:id="64" w:name="_Toc227994080"/>
      <w:bookmarkStart w:id="65" w:name="_Toc230676859"/>
      <w:bookmarkStart w:id="66" w:name="_Toc230677038"/>
      <w:bookmarkStart w:id="67" w:name="_Toc230708088"/>
      <w:r w:rsidRPr="00077F9A">
        <w:t>3.1 Subsidiaritetsprincipen i EU</w:t>
      </w:r>
      <w:bookmarkEnd w:id="61"/>
      <w:bookmarkEnd w:id="62"/>
      <w:bookmarkEnd w:id="63"/>
      <w:bookmarkEnd w:id="64"/>
      <w:bookmarkEnd w:id="65"/>
      <w:bookmarkEnd w:id="66"/>
      <w:bookmarkEnd w:id="67"/>
    </w:p>
    <w:p w:rsidR="00CF1B5E" w:rsidRPr="00077F9A" w:rsidRDefault="00CF1B5E" w:rsidP="00CF1B5E">
      <w:r w:rsidRPr="00077F9A">
        <w:t>Subsidiaritetsprincipens allmänna innebörd i politiska sammanhang är no</w:t>
      </w:r>
      <w:r w:rsidRPr="00077F9A">
        <w:t>r</w:t>
      </w:r>
      <w:r w:rsidRPr="00077F9A">
        <w:t>malt att de högre politiska nivåerna ska vara ett stöd för de lägre politiska nivåernas insatser. De högre beslutsnivåerna ska inte ta över i onödan. Stöd och hjälp är den ursprungliga betydelsen av ordet och det är i den betydelsen som det förekommer i t.ex. svenskans ord subsidier. Subsidiaritetstanken är således ingen entydig decentraliseringsidé, eftersom den kan användas för att motivera såväl centralisering som decentralisering beroende på omständigh</w:t>
      </w:r>
      <w:r w:rsidRPr="00077F9A">
        <w:t>e</w:t>
      </w:r>
      <w:r w:rsidRPr="00077F9A">
        <w:t>terna i det enski</w:t>
      </w:r>
      <w:r w:rsidRPr="00077F9A">
        <w:t>l</w:t>
      </w:r>
      <w:r w:rsidRPr="00077F9A">
        <w:t>da fallet. Det är därför egentligen inte korrekt att, som ibland förekommer, använda begreppet närhetsprincipen som synonym till subsidi</w:t>
      </w:r>
      <w:r w:rsidRPr="00077F9A">
        <w:t>a</w:t>
      </w:r>
      <w:r w:rsidRPr="00077F9A">
        <w:t>ritetsprincipen.</w:t>
      </w:r>
      <w:r w:rsidRPr="00077F9A">
        <w:rPr>
          <w:rStyle w:val="Fotnotsreferens"/>
        </w:rPr>
        <w:footnoteReference w:id="3"/>
      </w:r>
    </w:p>
    <w:p w:rsidR="00CF1B5E" w:rsidRPr="00077F9A" w:rsidRDefault="00CF1B5E" w:rsidP="00CF1B5E">
      <w:pPr>
        <w:pStyle w:val="Normaltindrag"/>
      </w:pPr>
      <w:r w:rsidRPr="00077F9A">
        <w:t>Gränsdragningen mellan EU:s och dess medlemsstaters befogenheter har ända sedan samarbetets start varit en central diskussionsfråga. Det har ofta riktats kritik mot tendensen till central detaljreglering inom EU. Att EU:s befogenheter varit otydligt reglerade i fördragen har också varit en bidragande orsak till denna diskussion. Subsidiaritetsprincipen har då setts som en öve</w:t>
      </w:r>
      <w:r w:rsidRPr="00077F9A">
        <w:t>r</w:t>
      </w:r>
      <w:r w:rsidRPr="00077F9A">
        <w:t>gripande princip som skulle kunna tillämpas för att åsta</w:t>
      </w:r>
      <w:r w:rsidRPr="00077F9A">
        <w:t>d</w:t>
      </w:r>
      <w:r w:rsidRPr="00077F9A">
        <w:t>komma en rationell fördelning mellan unionen och staterna när det gäller utnyttjande av befoge</w:t>
      </w:r>
      <w:r w:rsidRPr="00077F9A">
        <w:t>n</w:t>
      </w:r>
      <w:r w:rsidRPr="00077F9A">
        <w:t xml:space="preserve">heterna. </w:t>
      </w:r>
    </w:p>
    <w:p w:rsidR="00CF1B5E" w:rsidRPr="00077F9A" w:rsidRDefault="00CF1B5E" w:rsidP="00CF1B5E">
      <w:pPr>
        <w:pStyle w:val="Normaltindrag"/>
      </w:pPr>
      <w:r w:rsidRPr="00077F9A">
        <w:t>Subsidiaritetsprincipen infördes i EU genom Enhetsakten 1986, men då bara på miljöområdet. I Enhetsakten för</w:t>
      </w:r>
      <w:r w:rsidRPr="00077F9A">
        <w:t>e</w:t>
      </w:r>
      <w:r w:rsidRPr="00077F9A">
        <w:t>skrevs att gemenskapen skulle vidta åtgärder på detta område endast i den utsträckning som de angivna syftena bättre kunde uppnås på gemenskapsnivå än på medlemsstatsnivå. Det verkliga genombrottet för principen kom dock 1993 i Unionsfördraget. Subsidiaritet</w:t>
      </w:r>
      <w:r w:rsidRPr="00077F9A">
        <w:t>s</w:t>
      </w:r>
      <w:r w:rsidRPr="00077F9A">
        <w:t>principen, liksom legalitets- och proportionalitetsprinc</w:t>
      </w:r>
      <w:r w:rsidRPr="00077F9A">
        <w:t>i</w:t>
      </w:r>
      <w:r w:rsidRPr="00077F9A">
        <w:t>perna som infördes samtidigt, uppfattades som en nödvändig motvikt till den utökade kompetens som g</w:t>
      </w:r>
      <w:r w:rsidRPr="00077F9A">
        <w:t>e</w:t>
      </w:r>
      <w:r w:rsidRPr="00077F9A">
        <w:t>menskapen fick genom fördraget.</w:t>
      </w:r>
      <w:r w:rsidRPr="00077F9A">
        <w:rPr>
          <w:rStyle w:val="Fotnotsreferens"/>
        </w:rPr>
        <w:footnoteReference w:id="4"/>
      </w:r>
      <w:r w:rsidRPr="00077F9A">
        <w:t xml:space="preserve"> Det var också av detta skäl som principen fick en ”negativ” utformning, så att gemenskapen endast skulle vidta en å</w:t>
      </w:r>
      <w:r w:rsidRPr="00077F9A">
        <w:t>t</w:t>
      </w:r>
      <w:r w:rsidRPr="00077F9A">
        <w:t>gärd i de fall då målet med åtgärden inte kunde nås på nationell nivå.</w:t>
      </w:r>
      <w:r w:rsidRPr="00077F9A">
        <w:rPr>
          <w:rStyle w:val="Fotnotsreferens"/>
        </w:rPr>
        <w:footnoteReference w:id="5"/>
      </w:r>
      <w:r w:rsidRPr="00077F9A">
        <w:t xml:space="preserve"> Dä</w:t>
      </w:r>
      <w:r w:rsidRPr="00077F9A">
        <w:t>r</w:t>
      </w:r>
      <w:r w:rsidRPr="00077F9A">
        <w:t>med kom principen att utformas så att den liknade en närhets- eller decentral</w:t>
      </w:r>
      <w:r w:rsidRPr="00077F9A">
        <w:t>i</w:t>
      </w:r>
      <w:r w:rsidRPr="00077F9A">
        <w:t xml:space="preserve">seringsprincip. </w:t>
      </w:r>
    </w:p>
    <w:p w:rsidR="00CF1B5E" w:rsidRPr="00077F9A" w:rsidRDefault="00CF1B5E" w:rsidP="00CF1B5E">
      <w:pPr>
        <w:pStyle w:val="Normaltindrag"/>
      </w:pPr>
      <w:r w:rsidRPr="00077F9A">
        <w:t>I ingressen till Unionsfördraget finns en hänvisning till subsidiaritetspri</w:t>
      </w:r>
      <w:r w:rsidRPr="00077F9A">
        <w:t>n</w:t>
      </w:r>
      <w:r w:rsidRPr="00077F9A">
        <w:t>cipen. Principen regleras tillsammans med legalitetsprincipen och proporti</w:t>
      </w:r>
      <w:r w:rsidRPr="00077F9A">
        <w:t>o</w:t>
      </w:r>
      <w:r w:rsidRPr="00077F9A">
        <w:t>nal</w:t>
      </w:r>
      <w:r w:rsidRPr="00077F9A">
        <w:t>i</w:t>
      </w:r>
      <w:r w:rsidRPr="00077F9A">
        <w:t>tetsprincipen i dåvarande artikel 3b, numera artikel 5, i EG-fördraget, vilken lyder som följer.</w:t>
      </w:r>
    </w:p>
    <w:p w:rsidR="00CF1B5E" w:rsidRPr="00077F9A" w:rsidRDefault="00CF1B5E" w:rsidP="00CF1B5E">
      <w:pPr>
        <w:pStyle w:val="Citat"/>
        <w:spacing w:before="60"/>
      </w:pPr>
      <w:r w:rsidRPr="00077F9A">
        <w:t>Gemenskapen skall handla inom ramen för de befogenheter som den har til</w:t>
      </w:r>
      <w:r w:rsidRPr="00077F9A">
        <w:t>l</w:t>
      </w:r>
      <w:r w:rsidRPr="00077F9A">
        <w:t>delats och de mål som har ställts upp för den genom detta fördrag.</w:t>
      </w:r>
    </w:p>
    <w:p w:rsidR="00CF1B5E" w:rsidRPr="00077F9A" w:rsidRDefault="00CF1B5E" w:rsidP="00CF1B5E">
      <w:pPr>
        <w:pStyle w:val="CitatIndrag"/>
      </w:pPr>
      <w:r w:rsidRPr="00077F9A">
        <w:t>På de områden där gemenskapen inte är ensam behörig skall den i överen</w:t>
      </w:r>
      <w:r w:rsidRPr="00077F9A">
        <w:t>s</w:t>
      </w:r>
      <w:r w:rsidRPr="00077F9A">
        <w:t>stämmelse med subsidiaritetsprincipen vidta en åtgärd endast om och i den mån som målen för den planerade åtgärden inte i tillräcklig u</w:t>
      </w:r>
      <w:r w:rsidRPr="00077F9A">
        <w:t>t</w:t>
      </w:r>
      <w:r w:rsidRPr="00077F9A">
        <w:t>sträckning kan uppnås av medlemsstaterna och därför, på grund av den planerade åtgärdens omfattning eller verkningar, bättre kan uppnås på gemenskapsnivå.</w:t>
      </w:r>
    </w:p>
    <w:p w:rsidR="00CF1B5E" w:rsidRPr="00077F9A" w:rsidRDefault="00CF1B5E" w:rsidP="00CF1B5E">
      <w:pPr>
        <w:pStyle w:val="CitatIndrag"/>
      </w:pPr>
      <w:r w:rsidRPr="00077F9A">
        <w:t>Gemenskapen skall inte vidta någon åtgärd som går utöver vad som är nödvändigt för att uppnå målen i detta fördrag.</w:t>
      </w:r>
    </w:p>
    <w:p w:rsidR="00CF1B5E" w:rsidRPr="00077F9A" w:rsidRDefault="00CF1B5E" w:rsidP="00CF1B5E">
      <w:r w:rsidRPr="00077F9A">
        <w:t>I första stycket anges legalitetsprincipen som i detta sammanhang innebär att gemenskapens institutioner e</w:t>
      </w:r>
      <w:r w:rsidRPr="00077F9A">
        <w:t>n</w:t>
      </w:r>
      <w:r w:rsidRPr="00077F9A">
        <w:t>dast kan handla när det finns positivt stöd för detta i gemenskapens befogenheter och mål. I andra stycket regleras subsidi</w:t>
      </w:r>
      <w:r w:rsidRPr="00077F9A">
        <w:t>a</w:t>
      </w:r>
      <w:r w:rsidRPr="00077F9A">
        <w:t>ritetsprincipen. Den kan endast tillämpas på de områden där kompetensen är delad mellan gemenskapen och medlemsstaterna, och där ska gemenskapen endast handla om och i den mån som målen för åtgärden inte i tillräcklig utsträckning kan uppnås av medlemsstaterna (nödvändighetskriteriet). För att geme</w:t>
      </w:r>
      <w:r w:rsidRPr="00077F9A">
        <w:t>n</w:t>
      </w:r>
      <w:r w:rsidRPr="00077F9A">
        <w:t>skapen ska kunna handla måste det också vara fallet att målen, på grund av den planerade åtgärdens omfattning och verkningar, bättre kan up</w:t>
      </w:r>
      <w:r w:rsidRPr="00077F9A">
        <w:t>p</w:t>
      </w:r>
      <w:r w:rsidRPr="00077F9A">
        <w:t>nås på gemenskapsnivå (mervärdeskriteriet). Tredje stycket innebär att de medel som används av institutionerna ska vara nödvändiga och tillräckliga för att uppnå målen i fördraget. Proporti</w:t>
      </w:r>
      <w:r w:rsidRPr="00077F9A">
        <w:t>o</w:t>
      </w:r>
      <w:r w:rsidRPr="00077F9A">
        <w:t>nalitetsprincipen ska tillämpas generellt av EG, alltså även på områden där gemenskapen ensam har behörigh</w:t>
      </w:r>
      <w:r w:rsidRPr="00077F9A">
        <w:t>e</w:t>
      </w:r>
      <w:r w:rsidRPr="00077F9A">
        <w:t xml:space="preserve">ten. </w:t>
      </w:r>
    </w:p>
    <w:p w:rsidR="00CF1B5E" w:rsidRPr="00077F9A" w:rsidRDefault="00CF1B5E" w:rsidP="00CF1B5E">
      <w:pPr>
        <w:pStyle w:val="Normaltindrag"/>
      </w:pPr>
      <w:r w:rsidRPr="00077F9A">
        <w:t>De tre principernas innebörd kan sammanfattningsvis beskrivas så att leg</w:t>
      </w:r>
      <w:r w:rsidRPr="00077F9A">
        <w:t>a</w:t>
      </w:r>
      <w:r w:rsidRPr="00077F9A">
        <w:t xml:space="preserve">litetsprincipen avgör </w:t>
      </w:r>
      <w:r w:rsidRPr="00077F9A">
        <w:rPr>
          <w:i/>
        </w:rPr>
        <w:t>när gemenskapen har rätt att handla,</w:t>
      </w:r>
      <w:r w:rsidRPr="00077F9A">
        <w:t xml:space="preserve"> subsidiaritetspri</w:t>
      </w:r>
      <w:r w:rsidRPr="00077F9A">
        <w:t>n</w:t>
      </w:r>
      <w:r w:rsidRPr="00077F9A">
        <w:t xml:space="preserve">cipen </w:t>
      </w:r>
      <w:r w:rsidRPr="00077F9A">
        <w:rPr>
          <w:i/>
        </w:rPr>
        <w:t xml:space="preserve">när gemenskapen bör handla </w:t>
      </w:r>
      <w:r w:rsidRPr="00077F9A">
        <w:t xml:space="preserve">och proportionalitetsprincipen </w:t>
      </w:r>
      <w:r w:rsidRPr="00077F9A">
        <w:rPr>
          <w:i/>
        </w:rPr>
        <w:t>hur geme</w:t>
      </w:r>
      <w:r w:rsidRPr="00077F9A">
        <w:rPr>
          <w:i/>
        </w:rPr>
        <w:t>n</w:t>
      </w:r>
      <w:r w:rsidRPr="00077F9A">
        <w:rPr>
          <w:i/>
        </w:rPr>
        <w:t>skapen ska handla.</w:t>
      </w:r>
      <w:r w:rsidRPr="00077F9A">
        <w:rPr>
          <w:rStyle w:val="Fotnotsreferens"/>
          <w:i/>
        </w:rPr>
        <w:footnoteReference w:id="6"/>
      </w:r>
      <w:r w:rsidRPr="00077F9A">
        <w:t xml:space="preserve"> De tre principerna är rättsligt bindande för gemenskapens institutioner och är således underkastade EG-domstolens kontroll.</w:t>
      </w:r>
    </w:p>
    <w:p w:rsidR="00CF1B5E" w:rsidRPr="00077F9A" w:rsidRDefault="00CF1B5E" w:rsidP="00CF1B5E">
      <w:pPr>
        <w:pStyle w:val="Normaltindrag"/>
      </w:pPr>
      <w:r w:rsidRPr="00077F9A">
        <w:t>I anslutning till undertecknandet av Unionsfördraget beslöt Europeiska r</w:t>
      </w:r>
      <w:r w:rsidRPr="00077F9A">
        <w:t>å</w:t>
      </w:r>
      <w:r w:rsidRPr="00077F9A">
        <w:t>det att en subsidiaritetsprövning ska göras i varje lagstiftningsärende. Den prövningen ger medlemsstaterna möjlighet att uttala sig om nödvä</w:t>
      </w:r>
      <w:r w:rsidRPr="00077F9A">
        <w:t>n</w:t>
      </w:r>
      <w:r w:rsidRPr="00077F9A">
        <w:t>digheten av en föreslagen åtgärd. Enligt de riktlinjer som rådet antog ska det först avgöras om legalitetsprincipen iakttagits. Därefter görs den egentliga subsid</w:t>
      </w:r>
      <w:r w:rsidRPr="00077F9A">
        <w:t>i</w:t>
      </w:r>
      <w:r w:rsidRPr="00077F9A">
        <w:t>aritetsprövningen. Man ska då fråga sig: Är det omöjligt att uppnå de öns</w:t>
      </w:r>
      <w:r w:rsidRPr="00077F9A">
        <w:t>k</w:t>
      </w:r>
      <w:r w:rsidRPr="00077F9A">
        <w:t>värda målen på nationell eller lägre nivå? Kan målen uppnås bättre genom en gemenskapsåtgärd? För att besvara den sistnämnda frågan bör följande följ</w:t>
      </w:r>
      <w:r w:rsidRPr="00077F9A">
        <w:t>d</w:t>
      </w:r>
      <w:r w:rsidRPr="00077F9A">
        <w:t>frågor ställas: Finns det viktiga gränsöverskridande aspekter på den föresla</w:t>
      </w:r>
      <w:r w:rsidRPr="00077F9A">
        <w:t>g</w:t>
      </w:r>
      <w:r w:rsidRPr="00077F9A">
        <w:t>na å</w:t>
      </w:r>
      <w:r w:rsidRPr="00077F9A">
        <w:t>t</w:t>
      </w:r>
      <w:r w:rsidRPr="00077F9A">
        <w:t>gärden? Skulle underlåtenhet att handla på gemenskapsnivå stå i strid med fördraget eller medföra skada för medlemsstaternas intressen? Finns det klara ekonomiska storskalighetsfördelar? Slutligen bör en prövning göras mot propo</w:t>
      </w:r>
      <w:r w:rsidRPr="00077F9A">
        <w:t>r</w:t>
      </w:r>
      <w:r w:rsidRPr="00077F9A">
        <w:t>tionalitetsprincipen genom att frågan ställs om den föreslagna åtgärden går utöver det minimum som krävs för att uppnå de önskvärda målen.</w:t>
      </w:r>
      <w:r w:rsidRPr="00077F9A">
        <w:rPr>
          <w:rStyle w:val="Fotnotsreferens"/>
        </w:rPr>
        <w:footnoteReference w:id="7"/>
      </w:r>
    </w:p>
    <w:p w:rsidR="00CF1B5E" w:rsidRPr="00077F9A" w:rsidRDefault="00CF1B5E" w:rsidP="00CF1B5E">
      <w:pPr>
        <w:pStyle w:val="Normaltindrag"/>
      </w:pPr>
      <w:r w:rsidRPr="00077F9A">
        <w:t>Senare upprättades ett interinstitutionellt avtal mellan rådet, kommissionen och Europaparlamentet om subsidiaritetsprincipens tillämpning. Avtalet för</w:t>
      </w:r>
      <w:r w:rsidRPr="00077F9A">
        <w:t>e</w:t>
      </w:r>
      <w:r w:rsidRPr="00077F9A">
        <w:t>skriver att varje förslag från kommissionen ska motiveras utifrån subsidiar</w:t>
      </w:r>
      <w:r w:rsidRPr="00077F9A">
        <w:t>i</w:t>
      </w:r>
      <w:r w:rsidRPr="00077F9A">
        <w:t>tetsprincipen liksom varje förslag från kommissionen till ändring i förslaget. Vidare ska kommissi</w:t>
      </w:r>
      <w:r w:rsidRPr="00077F9A">
        <w:t>o</w:t>
      </w:r>
      <w:r w:rsidRPr="00077F9A">
        <w:t xml:space="preserve">nen varje år lämna en rapport till parlamentet och rådet om hur principen har iakttagits. </w:t>
      </w:r>
    </w:p>
    <w:p w:rsidR="00CF1B5E" w:rsidRPr="00077F9A" w:rsidRDefault="00CF1B5E" w:rsidP="00CF1B5E">
      <w:pPr>
        <w:pStyle w:val="Normaltindrag"/>
      </w:pPr>
      <w:r w:rsidRPr="00077F9A">
        <w:t>Till Amsterdamfördraget fogades ett särskilt protokoll om subsidiaritets- och proportionalitetsprinciperna, som ytterligare utvecklade och preciserade ti</w:t>
      </w:r>
      <w:r w:rsidRPr="00077F9A">
        <w:t>l</w:t>
      </w:r>
      <w:r w:rsidRPr="00077F9A">
        <w:t xml:space="preserve">lämpningen av dessa principer. Protokollet som har nummer 30 i EG-fördraget innehåller följande 13 punkter. </w:t>
      </w:r>
    </w:p>
    <w:p w:rsidR="00CF1B5E" w:rsidRPr="00077F9A" w:rsidRDefault="00CF1B5E" w:rsidP="00CF1B5E">
      <w:pPr>
        <w:pStyle w:val="PunktlistaBomb"/>
      </w:pPr>
      <w:r w:rsidRPr="00077F9A">
        <w:t>Varje institution ska säkerställa efterföljd av subsidiaritetsprincipen och överensstämmelse med proporti</w:t>
      </w:r>
      <w:r w:rsidRPr="00077F9A">
        <w:t>o</w:t>
      </w:r>
      <w:r w:rsidRPr="00077F9A">
        <w:t>nalitetsprincipen.</w:t>
      </w:r>
    </w:p>
    <w:p w:rsidR="00CF1B5E" w:rsidRPr="00077F9A" w:rsidRDefault="00CF1B5E" w:rsidP="00CF1B5E">
      <w:pPr>
        <w:pStyle w:val="PunktlistaBomb"/>
        <w:spacing w:before="0"/>
      </w:pPr>
      <w:r w:rsidRPr="00077F9A">
        <w:t>Subsidiaritets- och proportionalitetsprinciperna ska tillämpas med iaktt</w:t>
      </w:r>
      <w:r w:rsidRPr="00077F9A">
        <w:t>a</w:t>
      </w:r>
      <w:r w:rsidRPr="00077F9A">
        <w:t>gande av de allmänna bestämmelserna och av fördragets mål, särskilt när det gäller att fullt ut behålla gemenskapens regelverk och jämvikten mellan institutionerna; den ska inte påverka de principer som do</w:t>
      </w:r>
      <w:r w:rsidRPr="00077F9A">
        <w:t>m</w:t>
      </w:r>
      <w:r w:rsidRPr="00077F9A">
        <w:t>stolen utvecklat i fråga om förhållandet mellan nationell rätt och gemenskapsrätt, och den ska b</w:t>
      </w:r>
      <w:r w:rsidRPr="00077F9A">
        <w:t>e</w:t>
      </w:r>
      <w:r w:rsidRPr="00077F9A">
        <w:t>akta att unionen har de medel som den behöver för att nå sina mål och genomföra sin pol</w:t>
      </w:r>
      <w:r w:rsidRPr="00077F9A">
        <w:t>i</w:t>
      </w:r>
      <w:r w:rsidRPr="00077F9A">
        <w:t>tik.</w:t>
      </w:r>
    </w:p>
    <w:p w:rsidR="00CF1B5E" w:rsidRPr="00077F9A" w:rsidRDefault="00CF1B5E" w:rsidP="00CF1B5E">
      <w:pPr>
        <w:pStyle w:val="PunktlistaBomb"/>
        <w:spacing w:before="0"/>
      </w:pPr>
      <w:r w:rsidRPr="00077F9A">
        <w:t>Subsidiaritetsprincipen är ett dynamiskt begrepp och bör tillämpas mot bakgrund av de mål som ställs upp i fördraget. Den gör det möjligt att, när omständigheterna kräver det, utvidga räckvidden för gemenskap</w:t>
      </w:r>
      <w:r w:rsidRPr="00077F9A">
        <w:t>s</w:t>
      </w:r>
      <w:r w:rsidRPr="00077F9A">
        <w:t>åtgärder som vidtas inom ramen för gemenskapens befogenheter, och omvänt att inskränka eller upphöra med dem när de inte längre är b</w:t>
      </w:r>
      <w:r w:rsidRPr="00077F9A">
        <w:t>e</w:t>
      </w:r>
      <w:r w:rsidRPr="00077F9A">
        <w:t>rättigade.</w:t>
      </w:r>
    </w:p>
    <w:p w:rsidR="00CF1B5E" w:rsidRPr="00077F9A" w:rsidRDefault="00CF1B5E" w:rsidP="00CF1B5E">
      <w:pPr>
        <w:pStyle w:val="PunktlistaBomb"/>
        <w:spacing w:before="0"/>
      </w:pPr>
      <w:r w:rsidRPr="00077F9A">
        <w:t>All föreslagen gemenskapslagstiftning ska motiveras för att visa att den följer subsidiaritets- och proportionalitetsprinciperna; skälen för slutsatsen att ett gemenskapsmål bättre kan uppnås av gemenskapen måste unde</w:t>
      </w:r>
      <w:r w:rsidRPr="00077F9A">
        <w:t>r</w:t>
      </w:r>
      <w:r w:rsidRPr="00077F9A">
        <w:t>byggas med kvalitativa eller, om möjligt, kvantitativa ind</w:t>
      </w:r>
      <w:r w:rsidRPr="00077F9A">
        <w:t>i</w:t>
      </w:r>
      <w:r w:rsidRPr="00077F9A">
        <w:t xml:space="preserve">katorer. </w:t>
      </w:r>
    </w:p>
    <w:p w:rsidR="00CF1B5E" w:rsidRPr="00077F9A" w:rsidRDefault="00CF1B5E" w:rsidP="00CF1B5E">
      <w:pPr>
        <w:pStyle w:val="PunktlistaBomb"/>
        <w:spacing w:before="0"/>
      </w:pPr>
      <w:r w:rsidRPr="00077F9A">
        <w:t>För att en gemenskapsåtgärd ska vara berättigad, ska subsidiaritetsprinc</w:t>
      </w:r>
      <w:r w:rsidRPr="00077F9A">
        <w:t>i</w:t>
      </w:r>
      <w:r w:rsidRPr="00077F9A">
        <w:t>pens båda aspekter uppfyllas: målen för den planerade åtgärden kan inte i tillräcklig utsträckning uppnås genom åtgärder av medlemsstaterna och kan därför bättre uppnås genom en gemenskapsåtgärd. Följande riktlinjer bör användas för att avgöra om detta villkor är up</w:t>
      </w:r>
      <w:r w:rsidRPr="00077F9A">
        <w:t>p</w:t>
      </w:r>
      <w:r w:rsidRPr="00077F9A">
        <w:t xml:space="preserve">fyllt: </w:t>
      </w:r>
    </w:p>
    <w:p w:rsidR="00CF1B5E" w:rsidRPr="00077F9A" w:rsidRDefault="00CF1B5E" w:rsidP="00CF1B5E">
      <w:pPr>
        <w:pStyle w:val="PunktlStreckIndragen"/>
        <w:numPr>
          <w:ilvl w:val="0"/>
          <w:numId w:val="7"/>
        </w:numPr>
        <w:tabs>
          <w:tab w:val="clear" w:pos="360"/>
        </w:tabs>
        <w:ind w:left="454" w:hanging="227"/>
      </w:pPr>
      <w:r w:rsidRPr="00077F9A">
        <w:t>frågan uppvisar gränsöverskridande aspekter som inte på ett tillfredsstä</w:t>
      </w:r>
      <w:r w:rsidRPr="00077F9A">
        <w:t>l</w:t>
      </w:r>
      <w:r w:rsidRPr="00077F9A">
        <w:t>lande sätt kan regleras genom åtgärder av medlemsstate</w:t>
      </w:r>
      <w:r w:rsidRPr="00077F9A">
        <w:t>r</w:t>
      </w:r>
      <w:r w:rsidRPr="00077F9A">
        <w:t xml:space="preserve">na </w:t>
      </w:r>
    </w:p>
    <w:p w:rsidR="00CF1B5E" w:rsidRPr="00077F9A" w:rsidRDefault="00CF1B5E" w:rsidP="00CF1B5E">
      <w:pPr>
        <w:pStyle w:val="PunktlStreckIndragen"/>
        <w:numPr>
          <w:ilvl w:val="0"/>
          <w:numId w:val="7"/>
        </w:numPr>
        <w:tabs>
          <w:tab w:val="clear" w:pos="360"/>
        </w:tabs>
        <w:ind w:left="454" w:hanging="227"/>
      </w:pPr>
      <w:r w:rsidRPr="00077F9A">
        <w:t>åtgärder vidtagna av medlemsstaterna ensamma eller avsaknad av geme</w:t>
      </w:r>
      <w:r w:rsidRPr="00077F9A">
        <w:t>n</w:t>
      </w:r>
      <w:r w:rsidRPr="00077F9A">
        <w:t>skapsåtgärder skulle strida mot fördragets krav eller på annat sätt a</w:t>
      </w:r>
      <w:r w:rsidRPr="00077F9A">
        <w:t>v</w:t>
      </w:r>
      <w:r w:rsidRPr="00077F9A">
        <w:t>sevärt skada me</w:t>
      </w:r>
      <w:r w:rsidRPr="00077F9A">
        <w:t>d</w:t>
      </w:r>
      <w:r w:rsidRPr="00077F9A">
        <w:t xml:space="preserve">lemsstaternas intressen </w:t>
      </w:r>
    </w:p>
    <w:p w:rsidR="00CF1B5E" w:rsidRPr="00077F9A" w:rsidRDefault="00CF1B5E" w:rsidP="00CF1B5E">
      <w:pPr>
        <w:pStyle w:val="PunktlStreckIndragen"/>
        <w:numPr>
          <w:ilvl w:val="0"/>
          <w:numId w:val="7"/>
        </w:numPr>
        <w:tabs>
          <w:tab w:val="clear" w:pos="360"/>
        </w:tabs>
        <w:ind w:left="454" w:hanging="227"/>
        <w:rPr>
          <w:sz w:val="18"/>
          <w:szCs w:val="18"/>
        </w:rPr>
      </w:pPr>
      <w:r w:rsidRPr="00077F9A">
        <w:t>e</w:t>
      </w:r>
      <w:r w:rsidRPr="00077F9A">
        <w:rPr>
          <w:spacing w:val="0"/>
        </w:rPr>
        <w:t>n åtgärd på gemenskapsnivå skulle på grund av sin omfat</w:t>
      </w:r>
      <w:r w:rsidRPr="00077F9A">
        <w:rPr>
          <w:spacing w:val="0"/>
        </w:rPr>
        <w:t>t</w:t>
      </w:r>
      <w:r w:rsidRPr="00077F9A">
        <w:rPr>
          <w:spacing w:val="0"/>
        </w:rPr>
        <w:t>ning eller sina verk</w:t>
      </w:r>
      <w:r w:rsidRPr="00077F9A">
        <w:rPr>
          <w:spacing w:val="0"/>
          <w:sz w:val="18"/>
          <w:szCs w:val="18"/>
        </w:rPr>
        <w:t>ningar innebära klara fördelar jämfört med en åtgärd på medle</w:t>
      </w:r>
      <w:r w:rsidRPr="00077F9A">
        <w:rPr>
          <w:spacing w:val="0"/>
          <w:sz w:val="18"/>
          <w:szCs w:val="18"/>
        </w:rPr>
        <w:t>m</w:t>
      </w:r>
      <w:r w:rsidRPr="00077F9A">
        <w:rPr>
          <w:spacing w:val="0"/>
          <w:sz w:val="18"/>
          <w:szCs w:val="18"/>
        </w:rPr>
        <w:t>skapsn</w:t>
      </w:r>
      <w:r w:rsidRPr="00077F9A">
        <w:rPr>
          <w:spacing w:val="0"/>
          <w:sz w:val="18"/>
          <w:szCs w:val="18"/>
        </w:rPr>
        <w:t>i</w:t>
      </w:r>
      <w:r w:rsidRPr="00077F9A">
        <w:rPr>
          <w:spacing w:val="0"/>
          <w:sz w:val="18"/>
          <w:szCs w:val="18"/>
        </w:rPr>
        <w:t>vå.</w:t>
      </w:r>
    </w:p>
    <w:p w:rsidR="00CF1B5E" w:rsidRPr="00077F9A" w:rsidRDefault="00CF1B5E" w:rsidP="00CF1B5E">
      <w:pPr>
        <w:pStyle w:val="PunktlistaBomb"/>
        <w:spacing w:before="0"/>
      </w:pPr>
      <w:r w:rsidRPr="00077F9A">
        <w:t>En gemenskapsåtgärd ska utformas på ett så enkelt sätt som möjligt, sa</w:t>
      </w:r>
      <w:r w:rsidRPr="00077F9A">
        <w:t>m</w:t>
      </w:r>
      <w:r w:rsidRPr="00077F9A">
        <w:t>tidigt som målet för åtgärden ska uppnås på ett tillfredsställande sätt och behovet av effektiv verkställighet tillgodoses. Gemenskapen ska endast lagstifta i den mån det är nödvändigt. Under i övrigt lika förhållanden bör direktiv väljas framför förordningar och ramdire</w:t>
      </w:r>
      <w:r w:rsidRPr="00077F9A">
        <w:t>k</w:t>
      </w:r>
      <w:r w:rsidRPr="00077F9A">
        <w:t xml:space="preserve">tiv framför detaljerade åtgärder. </w:t>
      </w:r>
    </w:p>
    <w:p w:rsidR="00CF1B5E" w:rsidRPr="00077F9A" w:rsidRDefault="00CF1B5E" w:rsidP="00CF1B5E">
      <w:pPr>
        <w:pStyle w:val="PunktlistaBomb"/>
        <w:spacing w:before="0"/>
      </w:pPr>
      <w:r w:rsidRPr="00077F9A">
        <w:t>När det gäller gemenskapsåtgärdernas art och omfattning ska så stort u</w:t>
      </w:r>
      <w:r w:rsidRPr="00077F9A">
        <w:t>t</w:t>
      </w:r>
      <w:r w:rsidRPr="00077F9A">
        <w:t>rymme som möjligt lämnas för nationella beslut, samtidigt som å</w:t>
      </w:r>
      <w:r w:rsidRPr="00077F9A">
        <w:t>t</w:t>
      </w:r>
      <w:r w:rsidRPr="00077F9A">
        <w:t>gärdens mål säkerställs och fördraget följs. Samtidigt som geme</w:t>
      </w:r>
      <w:r w:rsidRPr="00077F9A">
        <w:t>n</w:t>
      </w:r>
      <w:r w:rsidRPr="00077F9A">
        <w:t>skapsrätten ska följas är det viktigt att följa väletablerade nationella ordningar och att respektera de sätt på vilka medlemsstaternas rättssystem är org</w:t>
      </w:r>
      <w:r w:rsidRPr="00077F9A">
        <w:t>a</w:t>
      </w:r>
      <w:r w:rsidRPr="00077F9A">
        <w:t xml:space="preserve">niserade och fungerar. </w:t>
      </w:r>
    </w:p>
    <w:p w:rsidR="00CF1B5E" w:rsidRPr="00077F9A" w:rsidRDefault="00CF1B5E" w:rsidP="00CF1B5E">
      <w:pPr>
        <w:pStyle w:val="PunktlistaBomb"/>
        <w:spacing w:before="0"/>
      </w:pPr>
      <w:r w:rsidRPr="00077F9A">
        <w:t>Om tillämpningen av subsidiaritetsprincipen medför att gemenskapen inte vidtar någon åtgärd, åligger det medlemsstaterna att i sin verksa</w:t>
      </w:r>
      <w:r w:rsidRPr="00077F9A">
        <w:t>m</w:t>
      </w:r>
      <w:r w:rsidRPr="00077F9A">
        <w:t>het följa de allmänna reglerna i fördraget genom att vidta alla lämpliga åtgärder för att fullgöra sina skyldigheter enligt fördraget samt att avstå från alla åtgä</w:t>
      </w:r>
      <w:r w:rsidRPr="00077F9A">
        <w:t>r</w:t>
      </w:r>
      <w:r w:rsidRPr="00077F9A">
        <w:t>der som skulle kunna äventyra förverkligandet av fördr</w:t>
      </w:r>
      <w:r w:rsidRPr="00077F9A">
        <w:t>a</w:t>
      </w:r>
      <w:r w:rsidRPr="00077F9A">
        <w:t>gets mål.</w:t>
      </w:r>
    </w:p>
    <w:p w:rsidR="00CF1B5E" w:rsidRPr="00077F9A" w:rsidRDefault="00CF1B5E" w:rsidP="00CF1B5E">
      <w:pPr>
        <w:pStyle w:val="PunktlistaBomb"/>
        <w:spacing w:before="0"/>
      </w:pPr>
      <w:r w:rsidRPr="00077F9A">
        <w:t xml:space="preserve">Utan att det påverkar dess initiativrätt bör kommissionen </w:t>
      </w:r>
    </w:p>
    <w:p w:rsidR="00CF1B5E" w:rsidRPr="00077F9A" w:rsidRDefault="00CF1B5E" w:rsidP="00CF1B5E">
      <w:pPr>
        <w:pStyle w:val="PunktlStreckIndragen"/>
        <w:numPr>
          <w:ilvl w:val="0"/>
          <w:numId w:val="7"/>
        </w:numPr>
        <w:tabs>
          <w:tab w:val="clear" w:pos="360"/>
        </w:tabs>
        <w:ind w:left="454" w:hanging="227"/>
      </w:pPr>
      <w:r w:rsidRPr="00077F9A">
        <w:t>utom i särskilt brådskande eller förtroliga fall, företa omfattande sa</w:t>
      </w:r>
      <w:r w:rsidRPr="00077F9A">
        <w:t>m</w:t>
      </w:r>
      <w:r w:rsidRPr="00077F9A">
        <w:t>råd innan den föreslår lagstiftning och, när det är lämpligt, offentliggöra han</w:t>
      </w:r>
      <w:r w:rsidRPr="00077F9A">
        <w:t>d</w:t>
      </w:r>
      <w:r w:rsidRPr="00077F9A">
        <w:t xml:space="preserve">lingarna från sådana samråd </w:t>
      </w:r>
    </w:p>
    <w:p w:rsidR="00CF1B5E" w:rsidRPr="00077F9A" w:rsidRDefault="00CF1B5E" w:rsidP="00CF1B5E">
      <w:pPr>
        <w:pStyle w:val="PunktlStreckIndragen"/>
        <w:numPr>
          <w:ilvl w:val="0"/>
          <w:numId w:val="7"/>
        </w:numPr>
        <w:tabs>
          <w:tab w:val="clear" w:pos="360"/>
        </w:tabs>
        <w:ind w:left="454" w:hanging="227"/>
      </w:pPr>
      <w:r w:rsidRPr="00077F9A">
        <w:t>motivera sina förslag med beaktande av subsidiaritetsprincipen; vid b</w:t>
      </w:r>
      <w:r w:rsidRPr="00077F9A">
        <w:t>e</w:t>
      </w:r>
      <w:r w:rsidRPr="00077F9A">
        <w:t>hov ska den motivering som åtföljer förslaget innehålla detaljerade up</w:t>
      </w:r>
      <w:r w:rsidRPr="00077F9A">
        <w:t>p</w:t>
      </w:r>
      <w:r w:rsidRPr="00077F9A">
        <w:t>lysningar i detta hänseende; finansiering, helt eller delvis, av geme</w:t>
      </w:r>
      <w:r w:rsidRPr="00077F9A">
        <w:t>n</w:t>
      </w:r>
      <w:r w:rsidRPr="00077F9A">
        <w:t>skapsåtgärder genom gemenskapens budget kräver en förkla</w:t>
      </w:r>
      <w:r w:rsidRPr="00077F9A">
        <w:t>r</w:t>
      </w:r>
      <w:r w:rsidRPr="00077F9A">
        <w:t xml:space="preserve">ing </w:t>
      </w:r>
    </w:p>
    <w:p w:rsidR="00CF1B5E" w:rsidRPr="00077F9A" w:rsidRDefault="00CF1B5E" w:rsidP="00CF1B5E">
      <w:pPr>
        <w:pStyle w:val="PunktlStreckIndragen"/>
        <w:numPr>
          <w:ilvl w:val="0"/>
          <w:numId w:val="7"/>
        </w:numPr>
        <w:tabs>
          <w:tab w:val="clear" w:pos="360"/>
        </w:tabs>
        <w:ind w:left="454" w:hanging="227"/>
      </w:pPr>
      <w:r w:rsidRPr="00077F9A">
        <w:t>ta vederbörlig hänsyn till att det ekonomiska eller adminis</w:t>
      </w:r>
      <w:r w:rsidRPr="00077F9A">
        <w:t>t</w:t>
      </w:r>
      <w:r w:rsidRPr="00077F9A">
        <w:t>rativa ansvar som åligger gemenskapen, nationella regeringar, lokala myndigheter, ekonomiska aktörer och medborgare så långt möjligt ska begränsas och stå i propo</w:t>
      </w:r>
      <w:r w:rsidRPr="00077F9A">
        <w:t>r</w:t>
      </w:r>
      <w:r w:rsidRPr="00077F9A">
        <w:t xml:space="preserve">tion till det mål som ska uppnås </w:t>
      </w:r>
    </w:p>
    <w:p w:rsidR="00CF1B5E" w:rsidRPr="00077F9A" w:rsidRDefault="00CF1B5E" w:rsidP="00CF1B5E">
      <w:pPr>
        <w:pStyle w:val="PunktlStreckIndragen"/>
        <w:numPr>
          <w:ilvl w:val="0"/>
          <w:numId w:val="7"/>
        </w:numPr>
        <w:tabs>
          <w:tab w:val="clear" w:pos="360"/>
        </w:tabs>
        <w:ind w:left="454" w:hanging="227"/>
      </w:pPr>
      <w:r w:rsidRPr="00077F9A">
        <w:t>varje år lägga fram en rapport för Europeiska rådet, Eur</w:t>
      </w:r>
      <w:r w:rsidRPr="00077F9A">
        <w:t>o</w:t>
      </w:r>
      <w:r w:rsidRPr="00077F9A">
        <w:t>paparlamentet och rådet om tillämpningen av legalitets-, subsidiaritets- och proportion</w:t>
      </w:r>
      <w:r w:rsidRPr="00077F9A">
        <w:t>a</w:t>
      </w:r>
      <w:r w:rsidRPr="00077F9A">
        <w:t>litetsprinciperna i fördraget. Denna årliga rapport ska även sändas till R</w:t>
      </w:r>
      <w:r w:rsidRPr="00077F9A">
        <w:t>e</w:t>
      </w:r>
      <w:r w:rsidRPr="00077F9A">
        <w:t>gionkommittén och till Ekonomiska och sociala ko</w:t>
      </w:r>
      <w:r w:rsidRPr="00077F9A">
        <w:t>m</w:t>
      </w:r>
      <w:r w:rsidRPr="00077F9A">
        <w:t>mittén.</w:t>
      </w:r>
    </w:p>
    <w:p w:rsidR="00CF1B5E" w:rsidRPr="00077F9A" w:rsidRDefault="00CF1B5E" w:rsidP="00CF1B5E">
      <w:pPr>
        <w:pStyle w:val="PunktlistaBomb"/>
        <w:spacing w:before="0"/>
      </w:pPr>
      <w:r w:rsidRPr="00077F9A">
        <w:t>Europeiska rådet ska beakta denna rapport i den rapport om unionens framsteg som Europeiska rådet ska förelägga Europaparlame</w:t>
      </w:r>
      <w:r w:rsidRPr="00077F9A">
        <w:t>n</w:t>
      </w:r>
      <w:r w:rsidRPr="00077F9A">
        <w:t>tet.</w:t>
      </w:r>
    </w:p>
    <w:p w:rsidR="00CF1B5E" w:rsidRPr="00077F9A" w:rsidRDefault="00CF1B5E" w:rsidP="00CF1B5E">
      <w:pPr>
        <w:pStyle w:val="PunktlistaBomb"/>
        <w:spacing w:before="0"/>
      </w:pPr>
      <w:r w:rsidRPr="00077F9A">
        <w:t>Europaparlamentet och rådet ska som en integrerad del av sin övergripa</w:t>
      </w:r>
      <w:r w:rsidRPr="00077F9A">
        <w:t>n</w:t>
      </w:r>
      <w:r w:rsidRPr="00077F9A">
        <w:t>de granskning av kommissionens förslag undersöka om dessa stämmer överens med legalitets-, subsidiaritets- och proportionalitetsprinc</w:t>
      </w:r>
      <w:r w:rsidRPr="00077F9A">
        <w:t>i</w:t>
      </w:r>
      <w:r w:rsidRPr="00077F9A">
        <w:t xml:space="preserve">perna i fördraget. </w:t>
      </w:r>
    </w:p>
    <w:p w:rsidR="00CF1B5E" w:rsidRPr="00077F9A" w:rsidRDefault="00CF1B5E" w:rsidP="00CF1B5E">
      <w:pPr>
        <w:pStyle w:val="PunktlistaBomb"/>
        <w:spacing w:before="0"/>
      </w:pPr>
      <w:r w:rsidRPr="00077F9A">
        <w:t>Europaparlamentet ska inom ramen för medbeslutande- och samarbetsfö</w:t>
      </w:r>
      <w:r w:rsidRPr="00077F9A">
        <w:t>r</w:t>
      </w:r>
      <w:r w:rsidRPr="00077F9A">
        <w:t>farandena informeras om rådets inställning till frågan om tilläm</w:t>
      </w:r>
      <w:r w:rsidRPr="00077F9A">
        <w:t>p</w:t>
      </w:r>
      <w:r w:rsidRPr="00077F9A">
        <w:t>ningen av legalitets-, subsidiaritets- och proportionalitetsprinciperna i fördraget g</w:t>
      </w:r>
      <w:r w:rsidRPr="00077F9A">
        <w:t>e</w:t>
      </w:r>
      <w:r w:rsidRPr="00077F9A">
        <w:t>nom en redogörelse för skälen till att rådet intog sin gemensamma stån</w:t>
      </w:r>
      <w:r w:rsidRPr="00077F9A">
        <w:t>d</w:t>
      </w:r>
      <w:r w:rsidRPr="00077F9A">
        <w:t>punkt. Rådet ska informera Europaparlamentet om skälen för att ett förslag från kommissionen helt eller delvis inte anses stämma överens med legal</w:t>
      </w:r>
      <w:r w:rsidRPr="00077F9A">
        <w:t>i</w:t>
      </w:r>
      <w:r w:rsidRPr="00077F9A">
        <w:t>tets-, subsidiaritets- eller proportionalitet</w:t>
      </w:r>
      <w:r w:rsidRPr="00077F9A">
        <w:t>s</w:t>
      </w:r>
      <w:r w:rsidRPr="00077F9A">
        <w:t>principerna i fördraget.</w:t>
      </w:r>
    </w:p>
    <w:p w:rsidR="00CF1B5E" w:rsidRPr="00077F9A" w:rsidRDefault="00CF1B5E" w:rsidP="00CF1B5E">
      <w:pPr>
        <w:pStyle w:val="PunktlistaBomb"/>
        <w:spacing w:before="0"/>
      </w:pPr>
      <w:r w:rsidRPr="00077F9A">
        <w:t>Hur subsidiaritetsprincipen följs ska granskas i enlighet med bestämme</w:t>
      </w:r>
      <w:r w:rsidRPr="00077F9A">
        <w:t>l</w:t>
      </w:r>
      <w:r w:rsidRPr="00077F9A">
        <w:t>serna i fördraget.</w:t>
      </w:r>
      <w:r w:rsidRPr="00077F9A">
        <w:rPr>
          <w:rStyle w:val="Fotnotsreferens"/>
          <w:sz w:val="18"/>
          <w:szCs w:val="18"/>
        </w:rPr>
        <w:footnoteReference w:id="8"/>
      </w:r>
    </w:p>
    <w:p w:rsidR="00CF1B5E" w:rsidRPr="00077F9A" w:rsidRDefault="00CF1B5E" w:rsidP="00CF1B5E">
      <w:r w:rsidRPr="00077F9A">
        <w:t>Det kan tilläggas att Europeiska ekonomiska och sociala kommittén och Regionkommittén kan framföra sina ståndpunkter i fråga om tillämpningen av subsidiaritetsprincipen antingen när de rådfrågas eller i yttranden på eget initiativ. Även konferensen mellan de nationella parlamentens organ för EG- och EU-frågor (Cosac) får yttra sig i denna fråga.</w:t>
      </w:r>
      <w:r w:rsidRPr="00077F9A">
        <w:rPr>
          <w:rStyle w:val="Fotnotsreferens"/>
        </w:rPr>
        <w:footnoteReference w:id="9"/>
      </w:r>
      <w:r w:rsidRPr="00077F9A">
        <w:t xml:space="preserve"> Beträffande Cosac hänv</w:t>
      </w:r>
      <w:r w:rsidRPr="00077F9A">
        <w:t>i</w:t>
      </w:r>
      <w:r w:rsidRPr="00077F9A">
        <w:t>sas till nästa avsnitt.</w:t>
      </w:r>
    </w:p>
    <w:p w:rsidR="00CF1B5E" w:rsidRPr="00077F9A" w:rsidRDefault="00CF1B5E" w:rsidP="00CF1B5E">
      <w:pPr>
        <w:pStyle w:val="Normaltindrag"/>
      </w:pPr>
      <w:r w:rsidRPr="00077F9A">
        <w:t>Bedömningar av förslagens konsekvenser är ett viktigt led i överväganden som rör förslagens överensstämmelse med subsidiaritets- och proportional</w:t>
      </w:r>
      <w:r w:rsidRPr="00077F9A">
        <w:t>i</w:t>
      </w:r>
      <w:r w:rsidRPr="00077F9A">
        <w:t>tetsprinciperna. De konsekvensbedömningar som kommissionen svarar för gör det lättare att under hela lagstiftningsprocessen fatta mer välunderbyggda beslut. Bedömningarna förbättrar förslagens kvalitet, då de sörjer för att fö</w:t>
      </w:r>
      <w:r w:rsidRPr="00077F9A">
        <w:t>r</w:t>
      </w:r>
      <w:r w:rsidRPr="00077F9A">
        <w:t xml:space="preserve">slagen är baserade på tydliga fakta, input från berörda parter samt en grundlig helhetsanalys av de ekonomiska, sociala och miljörelaterade konsekvenserna av olika sätt att gripa sig an ett problem. </w:t>
      </w:r>
    </w:p>
    <w:p w:rsidR="00CF1B5E" w:rsidRPr="00077F9A" w:rsidRDefault="00CF1B5E" w:rsidP="00CF1B5E">
      <w:pPr>
        <w:pStyle w:val="Normaltindrag"/>
      </w:pPr>
      <w:r w:rsidRPr="00077F9A">
        <w:t>För att förbättra kommissionens arbete med att bedöma konsekvenserna av sina förslag inrättades i nove</w:t>
      </w:r>
      <w:r w:rsidRPr="00077F9A">
        <w:t>m</w:t>
      </w:r>
      <w:r w:rsidRPr="00077F9A">
        <w:t>ber 2006 en konsekvensbedömningsnämnd (</w:t>
      </w:r>
      <w:r w:rsidRPr="00077F9A">
        <w:rPr>
          <w:i/>
        </w:rPr>
        <w:t>The Impact Assessment Board</w:t>
      </w:r>
      <w:r w:rsidRPr="00077F9A">
        <w:t>). Nämnden har till uppgift att til</w:t>
      </w:r>
      <w:r w:rsidRPr="00077F9A">
        <w:t>l</w:t>
      </w:r>
      <w:r w:rsidRPr="00077F9A">
        <w:t>handahålla oberoende kvalitetsstöd och kvalitetskontroll av kommissionens konsekven</w:t>
      </w:r>
      <w:r w:rsidRPr="00077F9A">
        <w:t>s</w:t>
      </w:r>
      <w:r w:rsidRPr="00077F9A">
        <w:t>bedömningar. Dess yttranden ingår formellt i kommissionens interna beslut</w:t>
      </w:r>
      <w:r w:rsidRPr="00077F9A">
        <w:t>s</w:t>
      </w:r>
      <w:r w:rsidRPr="00077F9A">
        <w:t>processer. När de förslag som yttrandena gäller har antagits får även övriga institutioner och allmänheten tillgång till yttrandena. Konsekvensbedö</w:t>
      </w:r>
      <w:r w:rsidRPr="00077F9A">
        <w:t>m</w:t>
      </w:r>
      <w:r w:rsidRPr="00077F9A">
        <w:t>ningsnämnden rekommenderar i sina yttranden ofta omfattande förbättringar av centrala delar i konsekvensbedömningarna, bl.a. frågor som rör subsidiar</w:t>
      </w:r>
      <w:r w:rsidRPr="00077F9A">
        <w:t>i</w:t>
      </w:r>
      <w:r w:rsidRPr="00077F9A">
        <w:t>tet och proportionalitet.</w:t>
      </w:r>
    </w:p>
    <w:p w:rsidR="00CF1B5E" w:rsidRPr="00077F9A" w:rsidRDefault="00CF1B5E" w:rsidP="00CF1B5E">
      <w:pPr>
        <w:pStyle w:val="Normaltindrag"/>
      </w:pPr>
      <w:r w:rsidRPr="00077F9A">
        <w:t>Kommissionen har på grundval av nämndens arbete och en extern utvärd</w:t>
      </w:r>
      <w:r w:rsidRPr="00077F9A">
        <w:t>e</w:t>
      </w:r>
      <w:r w:rsidRPr="00077F9A">
        <w:t>ring av konsekvensbedömning</w:t>
      </w:r>
      <w:r w:rsidRPr="00077F9A">
        <w:t>s</w:t>
      </w:r>
      <w:r w:rsidRPr="00077F9A">
        <w:t>systemet beslutat att ändra sina riktlinjer för analys av subsidiaritet och proportionalitet i de reviderade riktlinjer för ko</w:t>
      </w:r>
      <w:r w:rsidRPr="00077F9A">
        <w:t>n</w:t>
      </w:r>
      <w:r w:rsidRPr="00077F9A">
        <w:t>sekvensbedömningar som antogs under 2008. Syftet är att göra dem mer praktiskt orienterade. Riktlinjerna innehåller konkreta frågor som måste b</w:t>
      </w:r>
      <w:r w:rsidRPr="00077F9A">
        <w:t>e</w:t>
      </w:r>
      <w:r w:rsidRPr="00077F9A">
        <w:t>svaras i varje konsekvensbedömning. De reviderade rik</w:t>
      </w:r>
      <w:r w:rsidRPr="00077F9A">
        <w:t>t</w:t>
      </w:r>
      <w:r w:rsidRPr="00077F9A">
        <w:t>linjerna betonar också stark</w:t>
      </w:r>
      <w:r w:rsidRPr="00077F9A">
        <w:t>a</w:t>
      </w:r>
      <w:r w:rsidRPr="00077F9A">
        <w:t>re att konsekvensbedömningarna, även om de vanligen undersöker problem som kan lösas genom åtgärder på EU-nivå, måste ta hänsyn till att problemen och de åtgärder som vidtas för att lösa dem kan få olika effekter i olika me</w:t>
      </w:r>
      <w:r w:rsidRPr="00077F9A">
        <w:t>d</w:t>
      </w:r>
      <w:r w:rsidRPr="00077F9A">
        <w:t>lemsstater och regioner i unionen.</w:t>
      </w:r>
      <w:r w:rsidRPr="00077F9A">
        <w:rPr>
          <w:rStyle w:val="Fotnotsreferens"/>
        </w:rPr>
        <w:footnoteReference w:id="10"/>
      </w:r>
    </w:p>
    <w:p w:rsidR="00CF1B5E" w:rsidRPr="00077F9A" w:rsidRDefault="00CF1B5E" w:rsidP="00CF1B5E">
      <w:pPr>
        <w:pStyle w:val="Normaltindrag"/>
      </w:pPr>
      <w:r w:rsidRPr="00077F9A">
        <w:t>Subsidiaritetsprincipen får i första hand uppfattas som en grundläggande riktlinje som ska styra lagstif</w:t>
      </w:r>
      <w:r w:rsidRPr="00077F9A">
        <w:t>t</w:t>
      </w:r>
      <w:r w:rsidRPr="00077F9A">
        <w:t>ningsarbetet inom EU. Den är, som Melin och Schäder påpekar, ingen kompetensfördelningsregel. Fördelningen av komp</w:t>
      </w:r>
      <w:r w:rsidRPr="00077F9A">
        <w:t>e</w:t>
      </w:r>
      <w:r w:rsidRPr="00077F9A">
        <w:t>tens mellan unionen och medlemsstaterna sker i fördragen. Frågan gäller i stället när unionen ska ingripa och använda sina tilldelade befogenheter på beslutsområden där kompetensen är delad mellan unionen och medlemsst</w:t>
      </w:r>
      <w:r w:rsidRPr="00077F9A">
        <w:t>a</w:t>
      </w:r>
      <w:r w:rsidRPr="00077F9A">
        <w:t>terna. Inte heller är det, som framhållits ovan, någon renodlad decentralis</w:t>
      </w:r>
      <w:r w:rsidRPr="00077F9A">
        <w:t>e</w:t>
      </w:r>
      <w:r w:rsidRPr="00077F9A">
        <w:t>ringsprincip. Me</w:t>
      </w:r>
      <w:r w:rsidRPr="00077F9A">
        <w:t>d</w:t>
      </w:r>
      <w:r w:rsidRPr="00077F9A">
        <w:t>lemsstaterna har ett ”berättigat anspråk på att den centrala nivån griper in och fattar beslut i frågor som inte kan hanteras av de lägre nivåerna”.</w:t>
      </w:r>
      <w:r w:rsidRPr="00077F9A">
        <w:rPr>
          <w:rStyle w:val="Fotnotsreferens"/>
        </w:rPr>
        <w:footnoteReference w:id="11"/>
      </w:r>
    </w:p>
    <w:p w:rsidR="00CF1B5E" w:rsidRPr="00077F9A" w:rsidRDefault="00CF1B5E" w:rsidP="00CF1B5E">
      <w:pPr>
        <w:pStyle w:val="Normaltindrag"/>
        <w:rPr>
          <w:szCs w:val="24"/>
        </w:rPr>
      </w:pPr>
      <w:r w:rsidRPr="00077F9A">
        <w:t>EG-domstolen och förstainstansrätten kan pröva om institutionernas rätt</w:t>
      </w:r>
      <w:r w:rsidRPr="00077F9A">
        <w:t>s</w:t>
      </w:r>
      <w:r w:rsidRPr="00077F9A">
        <w:t>akter följer legalitets-, subsidiar</w:t>
      </w:r>
      <w:r w:rsidRPr="00077F9A">
        <w:t>i</w:t>
      </w:r>
      <w:r w:rsidRPr="00077F9A">
        <w:t>tets- och proportionalitetsprinciperna. Det har ibland ifrågasatts om subsidiaritetsprincipen lämpar sig för en prövning av domstol. Den up</w:t>
      </w:r>
      <w:r w:rsidRPr="00077F9A">
        <w:t>p</w:t>
      </w:r>
      <w:r w:rsidRPr="00077F9A">
        <w:t>fattas inte som tillräckligt preciserad och därmed öppen för skilda politiska bedömningar. Men, som Jörgen Hettne påpekat, har det i EG</w:t>
      </w:r>
      <w:r w:rsidRPr="00077F9A">
        <w:rPr>
          <w:sz w:val="22"/>
          <w:szCs w:val="22"/>
        </w:rPr>
        <w:t>-</w:t>
      </w:r>
      <w:r w:rsidRPr="00077F9A">
        <w:rPr>
          <w:szCs w:val="24"/>
        </w:rPr>
        <w:t>domstolens rätt</w:t>
      </w:r>
      <w:r w:rsidRPr="00077F9A">
        <w:rPr>
          <w:szCs w:val="24"/>
        </w:rPr>
        <w:t>s</w:t>
      </w:r>
      <w:r w:rsidRPr="00077F9A">
        <w:rPr>
          <w:szCs w:val="24"/>
        </w:rPr>
        <w:t xml:space="preserve">praxis utvecklats en form av begränsad prövning. </w:t>
      </w:r>
    </w:p>
    <w:p w:rsidR="00CF1B5E" w:rsidRPr="00077F9A" w:rsidRDefault="00CF1B5E" w:rsidP="00CF1B5E">
      <w:pPr>
        <w:pStyle w:val="Citat"/>
        <w:spacing w:before="120"/>
      </w:pPr>
      <w:r w:rsidRPr="00077F9A">
        <w:t>När det är fråga om komplexa frågor av till exempel teknisk, ekon</w:t>
      </w:r>
      <w:r w:rsidRPr="00077F9A">
        <w:t>o</w:t>
      </w:r>
      <w:r w:rsidRPr="00077F9A">
        <w:t>misk eller politisk art, begränsas prövningen till en granskning av att förfara</w:t>
      </w:r>
      <w:r w:rsidRPr="00077F9A">
        <w:t>n</w:t>
      </w:r>
      <w:r w:rsidRPr="00077F9A">
        <w:t>dereglerna har iakttagits, att motiveringen är tillräcklig, att de faktiska omstä</w:t>
      </w:r>
      <w:r w:rsidRPr="00077F9A">
        <w:t>n</w:t>
      </w:r>
      <w:r w:rsidRPr="00077F9A">
        <w:t>digheterna är materiellt korrekta, samt att det inte har förekommit något uppenbart misstag i bedömningen eller att maktmissbruk föreli</w:t>
      </w:r>
      <w:r w:rsidRPr="00077F9A">
        <w:t>g</w:t>
      </w:r>
      <w:r w:rsidRPr="00077F9A">
        <w:t>ger.</w:t>
      </w:r>
    </w:p>
    <w:p w:rsidR="00CF1B5E" w:rsidRPr="00077F9A" w:rsidRDefault="00CF1B5E" w:rsidP="00CF1B5E">
      <w:r w:rsidRPr="00077F9A">
        <w:t>I de fall där domstolen har prövat subsidiaritetsfrågan har den gjort en no</w:t>
      </w:r>
      <w:r w:rsidRPr="00077F9A">
        <w:t>g</w:t>
      </w:r>
      <w:r w:rsidRPr="00077F9A">
        <w:t>grann kontroll av tillämpningen av förfarandereglerna och av att motiveringen är tillräcklig.</w:t>
      </w:r>
      <w:r w:rsidRPr="00077F9A">
        <w:rPr>
          <w:rStyle w:val="Fotnotsreferens"/>
        </w:rPr>
        <w:footnoteReference w:id="12"/>
      </w:r>
    </w:p>
    <w:p w:rsidR="00CF1B5E" w:rsidRPr="00077F9A" w:rsidRDefault="00CF1B5E" w:rsidP="00CF1B5E">
      <w:pPr>
        <w:pStyle w:val="Rubrik2"/>
      </w:pPr>
      <w:bookmarkStart w:id="68" w:name="_Toc223952206"/>
      <w:bookmarkStart w:id="69" w:name="_Toc227660625"/>
      <w:bookmarkStart w:id="70" w:name="_Toc227662090"/>
      <w:bookmarkStart w:id="71" w:name="_Toc227994081"/>
      <w:bookmarkStart w:id="72" w:name="_Toc230676860"/>
      <w:bookmarkStart w:id="73" w:name="_Toc230677039"/>
      <w:bookmarkStart w:id="74" w:name="_Toc230708089"/>
      <w:r w:rsidRPr="00077F9A">
        <w:t>3.2 De nationella parlamentens roll i EU</w:t>
      </w:r>
      <w:bookmarkEnd w:id="68"/>
      <w:bookmarkEnd w:id="69"/>
      <w:bookmarkEnd w:id="70"/>
      <w:bookmarkEnd w:id="71"/>
      <w:bookmarkEnd w:id="72"/>
      <w:bookmarkEnd w:id="73"/>
      <w:bookmarkEnd w:id="74"/>
    </w:p>
    <w:p w:rsidR="00CF1B5E" w:rsidRPr="00077F9A" w:rsidRDefault="00CF1B5E" w:rsidP="00CF1B5E">
      <w:r w:rsidRPr="00077F9A">
        <w:t>Efter det att demokratifrågorna inom EU har kommit i fokus i samband med diskussionen om Unionsfö</w:t>
      </w:r>
      <w:r w:rsidRPr="00077F9A">
        <w:t>r</w:t>
      </w:r>
      <w:r w:rsidRPr="00077F9A">
        <w:t>draget antog medlemsstaterna 1991 en förklaring om de nationella parlame</w:t>
      </w:r>
      <w:r w:rsidRPr="00077F9A">
        <w:t>n</w:t>
      </w:r>
      <w:r w:rsidRPr="00077F9A">
        <w:t>tens roll. Syftet med förklaringen var främja ett större engagemang från de nationella parlamentens sida i EU:s verksamhet. För att uppnå detta syfte borde informationsutbytet mellan de nationella pa</w:t>
      </w:r>
      <w:r w:rsidRPr="00077F9A">
        <w:t>r</w:t>
      </w:r>
      <w:r w:rsidRPr="00077F9A">
        <w:t>lamenten och Europaparlamentet intensifieras. Vidare lovade medlemsstate</w:t>
      </w:r>
      <w:r w:rsidRPr="00077F9A">
        <w:t>r</w:t>
      </w:r>
      <w:r w:rsidRPr="00077F9A">
        <w:t>nas regeringar att säkerställa att de nationella parlamenten skulle få tillgång till kommissionens förslag i god tid för att kunna informera sig om och eve</w:t>
      </w:r>
      <w:r w:rsidRPr="00077F9A">
        <w:t>n</w:t>
      </w:r>
      <w:r w:rsidRPr="00077F9A">
        <w:t>tuellt granska förslagen. I en annan förklaring i anslutning till Unionsfördr</w:t>
      </w:r>
      <w:r w:rsidRPr="00077F9A">
        <w:t>a</w:t>
      </w:r>
      <w:r w:rsidRPr="00077F9A">
        <w:t>get anmodades Europapa</w:t>
      </w:r>
      <w:r w:rsidRPr="00077F9A">
        <w:t>r</w:t>
      </w:r>
      <w:r w:rsidRPr="00077F9A">
        <w:t>lamentet och de nationella parlamenten att vid behov sammanträda som parlamentskonferens för att samråda med rådet och kommissionen om huvudli</w:t>
      </w:r>
      <w:r w:rsidRPr="00077F9A">
        <w:t>n</w:t>
      </w:r>
      <w:r w:rsidRPr="00077F9A">
        <w:t>jerna för EU.</w:t>
      </w:r>
      <w:r w:rsidRPr="00077F9A">
        <w:rPr>
          <w:rStyle w:val="Fotnotsreferens"/>
        </w:rPr>
        <w:footnoteReference w:id="13"/>
      </w:r>
    </w:p>
    <w:p w:rsidR="00CF1B5E" w:rsidRPr="00077F9A" w:rsidRDefault="00CF1B5E" w:rsidP="00CF1B5E">
      <w:pPr>
        <w:pStyle w:val="Normaltindrag"/>
      </w:pPr>
      <w:r w:rsidRPr="00077F9A">
        <w:t>De nationella parlamentens roll diskuterades också under den regering</w:t>
      </w:r>
      <w:r w:rsidRPr="00077F9A">
        <w:t>s</w:t>
      </w:r>
      <w:r w:rsidRPr="00077F9A">
        <w:t>konferens som ledde fram till Am</w:t>
      </w:r>
      <w:r w:rsidRPr="00077F9A">
        <w:t>s</w:t>
      </w:r>
      <w:r w:rsidRPr="00077F9A">
        <w:t>terdamfördraget 1997. Resultatet blev ett prot</w:t>
      </w:r>
      <w:r w:rsidRPr="00077F9A">
        <w:t>o</w:t>
      </w:r>
      <w:r w:rsidRPr="00077F9A">
        <w:t>koll. Ett protokoll är en del av ett fördrag och är därför lika rättsligt bindande som fördraget.</w:t>
      </w:r>
      <w:r w:rsidRPr="00077F9A">
        <w:rPr>
          <w:rStyle w:val="Fotnotsreferens"/>
        </w:rPr>
        <w:footnoteReference w:id="14"/>
      </w:r>
      <w:r w:rsidRPr="00077F9A">
        <w:t xml:space="preserve"> </w:t>
      </w:r>
    </w:p>
    <w:p w:rsidR="00CF1B5E" w:rsidRPr="00077F9A" w:rsidRDefault="00CF1B5E" w:rsidP="00CF1B5E">
      <w:pPr>
        <w:pStyle w:val="Normaltindrag"/>
      </w:pPr>
      <w:r w:rsidRPr="00077F9A">
        <w:t>I ingressen till protokollet erinras om att de nationella parlamentens granskning av sin egen regering i fråga om unionens verksamhet är en ang</w:t>
      </w:r>
      <w:r w:rsidRPr="00077F9A">
        <w:t>e</w:t>
      </w:r>
      <w:r w:rsidRPr="00077F9A">
        <w:t>lägenhet för varje medlemsstats särskilda konstitutionella organisation och praxis. Med protokollet ville man uppmuntra till en större delaktighet från de nationella parlamentens sida i EU:s verksamhet och öka deras möjligheter att uttrycka sin uppfattning i frågor som kan vara av särskilt intre</w:t>
      </w:r>
      <w:r w:rsidRPr="00077F9A">
        <w:t>s</w:t>
      </w:r>
      <w:r w:rsidRPr="00077F9A">
        <w:t>se för dem.</w:t>
      </w:r>
    </w:p>
    <w:p w:rsidR="00CF1B5E" w:rsidRPr="00077F9A" w:rsidRDefault="00CF1B5E" w:rsidP="00CF1B5E">
      <w:pPr>
        <w:pStyle w:val="Normaltindrag"/>
      </w:pPr>
      <w:r w:rsidRPr="00077F9A">
        <w:t>Protokollet bestod av två delar, en om information till medlemsstaternas nationella parlament, en annan om konferensen mellan organ för EG-frågor (Cosac), som behandlas i nästa avsnitt.</w:t>
      </w:r>
    </w:p>
    <w:p w:rsidR="00CF1B5E" w:rsidRPr="00077F9A" w:rsidRDefault="00CF1B5E" w:rsidP="00CF1B5E">
      <w:pPr>
        <w:pStyle w:val="Normaltindrag"/>
        <w:rPr>
          <w:spacing w:val="-2"/>
        </w:rPr>
      </w:pPr>
      <w:r w:rsidRPr="00077F9A">
        <w:rPr>
          <w:spacing w:val="-2"/>
        </w:rPr>
        <w:t>Den del som rörde information till nationella parlament innehöll tre pun</w:t>
      </w:r>
      <w:r w:rsidRPr="00077F9A">
        <w:rPr>
          <w:spacing w:val="-2"/>
        </w:rPr>
        <w:t>k</w:t>
      </w:r>
      <w:r w:rsidRPr="00077F9A">
        <w:rPr>
          <w:spacing w:val="-2"/>
        </w:rPr>
        <w:t xml:space="preserve">ter. </w:t>
      </w:r>
    </w:p>
    <w:p w:rsidR="00CF1B5E" w:rsidRPr="00077F9A" w:rsidRDefault="00CF1B5E" w:rsidP="00CF1B5E">
      <w:pPr>
        <w:pStyle w:val="PunktlNummerPackad"/>
        <w:numPr>
          <w:ilvl w:val="0"/>
          <w:numId w:val="14"/>
        </w:numPr>
        <w:spacing w:before="62"/>
        <w:ind w:left="357" w:hanging="357"/>
        <w:rPr>
          <w:sz w:val="19"/>
          <w:szCs w:val="19"/>
        </w:rPr>
      </w:pPr>
      <w:r w:rsidRPr="00077F9A">
        <w:rPr>
          <w:sz w:val="19"/>
          <w:szCs w:val="19"/>
        </w:rPr>
        <w:t>Samtliga kommissionens samrådsdokument (grön- och vitböcker och meddelanden) ska skyndsamt tillställas medlemsstaternas nationella pa</w:t>
      </w:r>
      <w:r w:rsidRPr="00077F9A">
        <w:rPr>
          <w:sz w:val="19"/>
          <w:szCs w:val="19"/>
        </w:rPr>
        <w:t>r</w:t>
      </w:r>
      <w:r w:rsidRPr="00077F9A">
        <w:rPr>
          <w:sz w:val="19"/>
          <w:szCs w:val="19"/>
        </w:rPr>
        <w:t>lament.</w:t>
      </w:r>
    </w:p>
    <w:p w:rsidR="00CF1B5E" w:rsidRPr="00077F9A" w:rsidRDefault="00CF1B5E" w:rsidP="00CF1B5E">
      <w:pPr>
        <w:pStyle w:val="PunktlNummerPackad"/>
        <w:numPr>
          <w:ilvl w:val="0"/>
          <w:numId w:val="14"/>
        </w:numPr>
        <w:spacing w:before="0"/>
        <w:rPr>
          <w:sz w:val="19"/>
          <w:szCs w:val="19"/>
        </w:rPr>
      </w:pPr>
      <w:r w:rsidRPr="00077F9A">
        <w:rPr>
          <w:sz w:val="19"/>
          <w:szCs w:val="19"/>
        </w:rPr>
        <w:t>Kommissionens förslag till lagstiftning ska göras tillgängliga i så god tid att varje medlemsstats regering kan säkerställa att dess eget nationella parlament erhåller dem på lämpligt sätt.</w:t>
      </w:r>
    </w:p>
    <w:p w:rsidR="00CF1B5E" w:rsidRPr="00077F9A" w:rsidRDefault="00CF1B5E" w:rsidP="00CF1B5E">
      <w:pPr>
        <w:pStyle w:val="PunktlNummerPackad"/>
        <w:numPr>
          <w:ilvl w:val="0"/>
          <w:numId w:val="14"/>
        </w:numPr>
        <w:spacing w:before="0"/>
        <w:rPr>
          <w:sz w:val="19"/>
          <w:szCs w:val="19"/>
        </w:rPr>
      </w:pPr>
      <w:r w:rsidRPr="00077F9A">
        <w:rPr>
          <w:sz w:val="19"/>
          <w:szCs w:val="19"/>
        </w:rPr>
        <w:t>En sexveckorsperiod ska förflyta mellan den dag då ett lagstiftningsfö</w:t>
      </w:r>
      <w:r w:rsidRPr="00077F9A">
        <w:rPr>
          <w:sz w:val="19"/>
          <w:szCs w:val="19"/>
        </w:rPr>
        <w:t>r</w:t>
      </w:r>
      <w:r w:rsidRPr="00077F9A">
        <w:rPr>
          <w:sz w:val="19"/>
          <w:szCs w:val="19"/>
        </w:rPr>
        <w:t>slag eller förslag till åtgärd som rör polissamarbetet och det straffrättsliga sama</w:t>
      </w:r>
      <w:r w:rsidRPr="00077F9A">
        <w:rPr>
          <w:sz w:val="19"/>
          <w:szCs w:val="19"/>
        </w:rPr>
        <w:t>r</w:t>
      </w:r>
      <w:r w:rsidRPr="00077F9A">
        <w:rPr>
          <w:sz w:val="19"/>
          <w:szCs w:val="19"/>
        </w:rPr>
        <w:t>betet av kommissionen görs tillgängligt för Europaparlamentet och rådet på alla språken och den dag då förslaget är upptaget på rådets da</w:t>
      </w:r>
      <w:r w:rsidRPr="00077F9A">
        <w:rPr>
          <w:sz w:val="19"/>
          <w:szCs w:val="19"/>
        </w:rPr>
        <w:t>g</w:t>
      </w:r>
      <w:r w:rsidRPr="00077F9A">
        <w:rPr>
          <w:sz w:val="19"/>
          <w:szCs w:val="19"/>
        </w:rPr>
        <w:t>ordning för beslut. I brådskande fall kan dock undantag göras, varvid skälen ska anges.</w:t>
      </w:r>
    </w:p>
    <w:p w:rsidR="00CF1B5E" w:rsidRPr="00077F9A" w:rsidRDefault="00CF1B5E" w:rsidP="00CF1B5E">
      <w:r w:rsidRPr="00077F9A">
        <w:t>Efter antagandet av Amsterdamfördraget har de nationella parlamenten for</w:t>
      </w:r>
      <w:r w:rsidRPr="00077F9A">
        <w:t>t</w:t>
      </w:r>
      <w:r w:rsidRPr="00077F9A">
        <w:t>satt att uppmärksammas i debatten om EU. De nationella parlamentens roll i den europeiska politiska strukturen var en av de fyra frågor som nämndes i den förklaring om unionens framtid som antogs av regering</w:t>
      </w:r>
      <w:r w:rsidRPr="00077F9A">
        <w:t>s</w:t>
      </w:r>
      <w:r w:rsidRPr="00077F9A">
        <w:t>konferensen i Nice i december 2000. I den s.k. Laekendeklarationen ett år senare framhölls att de nationella parlamentens roll hänger ihop med den demokratiska legit</w:t>
      </w:r>
      <w:r w:rsidRPr="00077F9A">
        <w:t>i</w:t>
      </w:r>
      <w:r w:rsidRPr="00077F9A">
        <w:t>miteten.</w:t>
      </w:r>
      <w:r w:rsidRPr="00077F9A">
        <w:rPr>
          <w:rStyle w:val="Fotnotsreferens"/>
        </w:rPr>
        <w:footnoteReference w:id="15"/>
      </w:r>
    </w:p>
    <w:p w:rsidR="00CF1B5E" w:rsidRPr="00077F9A" w:rsidRDefault="00CF1B5E" w:rsidP="00CF1B5E">
      <w:pPr>
        <w:pStyle w:val="Normaltindrag"/>
      </w:pPr>
      <w:r w:rsidRPr="00077F9A">
        <w:t>Kommissionen tog 2006 initiativ till en förstärkning av den politiska di</w:t>
      </w:r>
      <w:r w:rsidRPr="00077F9A">
        <w:t>a</w:t>
      </w:r>
      <w:r w:rsidRPr="00077F9A">
        <w:t>logen mellan kommissionen och de nationella parlamenten, det s.k. Barroso-initiativet. I meddelandet En agenda för EU-medborgaren – EU skall visa resultat (KOM (2006) 211) framhöll kommissionen att det är av särskild vikt att de nationella parlamenten närmare involveras i arbetet med att utarbeta och genomföra EU:s politik, eftersom ett ökat deltagande från de nationella parlamenten kan bidra till att EU-politiken lättare kan anpassas till skiftande omständigheter och genomföras på ett effektivare sätt. Kommissionen besl</w:t>
      </w:r>
      <w:r w:rsidRPr="00077F9A">
        <w:t>u</w:t>
      </w:r>
      <w:r w:rsidRPr="00077F9A">
        <w:t>tade att nya lagförslag och samrådsdokument skulle översändas snabbt och direkt till de nationella parlamenten, som kunde yttra sig över dem till ko</w:t>
      </w:r>
      <w:r w:rsidRPr="00077F9A">
        <w:t>m</w:t>
      </w:r>
      <w:r w:rsidRPr="00077F9A">
        <w:t xml:space="preserve">missionen. </w:t>
      </w:r>
    </w:p>
    <w:p w:rsidR="00CF1B5E" w:rsidRPr="00077F9A" w:rsidRDefault="00CF1B5E" w:rsidP="00CF1B5E">
      <w:pPr>
        <w:pStyle w:val="Normaltindrag"/>
      </w:pPr>
      <w:bookmarkStart w:id="75" w:name="IDAA3CWJ"/>
      <w:r w:rsidRPr="00077F9A">
        <w:t>I rapporten Förbindelserna mellan Europeiska kommissionen och de nati</w:t>
      </w:r>
      <w:r w:rsidRPr="00077F9A">
        <w:t>o</w:t>
      </w:r>
      <w:r w:rsidRPr="00077F9A">
        <w:t>nella parlamenten (KOM (2008) 237) redogör kommissionen för bl.a. yttra</w:t>
      </w:r>
      <w:r w:rsidRPr="00077F9A">
        <w:t>n</w:t>
      </w:r>
      <w:r w:rsidRPr="00077F9A">
        <w:t>dena från de nationella parlamenten under 2007. Under detta år mottog ko</w:t>
      </w:r>
      <w:r w:rsidRPr="00077F9A">
        <w:t>m</w:t>
      </w:r>
      <w:r w:rsidRPr="00077F9A">
        <w:t>missionen sammanlagt 168 yttranden från de nationella parlamenten. En femtedel av dessa yttranden avgavs inom ramen för två samordnade försök med ti</w:t>
      </w:r>
      <w:r w:rsidRPr="00077F9A">
        <w:t>l</w:t>
      </w:r>
      <w:r w:rsidRPr="00077F9A">
        <w:t xml:space="preserve">lämpning av subsidiaritetsprincipen organiserade av Cosac (se s. </w:t>
      </w:r>
      <w:smartTag w:uri="urn:schemas-microsoft-com:office:smarttags" w:element="metricconverter">
        <w:smartTagPr>
          <w:attr w:name="ProductID" w:val="29 f"/>
        </w:smartTagPr>
        <w:r w:rsidRPr="00077F9A">
          <w:t>2</w:t>
        </w:r>
        <w:r w:rsidR="005C201D" w:rsidRPr="00077F9A">
          <w:t>9</w:t>
        </w:r>
        <w:r w:rsidRPr="00077F9A">
          <w:t xml:space="preserve"> f</w:t>
        </w:r>
      </w:smartTag>
      <w:r w:rsidRPr="00077F9A">
        <w:t>.). Övriga yttranden gällde olika typer av kommissionsdokument, dä</w:t>
      </w:r>
      <w:r w:rsidRPr="00077F9A">
        <w:t>r</w:t>
      </w:r>
      <w:r w:rsidRPr="00077F9A">
        <w:t>ibland grönböcker och meddelanden. Riksdagen beslöt under 2007 om 17 yttranden om samrådsdokument och tillhörde därmed den grupp av parlament som var mest aktiva.</w:t>
      </w:r>
    </w:p>
    <w:p w:rsidR="00CF1B5E" w:rsidRPr="00077F9A" w:rsidRDefault="00CF1B5E" w:rsidP="00CF1B5E">
      <w:pPr>
        <w:pStyle w:val="Normaltindrag"/>
      </w:pPr>
      <w:r w:rsidRPr="00077F9A">
        <w:t>Kommissionen ger i rapporten exempel på att vissa yttranden som kommit från de nationella parlamenten haft återverkningar på utformningen av polit</w:t>
      </w:r>
      <w:r w:rsidRPr="00077F9A">
        <w:t>i</w:t>
      </w:r>
      <w:r w:rsidRPr="00077F9A">
        <w:t>ken på olika områden. Den förklarar vidare att den kommer att beakta yttra</w:t>
      </w:r>
      <w:r w:rsidRPr="00077F9A">
        <w:t>n</w:t>
      </w:r>
      <w:r w:rsidRPr="00077F9A">
        <w:t>den över samrådsdokument vid utformningen av de lagstiftningsförslag som blir resultatet av dokumenten.</w:t>
      </w:r>
      <w:bookmarkStart w:id="76" w:name="IDAS3CWJ"/>
      <w:bookmarkEnd w:id="75"/>
      <w:r w:rsidRPr="00077F9A">
        <w:t xml:space="preserve"> Kommissionen anser det vara viktigt att fö</w:t>
      </w:r>
      <w:r w:rsidRPr="00077F9A">
        <w:t>r</w:t>
      </w:r>
      <w:r w:rsidRPr="00077F9A">
        <w:t>djupa den politiska dialogen med de nationella parl</w:t>
      </w:r>
      <w:r w:rsidRPr="00077F9A">
        <w:t>a</w:t>
      </w:r>
      <w:r w:rsidRPr="00077F9A">
        <w:t>menten. Den har för avsikt att behålla den nuvarande ramen för dialogen med de nationella parl</w:t>
      </w:r>
      <w:r w:rsidRPr="00077F9A">
        <w:t>a</w:t>
      </w:r>
      <w:r w:rsidRPr="00077F9A">
        <w:t>menten och att förstärka den genom att offentliggöra sina svar på parlame</w:t>
      </w:r>
      <w:r w:rsidRPr="00077F9A">
        <w:t>n</w:t>
      </w:r>
      <w:r w:rsidRPr="00077F9A">
        <w:t>tens yttranden.</w:t>
      </w:r>
    </w:p>
    <w:bookmarkEnd w:id="76"/>
    <w:p w:rsidR="00CF1B5E" w:rsidRPr="00077F9A" w:rsidRDefault="00CF1B5E" w:rsidP="00CF1B5E">
      <w:pPr>
        <w:pStyle w:val="Normaltindrag"/>
      </w:pPr>
      <w:r w:rsidRPr="00077F9A">
        <w:t>Enligt den ordning som på förslag av RDK infördes 2007 ska riksdagen behandla de grönböcker och vitböcker som tillställs riksdagen enligt protoko</w:t>
      </w:r>
      <w:r w:rsidRPr="00077F9A">
        <w:t>l</w:t>
      </w:r>
      <w:r w:rsidRPr="00077F9A">
        <w:t>let om de nationella parlamentens roll i Europeiska unionen. Talmannen får efter samråd med de särskilda företrädarna för partigrupperna bestämma att även andra dok</w:t>
      </w:r>
      <w:r w:rsidRPr="00077F9A">
        <w:t>u</w:t>
      </w:r>
      <w:r w:rsidRPr="00077F9A">
        <w:t>ment från EU, med undantag för förslag från kommissionen, ska behandlas på samma sätt. Sådana dokument ska hänvisas för grans</w:t>
      </w:r>
      <w:r w:rsidRPr="00077F9A">
        <w:t>k</w:t>
      </w:r>
      <w:r w:rsidRPr="00077F9A">
        <w:t>ning till berört utskott. Utskottet ska redovisa sin granskning i ett utlåtande till kammaren. Vid utskottets beslut om utlåtandet har ledamöterna rätt att bifoga reservationer eller särskilda yttranden till utlåtandet. Kammaren beslutar om utlåtandet men beslutet är att betrakta som ”preliminära synpunkter av konst</w:t>
      </w:r>
      <w:r w:rsidRPr="00077F9A">
        <w:t>i</w:t>
      </w:r>
      <w:r w:rsidRPr="00077F9A">
        <w:t>tutionellt oförbindande karaktär” (bet. 2005/06:KU21). Ett kammarbeslut binder således inte i rättslig mening regeringen eller riksdagen eller något av riksdagens organ. Riksdagsförvaltningen sänder utl</w:t>
      </w:r>
      <w:r w:rsidRPr="00077F9A">
        <w:t>å</w:t>
      </w:r>
      <w:r w:rsidRPr="00077F9A">
        <w:t xml:space="preserve">tandena för kännedom till kommissionens generalsekretariat. </w:t>
      </w:r>
    </w:p>
    <w:p w:rsidR="00CF1B5E" w:rsidRPr="00077F9A" w:rsidRDefault="00CF1B5E" w:rsidP="00CF1B5E">
      <w:pPr>
        <w:pStyle w:val="Normaltindrag"/>
      </w:pPr>
      <w:r w:rsidRPr="00077F9A">
        <w:t>KU har i sitt utlåtande över kommissionens ovannämnda rapport (utl. 2008/09:KU3) betonat att regeringen har huvudansvaret för uppgiften att företräda riket utåt. Utskottet framhåller vidare att regeringsformen saknar uttrycklig reglering när det gäller riksdagens möjligheter att kommunicera direkt med mellanfolkliga organisati</w:t>
      </w:r>
      <w:r w:rsidRPr="00077F9A">
        <w:t>o</w:t>
      </w:r>
      <w:r w:rsidRPr="00077F9A">
        <w:t xml:space="preserve">ner. </w:t>
      </w:r>
    </w:p>
    <w:p w:rsidR="00CF1B5E" w:rsidRPr="00077F9A" w:rsidRDefault="00CF1B5E" w:rsidP="00CF1B5E">
      <w:pPr>
        <w:pStyle w:val="Normaltindrag"/>
        <w:rPr>
          <w:rFonts w:cs="TimesNewRoman"/>
        </w:rPr>
      </w:pPr>
      <w:r w:rsidRPr="00077F9A">
        <w:t>En promemoria som upprättats inom utredningen (se</w:t>
      </w:r>
      <w:r w:rsidR="00122558" w:rsidRPr="00077F9A">
        <w:t xml:space="preserve"> 2008/09:URF2</w:t>
      </w:r>
      <w:r w:rsidRPr="00077F9A">
        <w:t xml:space="preserve"> </w:t>
      </w:r>
      <w:r w:rsidRPr="00077F9A">
        <w:rPr>
          <w:i/>
        </w:rPr>
        <w:t>a</w:t>
      </w:r>
      <w:r w:rsidRPr="00077F9A">
        <w:rPr>
          <w:i/>
        </w:rPr>
        <w:t>r</w:t>
      </w:r>
      <w:r w:rsidRPr="00077F9A">
        <w:rPr>
          <w:i/>
        </w:rPr>
        <w:t>betspromemoria 1)</w:t>
      </w:r>
      <w:r w:rsidRPr="00077F9A">
        <w:t xml:space="preserve"> visar att totalt 35 utlåtanden har behandlats av kammaren t.o.m. febru</w:t>
      </w:r>
      <w:r w:rsidRPr="00077F9A">
        <w:t>a</w:t>
      </w:r>
      <w:r w:rsidRPr="00077F9A">
        <w:t>ri 2009. Nio utlåtanden har innehållit reservationer och/eller särskilda yttranden. Kammardebatter har hållits beträffande 18 utlåtanden med huvudsakligt deltagande av ledamöter som tillhör det beredande utsko</w:t>
      </w:r>
      <w:r w:rsidRPr="00077F9A">
        <w:t>t</w:t>
      </w:r>
      <w:r w:rsidRPr="00077F9A">
        <w:t>tet. Av särskilt i</w:t>
      </w:r>
      <w:r w:rsidRPr="00077F9A">
        <w:t>n</w:t>
      </w:r>
      <w:r w:rsidRPr="00077F9A">
        <w:t>tresse i detta sammanhang är att utskotten i ungefär hälften (17 av 35) av utlåtand</w:t>
      </w:r>
      <w:r w:rsidRPr="00077F9A">
        <w:t>e</w:t>
      </w:r>
      <w:r w:rsidRPr="00077F9A">
        <w:t>na genomfört något slags subsidiaritetsgranskning. I 13 av dessa har utskottet gjort en helt eller delvis negativ bedömning av kommissionens diskussioner kring eventuella förslag utifrån subsidiaritet</w:t>
      </w:r>
      <w:r w:rsidRPr="00077F9A">
        <w:t>s</w:t>
      </w:r>
      <w:r w:rsidRPr="00077F9A">
        <w:t>synpunkt. Det är således ganska ofta som utskotten har haft frågetecken för subsidiaritetsprincipens tillämpning i detta förberedande skede av lagstif</w:t>
      </w:r>
      <w:r w:rsidRPr="00077F9A">
        <w:t>t</w:t>
      </w:r>
      <w:r w:rsidRPr="00077F9A">
        <w:t xml:space="preserve">ningsarbetet inom EU. </w:t>
      </w:r>
      <w:r w:rsidRPr="00077F9A">
        <w:rPr>
          <w:rFonts w:cs="Bembo"/>
        </w:rPr>
        <w:t>I ett up</w:t>
      </w:r>
      <w:r w:rsidRPr="00077F9A">
        <w:rPr>
          <w:rFonts w:cs="Bembo"/>
        </w:rPr>
        <w:t>p</w:t>
      </w:r>
      <w:r w:rsidRPr="00077F9A">
        <w:rPr>
          <w:rFonts w:cs="Bembo"/>
        </w:rPr>
        <w:t>märksammat utlåtande om grönboken om ett rökfritt Europa ansåg SoU att åtgärder på nationell nivå var tillräckliga för att uppnå målet (se utl. 2006/07:SoU26 s. 1</w:t>
      </w:r>
      <w:r w:rsidRPr="00077F9A">
        <w:rPr>
          <w:rFonts w:cs="Bembo"/>
          <w:bCs/>
        </w:rPr>
        <w:t>).</w:t>
      </w:r>
    </w:p>
    <w:p w:rsidR="00CF1B5E" w:rsidRPr="00077F9A" w:rsidRDefault="00CF1B5E" w:rsidP="00CF1B5E">
      <w:pPr>
        <w:pStyle w:val="Rubrik2"/>
      </w:pPr>
      <w:bookmarkStart w:id="77" w:name="_Toc223952207"/>
      <w:bookmarkStart w:id="78" w:name="_Toc227660626"/>
      <w:bookmarkStart w:id="79" w:name="_Toc227662091"/>
      <w:bookmarkStart w:id="80" w:name="_Toc227994082"/>
      <w:bookmarkStart w:id="81" w:name="_Toc230676861"/>
      <w:bookmarkStart w:id="82" w:name="_Toc230677040"/>
      <w:bookmarkStart w:id="83" w:name="_Toc230708090"/>
      <w:r w:rsidRPr="00077F9A">
        <w:t>3.3 Kontakter mellan parlamenten inom E</w:t>
      </w:r>
      <w:bookmarkEnd w:id="77"/>
      <w:r w:rsidRPr="00077F9A">
        <w:t>U</w:t>
      </w:r>
      <w:bookmarkEnd w:id="78"/>
      <w:bookmarkEnd w:id="79"/>
      <w:bookmarkEnd w:id="80"/>
      <w:bookmarkEnd w:id="81"/>
      <w:bookmarkEnd w:id="82"/>
      <w:bookmarkEnd w:id="83"/>
    </w:p>
    <w:p w:rsidR="00CF1B5E" w:rsidRPr="00077F9A" w:rsidRDefault="00CF1B5E" w:rsidP="00CF1B5E">
      <w:r w:rsidRPr="00077F9A">
        <w:t>Sedan omkring 1990 har det skapats former för mer eller mindre institution</w:t>
      </w:r>
      <w:r w:rsidRPr="00077F9A">
        <w:t>a</w:t>
      </w:r>
      <w:r w:rsidRPr="00077F9A">
        <w:t xml:space="preserve">liserade kontakter och samarbete mellan de nationella parlamenten inom EU och mellan dessa och Europarlamentet. Bakgrunden till detta var att många ledamöter i de dåvarande medlemsstaternas parlament ansåg sig ha tappat kontakten med de europeiska frågorna i och med övergången till direkta val till Europaparlamentet 1979. Innan dess hade medlemsstaternas delegationer till Europaparlamentet utsetts av de nationella parlamenten, ofta bland deras egna ledamöter. </w:t>
      </w:r>
    </w:p>
    <w:p w:rsidR="00CF1B5E" w:rsidRPr="00077F9A" w:rsidRDefault="00CF1B5E" w:rsidP="00CF1B5E">
      <w:pPr>
        <w:pStyle w:val="Normaltindrag"/>
      </w:pPr>
      <w:r w:rsidRPr="00077F9A">
        <w:t>På franskt initiativ tillkom den konferens mellan parlamenten i Europeiska gemenskapen som allmänt kall</w:t>
      </w:r>
      <w:r w:rsidRPr="00077F9A">
        <w:t>a</w:t>
      </w:r>
      <w:r w:rsidRPr="00077F9A">
        <w:t>des för assize. Den första och hittills enda assizen hölls i Rom i november 1990. De nationella parlamenten represent</w:t>
      </w:r>
      <w:r w:rsidRPr="00077F9A">
        <w:t>e</w:t>
      </w:r>
      <w:r w:rsidRPr="00077F9A">
        <w:t>rades av 173 ledamöter och Europaparlamentet av 85. Utbytet av assizen blev inte det förväntade och trots att regler för konferenser av detta slag i</w:t>
      </w:r>
      <w:r w:rsidRPr="00077F9A">
        <w:t>n</w:t>
      </w:r>
      <w:r w:rsidRPr="00077F9A">
        <w:t>fördes i Maastrichtfördraget har detta experiment inte uppr</w:t>
      </w:r>
      <w:r w:rsidRPr="00077F9A">
        <w:t>e</w:t>
      </w:r>
      <w:r w:rsidRPr="00077F9A">
        <w:t>pats.</w:t>
      </w:r>
      <w:r w:rsidRPr="00077F9A">
        <w:rPr>
          <w:rStyle w:val="Fotnotsreferens"/>
        </w:rPr>
        <w:footnoteReference w:id="16"/>
      </w:r>
    </w:p>
    <w:p w:rsidR="00CF1B5E" w:rsidRPr="00077F9A" w:rsidRDefault="00CF1B5E" w:rsidP="00CF1B5E">
      <w:pPr>
        <w:pStyle w:val="Normaltindrag"/>
      </w:pPr>
      <w:r w:rsidRPr="00077F9A">
        <w:t>Mer framgångsrikt blev ett annat franskt initiativ. På förslag av den fran</w:t>
      </w:r>
      <w:r w:rsidRPr="00077F9A">
        <w:t>s</w:t>
      </w:r>
      <w:r w:rsidRPr="00077F9A">
        <w:t>ka nationalförsamlingens talman inrättades 1989 Konferensen mellan organen för gemenskaps- och EU-frågor vid Europeiska unionens parl</w:t>
      </w:r>
      <w:r w:rsidRPr="00077F9A">
        <w:t>a</w:t>
      </w:r>
      <w:r w:rsidRPr="00077F9A">
        <w:t>ment, vanligen kallad Cosac. Cosac har antagit en arbetsordning som reviderats vid ett par tillfällen. Av denna framgår att ett ordinarie Cosacmöte ska hållas under varje ordförandeskapsperiod. Däremellan kan extra möten anordnas. Varje nati</w:t>
      </w:r>
      <w:r w:rsidRPr="00077F9A">
        <w:t>o</w:t>
      </w:r>
      <w:r w:rsidRPr="00077F9A">
        <w:t>nellt parlament ska vid mötena representeras av högst sex ledamöter från sitt EU-organ. Europaparlamentet ska också representeras av högst sex ledam</w:t>
      </w:r>
      <w:r w:rsidRPr="00077F9A">
        <w:t>ö</w:t>
      </w:r>
      <w:r w:rsidRPr="00077F9A">
        <w:t>ter. Varje parlament fastställer sin egen delegations sammansättning. I Eur</w:t>
      </w:r>
      <w:r w:rsidRPr="00077F9A">
        <w:t>o</w:t>
      </w:r>
      <w:r w:rsidRPr="00077F9A">
        <w:t>paparlamentets delegation ingår vanligen åtminstone en av de två vice talmän som ansvarar för förbindelserna med de nationella parlamenten. C</w:t>
      </w:r>
      <w:r w:rsidRPr="00077F9A">
        <w:t>o</w:t>
      </w:r>
      <w:r w:rsidRPr="00077F9A">
        <w:t>sacmötena är offentliga om inte annat beslutas. År 2000 fick Cosac ett permanent sekr</w:t>
      </w:r>
      <w:r w:rsidRPr="00077F9A">
        <w:t>e</w:t>
      </w:r>
      <w:r w:rsidRPr="00077F9A">
        <w:t>tariat, bestående av en tjänsteman som anställs för två år samt en tjän</w:t>
      </w:r>
      <w:r w:rsidRPr="00077F9A">
        <w:t>s</w:t>
      </w:r>
      <w:r w:rsidRPr="00077F9A">
        <w:t>teman från vart och ett av de länder som ingår i ”trojkan” och en tjänsteman från Europaparl</w:t>
      </w:r>
      <w:r w:rsidRPr="00077F9A">
        <w:t>a</w:t>
      </w:r>
      <w:r w:rsidRPr="00077F9A">
        <w:t xml:space="preserve">mentet. </w:t>
      </w:r>
    </w:p>
    <w:p w:rsidR="00CF1B5E" w:rsidRPr="00077F9A" w:rsidRDefault="00CF1B5E" w:rsidP="00CF1B5E">
      <w:pPr>
        <w:pStyle w:val="Normaltindrag"/>
      </w:pPr>
      <w:r w:rsidRPr="00077F9A">
        <w:t>I det protokoll om de nationella parlamentens roll i Europeiska unionen som följer med Amsterdamfördraget (se föregående avsnitt) handlade fyra punkter om C</w:t>
      </w:r>
      <w:r w:rsidRPr="00077F9A">
        <w:t>o</w:t>
      </w:r>
      <w:r w:rsidRPr="00077F9A">
        <w:t>sacs verksamhet:</w:t>
      </w:r>
    </w:p>
    <w:p w:rsidR="00CF1B5E" w:rsidRPr="00077F9A" w:rsidRDefault="00CF1B5E" w:rsidP="00CF1B5E">
      <w:pPr>
        <w:pStyle w:val="Citat"/>
        <w:tabs>
          <w:tab w:val="left" w:pos="567"/>
        </w:tabs>
        <w:spacing w:before="120"/>
        <w:ind w:left="567" w:hanging="227"/>
      </w:pPr>
      <w:r w:rsidRPr="00077F9A">
        <w:t>1.</w:t>
      </w:r>
      <w:r w:rsidRPr="00077F9A">
        <w:tab/>
        <w:t>Cosac får bidra med allt som den finner att EU:s institutioner bör up</w:t>
      </w:r>
      <w:r w:rsidRPr="00077F9A">
        <w:t>p</w:t>
      </w:r>
      <w:r w:rsidRPr="00077F9A">
        <w:t>märksamma, särskild på grundval av de utkast till lagtexter som me</w:t>
      </w:r>
      <w:r w:rsidRPr="00077F9A">
        <w:t>d</w:t>
      </w:r>
      <w:r w:rsidRPr="00077F9A">
        <w:t>lemsstaternas regeringar med hänsyn till frågans art i samförstånd får besluta att tillställa C</w:t>
      </w:r>
      <w:r w:rsidRPr="00077F9A">
        <w:t>o</w:t>
      </w:r>
      <w:r w:rsidRPr="00077F9A">
        <w:t>sac.</w:t>
      </w:r>
    </w:p>
    <w:p w:rsidR="00CF1B5E" w:rsidRPr="00077F9A" w:rsidRDefault="00CF1B5E" w:rsidP="00CF1B5E">
      <w:pPr>
        <w:pStyle w:val="Citat"/>
        <w:tabs>
          <w:tab w:val="left" w:pos="567"/>
        </w:tabs>
        <w:ind w:left="567" w:hanging="227"/>
      </w:pPr>
      <w:r w:rsidRPr="00077F9A">
        <w:t>2.</w:t>
      </w:r>
      <w:r w:rsidRPr="00077F9A">
        <w:tab/>
        <w:t>Cosac får granska alla lagförslag eller initiativ som rör upprättandet av ett område med frihet, säkerhet och rättvisa som direkt kan påverka enskilda personers fri- och rättigheter. Europaparlamentet, rådet och kommissionen ska informeras om alla bidrag från Cosac e</w:t>
      </w:r>
      <w:r w:rsidRPr="00077F9A">
        <w:t>n</w:t>
      </w:r>
      <w:r w:rsidRPr="00077F9A">
        <w:t>ligt denna punkt.</w:t>
      </w:r>
    </w:p>
    <w:p w:rsidR="00CF1B5E" w:rsidRPr="00077F9A" w:rsidRDefault="00CF1B5E" w:rsidP="00CF1B5E">
      <w:pPr>
        <w:pStyle w:val="Citat"/>
        <w:tabs>
          <w:tab w:val="left" w:pos="567"/>
        </w:tabs>
        <w:ind w:left="567" w:hanging="227"/>
      </w:pPr>
      <w:r w:rsidRPr="00077F9A">
        <w:t>3.</w:t>
      </w:r>
      <w:r w:rsidRPr="00077F9A">
        <w:tab/>
        <w:t>Cosac får till Europaparlamentet, rådet och kommissionen öve</w:t>
      </w:r>
      <w:r w:rsidRPr="00077F9A">
        <w:t>r</w:t>
      </w:r>
      <w:r w:rsidRPr="00077F9A">
        <w:t>lämna alla bidrag som konferensen finner lämpliga när det rör unionens la</w:t>
      </w:r>
      <w:r w:rsidRPr="00077F9A">
        <w:t>g</w:t>
      </w:r>
      <w:r w:rsidRPr="00077F9A">
        <w:t>stiftande verksamhet, särskilt beträffande tillämpningen av subsidiar</w:t>
      </w:r>
      <w:r w:rsidRPr="00077F9A">
        <w:t>i</w:t>
      </w:r>
      <w:r w:rsidRPr="00077F9A">
        <w:t>tetsprincipen, området med frihet, säkerhet och rättvisa, samt frågor som rör de grundläggande rätti</w:t>
      </w:r>
      <w:r w:rsidRPr="00077F9A">
        <w:t>g</w:t>
      </w:r>
      <w:r w:rsidRPr="00077F9A">
        <w:t>heterna.</w:t>
      </w:r>
    </w:p>
    <w:p w:rsidR="00CF1B5E" w:rsidRPr="00077F9A" w:rsidRDefault="00CF1B5E" w:rsidP="00CF1B5E">
      <w:pPr>
        <w:pStyle w:val="Citat"/>
        <w:tabs>
          <w:tab w:val="left" w:pos="567"/>
        </w:tabs>
        <w:ind w:left="567" w:hanging="227"/>
      </w:pPr>
      <w:r w:rsidRPr="00077F9A">
        <w:t>4.</w:t>
      </w:r>
      <w:r w:rsidRPr="00077F9A">
        <w:tab/>
        <w:t>Bidrag från Cosac ska inte på något sätt vara bindande för de natione</w:t>
      </w:r>
      <w:r w:rsidRPr="00077F9A">
        <w:t>l</w:t>
      </w:r>
      <w:r w:rsidRPr="00077F9A">
        <w:t>la parl</w:t>
      </w:r>
      <w:r w:rsidRPr="00077F9A">
        <w:t>a</w:t>
      </w:r>
      <w:r w:rsidRPr="00077F9A">
        <w:t>menten eller föregripa deras ståndpunkt.</w:t>
      </w:r>
    </w:p>
    <w:p w:rsidR="00CF1B5E" w:rsidRPr="00077F9A" w:rsidRDefault="00CF1B5E" w:rsidP="00CF1B5E">
      <w:pPr>
        <w:spacing w:before="120"/>
      </w:pPr>
      <w:r w:rsidRPr="00077F9A">
        <w:t>När det gäller bidrag enligt punkt 1 ovan har varje delegation förslagsrätt. Förslagen ska tillställas varje deleg</w:t>
      </w:r>
      <w:r w:rsidRPr="00077F9A">
        <w:t>a</w:t>
      </w:r>
      <w:r w:rsidRPr="00077F9A">
        <w:t>tion i god tid före det möte där de ska behandlas. Varje delegation har två röster. Cosac ska generellt sträva efter att anta bidrag enhälligt. Om detta inte är möjligt ska bidrag antas med kvalific</w:t>
      </w:r>
      <w:r w:rsidRPr="00077F9A">
        <w:t>e</w:t>
      </w:r>
      <w:r w:rsidRPr="00077F9A">
        <w:t>rad majoritet – tre fjärd</w:t>
      </w:r>
      <w:r w:rsidRPr="00077F9A">
        <w:t>e</w:t>
      </w:r>
      <w:r w:rsidRPr="00077F9A">
        <w:t xml:space="preserve">delar av de avgivna rösterna. Denna majoritet måste samtidigt utgöra minst hälften av alla röster. </w:t>
      </w:r>
    </w:p>
    <w:p w:rsidR="00CF1B5E" w:rsidRPr="00077F9A" w:rsidRDefault="00CF1B5E" w:rsidP="00CF1B5E">
      <w:pPr>
        <w:pStyle w:val="Normaltindrag"/>
      </w:pPr>
      <w:r w:rsidRPr="00077F9A">
        <w:t>Andra kontakt- och samarbetsformer mellan parlamenten i EU har också skapats.</w:t>
      </w:r>
    </w:p>
    <w:p w:rsidR="00CF1B5E" w:rsidRPr="00077F9A" w:rsidRDefault="00CF1B5E" w:rsidP="00CF1B5E">
      <w:pPr>
        <w:pStyle w:val="Normaltindrag"/>
      </w:pPr>
      <w:r w:rsidRPr="00077F9A">
        <w:t>Talmännen i parlamenten inom EU har sammanträtt årligen sedan 1975. Denna europeiska talmanskonferens är ett forum för utbyte av åsikter, info</w:t>
      </w:r>
      <w:r w:rsidRPr="00077F9A">
        <w:t>r</w:t>
      </w:r>
      <w:r w:rsidRPr="00077F9A">
        <w:t>mation och erfarenheter. Den ska också stimulera utredningar och geme</w:t>
      </w:r>
      <w:r w:rsidRPr="00077F9A">
        <w:t>n</w:t>
      </w:r>
      <w:r w:rsidRPr="00077F9A">
        <w:t>samma aktioner när det gäller parlamentens roll och organiseringen av parl</w:t>
      </w:r>
      <w:r w:rsidRPr="00077F9A">
        <w:t>a</w:t>
      </w:r>
      <w:r w:rsidRPr="00077F9A">
        <w:t>mentens uppgifter i Europafrågor samt formerna och verktygen för det inte</w:t>
      </w:r>
      <w:r w:rsidRPr="00077F9A">
        <w:t>r</w:t>
      </w:r>
      <w:r w:rsidRPr="00077F9A">
        <w:t>parlamentariska samarbetet. Värd för konferensen är det land som innehaft rådsordförandeskapet föregående höst, och ordförande vid konferensen är talmannen från vär</w:t>
      </w:r>
      <w:r w:rsidRPr="00077F9A">
        <w:t>d</w:t>
      </w:r>
      <w:r w:rsidRPr="00077F9A">
        <w:t>landets parlament (eller båda talmännen om det är ett tvåkammarparlament). Diskussionerna sammanfattas av ordföranden i ett dok</w:t>
      </w:r>
      <w:r w:rsidRPr="00077F9A">
        <w:t>u</w:t>
      </w:r>
      <w:r w:rsidRPr="00077F9A">
        <w:t xml:space="preserve">ment. </w:t>
      </w:r>
    </w:p>
    <w:p w:rsidR="00CF1B5E" w:rsidRPr="00077F9A" w:rsidRDefault="00CF1B5E" w:rsidP="00CF1B5E">
      <w:pPr>
        <w:pStyle w:val="Normaltindrag"/>
      </w:pPr>
      <w:r w:rsidRPr="00077F9A">
        <w:t>Efter förberedelser i en grupp som bildades vid talmanskonferensens möte i Aten 2003 (Aten-gruppen) utfärdade konferensen i Haag 2004 riktlinjer för det interparlamentariska samarbetet i EU. Detta skedde med hänvisning till en bestämmelse i det konstitutionella fördraget att Europaparlamentet och de nationella parlamenten tillsammans ska bestämma hur ett effektivt och rege</w:t>
      </w:r>
      <w:r w:rsidRPr="00077F9A">
        <w:t>l</w:t>
      </w:r>
      <w:r w:rsidRPr="00077F9A">
        <w:t>bundet interparlamentariskt samarbete ska organ</w:t>
      </w:r>
      <w:r w:rsidRPr="00077F9A">
        <w:t>i</w:t>
      </w:r>
      <w:r w:rsidRPr="00077F9A">
        <w:t xml:space="preserve">seras och främjas inom unionen. </w:t>
      </w:r>
    </w:p>
    <w:p w:rsidR="00CF1B5E" w:rsidRPr="00077F9A" w:rsidRDefault="00CF1B5E" w:rsidP="00CF1B5E">
      <w:pPr>
        <w:pStyle w:val="Normaltindrag"/>
      </w:pPr>
      <w:r w:rsidRPr="00077F9A">
        <w:t>Vid Haagkonferensen 2004 beslöts också att man ska skapa en elektronisk plat</w:t>
      </w:r>
      <w:r w:rsidRPr="00077F9A">
        <w:t>t</w:t>
      </w:r>
      <w:r w:rsidRPr="00077F9A">
        <w:t>form för utbyte av EU-information mellan parlamenten i EU, IPEX. Den innehåller en databas med information om parlamentens granskning av EU-dokument bl.a. från subsidiaritetssynpunkt, en kalender rörande interparl</w:t>
      </w:r>
      <w:r w:rsidRPr="00077F9A">
        <w:t>a</w:t>
      </w:r>
      <w:r w:rsidRPr="00077F9A">
        <w:t>mentariska möten och fora för åsiktsutbyte. IPEX har en styrelse som består av en för</w:t>
      </w:r>
      <w:r w:rsidRPr="00077F9A">
        <w:t>e</w:t>
      </w:r>
      <w:r w:rsidRPr="00077F9A">
        <w:t>trädare för vart och ett av parlamenten i de tre länder som bildar EU:s ”trojka” och i övrigt av företrädare för parlament som ”vill bidra till att IPEX fungerar effe</w:t>
      </w:r>
      <w:r w:rsidRPr="00077F9A">
        <w:t>k</w:t>
      </w:r>
      <w:r w:rsidRPr="00077F9A">
        <w:t xml:space="preserve">tivt”. </w:t>
      </w:r>
    </w:p>
    <w:p w:rsidR="00CF1B5E" w:rsidRPr="00077F9A" w:rsidRDefault="00CF1B5E" w:rsidP="00CF1B5E">
      <w:pPr>
        <w:pStyle w:val="Normaltindrag"/>
      </w:pPr>
      <w:r w:rsidRPr="00077F9A">
        <w:t>De riktlinjer för det interparlamentariska samarbetet som tillkom i Haag 2004 reviderades vid talmanskonf</w:t>
      </w:r>
      <w:r w:rsidRPr="00077F9A">
        <w:t>e</w:t>
      </w:r>
      <w:r w:rsidRPr="00077F9A">
        <w:t>rensens möte i Lissabon i juni 2008. En närmare redovisning av des</w:t>
      </w:r>
      <w:r w:rsidR="005C201D" w:rsidRPr="00077F9A">
        <w:t xml:space="preserve">sa riktlinjer lämnas nedan (s. </w:t>
      </w:r>
      <w:smartTag w:uri="urn:schemas-microsoft-com:office:smarttags" w:element="metricconverter">
        <w:smartTagPr>
          <w:attr w:name="ProductID" w:val="43 f"/>
        </w:smartTagPr>
        <w:r w:rsidR="005C201D" w:rsidRPr="00077F9A">
          <w:t>43</w:t>
        </w:r>
        <w:r w:rsidRPr="00077F9A">
          <w:t xml:space="preserve"> f</w:t>
        </w:r>
      </w:smartTag>
      <w:r w:rsidRPr="00077F9A">
        <w:t>.).</w:t>
      </w:r>
    </w:p>
    <w:p w:rsidR="00CF1B5E" w:rsidRPr="00077F9A" w:rsidRDefault="00CF1B5E" w:rsidP="00CF1B5E">
      <w:pPr>
        <w:pStyle w:val="Normaltindrag"/>
      </w:pPr>
      <w:r w:rsidRPr="00077F9A">
        <w:t>En annan form av kontakt mellan parlamenten i EU är möten till vilka or</w:t>
      </w:r>
      <w:r w:rsidRPr="00077F9A">
        <w:t>d</w:t>
      </w:r>
      <w:r w:rsidRPr="00077F9A">
        <w:t>förandena för fackutsko</w:t>
      </w:r>
      <w:r w:rsidRPr="00077F9A">
        <w:t>t</w:t>
      </w:r>
      <w:r w:rsidRPr="00077F9A">
        <w:t>ten på ett visst område bjuds in. På vissa områden, t.ex. det utrikespolitiska området, anordnas regelbundet möten under varje ordf</w:t>
      </w:r>
      <w:r w:rsidRPr="00077F9A">
        <w:t>ö</w:t>
      </w:r>
      <w:r w:rsidRPr="00077F9A">
        <w:t>randeskapsperiod. På andra områden är mötena mer sporadiska och äger rum vid behov, t.ex. när politiskt viktiga frågor aktualiseras på området. M</w:t>
      </w:r>
      <w:r w:rsidRPr="00077F9A">
        <w:t>ö</w:t>
      </w:r>
      <w:r w:rsidRPr="00077F9A">
        <w:t>ten kan också anordnas för diskussion av mer övergripande politiska frågor inom EU. Det kan röra sig om integritetsfrågor eller andra frågor inom omr</w:t>
      </w:r>
      <w:r w:rsidRPr="00077F9A">
        <w:t>å</w:t>
      </w:r>
      <w:r w:rsidRPr="00077F9A">
        <w:t>det med frihet, säkerhet och rättvisa. Dessa parlamentarikermöten genomförs under värdskap såväl av nationella parlament som av Europaparlamentet. Inga res</w:t>
      </w:r>
      <w:r w:rsidRPr="00077F9A">
        <w:t>o</w:t>
      </w:r>
      <w:r w:rsidRPr="00077F9A">
        <w:t>lutioner antas. Vanligen gör ordföranden en sammanfattning, ibland skriftl</w:t>
      </w:r>
      <w:r w:rsidRPr="00077F9A">
        <w:t>i</w:t>
      </w:r>
      <w:r w:rsidRPr="00077F9A">
        <w:t xml:space="preserve">gen, av vad som förekommit på mötet. </w:t>
      </w:r>
    </w:p>
    <w:p w:rsidR="00CF1B5E" w:rsidRPr="00077F9A" w:rsidRDefault="00CF1B5E" w:rsidP="00CF1B5E"/>
    <w:p w:rsidR="00CF1B5E" w:rsidRPr="00077F9A" w:rsidRDefault="00CF1B5E" w:rsidP="00CF1B5E">
      <w:bookmarkStart w:id="84" w:name="_Toc223952208"/>
      <w:bookmarkStart w:id="85" w:name="_Toc227660627"/>
      <w:bookmarkStart w:id="86" w:name="_Toc227662092"/>
    </w:p>
    <w:p w:rsidR="00CF1B5E" w:rsidRPr="00077F9A" w:rsidRDefault="00CF1B5E" w:rsidP="00CF1B5E">
      <w:bookmarkStart w:id="87" w:name="_Toc227994083"/>
    </w:p>
    <w:p w:rsidR="00CF1B5E" w:rsidRPr="00077F9A" w:rsidRDefault="00CF1B5E" w:rsidP="00CF1B5E">
      <w:pPr>
        <w:pStyle w:val="Rubrik1"/>
        <w:spacing w:after="360"/>
        <w:rPr>
          <w:noProof w:val="0"/>
        </w:rPr>
        <w:sectPr w:rsidR="00CF1B5E" w:rsidRPr="00077F9A" w:rsidSect="00CF1B5E">
          <w:headerReference w:type="even" r:id="rId51"/>
          <w:headerReference w:type="default" r:id="rId52"/>
          <w:footerReference w:type="even" r:id="rId53"/>
          <w:footerReference w:type="default" r:id="rId54"/>
          <w:headerReference w:type="first" r:id="rId55"/>
          <w:footerReference w:type="first" r:id="rId56"/>
          <w:footnotePr>
            <w:numRestart w:val="eachSect"/>
          </w:footnotePr>
          <w:pgSz w:w="11906" w:h="16838" w:code="9"/>
          <w:pgMar w:top="907" w:right="4649" w:bottom="4508" w:left="1304" w:header="340" w:footer="227" w:gutter="0"/>
          <w:cols w:space="720"/>
          <w:titlePg/>
        </w:sectPr>
      </w:pPr>
    </w:p>
    <w:p w:rsidR="00CF1B5E" w:rsidRPr="00077F9A" w:rsidRDefault="00CF1B5E" w:rsidP="00CF1B5E">
      <w:pPr>
        <w:pStyle w:val="Rubrik1"/>
        <w:rPr>
          <w:noProof w:val="0"/>
        </w:rPr>
      </w:pPr>
      <w:bookmarkStart w:id="88" w:name="_Toc230676862"/>
      <w:bookmarkStart w:id="89" w:name="_Toc230677041"/>
      <w:bookmarkStart w:id="90" w:name="_Toc230708091"/>
      <w:r w:rsidRPr="00077F9A">
        <w:rPr>
          <w:noProof w:val="0"/>
        </w:rPr>
        <w:t>4 Lissabonfördragets bestämmelser</w:t>
      </w:r>
      <w:bookmarkEnd w:id="84"/>
      <w:bookmarkEnd w:id="85"/>
      <w:bookmarkEnd w:id="86"/>
      <w:bookmarkEnd w:id="87"/>
      <w:bookmarkEnd w:id="88"/>
      <w:bookmarkEnd w:id="89"/>
      <w:bookmarkEnd w:id="90"/>
      <w:r w:rsidRPr="00077F9A">
        <w:rPr>
          <w:noProof w:val="0"/>
        </w:rPr>
        <w:t xml:space="preserve"> </w:t>
      </w:r>
    </w:p>
    <w:p w:rsidR="00CF1B5E" w:rsidRPr="00077F9A" w:rsidRDefault="00CF1B5E" w:rsidP="00CF1B5E">
      <w:pPr>
        <w:pStyle w:val="Rubrik2"/>
        <w:spacing w:before="0"/>
      </w:pPr>
      <w:bookmarkStart w:id="91" w:name="_Toc227660628"/>
      <w:bookmarkStart w:id="92" w:name="_Toc227662093"/>
      <w:bookmarkStart w:id="93" w:name="_Toc227994084"/>
      <w:bookmarkStart w:id="94" w:name="_Toc230676863"/>
      <w:bookmarkStart w:id="95" w:name="_Toc230677042"/>
      <w:bookmarkStart w:id="96" w:name="_Toc230708092"/>
      <w:r w:rsidRPr="00077F9A">
        <w:t>4.1 Inledning</w:t>
      </w:r>
      <w:bookmarkEnd w:id="91"/>
      <w:bookmarkEnd w:id="92"/>
      <w:bookmarkEnd w:id="93"/>
      <w:bookmarkEnd w:id="94"/>
      <w:bookmarkEnd w:id="95"/>
      <w:bookmarkEnd w:id="96"/>
    </w:p>
    <w:p w:rsidR="00CF1B5E" w:rsidRPr="00077F9A" w:rsidRDefault="00CF1B5E" w:rsidP="00CF1B5E">
      <w:pPr>
        <w:rPr>
          <w:rFonts w:cs="Bembo"/>
        </w:rPr>
      </w:pPr>
      <w:r w:rsidRPr="00077F9A">
        <w:rPr>
          <w:rFonts w:cs="Bembo"/>
        </w:rPr>
        <w:t>Fördraget om en konstitution för Europa antogs av medlemsländerna i Rom i december 2004. Genom fördraget skulle äldre fördrag av konstitutionell k</w:t>
      </w:r>
      <w:r w:rsidRPr="00077F9A">
        <w:rPr>
          <w:rFonts w:cs="Bembo"/>
        </w:rPr>
        <w:t>a</w:t>
      </w:r>
      <w:r w:rsidRPr="00077F9A">
        <w:rPr>
          <w:rFonts w:cs="Bembo"/>
        </w:rPr>
        <w:t xml:space="preserve">raktär upphävas. Unionen skulle få en ny start. </w:t>
      </w:r>
    </w:p>
    <w:p w:rsidR="00CF1B5E" w:rsidRPr="00077F9A" w:rsidRDefault="00CF1B5E" w:rsidP="00CF1B5E">
      <w:pPr>
        <w:pStyle w:val="Normaltindrag"/>
      </w:pPr>
      <w:r w:rsidRPr="00077F9A">
        <w:t>Det nya fördraget kom emellertid aldrig att träda i kraft. Under ratific</w:t>
      </w:r>
      <w:r w:rsidRPr="00077F9A">
        <w:t>e</w:t>
      </w:r>
      <w:r w:rsidRPr="00077F9A">
        <w:t>ringsprocessen förkastades fördraget vid folkomröstningar i Frankrike och Nederländerna våren 2005. Den svenska ratificeringen uppsköts i avva</w:t>
      </w:r>
      <w:r w:rsidRPr="00077F9A">
        <w:t>k</w:t>
      </w:r>
      <w:r w:rsidRPr="00077F9A">
        <w:t>tan på resultatet av de diskussioner mellan medlemsstaterna som ägde rum under 2006–2007. Dessa diskussioner ledde fram till att ratifikationsprocessen a</w:t>
      </w:r>
      <w:r w:rsidRPr="00077F9A">
        <w:t>v</w:t>
      </w:r>
      <w:r w:rsidRPr="00077F9A">
        <w:t>bröts. I stället genomfördes förhandlingar om ändringar av gä</w:t>
      </w:r>
      <w:r w:rsidRPr="00077F9A">
        <w:t>l</w:t>
      </w:r>
      <w:r w:rsidRPr="00077F9A">
        <w:t>lande fördrag. Många av förslagen i det konstitutionella fördraget inkorporerades genom ändringar i de äldre fördragen. De fördragsändringar man blev ense om go</w:t>
      </w:r>
      <w:r w:rsidRPr="00077F9A">
        <w:t>d</w:t>
      </w:r>
      <w:r w:rsidRPr="00077F9A">
        <w:t>kändes i Lissabon i december 2007.</w:t>
      </w:r>
    </w:p>
    <w:p w:rsidR="00CF1B5E" w:rsidRPr="00077F9A" w:rsidRDefault="00CF1B5E" w:rsidP="00CF1B5E">
      <w:pPr>
        <w:pStyle w:val="Normaltindrag"/>
      </w:pPr>
      <w:r w:rsidRPr="00077F9A">
        <w:t>Under tiden som ratifikationsprocessen beträffande det konstitutionella fördraget pågick hade flera nationella parlament förberett införande av fö</w:t>
      </w:r>
      <w:r w:rsidRPr="00077F9A">
        <w:t>r</w:t>
      </w:r>
      <w:r w:rsidRPr="00077F9A">
        <w:t>dragets bestämmelser om de nationella parlamenten. Detta var fallet i Sverige, där Riksdagskommittén (RDK) i december 2005 lade fram ett utkast till b</w:t>
      </w:r>
      <w:r w:rsidRPr="00077F9A">
        <w:t>e</w:t>
      </w:r>
      <w:r w:rsidRPr="00077F9A">
        <w:t>stämmelser i RO som av riksdagsstyrelsen vidarebefordrades till riksdagen (framst. 2005/06:RS3).</w:t>
      </w:r>
      <w:r w:rsidRPr="00077F9A">
        <w:rPr>
          <w:rStyle w:val="Fotnotsreferens"/>
          <w:rFonts w:cs="Bembo"/>
        </w:rPr>
        <w:footnoteReference w:id="17"/>
      </w:r>
      <w:r w:rsidRPr="00077F9A">
        <w:t xml:space="preserve"> Vid tidpunkten för riksdagens behandling av fra</w:t>
      </w:r>
      <w:r w:rsidRPr="00077F9A">
        <w:t>m</w:t>
      </w:r>
      <w:r w:rsidRPr="00077F9A">
        <w:t>ställningen hade ratifikationsprocessen avbrutits, och något riksdagsbeslut beträffande u</w:t>
      </w:r>
      <w:r w:rsidRPr="00077F9A">
        <w:t>t</w:t>
      </w:r>
      <w:r w:rsidRPr="00077F9A">
        <w:t>kastet fattades inte (bet. 2005/06:KU21).</w:t>
      </w:r>
    </w:p>
    <w:p w:rsidR="00CF1B5E" w:rsidRPr="00077F9A" w:rsidRDefault="00CF1B5E" w:rsidP="00CF1B5E">
      <w:pPr>
        <w:pStyle w:val="Normaltindrag"/>
      </w:pPr>
      <w:r w:rsidRPr="00077F9A">
        <w:t>När det gäller de nationella parlamentens roll skiljer sig inte bestämme</w:t>
      </w:r>
      <w:r w:rsidRPr="00077F9A">
        <w:t>l</w:t>
      </w:r>
      <w:r w:rsidRPr="00077F9A">
        <w:t>serna i Lissabonfördraget från motsvarande bestämmelser i det konstitutione</w:t>
      </w:r>
      <w:r w:rsidRPr="00077F9A">
        <w:t>l</w:t>
      </w:r>
      <w:r w:rsidRPr="00077F9A">
        <w:t>la fördraget annat än i detaljer. Vari skillnaderna består ska vi åte</w:t>
      </w:r>
      <w:r w:rsidRPr="00077F9A">
        <w:t>r</w:t>
      </w:r>
      <w:r w:rsidR="00D5545C" w:rsidRPr="00077F9A">
        <w:t>komma till längre fram (se s. 51</w:t>
      </w:r>
      <w:r w:rsidRPr="00077F9A">
        <w:t>). Men likheterna innebär att det är naturligt, precis som framhålls i direktiven, att utredningens utgångspunkt är RDK:s utkast.</w:t>
      </w:r>
    </w:p>
    <w:p w:rsidR="00CF1B5E" w:rsidRPr="00077F9A" w:rsidRDefault="00CF1B5E" w:rsidP="00CF1B5E">
      <w:pPr>
        <w:pStyle w:val="Normaltindrag"/>
      </w:pPr>
      <w:r w:rsidRPr="00077F9A">
        <w:t xml:space="preserve">Ratificeringen av Lissabonfördraget pågår alltjämt. Vid månadsskiftet </w:t>
      </w:r>
      <w:r w:rsidRPr="00077F9A">
        <w:rPr>
          <w:spacing w:val="-2"/>
        </w:rPr>
        <w:t>april/maj 2009 var läget att 23 länder ratificerat fördraget, däribland Sverige efter b</w:t>
      </w:r>
      <w:r w:rsidRPr="00077F9A">
        <w:rPr>
          <w:spacing w:val="-2"/>
        </w:rPr>
        <w:t>e</w:t>
      </w:r>
      <w:r w:rsidRPr="00077F9A">
        <w:rPr>
          <w:spacing w:val="-2"/>
        </w:rPr>
        <w:t>slut av riksdagen den 20 november 2008 (prop. 2007/08:168, bet. 2008/09:UU8, rskr. 2008/09:64)</w:t>
      </w:r>
      <w:r w:rsidRPr="00077F9A">
        <w:t>. I Polen, Tjeckien och Tyskland är ratifik</w:t>
      </w:r>
      <w:r w:rsidRPr="00077F9A">
        <w:t>a</w:t>
      </w:r>
      <w:r w:rsidRPr="00077F9A">
        <w:t>tionsprocesserna inte avslutade. På Irland förkastades fördraget vid en fol</w:t>
      </w:r>
      <w:r w:rsidRPr="00077F9A">
        <w:t>k</w:t>
      </w:r>
      <w:r w:rsidRPr="00077F9A">
        <w:t>omröstning i juni 2008. En ny folkomröstning, om en sådan anses b</w:t>
      </w:r>
      <w:r w:rsidRPr="00077F9A">
        <w:t>e</w:t>
      </w:r>
      <w:r w:rsidRPr="00077F9A">
        <w:t>hövas, torde tidigast kunna äga rum hösten 2009. Avsikten var att fördraget skulle träda i kraft den 1 januari 2009. Men eftersom ratifikationsprocessen inte var avslutad vid denna tidpunkt ska fördraget enligt bestä</w:t>
      </w:r>
      <w:r w:rsidRPr="00077F9A">
        <w:t>m</w:t>
      </w:r>
      <w:r w:rsidRPr="00077F9A">
        <w:t>melser i fördraget (art.</w:t>
      </w:r>
      <w:r w:rsidR="00D5545C" w:rsidRPr="00077F9A">
        <w:t> </w:t>
      </w:r>
      <w:r w:rsidRPr="00077F9A">
        <w:t>6) träda i kraft ”den första dagen i den månad som följer efter det att ratifikationsinstrumentet har deponerats av den signatärstat som sist depon</w:t>
      </w:r>
      <w:r w:rsidRPr="00077F9A">
        <w:t>e</w:t>
      </w:r>
      <w:r w:rsidRPr="00077F9A">
        <w:t>rar i</w:t>
      </w:r>
      <w:r w:rsidRPr="00077F9A">
        <w:t>n</w:t>
      </w:r>
      <w:r w:rsidRPr="00077F9A">
        <w:t>strumentet”.</w:t>
      </w:r>
      <w:r w:rsidRPr="00077F9A">
        <w:rPr>
          <w:rStyle w:val="Fotnotsreferens"/>
        </w:rPr>
        <w:footnoteReference w:id="18"/>
      </w:r>
    </w:p>
    <w:p w:rsidR="00CF1B5E" w:rsidRPr="00077F9A" w:rsidRDefault="00CF1B5E" w:rsidP="00CF1B5E">
      <w:pPr>
        <w:pStyle w:val="Normaltindrag"/>
      </w:pPr>
      <w:r w:rsidRPr="00077F9A">
        <w:t>Lissabonfördraget är till skillnad från det aldrig antagna konstitutionella fördraget inget helt nytt fördrag mellan medlemsstaterna. Det ändrar och bygger vidare på Fördraget om Europeiska unionen från 1993 (”Maastrich</w:t>
      </w:r>
      <w:r w:rsidRPr="00077F9A">
        <w:t>t</w:t>
      </w:r>
      <w:r w:rsidRPr="00077F9A">
        <w:t>fördraget”) med senare ändringar och på Fördraget om upprättande av Eur</w:t>
      </w:r>
      <w:r w:rsidRPr="00077F9A">
        <w:t>o</w:t>
      </w:r>
      <w:r w:rsidRPr="00077F9A">
        <w:t>peiska gemenskapen från 1958 (”Romfördraget”) med senare ändringar. Det senare fördraget byter namn till Fördraget om Europeiska unionens funktion</w:t>
      </w:r>
      <w:r w:rsidRPr="00077F9A">
        <w:t>s</w:t>
      </w:r>
      <w:r w:rsidRPr="00077F9A">
        <w:t>sätt. Efter de ändringar som införs genom Lissabonfördraget samlas bestä</w:t>
      </w:r>
      <w:r w:rsidRPr="00077F9A">
        <w:t>m</w:t>
      </w:r>
      <w:r w:rsidRPr="00077F9A">
        <w:t>melser av pri</w:t>
      </w:r>
      <w:r w:rsidRPr="00077F9A">
        <w:t>n</w:t>
      </w:r>
      <w:r w:rsidRPr="00077F9A">
        <w:t xml:space="preserve">cipiell karaktär i unionsfördraget och detaljerade bestämmelser av funktionell karaktär i det tidigare gemenskapsfördraget. I fortsättningen förkortas Fördraget om Europeiska unionen </w:t>
      </w:r>
      <w:r w:rsidRPr="00077F9A">
        <w:rPr>
          <w:i/>
        </w:rPr>
        <w:t>FEU</w:t>
      </w:r>
      <w:r w:rsidRPr="00077F9A">
        <w:t xml:space="preserve"> och Fördraget om Europ</w:t>
      </w:r>
      <w:r w:rsidRPr="00077F9A">
        <w:t>e</w:t>
      </w:r>
      <w:r w:rsidRPr="00077F9A">
        <w:t xml:space="preserve">iska unionens funktionssätt </w:t>
      </w:r>
      <w:r w:rsidRPr="00077F9A">
        <w:rPr>
          <w:i/>
        </w:rPr>
        <w:t xml:space="preserve">FEUF. </w:t>
      </w:r>
      <w:r w:rsidRPr="00077F9A">
        <w:t>Bestämmelser, såväl nya som gamla, anges i enlighet med den version som getts ut av Svenska institutet för eur</w:t>
      </w:r>
      <w:r w:rsidRPr="00077F9A">
        <w:t>o</w:t>
      </w:r>
      <w:r w:rsidRPr="00077F9A">
        <w:t>papoliti</w:t>
      </w:r>
      <w:r w:rsidRPr="00077F9A">
        <w:t>s</w:t>
      </w:r>
      <w:r w:rsidRPr="00077F9A">
        <w:t>ka studier i samarbete med Regeringskansliet.</w:t>
      </w:r>
      <w:r w:rsidRPr="00077F9A">
        <w:rPr>
          <w:rStyle w:val="Fotnotsreferens"/>
        </w:rPr>
        <w:footnoteReference w:id="19"/>
      </w:r>
    </w:p>
    <w:p w:rsidR="00CF1B5E" w:rsidRPr="00077F9A" w:rsidRDefault="00CF1B5E" w:rsidP="00CF1B5E">
      <w:pPr>
        <w:pStyle w:val="Normaltindrag"/>
        <w:rPr>
          <w:i/>
        </w:rPr>
      </w:pPr>
      <w:r w:rsidRPr="00077F9A">
        <w:t>Till Lissabonfördraget hör också att ett antal protokoll som tillkommit för att förtydliga särskilda bestä</w:t>
      </w:r>
      <w:r w:rsidRPr="00077F9A">
        <w:t>m</w:t>
      </w:r>
      <w:r w:rsidRPr="00077F9A">
        <w:t>melser i fördragen. Två av dessa protokoll är av särskild relevans och betydelse i detta sammanhang, nämligen Protokollet om de nationella parlamentens roll i Europeiska unionen och Protokollet om tillämpning av subs</w:t>
      </w:r>
      <w:r w:rsidRPr="00077F9A">
        <w:t>i</w:t>
      </w:r>
      <w:r w:rsidRPr="00077F9A">
        <w:t>diaritets- och proportionalitetsprinciperna.</w:t>
      </w:r>
      <w:r w:rsidRPr="00077F9A">
        <w:rPr>
          <w:rStyle w:val="Fotnotsreferens"/>
        </w:rPr>
        <w:footnoteReference w:id="20"/>
      </w:r>
      <w:r w:rsidRPr="00077F9A">
        <w:t xml:space="preserve"> De ersätter de äldre protokollen i samma ämnen. Protokollet om de nationella parlame</w:t>
      </w:r>
      <w:r w:rsidRPr="00077F9A">
        <w:t>n</w:t>
      </w:r>
      <w:r w:rsidRPr="00077F9A">
        <w:t xml:space="preserve">ten anges i fortsättningen som </w:t>
      </w:r>
      <w:r w:rsidRPr="00077F9A">
        <w:rPr>
          <w:i/>
        </w:rPr>
        <w:t>prot. 1</w:t>
      </w:r>
      <w:r w:rsidRPr="00077F9A">
        <w:t xml:space="preserve"> och protokollet om subsidiaritets- och proporti</w:t>
      </w:r>
      <w:r w:rsidRPr="00077F9A">
        <w:t>o</w:t>
      </w:r>
      <w:r w:rsidRPr="00077F9A">
        <w:t xml:space="preserve">nalitetsprinciperna som </w:t>
      </w:r>
      <w:r w:rsidRPr="00077F9A">
        <w:rPr>
          <w:i/>
        </w:rPr>
        <w:t>prot. 2.</w:t>
      </w:r>
    </w:p>
    <w:p w:rsidR="00CF1B5E" w:rsidRPr="00077F9A" w:rsidRDefault="00CF1B5E" w:rsidP="00CF1B5E">
      <w:pPr>
        <w:pStyle w:val="Rubrik2"/>
      </w:pPr>
      <w:bookmarkStart w:id="97" w:name="_Toc227660629"/>
      <w:bookmarkStart w:id="98" w:name="_Toc227662094"/>
      <w:bookmarkStart w:id="99" w:name="_Toc227994085"/>
      <w:bookmarkStart w:id="100" w:name="_Toc230676864"/>
      <w:bookmarkStart w:id="101" w:name="_Toc230677043"/>
      <w:bookmarkStart w:id="102" w:name="_Toc230708093"/>
      <w:r w:rsidRPr="00077F9A">
        <w:t>4.2 Unionens befogenheter</w:t>
      </w:r>
      <w:bookmarkEnd w:id="97"/>
      <w:bookmarkEnd w:id="98"/>
      <w:bookmarkEnd w:id="99"/>
      <w:bookmarkEnd w:id="100"/>
      <w:bookmarkEnd w:id="101"/>
      <w:bookmarkEnd w:id="102"/>
    </w:p>
    <w:p w:rsidR="00CF1B5E" w:rsidRPr="00077F9A" w:rsidRDefault="00CF1B5E" w:rsidP="00CF1B5E">
      <w:pPr>
        <w:rPr>
          <w:rFonts w:cs="Bembo"/>
        </w:rPr>
      </w:pPr>
      <w:r w:rsidRPr="00077F9A">
        <w:rPr>
          <w:rFonts w:cs="Bembo"/>
        </w:rPr>
        <w:t>Unionens befogenheter förändras inte genom Lissabonfördraget.</w:t>
      </w:r>
      <w:r w:rsidRPr="00077F9A">
        <w:rPr>
          <w:rStyle w:val="Fotnotsreferens"/>
          <w:rFonts w:cs="Bembo"/>
        </w:rPr>
        <w:footnoteReference w:id="21"/>
      </w:r>
      <w:r w:rsidRPr="00077F9A">
        <w:rPr>
          <w:rFonts w:cs="Bembo"/>
        </w:rPr>
        <w:t xml:space="preserve"> Den har samma befogenheter som tidigare, och de kan delas upp i exklusiva befoge</w:t>
      </w:r>
      <w:r w:rsidRPr="00077F9A">
        <w:rPr>
          <w:rFonts w:cs="Bembo"/>
        </w:rPr>
        <w:t>n</w:t>
      </w:r>
      <w:r w:rsidRPr="00077F9A">
        <w:rPr>
          <w:rFonts w:cs="Bembo"/>
        </w:rPr>
        <w:t>heter, med me</w:t>
      </w:r>
      <w:r w:rsidRPr="00077F9A">
        <w:rPr>
          <w:rFonts w:cs="Bembo"/>
        </w:rPr>
        <w:t>d</w:t>
      </w:r>
      <w:r w:rsidRPr="00077F9A">
        <w:rPr>
          <w:rFonts w:cs="Bembo"/>
        </w:rPr>
        <w:t>lemsstaterna delade befogenheter och befogenheter att vidta åtgärder för att stödja, samordna eller komplettera medlemsstaternas åtgärder. Inom områdena för unionens exklusiva befogenheter är subsidiaritetsprinc</w:t>
      </w:r>
      <w:r w:rsidRPr="00077F9A">
        <w:rPr>
          <w:rFonts w:cs="Bembo"/>
        </w:rPr>
        <w:t>i</w:t>
      </w:r>
      <w:r w:rsidRPr="00077F9A">
        <w:rPr>
          <w:rFonts w:cs="Bembo"/>
        </w:rPr>
        <w:t>pen inte tillämplig, men däremot på övriga områden. En samma</w:t>
      </w:r>
      <w:r w:rsidRPr="00077F9A">
        <w:rPr>
          <w:rFonts w:cs="Bembo"/>
        </w:rPr>
        <w:t>n</w:t>
      </w:r>
      <w:r w:rsidRPr="00077F9A">
        <w:rPr>
          <w:rFonts w:cs="Bembo"/>
        </w:rPr>
        <w:t xml:space="preserve">fattning lämnas här av unionens befogenheter. I </w:t>
      </w:r>
      <w:r w:rsidR="00122558" w:rsidRPr="00077F9A">
        <w:t>2008/09:URF2 (</w:t>
      </w:r>
      <w:r w:rsidR="00122558" w:rsidRPr="00077F9A">
        <w:rPr>
          <w:rFonts w:cs="Bembo"/>
          <w:i/>
          <w:iCs/>
        </w:rPr>
        <w:t>arbetspromemoria 2</w:t>
      </w:r>
      <w:r w:rsidR="00122558" w:rsidRPr="00077F9A">
        <w:rPr>
          <w:rFonts w:cs="Bembo"/>
        </w:rPr>
        <w:t>) f</w:t>
      </w:r>
      <w:r w:rsidRPr="00077F9A">
        <w:rPr>
          <w:rFonts w:cs="Bembo"/>
        </w:rPr>
        <w:t>inns en utförligare redogöre</w:t>
      </w:r>
      <w:r w:rsidRPr="00077F9A">
        <w:rPr>
          <w:rFonts w:cs="Bembo"/>
        </w:rPr>
        <w:t>l</w:t>
      </w:r>
      <w:r w:rsidRPr="00077F9A">
        <w:rPr>
          <w:rFonts w:cs="Bembo"/>
        </w:rPr>
        <w:t>se.</w:t>
      </w:r>
    </w:p>
    <w:p w:rsidR="00CF1B5E" w:rsidRPr="00077F9A" w:rsidRDefault="00CF1B5E" w:rsidP="00CF1B5E">
      <w:pPr>
        <w:pStyle w:val="Normaltindrag"/>
      </w:pPr>
      <w:r w:rsidRPr="00077F9A">
        <w:t xml:space="preserve">När fördragen tilldelar unionen </w:t>
      </w:r>
      <w:r w:rsidRPr="00077F9A">
        <w:rPr>
          <w:i/>
        </w:rPr>
        <w:t>exklusiv befogenhet</w:t>
      </w:r>
      <w:r w:rsidRPr="00077F9A">
        <w:t xml:space="preserve"> på ett visst område, får endast unionen lagstifta och anta rättsligt bindande akter medan medlemsst</w:t>
      </w:r>
      <w:r w:rsidRPr="00077F9A">
        <w:t>a</w:t>
      </w:r>
      <w:r w:rsidRPr="00077F9A">
        <w:t xml:space="preserve">terna får göra detta själva endast efter bemyndigande från unionen eller för att genomföra unionens akter. </w:t>
      </w:r>
    </w:p>
    <w:p w:rsidR="00CF1B5E" w:rsidRPr="00077F9A" w:rsidRDefault="00CF1B5E" w:rsidP="00CF1B5E">
      <w:pPr>
        <w:pStyle w:val="Normaltindrag"/>
      </w:pPr>
      <w:r w:rsidRPr="00077F9A">
        <w:t>Unionen har exklusiv befogenhet på följande områden:</w:t>
      </w:r>
    </w:p>
    <w:p w:rsidR="00CF1B5E" w:rsidRPr="00077F9A" w:rsidRDefault="00CF1B5E" w:rsidP="00CF1B5E">
      <w:pPr>
        <w:tabs>
          <w:tab w:val="left" w:pos="284"/>
        </w:tabs>
        <w:spacing w:before="60"/>
        <w:ind w:left="227" w:hanging="227"/>
      </w:pPr>
      <w:r w:rsidRPr="00077F9A">
        <w:t>a)</w:t>
      </w:r>
      <w:r w:rsidRPr="00077F9A">
        <w:tab/>
        <w:t xml:space="preserve">tullunionen </w:t>
      </w:r>
    </w:p>
    <w:p w:rsidR="00CF1B5E" w:rsidRPr="00077F9A" w:rsidRDefault="00CF1B5E" w:rsidP="00CF1B5E">
      <w:pPr>
        <w:tabs>
          <w:tab w:val="left" w:pos="284"/>
        </w:tabs>
        <w:spacing w:before="0"/>
        <w:ind w:left="227" w:hanging="227"/>
      </w:pPr>
      <w:r w:rsidRPr="00077F9A">
        <w:t>b)</w:t>
      </w:r>
      <w:r w:rsidRPr="00077F9A">
        <w:tab/>
        <w:t>fas</w:t>
      </w:r>
      <w:r w:rsidRPr="00077F9A">
        <w:rPr>
          <w:spacing w:val="-2"/>
        </w:rPr>
        <w:t xml:space="preserve">tställandet av de konkurrensregler som är nödvändiga för den </w:t>
      </w:r>
      <w:r w:rsidRPr="00077F9A">
        <w:t>inre mark</w:t>
      </w:r>
      <w:r w:rsidRPr="00077F9A">
        <w:softHyphen/>
        <w:t>nadens fun</w:t>
      </w:r>
      <w:r w:rsidRPr="00077F9A">
        <w:t>k</w:t>
      </w:r>
      <w:r w:rsidRPr="00077F9A">
        <w:t xml:space="preserve">tion </w:t>
      </w:r>
    </w:p>
    <w:p w:rsidR="00CF1B5E" w:rsidRPr="00077F9A" w:rsidRDefault="00CF1B5E" w:rsidP="00CF1B5E">
      <w:pPr>
        <w:tabs>
          <w:tab w:val="left" w:pos="284"/>
        </w:tabs>
        <w:spacing w:before="0"/>
        <w:ind w:left="227" w:hanging="227"/>
      </w:pPr>
      <w:r w:rsidRPr="00077F9A">
        <w:t>c)</w:t>
      </w:r>
      <w:r w:rsidRPr="00077F9A">
        <w:tab/>
        <w:t>den monetära politiken för de medlemsstater som har euron som v</w:t>
      </w:r>
      <w:r w:rsidRPr="00077F9A">
        <w:t>a</w:t>
      </w:r>
      <w:r w:rsidRPr="00077F9A">
        <w:t xml:space="preserve">luta </w:t>
      </w:r>
    </w:p>
    <w:p w:rsidR="00CF1B5E" w:rsidRPr="00077F9A" w:rsidRDefault="00CF1B5E" w:rsidP="00CF1B5E">
      <w:pPr>
        <w:tabs>
          <w:tab w:val="left" w:pos="284"/>
        </w:tabs>
        <w:spacing w:before="0"/>
        <w:ind w:left="227" w:hanging="227"/>
      </w:pPr>
      <w:r w:rsidRPr="00077F9A">
        <w:t>d)</w:t>
      </w:r>
      <w:r w:rsidRPr="00077F9A">
        <w:tab/>
        <w:t>bevarandet av havets biologiska resurser inom ramen för den gemensa</w:t>
      </w:r>
      <w:r w:rsidRPr="00077F9A">
        <w:t>m</w:t>
      </w:r>
      <w:r w:rsidRPr="00077F9A">
        <w:t>ma fiskeripolit</w:t>
      </w:r>
      <w:r w:rsidRPr="00077F9A">
        <w:t>i</w:t>
      </w:r>
      <w:r w:rsidRPr="00077F9A">
        <w:t>ken</w:t>
      </w:r>
    </w:p>
    <w:p w:rsidR="00CF1B5E" w:rsidRPr="00077F9A" w:rsidRDefault="00CF1B5E" w:rsidP="00CF1B5E">
      <w:pPr>
        <w:tabs>
          <w:tab w:val="left" w:pos="284"/>
        </w:tabs>
        <w:spacing w:before="0"/>
        <w:ind w:left="227" w:hanging="227"/>
      </w:pPr>
      <w:r w:rsidRPr="00077F9A">
        <w:t>e)</w:t>
      </w:r>
      <w:r w:rsidRPr="00077F9A">
        <w:tab/>
        <w:t>den gemensamma handelspolitiken.</w:t>
      </w:r>
    </w:p>
    <w:p w:rsidR="00CF1B5E" w:rsidRPr="00077F9A" w:rsidRDefault="00CF1B5E" w:rsidP="00CF1B5E">
      <w:pPr>
        <w:spacing w:before="187"/>
        <w:rPr>
          <w:rFonts w:cs="Bembo"/>
        </w:rPr>
      </w:pPr>
      <w:r w:rsidRPr="00077F9A">
        <w:rPr>
          <w:rFonts w:cs="Bembo"/>
        </w:rPr>
        <w:t>Unionen har också exklusiv befogenhet att ingå ett internationellt avtal, om ingåendet av avtalet föreskrivs i en unionell lagstiftningsakt eller om det är nödvändigt för att unionen ska kunna utöva sin befogenhet internt eller i den mån det kan påverka gemensamma regler eller ändra räckvidden för dessa.</w:t>
      </w:r>
    </w:p>
    <w:p w:rsidR="00CF1B5E" w:rsidRPr="00077F9A" w:rsidRDefault="00CF1B5E" w:rsidP="00CF1B5E">
      <w:pPr>
        <w:pStyle w:val="Normaltindrag"/>
      </w:pPr>
      <w:r w:rsidRPr="00077F9A">
        <w:t>Enligt artikel 2.2 FEUF får unionen och me</w:t>
      </w:r>
      <w:r w:rsidRPr="00077F9A">
        <w:t>d</w:t>
      </w:r>
      <w:r w:rsidRPr="00077F9A">
        <w:t xml:space="preserve">lemsstaterna, när fördragen tilldelar unionen </w:t>
      </w:r>
      <w:r w:rsidRPr="00077F9A">
        <w:rPr>
          <w:i/>
        </w:rPr>
        <w:t>en befogenhet som ska delas med medlemsstaterna</w:t>
      </w:r>
      <w:r w:rsidRPr="00077F9A">
        <w:t xml:space="preserve"> på ett visst område, lagstifta och anta rättsligt bindande akter på detta område. Me</w:t>
      </w:r>
      <w:r w:rsidRPr="00077F9A">
        <w:t>d</w:t>
      </w:r>
      <w:r w:rsidRPr="00077F9A">
        <w:t>lemsstaterna ska utöva sin bef</w:t>
      </w:r>
      <w:r w:rsidRPr="00077F9A">
        <w:t>o</w:t>
      </w:r>
      <w:r w:rsidRPr="00077F9A">
        <w:t>genhet i den mån som unionen inte har utövat sin befogenhet. Medlemsstate</w:t>
      </w:r>
      <w:r w:rsidRPr="00077F9A">
        <w:t>r</w:t>
      </w:r>
      <w:r w:rsidRPr="00077F9A">
        <w:t>na ska på nytt utöva sin befogenhet i den mån som unionen har beslutat att inte längre utöva sin befogenhet.</w:t>
      </w:r>
    </w:p>
    <w:p w:rsidR="00CF1B5E" w:rsidRPr="00077F9A" w:rsidRDefault="00CF1B5E" w:rsidP="00CF1B5E">
      <w:pPr>
        <w:pStyle w:val="Normaltindrag"/>
      </w:pPr>
      <w:r w:rsidRPr="00077F9A">
        <w:t>Unionen har delad befogenhet med medlemsstaterna om den genom fö</w:t>
      </w:r>
      <w:r w:rsidRPr="00077F9A">
        <w:t>r</w:t>
      </w:r>
      <w:r w:rsidRPr="00077F9A">
        <w:t>dragen tilldelas en befogenhet som inte omfattas av unionens exklusiva bef</w:t>
      </w:r>
      <w:r w:rsidRPr="00077F9A">
        <w:t>o</w:t>
      </w:r>
      <w:r w:rsidRPr="00077F9A">
        <w:t>genheter. Detta innebär att unionen och medlemsstaterna har delade befoge</w:t>
      </w:r>
      <w:r w:rsidRPr="00077F9A">
        <w:t>n</w:t>
      </w:r>
      <w:r w:rsidRPr="00077F9A">
        <w:t>heter på följande huvudområden:</w:t>
      </w:r>
    </w:p>
    <w:p w:rsidR="00CF1B5E" w:rsidRPr="00077F9A" w:rsidRDefault="00CF1B5E" w:rsidP="00CF1B5E">
      <w:pPr>
        <w:tabs>
          <w:tab w:val="left" w:pos="284"/>
        </w:tabs>
        <w:spacing w:before="60"/>
        <w:ind w:left="227" w:hanging="227"/>
      </w:pPr>
      <w:r w:rsidRPr="00077F9A">
        <w:t>a)</w:t>
      </w:r>
      <w:r w:rsidRPr="00077F9A">
        <w:tab/>
        <w:t>inre marknaden</w:t>
      </w:r>
    </w:p>
    <w:p w:rsidR="00CF1B5E" w:rsidRPr="00077F9A" w:rsidRDefault="00CF1B5E" w:rsidP="00CF1B5E">
      <w:pPr>
        <w:tabs>
          <w:tab w:val="left" w:pos="284"/>
        </w:tabs>
        <w:spacing w:before="0"/>
        <w:ind w:left="227" w:hanging="227"/>
      </w:pPr>
      <w:r w:rsidRPr="00077F9A">
        <w:t>b)</w:t>
      </w:r>
      <w:r w:rsidRPr="00077F9A">
        <w:tab/>
        <w:t>socialpolitik, i fråga om aspekter som anges i fördraget</w:t>
      </w:r>
    </w:p>
    <w:p w:rsidR="00CF1B5E" w:rsidRPr="00077F9A" w:rsidRDefault="00CF1B5E" w:rsidP="00CF1B5E">
      <w:pPr>
        <w:tabs>
          <w:tab w:val="left" w:pos="284"/>
        </w:tabs>
        <w:spacing w:before="0"/>
        <w:ind w:left="227" w:hanging="227"/>
      </w:pPr>
      <w:r w:rsidRPr="00077F9A">
        <w:t>c)</w:t>
      </w:r>
      <w:r w:rsidRPr="00077F9A">
        <w:tab/>
        <w:t>ekonomisk, social och territoriell sammanhållning</w:t>
      </w:r>
    </w:p>
    <w:p w:rsidR="00CF1B5E" w:rsidRPr="00077F9A" w:rsidRDefault="00CF1B5E" w:rsidP="00CF1B5E">
      <w:pPr>
        <w:tabs>
          <w:tab w:val="left" w:pos="284"/>
        </w:tabs>
        <w:spacing w:before="0"/>
        <w:ind w:left="227" w:hanging="227"/>
        <w:rPr>
          <w:spacing w:val="-5"/>
        </w:rPr>
      </w:pPr>
      <w:r w:rsidRPr="00077F9A">
        <w:t>d)</w:t>
      </w:r>
      <w:r w:rsidRPr="00077F9A">
        <w:rPr>
          <w:spacing w:val="-5"/>
        </w:rPr>
        <w:tab/>
        <w:t>jordbruk och fiskeri, med undantag av bevarandet av havets biologiska resu</w:t>
      </w:r>
      <w:r w:rsidRPr="00077F9A">
        <w:rPr>
          <w:spacing w:val="-5"/>
        </w:rPr>
        <w:t>r</w:t>
      </w:r>
      <w:r w:rsidRPr="00077F9A">
        <w:rPr>
          <w:spacing w:val="-5"/>
        </w:rPr>
        <w:t>ser</w:t>
      </w:r>
    </w:p>
    <w:p w:rsidR="00CF1B5E" w:rsidRPr="00077F9A" w:rsidRDefault="00CF1B5E" w:rsidP="00CF1B5E">
      <w:pPr>
        <w:tabs>
          <w:tab w:val="left" w:pos="284"/>
        </w:tabs>
        <w:spacing w:before="0"/>
        <w:ind w:left="227" w:hanging="227"/>
      </w:pPr>
      <w:r w:rsidRPr="00077F9A">
        <w:t>e)</w:t>
      </w:r>
      <w:r w:rsidRPr="00077F9A">
        <w:tab/>
        <w:t>miljö</w:t>
      </w:r>
    </w:p>
    <w:p w:rsidR="00CF1B5E" w:rsidRPr="00077F9A" w:rsidRDefault="00CF1B5E" w:rsidP="00CF1B5E">
      <w:pPr>
        <w:tabs>
          <w:tab w:val="left" w:pos="284"/>
        </w:tabs>
        <w:spacing w:before="0"/>
        <w:ind w:left="227" w:hanging="227"/>
      </w:pPr>
      <w:r w:rsidRPr="00077F9A">
        <w:t>f)</w:t>
      </w:r>
      <w:r w:rsidRPr="00077F9A">
        <w:tab/>
        <w:t>konsumentskydd</w:t>
      </w:r>
    </w:p>
    <w:p w:rsidR="00CF1B5E" w:rsidRPr="00077F9A" w:rsidRDefault="00CF1B5E" w:rsidP="00CF1B5E">
      <w:pPr>
        <w:tabs>
          <w:tab w:val="left" w:pos="284"/>
        </w:tabs>
        <w:spacing w:before="0"/>
        <w:ind w:left="227" w:hanging="227"/>
      </w:pPr>
      <w:r w:rsidRPr="00077F9A">
        <w:t>g)</w:t>
      </w:r>
      <w:r w:rsidRPr="00077F9A">
        <w:tab/>
        <w:t>transport</w:t>
      </w:r>
    </w:p>
    <w:p w:rsidR="00CF1B5E" w:rsidRPr="00077F9A" w:rsidRDefault="00CF1B5E" w:rsidP="00CF1B5E">
      <w:pPr>
        <w:tabs>
          <w:tab w:val="left" w:pos="284"/>
        </w:tabs>
        <w:spacing w:before="0"/>
        <w:ind w:left="227" w:hanging="227"/>
      </w:pPr>
      <w:r w:rsidRPr="00077F9A">
        <w:t>h)</w:t>
      </w:r>
      <w:r w:rsidRPr="00077F9A">
        <w:tab/>
        <w:t>transeuropeiska nät</w:t>
      </w:r>
    </w:p>
    <w:p w:rsidR="00CF1B5E" w:rsidRPr="00077F9A" w:rsidRDefault="00CF1B5E" w:rsidP="00CF1B5E">
      <w:pPr>
        <w:tabs>
          <w:tab w:val="left" w:pos="284"/>
        </w:tabs>
        <w:spacing w:before="0"/>
        <w:ind w:left="227" w:hanging="227"/>
      </w:pPr>
      <w:r w:rsidRPr="00077F9A">
        <w:t>i)</w:t>
      </w:r>
      <w:r w:rsidRPr="00077F9A">
        <w:tab/>
        <w:t>energi</w:t>
      </w:r>
    </w:p>
    <w:p w:rsidR="00CF1B5E" w:rsidRPr="00077F9A" w:rsidRDefault="00CF1B5E" w:rsidP="00CF1B5E">
      <w:pPr>
        <w:tabs>
          <w:tab w:val="left" w:pos="284"/>
        </w:tabs>
        <w:spacing w:before="0"/>
        <w:ind w:left="227" w:hanging="227"/>
      </w:pPr>
      <w:r w:rsidRPr="00077F9A">
        <w:t>j)</w:t>
      </w:r>
      <w:r w:rsidRPr="00077F9A">
        <w:tab/>
        <w:t>området med frihet, säkerhet och rättvisa</w:t>
      </w:r>
    </w:p>
    <w:p w:rsidR="00CF1B5E" w:rsidRPr="00077F9A" w:rsidRDefault="00CF1B5E" w:rsidP="00CF1B5E">
      <w:pPr>
        <w:tabs>
          <w:tab w:val="left" w:pos="284"/>
        </w:tabs>
        <w:spacing w:before="0"/>
        <w:ind w:left="227" w:hanging="227"/>
      </w:pPr>
      <w:r w:rsidRPr="00077F9A">
        <w:t>k)</w:t>
      </w:r>
      <w:r w:rsidRPr="00077F9A">
        <w:tab/>
        <w:t>gemensamma angelägenheter i fråga om säkerhet när det gäller de aspe</w:t>
      </w:r>
      <w:r w:rsidRPr="00077F9A">
        <w:t>k</w:t>
      </w:r>
      <w:r w:rsidRPr="00077F9A">
        <w:t>ter på folkhälsa som anges i fördraget.</w:t>
      </w:r>
    </w:p>
    <w:p w:rsidR="00CF1B5E" w:rsidRPr="00077F9A" w:rsidRDefault="00CF1B5E" w:rsidP="00CF1B5E">
      <w:pPr>
        <w:spacing w:before="60"/>
        <w:rPr>
          <w:rFonts w:cs="Bembo"/>
        </w:rPr>
      </w:pPr>
      <w:r w:rsidRPr="00077F9A">
        <w:rPr>
          <w:rFonts w:cs="Bembo"/>
        </w:rPr>
        <w:t>När det gäller forskning, teknisk utveckling och rymdfrågor samt när det gäller utvecklingssamarbete och humanitärt bistånd ska unionen ha befoge</w:t>
      </w:r>
      <w:r w:rsidRPr="00077F9A">
        <w:rPr>
          <w:rFonts w:cs="Bembo"/>
        </w:rPr>
        <w:t>n</w:t>
      </w:r>
      <w:r w:rsidRPr="00077F9A">
        <w:rPr>
          <w:rFonts w:cs="Bembo"/>
        </w:rPr>
        <w:t>het att vidta åtgärder, men utövandet av denna befogenhet får inte leda till att me</w:t>
      </w:r>
      <w:r w:rsidRPr="00077F9A">
        <w:rPr>
          <w:rFonts w:cs="Bembo"/>
        </w:rPr>
        <w:t>d</w:t>
      </w:r>
      <w:r w:rsidRPr="00077F9A">
        <w:rPr>
          <w:rFonts w:cs="Bembo"/>
        </w:rPr>
        <w:t xml:space="preserve">lemsstaterna hindras från att utöva sina befogenheter. </w:t>
      </w:r>
    </w:p>
    <w:p w:rsidR="00CF1B5E" w:rsidRPr="00077F9A" w:rsidRDefault="00CF1B5E" w:rsidP="00CF1B5E">
      <w:pPr>
        <w:pStyle w:val="Normaltindrag"/>
        <w:rPr>
          <w:spacing w:val="-2"/>
        </w:rPr>
      </w:pPr>
      <w:r w:rsidRPr="00077F9A">
        <w:rPr>
          <w:spacing w:val="-2"/>
        </w:rPr>
        <w:t xml:space="preserve">Enligt artikel 2.5 FEUF ska unionen, på vissa områden och på de villkor som fastställs i fördragen, ha </w:t>
      </w:r>
      <w:r w:rsidRPr="00077F9A">
        <w:rPr>
          <w:i/>
          <w:spacing w:val="-2"/>
        </w:rPr>
        <w:t>befogenhet att vidta åtgärder för att stödja, sa</w:t>
      </w:r>
      <w:r w:rsidRPr="00077F9A">
        <w:rPr>
          <w:i/>
          <w:spacing w:val="-2"/>
        </w:rPr>
        <w:t>m</w:t>
      </w:r>
      <w:r w:rsidRPr="00077F9A">
        <w:rPr>
          <w:i/>
          <w:spacing w:val="-2"/>
        </w:rPr>
        <w:t>ordna eller komplettera medlemsstaternas åtgärder</w:t>
      </w:r>
      <w:r w:rsidRPr="00077F9A">
        <w:rPr>
          <w:spacing w:val="-2"/>
        </w:rPr>
        <w:t>, dock utan att ersätta deras bef</w:t>
      </w:r>
      <w:r w:rsidRPr="00077F9A">
        <w:rPr>
          <w:spacing w:val="-2"/>
        </w:rPr>
        <w:t>o</w:t>
      </w:r>
      <w:r w:rsidRPr="00077F9A">
        <w:rPr>
          <w:spacing w:val="-2"/>
        </w:rPr>
        <w:t>genhet på dessa områden. Unionens rättsligt bindande akter som antas på grundval av bestämmelserna i fördragen för dessa områden får inte omfatta någon harmonisering av medlemsstaternas lagar och andra författnin</w:t>
      </w:r>
      <w:r w:rsidRPr="00077F9A">
        <w:rPr>
          <w:spacing w:val="-2"/>
        </w:rPr>
        <w:t>g</w:t>
      </w:r>
      <w:r w:rsidRPr="00077F9A">
        <w:rPr>
          <w:spacing w:val="-2"/>
        </w:rPr>
        <w:t>ar.</w:t>
      </w:r>
    </w:p>
    <w:p w:rsidR="00CF1B5E" w:rsidRPr="00077F9A" w:rsidRDefault="00CF1B5E" w:rsidP="00CF1B5E">
      <w:pPr>
        <w:pStyle w:val="Normaltindrag"/>
      </w:pPr>
      <w:r w:rsidRPr="00077F9A">
        <w:t>Områdena för dessa åtgärder ska på europeisk nivå vara följande:</w:t>
      </w:r>
    </w:p>
    <w:p w:rsidR="00CF1B5E" w:rsidRPr="00077F9A" w:rsidRDefault="00CF1B5E" w:rsidP="00CF1B5E">
      <w:pPr>
        <w:tabs>
          <w:tab w:val="left" w:pos="284"/>
        </w:tabs>
        <w:spacing w:before="60"/>
        <w:ind w:left="227" w:hanging="227"/>
      </w:pPr>
      <w:r w:rsidRPr="00077F9A">
        <w:t>a)</w:t>
      </w:r>
      <w:r w:rsidRPr="00077F9A">
        <w:tab/>
        <w:t>skydd för och förbättring av människors hälsa</w:t>
      </w:r>
    </w:p>
    <w:p w:rsidR="00CF1B5E" w:rsidRPr="00077F9A" w:rsidRDefault="00CF1B5E" w:rsidP="00CF1B5E">
      <w:pPr>
        <w:tabs>
          <w:tab w:val="left" w:pos="284"/>
        </w:tabs>
        <w:spacing w:before="0"/>
        <w:ind w:left="227" w:hanging="227"/>
      </w:pPr>
      <w:r w:rsidRPr="00077F9A">
        <w:t>b)</w:t>
      </w:r>
      <w:r w:rsidRPr="00077F9A">
        <w:tab/>
        <w:t>industri</w:t>
      </w:r>
    </w:p>
    <w:p w:rsidR="00CF1B5E" w:rsidRPr="00077F9A" w:rsidRDefault="00CF1B5E" w:rsidP="00CF1B5E">
      <w:pPr>
        <w:tabs>
          <w:tab w:val="left" w:pos="284"/>
        </w:tabs>
        <w:spacing w:before="0"/>
        <w:ind w:left="227" w:hanging="227"/>
      </w:pPr>
      <w:r w:rsidRPr="00077F9A">
        <w:t>c)</w:t>
      </w:r>
      <w:r w:rsidRPr="00077F9A">
        <w:tab/>
        <w:t>kultur</w:t>
      </w:r>
    </w:p>
    <w:p w:rsidR="00CF1B5E" w:rsidRPr="00077F9A" w:rsidRDefault="00CF1B5E" w:rsidP="00CF1B5E">
      <w:pPr>
        <w:tabs>
          <w:tab w:val="left" w:pos="284"/>
        </w:tabs>
        <w:spacing w:before="0"/>
        <w:ind w:left="227" w:hanging="227"/>
      </w:pPr>
      <w:r w:rsidRPr="00077F9A">
        <w:t>d)</w:t>
      </w:r>
      <w:r w:rsidRPr="00077F9A">
        <w:tab/>
        <w:t>turism</w:t>
      </w:r>
    </w:p>
    <w:p w:rsidR="00CF1B5E" w:rsidRPr="00077F9A" w:rsidRDefault="00CF1B5E" w:rsidP="00CF1B5E">
      <w:pPr>
        <w:tabs>
          <w:tab w:val="left" w:pos="284"/>
        </w:tabs>
        <w:spacing w:before="0"/>
        <w:ind w:left="227" w:hanging="227"/>
      </w:pPr>
      <w:r w:rsidRPr="00077F9A">
        <w:t>e)</w:t>
      </w:r>
      <w:r w:rsidRPr="00077F9A">
        <w:tab/>
        <w:t>utbildning, yrkesutbildning, ungdomsfrågor och idrott</w:t>
      </w:r>
    </w:p>
    <w:p w:rsidR="00CF1B5E" w:rsidRPr="00077F9A" w:rsidRDefault="00CF1B5E" w:rsidP="00CF1B5E">
      <w:pPr>
        <w:tabs>
          <w:tab w:val="left" w:pos="284"/>
        </w:tabs>
        <w:spacing w:before="0"/>
        <w:ind w:left="227" w:hanging="227"/>
      </w:pPr>
      <w:r w:rsidRPr="00077F9A">
        <w:t>f)</w:t>
      </w:r>
      <w:r w:rsidRPr="00077F9A">
        <w:tab/>
        <w:t>civilskydd</w:t>
      </w:r>
    </w:p>
    <w:p w:rsidR="00CF1B5E" w:rsidRPr="00077F9A" w:rsidRDefault="00CF1B5E" w:rsidP="00CF1B5E">
      <w:pPr>
        <w:tabs>
          <w:tab w:val="left" w:pos="284"/>
        </w:tabs>
        <w:spacing w:before="0"/>
        <w:ind w:left="227" w:hanging="227"/>
      </w:pPr>
      <w:r w:rsidRPr="00077F9A">
        <w:t>g)</w:t>
      </w:r>
      <w:r w:rsidRPr="00077F9A">
        <w:tab/>
        <w:t>administrativt samarbete.</w:t>
      </w:r>
    </w:p>
    <w:p w:rsidR="00CF1B5E" w:rsidRPr="00077F9A" w:rsidRDefault="00CF1B5E" w:rsidP="00CF1B5E">
      <w:pPr>
        <w:pStyle w:val="Rubrik2"/>
      </w:pPr>
      <w:bookmarkStart w:id="103" w:name="_Toc227660630"/>
      <w:bookmarkStart w:id="104" w:name="_Toc227662095"/>
      <w:bookmarkStart w:id="105" w:name="_Toc227994086"/>
      <w:bookmarkStart w:id="106" w:name="_Toc230676865"/>
      <w:bookmarkStart w:id="107" w:name="_Toc230677044"/>
      <w:bookmarkStart w:id="108" w:name="_Toc230708094"/>
      <w:r w:rsidRPr="00077F9A">
        <w:t>4.3 Unionens lagstiftningsförfaranden</w:t>
      </w:r>
      <w:bookmarkEnd w:id="103"/>
      <w:bookmarkEnd w:id="104"/>
      <w:bookmarkEnd w:id="105"/>
      <w:bookmarkEnd w:id="106"/>
      <w:bookmarkEnd w:id="107"/>
      <w:bookmarkEnd w:id="108"/>
      <w:r w:rsidRPr="00077F9A">
        <w:t xml:space="preserve"> </w:t>
      </w:r>
    </w:p>
    <w:p w:rsidR="00CF1B5E" w:rsidRPr="00077F9A" w:rsidRDefault="00CF1B5E" w:rsidP="00CF1B5E">
      <w:pPr>
        <w:rPr>
          <w:rFonts w:cs="Bembo"/>
          <w:iCs/>
        </w:rPr>
      </w:pPr>
      <w:r w:rsidRPr="00077F9A">
        <w:rPr>
          <w:rFonts w:cs="Bembo"/>
        </w:rPr>
        <w:t>Unionen lagstiftar genom ett ordinarie eller särskilt förfarande. Förfarandena sammanfattas i det följande. För en utförligare redogörelse se</w:t>
      </w:r>
      <w:r w:rsidR="00122558" w:rsidRPr="00077F9A">
        <w:rPr>
          <w:rFonts w:cs="Bembo"/>
        </w:rPr>
        <w:t xml:space="preserve"> </w:t>
      </w:r>
      <w:r w:rsidR="00122558" w:rsidRPr="00077F9A">
        <w:t>2008/09:URF2 (</w:t>
      </w:r>
      <w:r w:rsidRPr="00077F9A">
        <w:rPr>
          <w:rFonts w:cs="Bembo"/>
          <w:i/>
          <w:iCs/>
        </w:rPr>
        <w:t>arbetsprom</w:t>
      </w:r>
      <w:r w:rsidRPr="00077F9A">
        <w:rPr>
          <w:rFonts w:cs="Bembo"/>
          <w:i/>
          <w:iCs/>
        </w:rPr>
        <w:t>e</w:t>
      </w:r>
      <w:r w:rsidR="00122558" w:rsidRPr="00077F9A">
        <w:rPr>
          <w:rFonts w:cs="Bembo"/>
          <w:i/>
          <w:iCs/>
        </w:rPr>
        <w:t>moria 2</w:t>
      </w:r>
      <w:r w:rsidR="00122558" w:rsidRPr="00077F9A">
        <w:rPr>
          <w:rFonts w:cs="Bembo"/>
          <w:iCs/>
        </w:rPr>
        <w:t>).</w:t>
      </w:r>
    </w:p>
    <w:p w:rsidR="00CF1B5E" w:rsidRPr="00077F9A" w:rsidRDefault="00CF1B5E" w:rsidP="00CF1B5E">
      <w:pPr>
        <w:pStyle w:val="Normaltindrag"/>
        <w:rPr>
          <w:i/>
          <w:iCs/>
        </w:rPr>
      </w:pPr>
      <w:r w:rsidRPr="00077F9A">
        <w:t xml:space="preserve">Det </w:t>
      </w:r>
      <w:r w:rsidRPr="00077F9A">
        <w:rPr>
          <w:i/>
        </w:rPr>
        <w:t>ordinarie lagstiftningsförfarandet</w:t>
      </w:r>
      <w:r w:rsidRPr="00077F9A">
        <w:t xml:space="preserve"> motsvarar dagens medbeslutand</w:t>
      </w:r>
      <w:r w:rsidRPr="00077F9A">
        <w:t>e</w:t>
      </w:r>
      <w:r w:rsidRPr="00077F9A">
        <w:t xml:space="preserve">förfarande. För antagandet av en rättsakt krävs således att Europaparlamentet och rådet på förslag av kommissionen gemensamt antar en förordning, ett direktiv eller ett beslut. Förfarandet definieras i artikel 294 i FEUF. </w:t>
      </w:r>
    </w:p>
    <w:p w:rsidR="00CF1B5E" w:rsidRPr="00077F9A" w:rsidRDefault="00CF1B5E" w:rsidP="00CF1B5E">
      <w:pPr>
        <w:pStyle w:val="Normaltindrag"/>
      </w:pPr>
      <w:r w:rsidRPr="00077F9A">
        <w:t>Efter det att kommissionen lagt fram ett förslag vidtar det som allmänt ka</w:t>
      </w:r>
      <w:r w:rsidRPr="00077F9A">
        <w:t>l</w:t>
      </w:r>
      <w:r w:rsidRPr="00077F9A">
        <w:t xml:space="preserve">las för den </w:t>
      </w:r>
      <w:r w:rsidRPr="00077F9A">
        <w:rPr>
          <w:i/>
          <w:iCs/>
        </w:rPr>
        <w:t>första behandlingen</w:t>
      </w:r>
      <w:r w:rsidRPr="00077F9A">
        <w:t>. Vid denna ska Europaparlamentet anta sin ståndpunkt och översända den till rådet. Om rådet godkänner Europaparl</w:t>
      </w:r>
      <w:r w:rsidRPr="00077F9A">
        <w:t>a</w:t>
      </w:r>
      <w:r w:rsidRPr="00077F9A">
        <w:t>mentets ståndpunkt, är den föreslagna akten antagen i den lydelse som mo</w:t>
      </w:r>
      <w:r w:rsidRPr="00077F9A">
        <w:t>t</w:t>
      </w:r>
      <w:r w:rsidRPr="00077F9A">
        <w:t>svarar Europaparlamentets ståndpunkt. Om rådet inte godkänner Europapa</w:t>
      </w:r>
      <w:r w:rsidRPr="00077F9A">
        <w:t>r</w:t>
      </w:r>
      <w:r w:rsidRPr="00077F9A">
        <w:t>lame</w:t>
      </w:r>
      <w:r w:rsidRPr="00077F9A">
        <w:t>n</w:t>
      </w:r>
      <w:r w:rsidRPr="00077F9A">
        <w:t>tets ståndpunkt, ska det anta sin ståndpunkt vid första behandlingen och översända den till Europaparlamentet. Ståndpunkten ska även innehålla en fullständig red</w:t>
      </w:r>
      <w:r w:rsidRPr="00077F9A">
        <w:t>o</w:t>
      </w:r>
      <w:r w:rsidRPr="00077F9A">
        <w:t>görelse för skälen för ståndpunkten. Därtill ska kommissionen lämna en fullständig redogörelse för sin ståndpunkt till Europaparl</w:t>
      </w:r>
      <w:r w:rsidRPr="00077F9A">
        <w:t>a</w:t>
      </w:r>
      <w:r w:rsidRPr="00077F9A">
        <w:t xml:space="preserve">mentet. </w:t>
      </w:r>
    </w:p>
    <w:p w:rsidR="00CF1B5E" w:rsidRPr="00077F9A" w:rsidRDefault="00CF1B5E" w:rsidP="00CF1B5E">
      <w:pPr>
        <w:pStyle w:val="Normaltindrag"/>
      </w:pPr>
      <w:r w:rsidRPr="00077F9A">
        <w:t xml:space="preserve">Nästa steg i det ordinarie lagstiftningsförfarandet benämns </w:t>
      </w:r>
      <w:r w:rsidRPr="00077F9A">
        <w:rPr>
          <w:i/>
        </w:rPr>
        <w:t>andra behan</w:t>
      </w:r>
      <w:r w:rsidRPr="00077F9A">
        <w:rPr>
          <w:i/>
        </w:rPr>
        <w:t>d</w:t>
      </w:r>
      <w:r w:rsidRPr="00077F9A">
        <w:rPr>
          <w:i/>
        </w:rPr>
        <w:t>lingen</w:t>
      </w:r>
      <w:r w:rsidRPr="00077F9A">
        <w:t xml:space="preserve">. Under den </w:t>
      </w:r>
      <w:r w:rsidRPr="00077F9A">
        <w:rPr>
          <w:iCs/>
        </w:rPr>
        <w:t>andra behan</w:t>
      </w:r>
      <w:r w:rsidRPr="00077F9A">
        <w:rPr>
          <w:iCs/>
        </w:rPr>
        <w:t>d</w:t>
      </w:r>
      <w:r w:rsidRPr="00077F9A">
        <w:rPr>
          <w:iCs/>
        </w:rPr>
        <w:t>lingen</w:t>
      </w:r>
      <w:r w:rsidRPr="00077F9A">
        <w:t xml:space="preserve"> måste Europaparlamentet anta ett av tre möjliga beslutsalternativ inom tre månader efter rådets översä</w:t>
      </w:r>
      <w:r w:rsidRPr="00077F9A">
        <w:t>n</w:t>
      </w:r>
      <w:r w:rsidRPr="00077F9A">
        <w:t>dande av sin ståndpunkt vid första behandlingen.</w:t>
      </w:r>
    </w:p>
    <w:p w:rsidR="00CF1B5E" w:rsidRPr="00077F9A" w:rsidRDefault="00CF1B5E" w:rsidP="00CF1B5E">
      <w:pPr>
        <w:pStyle w:val="Normaltindrag"/>
      </w:pPr>
      <w:r w:rsidRPr="00077F9A">
        <w:t>För det första kan parlamentet godkänna rådets ståndpunkt vid första b</w:t>
      </w:r>
      <w:r w:rsidRPr="00077F9A">
        <w:t>e</w:t>
      </w:r>
      <w:r w:rsidRPr="00077F9A">
        <w:t>han</w:t>
      </w:r>
      <w:r w:rsidRPr="00077F9A">
        <w:t>d</w:t>
      </w:r>
      <w:r w:rsidRPr="00077F9A">
        <w:t>lingen eller inte besluta något. Då ska den föreslagna akten anses som antagen i den lydelse som motsvarar rådets ståndpunkt.</w:t>
      </w:r>
    </w:p>
    <w:p w:rsidR="00CF1B5E" w:rsidRPr="00077F9A" w:rsidRDefault="00CF1B5E" w:rsidP="00CF1B5E">
      <w:pPr>
        <w:pStyle w:val="Normaltindrag"/>
      </w:pPr>
      <w:r w:rsidRPr="00077F9A">
        <w:t>För det andra kan parlamentet med en majoritet av sina ledamöter avvisa rådets ståndpunkt vid första b</w:t>
      </w:r>
      <w:r w:rsidRPr="00077F9A">
        <w:t>e</w:t>
      </w:r>
      <w:r w:rsidRPr="00077F9A">
        <w:t>handlingen. Då ska den föreslagna akten anses som icke antagen.</w:t>
      </w:r>
    </w:p>
    <w:p w:rsidR="00CF1B5E" w:rsidRPr="00077F9A" w:rsidRDefault="00CF1B5E" w:rsidP="00CF1B5E">
      <w:pPr>
        <w:pStyle w:val="Normaltindrag"/>
      </w:pPr>
      <w:r w:rsidRPr="00077F9A">
        <w:t>För det tredje kan parlamentet med en majoritet av sina ledamöter föreslå ändringar i rådets ståndpunkt vid första behandlingen. Då ska den ändrade texten översändas till rådet och kommissionen. Kommissionen ska yttra sig över ändringarna och kan då tillstyrka eller avstyrka ändringarna. Om rådet inom tre månader efter det att Europaparlamentets ändringar har mottagits med kvalificerad majoritet godkänner samtliga ändringar, ska akten i fråga anses som antagen. Ändringar som kommissionen har avstyrkt måste rådet godkänna med enhä</w:t>
      </w:r>
      <w:r w:rsidRPr="00077F9A">
        <w:t>l</w:t>
      </w:r>
      <w:r w:rsidRPr="00077F9A">
        <w:t>lighet.</w:t>
      </w:r>
    </w:p>
    <w:p w:rsidR="00CF1B5E" w:rsidRPr="00077F9A" w:rsidRDefault="00CF1B5E" w:rsidP="00CF1B5E">
      <w:pPr>
        <w:pStyle w:val="Normaltindrag"/>
      </w:pPr>
      <w:r w:rsidRPr="00077F9A">
        <w:t>Dock gäller att om rådet inom tre månader efter det att Europaparlamentets ändringar har mottagits inte godkänner samtliga ändringar, ska rådets ordf</w:t>
      </w:r>
      <w:r w:rsidRPr="00077F9A">
        <w:t>ö</w:t>
      </w:r>
      <w:r w:rsidRPr="00077F9A">
        <w:t>rande i samförstånd med Europaparlamentets ordförande inom sex veckor sammankalla en förlikningskommitté.</w:t>
      </w:r>
    </w:p>
    <w:p w:rsidR="00CF1B5E" w:rsidRPr="00077F9A" w:rsidRDefault="00CF1B5E" w:rsidP="00CF1B5E">
      <w:pPr>
        <w:pStyle w:val="Normaltindrag"/>
      </w:pPr>
      <w:r w:rsidRPr="00077F9A">
        <w:t>En förlikningskommitté ska bestå av rådets medlemmar eller företrädare för dessa och lika många företräd</w:t>
      </w:r>
      <w:r w:rsidRPr="00077F9A">
        <w:t>a</w:t>
      </w:r>
      <w:r w:rsidRPr="00077F9A">
        <w:t>re för Europaparlamentet. Den ska ha till uppgift att, med en kvalificerad majoritet av rådets medlemmar eller företr</w:t>
      </w:r>
      <w:r w:rsidRPr="00077F9A">
        <w:t>ä</w:t>
      </w:r>
      <w:r w:rsidRPr="00077F9A">
        <w:t>darna för dessa och en majoritet av de medlemmar som företräder Europapa</w:t>
      </w:r>
      <w:r w:rsidRPr="00077F9A">
        <w:t>r</w:t>
      </w:r>
      <w:r w:rsidRPr="00077F9A">
        <w:t>lame</w:t>
      </w:r>
      <w:r w:rsidRPr="00077F9A">
        <w:t>n</w:t>
      </w:r>
      <w:r w:rsidRPr="00077F9A">
        <w:t>tet, uppnå enighet om ett gemensamt utkast inom sex veckor efter det att den har sammankallats. Om förlikningskommittén inom sex veckor efter det att den har sammankallats inte godkänner ett gemensamt utkast, ska den för</w:t>
      </w:r>
      <w:r w:rsidRPr="00077F9A">
        <w:t>e</w:t>
      </w:r>
      <w:r w:rsidRPr="00077F9A">
        <w:t xml:space="preserve">slagna akten anses som icke antagen. </w:t>
      </w:r>
    </w:p>
    <w:p w:rsidR="00CF1B5E" w:rsidRPr="00077F9A" w:rsidRDefault="00CF1B5E" w:rsidP="00CF1B5E">
      <w:pPr>
        <w:pStyle w:val="Normaltindrag"/>
      </w:pPr>
      <w:r w:rsidRPr="00077F9A">
        <w:t>Om förlikningskommittén inom sex veckor godkänner ett gemensamt u</w:t>
      </w:r>
      <w:r w:rsidRPr="00077F9A">
        <w:t>t</w:t>
      </w:r>
      <w:r w:rsidRPr="00077F9A">
        <w:t xml:space="preserve">kast vidtar det som kallas för den </w:t>
      </w:r>
      <w:r w:rsidRPr="00077F9A">
        <w:rPr>
          <w:i/>
          <w:iCs/>
        </w:rPr>
        <w:t>tredje behandlingen</w:t>
      </w:r>
      <w:r w:rsidRPr="00077F9A">
        <w:t>. Europaparlamentet och rådet har sex veckor på sig från detta godkännande för att anta akten i fråga i enlighet med utkastet. Europaparlamentet ska då besluta med en maj</w:t>
      </w:r>
      <w:r w:rsidRPr="00077F9A">
        <w:t>o</w:t>
      </w:r>
      <w:r w:rsidRPr="00077F9A">
        <w:t>ritet av de avgivna rösterna och rådet med kvalificerad majoritet. Om så inte sker, ska den föreslagna akten anses som icke ant</w:t>
      </w:r>
      <w:r w:rsidRPr="00077F9A">
        <w:t>a</w:t>
      </w:r>
      <w:r w:rsidRPr="00077F9A">
        <w:t>gen.</w:t>
      </w:r>
    </w:p>
    <w:p w:rsidR="00CF1B5E" w:rsidRPr="00077F9A" w:rsidRDefault="00CF1B5E" w:rsidP="00122558">
      <w:pPr>
        <w:pStyle w:val="Normaltindrag"/>
        <w:rPr>
          <w:rFonts w:cs="Bembo"/>
        </w:rPr>
      </w:pPr>
      <w:r w:rsidRPr="00077F9A">
        <w:t>Beträffande särskilda bestämmelser och undantag vid det ordinarie la</w:t>
      </w:r>
      <w:r w:rsidRPr="00077F9A">
        <w:t>g</w:t>
      </w:r>
      <w:r w:rsidRPr="00077F9A">
        <w:t>stiftningsförfarandet se</w:t>
      </w:r>
      <w:r w:rsidR="00122558" w:rsidRPr="00077F9A">
        <w:t xml:space="preserve"> 2008/09:URF2 (</w:t>
      </w:r>
      <w:r w:rsidRPr="00077F9A">
        <w:rPr>
          <w:i/>
          <w:iCs/>
        </w:rPr>
        <w:t>arbet</w:t>
      </w:r>
      <w:r w:rsidRPr="00077F9A">
        <w:rPr>
          <w:i/>
          <w:iCs/>
        </w:rPr>
        <w:t>s</w:t>
      </w:r>
      <w:r w:rsidRPr="00077F9A">
        <w:rPr>
          <w:i/>
          <w:iCs/>
        </w:rPr>
        <w:t>promemoria 2</w:t>
      </w:r>
      <w:r w:rsidR="00122558" w:rsidRPr="00077F9A">
        <w:t>).</w:t>
      </w:r>
      <w:r w:rsidR="00122558" w:rsidRPr="00077F9A">
        <w:rPr>
          <w:rFonts w:cs="Bembo"/>
        </w:rPr>
        <w:t xml:space="preserve"> </w:t>
      </w:r>
      <w:r w:rsidRPr="00077F9A">
        <w:rPr>
          <w:rFonts w:cs="Bembo"/>
        </w:rPr>
        <w:t xml:space="preserve">Det </w:t>
      </w:r>
      <w:r w:rsidRPr="00077F9A">
        <w:rPr>
          <w:rFonts w:cs="Bembo"/>
          <w:i/>
        </w:rPr>
        <w:t>särskilda lagstiftningsförfarandet</w:t>
      </w:r>
      <w:r w:rsidRPr="00077F9A">
        <w:rPr>
          <w:rFonts w:cs="Bembo"/>
        </w:rPr>
        <w:t xml:space="preserve"> innebär att Europaparlamentet med medverkan av rådet, eller rådet med medverkan av Europaparlamentet, antar en förordning, ett direktiv eller ett beslut. </w:t>
      </w:r>
    </w:p>
    <w:p w:rsidR="00CF1B5E" w:rsidRPr="00077F9A" w:rsidRDefault="00CF1B5E" w:rsidP="00CF1B5E">
      <w:pPr>
        <w:pStyle w:val="Normaltindrag"/>
      </w:pPr>
      <w:r w:rsidRPr="00077F9A">
        <w:t>Det särskilda lagstiftningsförfarandet definieras i flera olika artiklar efte</w:t>
      </w:r>
      <w:r w:rsidRPr="00077F9A">
        <w:t>r</w:t>
      </w:r>
      <w:r w:rsidRPr="00077F9A">
        <w:t>som förfarandet skiljer sig åt vad gäller medverkan från en av beslutsinstit</w:t>
      </w:r>
      <w:r w:rsidRPr="00077F9A">
        <w:t>u</w:t>
      </w:r>
      <w:r w:rsidRPr="00077F9A">
        <w:t>tione</w:t>
      </w:r>
      <w:r w:rsidRPr="00077F9A">
        <w:t>r</w:t>
      </w:r>
      <w:r w:rsidRPr="00077F9A">
        <w:t>na (dvs. Europaparlamentet eller rådet). Nedan listas de tre olika typer av särskilda lagstiftningsförfaranden som beskrivs i FEUF.</w:t>
      </w:r>
    </w:p>
    <w:p w:rsidR="00CF1B5E" w:rsidRPr="00077F9A" w:rsidRDefault="00CF1B5E" w:rsidP="00CF1B5E">
      <w:pPr>
        <w:tabs>
          <w:tab w:val="left" w:pos="284"/>
        </w:tabs>
        <w:ind w:left="227" w:hanging="227"/>
        <w:rPr>
          <w:rFonts w:cs="Bembo"/>
        </w:rPr>
      </w:pPr>
      <w:r w:rsidRPr="00077F9A">
        <w:rPr>
          <w:rFonts w:cs="Bembo"/>
        </w:rPr>
        <w:t>1.</w:t>
      </w:r>
      <w:r w:rsidRPr="00077F9A">
        <w:rPr>
          <w:rFonts w:cs="Bembo"/>
        </w:rPr>
        <w:tab/>
      </w:r>
      <w:r w:rsidRPr="00077F9A">
        <w:rPr>
          <w:rFonts w:cs="Bembo"/>
          <w:spacing w:val="-2"/>
        </w:rPr>
        <w:t>Europaparlamentet kan, sedan rådet gett sitt godkännande, faststä</w:t>
      </w:r>
      <w:r w:rsidRPr="00077F9A">
        <w:rPr>
          <w:rFonts w:cs="Bembo"/>
          <w:spacing w:val="-2"/>
        </w:rPr>
        <w:t>l</w:t>
      </w:r>
      <w:r w:rsidRPr="00077F9A">
        <w:rPr>
          <w:rFonts w:cs="Bembo"/>
          <w:spacing w:val="-2"/>
        </w:rPr>
        <w:t>la/be</w:t>
      </w:r>
      <w:r w:rsidRPr="00077F9A">
        <w:rPr>
          <w:rFonts w:cs="Bembo"/>
          <w:spacing w:val="-2"/>
        </w:rPr>
        <w:softHyphen/>
        <w:t>sluta …</w:t>
      </w:r>
    </w:p>
    <w:p w:rsidR="00CF1B5E" w:rsidRPr="00077F9A" w:rsidRDefault="00CF1B5E" w:rsidP="00CF1B5E">
      <w:pPr>
        <w:tabs>
          <w:tab w:val="left" w:pos="284"/>
        </w:tabs>
        <w:spacing w:before="0"/>
        <w:ind w:left="227" w:hanging="227"/>
        <w:rPr>
          <w:rFonts w:cs="Bembo"/>
        </w:rPr>
      </w:pPr>
      <w:r w:rsidRPr="00077F9A">
        <w:rPr>
          <w:rFonts w:cs="Bembo"/>
        </w:rPr>
        <w:t>2.</w:t>
      </w:r>
      <w:r w:rsidRPr="00077F9A">
        <w:rPr>
          <w:rFonts w:cs="Bembo"/>
        </w:rPr>
        <w:tab/>
        <w:t>Rådet kan med enhällighet, och efter Europaparlamentets godkännande, fastställa/besluta …</w:t>
      </w:r>
    </w:p>
    <w:p w:rsidR="00CF1B5E" w:rsidRPr="00077F9A" w:rsidRDefault="00CF1B5E" w:rsidP="00CF1B5E">
      <w:pPr>
        <w:tabs>
          <w:tab w:val="left" w:pos="284"/>
        </w:tabs>
        <w:spacing w:before="0"/>
        <w:ind w:left="227" w:hanging="227"/>
        <w:rPr>
          <w:rFonts w:cs="Bembo"/>
        </w:rPr>
      </w:pPr>
      <w:r w:rsidRPr="00077F9A">
        <w:rPr>
          <w:rFonts w:cs="Bembo"/>
        </w:rPr>
        <w:t>3.</w:t>
      </w:r>
      <w:r w:rsidRPr="00077F9A">
        <w:rPr>
          <w:rFonts w:cs="Bembo"/>
        </w:rPr>
        <w:tab/>
        <w:t>Rådet kan med enhällighet, och efter att ha hört Europaparlamentet, fas</w:t>
      </w:r>
      <w:r w:rsidRPr="00077F9A">
        <w:rPr>
          <w:rFonts w:cs="Bembo"/>
        </w:rPr>
        <w:t>t</w:t>
      </w:r>
      <w:r w:rsidRPr="00077F9A">
        <w:rPr>
          <w:rFonts w:cs="Bembo"/>
        </w:rPr>
        <w:t>ställa/besluta …</w:t>
      </w:r>
    </w:p>
    <w:p w:rsidR="00CF1B5E" w:rsidRPr="00077F9A" w:rsidRDefault="00CF1B5E" w:rsidP="00CF1B5E">
      <w:pPr>
        <w:rPr>
          <w:rFonts w:cs="Bembo"/>
        </w:rPr>
      </w:pPr>
      <w:r w:rsidRPr="00077F9A">
        <w:rPr>
          <w:rFonts w:cs="Bembo"/>
        </w:rPr>
        <w:t xml:space="preserve">I </w:t>
      </w:r>
      <w:r w:rsidR="00122558" w:rsidRPr="00077F9A">
        <w:t>2008/09:URF2 (</w:t>
      </w:r>
      <w:r w:rsidRPr="00077F9A">
        <w:rPr>
          <w:rFonts w:cs="Bembo"/>
          <w:i/>
          <w:iCs/>
        </w:rPr>
        <w:t>arbetspromemoria</w:t>
      </w:r>
      <w:r w:rsidRPr="00077F9A">
        <w:rPr>
          <w:rFonts w:cs="Bembo"/>
        </w:rPr>
        <w:t xml:space="preserve"> </w:t>
      </w:r>
      <w:r w:rsidR="00122558" w:rsidRPr="00077F9A">
        <w:rPr>
          <w:rFonts w:cs="Bembo"/>
          <w:i/>
          <w:iCs/>
        </w:rPr>
        <w:t>2</w:t>
      </w:r>
      <w:r w:rsidR="00122558" w:rsidRPr="00077F9A">
        <w:rPr>
          <w:rFonts w:cs="Bembo"/>
        </w:rPr>
        <w:t>) r</w:t>
      </w:r>
      <w:r w:rsidRPr="00077F9A">
        <w:rPr>
          <w:rFonts w:cs="Bembo"/>
        </w:rPr>
        <w:t>edogörs för samtliga artiklar i FEUF där ett särskilt förfarande är tillämpbart (och en precisering görs av den andra institutionens medverkan). Därtill kommer att det mellan rådet och Europ</w:t>
      </w:r>
      <w:r w:rsidRPr="00077F9A">
        <w:rPr>
          <w:rFonts w:cs="Bembo"/>
        </w:rPr>
        <w:t>a</w:t>
      </w:r>
      <w:r w:rsidRPr="00077F9A">
        <w:rPr>
          <w:rFonts w:cs="Bembo"/>
        </w:rPr>
        <w:t>parlamentet exist</w:t>
      </w:r>
      <w:r w:rsidRPr="00077F9A">
        <w:rPr>
          <w:rFonts w:cs="Bembo"/>
        </w:rPr>
        <w:t>e</w:t>
      </w:r>
      <w:r w:rsidRPr="00077F9A">
        <w:rPr>
          <w:rFonts w:cs="Bembo"/>
        </w:rPr>
        <w:t>rar ett särskilt budgetförfarande (artikel 314).</w:t>
      </w:r>
    </w:p>
    <w:p w:rsidR="00CF1B5E" w:rsidRPr="00077F9A" w:rsidRDefault="00CF1B5E" w:rsidP="00CF1B5E">
      <w:pPr>
        <w:pStyle w:val="Rubrik2"/>
      </w:pPr>
      <w:bookmarkStart w:id="109" w:name="_Toc227660631"/>
      <w:bookmarkStart w:id="110" w:name="_Toc227662096"/>
      <w:bookmarkStart w:id="111" w:name="_Toc227994087"/>
      <w:bookmarkStart w:id="112" w:name="_Toc230676866"/>
      <w:bookmarkStart w:id="113" w:name="_Toc230677045"/>
      <w:bookmarkStart w:id="114" w:name="_Toc230708095"/>
      <w:r w:rsidRPr="00077F9A">
        <w:t>4.4 De nationella parlamentens medverkan i EU:s lagstiftningsförfaranden</w:t>
      </w:r>
      <w:bookmarkEnd w:id="109"/>
      <w:bookmarkEnd w:id="110"/>
      <w:bookmarkEnd w:id="111"/>
      <w:bookmarkEnd w:id="112"/>
      <w:bookmarkEnd w:id="113"/>
      <w:bookmarkEnd w:id="114"/>
    </w:p>
    <w:p w:rsidR="00CF1B5E" w:rsidRPr="00077F9A" w:rsidRDefault="00CF1B5E" w:rsidP="00CF1B5E">
      <w:pPr>
        <w:pStyle w:val="Rubrik3"/>
        <w:rPr>
          <w:noProof w:val="0"/>
        </w:rPr>
      </w:pPr>
      <w:bookmarkStart w:id="115" w:name="_Toc230676867"/>
      <w:bookmarkStart w:id="116" w:name="_Toc230708096"/>
      <w:r w:rsidRPr="00077F9A">
        <w:rPr>
          <w:noProof w:val="0"/>
        </w:rPr>
        <w:t>4.4.1 Översikt</w:t>
      </w:r>
      <w:bookmarkEnd w:id="115"/>
      <w:bookmarkEnd w:id="116"/>
    </w:p>
    <w:p w:rsidR="00CF1B5E" w:rsidRPr="00077F9A" w:rsidRDefault="00CF1B5E" w:rsidP="00CF1B5E">
      <w:r w:rsidRPr="00077F9A">
        <w:t>Avdelning I av FEU har rubriken Allmänna bestämmelser. Lissabonfördraget medför viktiga ändringar av bestämmelserna i denna avdelning. Bl.a. ersätts Europeiska gemenskapen genomgående av Europeiska uni</w:t>
      </w:r>
      <w:r w:rsidRPr="00077F9A">
        <w:t>o</w:t>
      </w:r>
      <w:r w:rsidRPr="00077F9A">
        <w:t>nen. I artikel 5 understryks gränserna för EU:s befogenheter. Principen om tilldelade bef</w:t>
      </w:r>
      <w:r w:rsidRPr="00077F9A">
        <w:t>o</w:t>
      </w:r>
      <w:r w:rsidRPr="00077F9A">
        <w:t>genheter ska enligt bestämmelsen styra avgränsningen av unionens befoge</w:t>
      </w:r>
      <w:r w:rsidRPr="00077F9A">
        <w:t>n</w:t>
      </w:r>
      <w:r w:rsidRPr="00077F9A">
        <w:t>heter, och utövandet av dessa befogenheter ska styras av principerna om subsidiaritet och proportionalitet. Några större förändringar innebär inte b</w:t>
      </w:r>
      <w:r w:rsidRPr="00077F9A">
        <w:t>e</w:t>
      </w:r>
      <w:r w:rsidRPr="00077F9A">
        <w:t>stämmelserna om innebörden av dessa tre principer i jämförelse med vad som hittills gällt. Det handlar snarast om vissa förtydliga</w:t>
      </w:r>
      <w:r w:rsidRPr="00077F9A">
        <w:t>n</w:t>
      </w:r>
      <w:r w:rsidRPr="00077F9A">
        <w:t>den. I regleringen av principen om tilldelade befogenheter (tidigare ibland benämnd legalitetspri</w:t>
      </w:r>
      <w:r w:rsidRPr="00077F9A">
        <w:t>n</w:t>
      </w:r>
      <w:r w:rsidRPr="00077F9A">
        <w:t>cipen) har man lagt till att varje befogenhet som inte har tilldelats unionen i fördragen ska tillhöra medlemsstaterna. Enligt subsidiaritetsprincipen ska unionen på de områden där den inte har exklusiv befogenhet vidta en åtgärd endast om och i den mån som målen för den planerade åtgärden inte i tillräc</w:t>
      </w:r>
      <w:r w:rsidRPr="00077F9A">
        <w:t>k</w:t>
      </w:r>
      <w:r w:rsidRPr="00077F9A">
        <w:t>lig utsträckning kan uppnås av medlem</w:t>
      </w:r>
      <w:r w:rsidRPr="00077F9A">
        <w:t>s</w:t>
      </w:r>
      <w:r w:rsidRPr="00077F9A">
        <w:t xml:space="preserve">staterna, </w:t>
      </w:r>
      <w:r w:rsidRPr="00077F9A">
        <w:rPr>
          <w:i/>
        </w:rPr>
        <w:t xml:space="preserve">vare sig på central nivå eller på regional eller lokal nivå, </w:t>
      </w:r>
      <w:r w:rsidRPr="00077F9A">
        <w:t>och därför, på grund av den planerade å</w:t>
      </w:r>
      <w:r w:rsidRPr="00077F9A">
        <w:t>t</w:t>
      </w:r>
      <w:r w:rsidRPr="00077F9A">
        <w:t>gärdens omfattning eller verkningar, bättre kan uppnås på unionsnivå. Proportional</w:t>
      </w:r>
      <w:r w:rsidRPr="00077F9A">
        <w:t>i</w:t>
      </w:r>
      <w:r w:rsidRPr="00077F9A">
        <w:t>tetsprincipen inn</w:t>
      </w:r>
      <w:r w:rsidRPr="00077F9A">
        <w:t>e</w:t>
      </w:r>
      <w:r w:rsidRPr="00077F9A">
        <w:t xml:space="preserve">bär att unionens åtgärder </w:t>
      </w:r>
      <w:r w:rsidRPr="00077F9A">
        <w:rPr>
          <w:i/>
        </w:rPr>
        <w:t xml:space="preserve">till innehåll och form </w:t>
      </w:r>
      <w:r w:rsidRPr="00077F9A">
        <w:t>inte ska gå utöver vad som är nödvändigt för att nå målen i fördragen. Det kursiverade orden saknar mo</w:t>
      </w:r>
      <w:r w:rsidRPr="00077F9A">
        <w:t>t</w:t>
      </w:r>
      <w:r w:rsidRPr="00077F9A">
        <w:t>svarighet i tidigare reglering.</w:t>
      </w:r>
    </w:p>
    <w:p w:rsidR="00CF1B5E" w:rsidRPr="00077F9A" w:rsidRDefault="00CF1B5E" w:rsidP="00CF1B5E">
      <w:pPr>
        <w:pStyle w:val="Normaltindrag"/>
      </w:pPr>
      <w:r w:rsidRPr="00077F9A">
        <w:t>Avdelning II av FEU innehåller bestämmelser om demokratiska principer. Hela denna avdelning saknar direkt motsvarighet i det nuvarande unionsfö</w:t>
      </w:r>
      <w:r w:rsidRPr="00077F9A">
        <w:t>r</w:t>
      </w:r>
      <w:r w:rsidRPr="00077F9A">
        <w:t>draget. I bestämmelserna understryks medborgarnas jämlikhet och demokr</w:t>
      </w:r>
      <w:r w:rsidRPr="00077F9A">
        <w:t>a</w:t>
      </w:r>
      <w:r w:rsidRPr="00077F9A">
        <w:t>tiska deltagande i den politiska debatten och beslutsfattandet inom EU. I artikel 10 anges att unionens sätt att fungera ska bygga på representativ d</w:t>
      </w:r>
      <w:r w:rsidRPr="00077F9A">
        <w:t>e</w:t>
      </w:r>
      <w:r w:rsidRPr="00077F9A">
        <w:t>mokrati. Medborgarna ska företrädas direkt på unionsnivå i Europaparlame</w:t>
      </w:r>
      <w:r w:rsidRPr="00077F9A">
        <w:t>n</w:t>
      </w:r>
      <w:r w:rsidRPr="00077F9A">
        <w:t>tet. Varje medlemsstat ska företrädas av sin stats- eller regeringschef i Eur</w:t>
      </w:r>
      <w:r w:rsidRPr="00077F9A">
        <w:t>o</w:t>
      </w:r>
      <w:r w:rsidRPr="00077F9A">
        <w:t>peiska rådet och av sin regering i rådet. Dessa ska själva vara demokratiskt ansvar</w:t>
      </w:r>
      <w:r w:rsidRPr="00077F9A">
        <w:t>i</w:t>
      </w:r>
      <w:r w:rsidRPr="00077F9A">
        <w:t xml:space="preserve">ga, antingen inför sitt nationella parlament eller inför sina medborgare. </w:t>
      </w:r>
    </w:p>
    <w:p w:rsidR="00CF1B5E" w:rsidRPr="00077F9A" w:rsidRDefault="00CF1B5E" w:rsidP="00CF1B5E">
      <w:pPr>
        <w:pStyle w:val="Normaltindrag"/>
      </w:pPr>
      <w:r w:rsidRPr="00077F9A">
        <w:t>De nationella parlamentens roll i unionen ägnas en särskild bestämmelse, artikel 12. I denna sker en up</w:t>
      </w:r>
      <w:r w:rsidRPr="00077F9A">
        <w:t>p</w:t>
      </w:r>
      <w:r w:rsidRPr="00077F9A">
        <w:t>räkning av sex olika sätt på vilka de nationella parlamenten ”bidrar aktivt till en väl fungerande union”. Det första är att de ska bli informerade av unionens institutioner och erhålla utkast till uni</w:t>
      </w:r>
      <w:r w:rsidRPr="00077F9A">
        <w:t>o</w:t>
      </w:r>
      <w:r w:rsidRPr="00077F9A">
        <w:t>nens lagstif</w:t>
      </w:r>
      <w:r w:rsidRPr="00077F9A">
        <w:t>t</w:t>
      </w:r>
      <w:r w:rsidRPr="00077F9A">
        <w:t>ningsakter. Det andra är att de ska se till att subsidiaritetsprincipen följs. Det tredje sättet är att de inom ramen för området med frihet, säkerhet och rättvisa ska delta i mekanismerna för utvärdering av genomförandet av unionens politik och delta i den politiska övervakningen av Europol och u</w:t>
      </w:r>
      <w:r w:rsidRPr="00077F9A">
        <w:t>t</w:t>
      </w:r>
      <w:r w:rsidRPr="00077F9A">
        <w:t>värderingen av Eurojusts verksamhet.</w:t>
      </w:r>
      <w:r w:rsidRPr="00077F9A">
        <w:rPr>
          <w:rStyle w:val="Fotnotsreferens"/>
        </w:rPr>
        <w:footnoteReference w:id="22"/>
      </w:r>
      <w:r w:rsidRPr="00077F9A">
        <w:t xml:space="preserve"> Det fjärde är att de ska delta i förf</w:t>
      </w:r>
      <w:r w:rsidRPr="00077F9A">
        <w:t>a</w:t>
      </w:r>
      <w:r w:rsidRPr="00077F9A">
        <w:t>randena för ändring av fördragen. Det femte är att de ska bli informerade om ansökningar om anslutning till unionen. Det sjätte och sista sättet är att de ska delta i det interparlamentariska samarbetet mellan de nationella parlame</w:t>
      </w:r>
      <w:r w:rsidRPr="00077F9A">
        <w:t>n</w:t>
      </w:r>
      <w:r w:rsidRPr="00077F9A">
        <w:t>ten inbördes och med Europaparlame</w:t>
      </w:r>
      <w:r w:rsidRPr="00077F9A">
        <w:t>n</w:t>
      </w:r>
      <w:r w:rsidRPr="00077F9A">
        <w:t xml:space="preserve">tet. </w:t>
      </w:r>
    </w:p>
    <w:p w:rsidR="00CF1B5E" w:rsidRPr="00077F9A" w:rsidRDefault="00CF1B5E" w:rsidP="00CF1B5E">
      <w:pPr>
        <w:pStyle w:val="Normaltindrag"/>
      </w:pPr>
      <w:r w:rsidRPr="00077F9A">
        <w:t>Den närmare innebörden av dessa sex olika sätt med vilka de nationella parlamenten kan följa och påverka arbetet inom unionen framgår av bestä</w:t>
      </w:r>
      <w:r w:rsidRPr="00077F9A">
        <w:t>m</w:t>
      </w:r>
      <w:r w:rsidRPr="00077F9A">
        <w:t xml:space="preserve">melser i FEUF och i protokollen om de nationella parlamentens roll i EU och om tillämpning av subsidiaritets- och proportionalitetsprinciperna. </w:t>
      </w:r>
    </w:p>
    <w:p w:rsidR="00CF1B5E" w:rsidRPr="00077F9A" w:rsidRDefault="00CF1B5E" w:rsidP="00CF1B5E">
      <w:pPr>
        <w:pStyle w:val="Rubrik3"/>
        <w:rPr>
          <w:noProof w:val="0"/>
        </w:rPr>
      </w:pPr>
      <w:bookmarkStart w:id="117" w:name="_Toc230676868"/>
      <w:bookmarkStart w:id="118" w:name="_Toc230708097"/>
      <w:r w:rsidRPr="00077F9A">
        <w:rPr>
          <w:noProof w:val="0"/>
        </w:rPr>
        <w:t>4.4.2 Information från institutionerna och om utkast till lagstiftningsakter</w:t>
      </w:r>
      <w:bookmarkEnd w:id="117"/>
      <w:bookmarkEnd w:id="118"/>
    </w:p>
    <w:p w:rsidR="00CF1B5E" w:rsidRPr="00077F9A" w:rsidRDefault="00CF1B5E" w:rsidP="00CF1B5E">
      <w:r w:rsidRPr="00077F9A">
        <w:t>Liksom hittills ska kommissionen skicka sina samrådsdokument (grönböcker, vitböcker och meddelanden) direkt till parlamenten vid offentliggörandet. Ny är bestämmelsen att kommissionen också ska översända det årliga lagstif</w:t>
      </w:r>
      <w:r w:rsidRPr="00077F9A">
        <w:t>t</w:t>
      </w:r>
      <w:r w:rsidRPr="00077F9A">
        <w:t>ningsprogrammet samt alla andra instrument för lagstiftningsprogram eller politisk strategi samt</w:t>
      </w:r>
      <w:r w:rsidRPr="00077F9A">
        <w:t>i</w:t>
      </w:r>
      <w:r w:rsidRPr="00077F9A">
        <w:t xml:space="preserve">digt som de översänds till Europaparlamentet och rådet (prot. 1 art. 1). </w:t>
      </w:r>
    </w:p>
    <w:p w:rsidR="00CF1B5E" w:rsidRPr="00077F9A" w:rsidRDefault="00CF1B5E" w:rsidP="00CF1B5E">
      <w:pPr>
        <w:pStyle w:val="Normaltindrag"/>
      </w:pPr>
      <w:r w:rsidRPr="00077F9A">
        <w:t>Kommissionens utkast till lagstiftningsakter ska redan skickas till de n</w:t>
      </w:r>
      <w:r w:rsidRPr="00077F9A">
        <w:t>a</w:t>
      </w:r>
      <w:r w:rsidRPr="00077F9A">
        <w:t>tionella parlamenten via medlem</w:t>
      </w:r>
      <w:r w:rsidRPr="00077F9A">
        <w:t>s</w:t>
      </w:r>
      <w:r w:rsidRPr="00077F9A">
        <w:t>staternas regeringar. Nu ska utkast till alla la</w:t>
      </w:r>
      <w:r w:rsidRPr="00077F9A">
        <w:t>g</w:t>
      </w:r>
      <w:r w:rsidRPr="00077F9A">
        <w:t>stiftningsakter som lämnas till Europaparlamentet och rådet och initiativ till lagstiftningsakter som tas i Europaparlamentet översändas direkt till de nationella parlamenten. Förutom kommissionsförslag avses med lagstif</w:t>
      </w:r>
      <w:r w:rsidRPr="00077F9A">
        <w:t>t</w:t>
      </w:r>
      <w:r w:rsidRPr="00077F9A">
        <w:t>ningsakter sådana initiativ från en grupp medlemsstater, initiativ från Europ</w:t>
      </w:r>
      <w:r w:rsidRPr="00077F9A">
        <w:t>a</w:t>
      </w:r>
      <w:r w:rsidRPr="00077F9A">
        <w:t>parlamentet, framställningar från domstolen, rekommendationer från Europ</w:t>
      </w:r>
      <w:r w:rsidRPr="00077F9A">
        <w:t>e</w:t>
      </w:r>
      <w:r w:rsidRPr="00077F9A">
        <w:t>iska centra</w:t>
      </w:r>
      <w:r w:rsidRPr="00077F9A">
        <w:t>l</w:t>
      </w:r>
      <w:r w:rsidRPr="00077F9A">
        <w:t>banken och framställningar från Europeiska investeringsbanken som syftar till antagandet av en lagstiftningsakt (prot. 1 art. 2). Vad som nu sagts om översändande av utkast till lagstiftningsakter till de nationella pa</w:t>
      </w:r>
      <w:r w:rsidRPr="00077F9A">
        <w:t>r</w:t>
      </w:r>
      <w:r w:rsidRPr="00077F9A">
        <w:t>lamenten ska också gälla om ändrade utkast (prot. 2 art. 4).</w:t>
      </w:r>
    </w:p>
    <w:p w:rsidR="00CF1B5E" w:rsidRPr="00077F9A" w:rsidRDefault="00CF1B5E" w:rsidP="00CF1B5E">
      <w:pPr>
        <w:pStyle w:val="Normaltindrag"/>
      </w:pPr>
      <w:r w:rsidRPr="00077F9A">
        <w:t>Kommissionen ska särskilt uppmärksamma de nationella parlamenten på de utkast till lagstiftningsakter som grundar sig på fördragets flexibilitetskla</w:t>
      </w:r>
      <w:r w:rsidRPr="00077F9A">
        <w:t>u</w:t>
      </w:r>
      <w:r w:rsidRPr="00077F9A">
        <w:t>sul (FEUF art. 352). Enligt denna artikel ska rådet med enhälli</w:t>
      </w:r>
      <w:r w:rsidRPr="00077F9A">
        <w:t>g</w:t>
      </w:r>
      <w:r w:rsidRPr="00077F9A">
        <w:t>het, på förslag av kommissionen och efter Europaparlamentets godkännande, anta lämpliga bestämmelser i den situationen då en åtgärd från unionens sida visar sig vara nödvändig för att, inom ramen för den politik som fas</w:t>
      </w:r>
      <w:r w:rsidRPr="00077F9A">
        <w:t>t</w:t>
      </w:r>
      <w:r w:rsidRPr="00077F9A">
        <w:t>ställs i fördragen, nå något av de mål som avses i fördragen, och dessa inte föreskriver de nödvä</w:t>
      </w:r>
      <w:r w:rsidRPr="00077F9A">
        <w:t>n</w:t>
      </w:r>
      <w:r w:rsidRPr="00077F9A">
        <w:t>diga befoge</w:t>
      </w:r>
      <w:r w:rsidRPr="00077F9A">
        <w:t>n</w:t>
      </w:r>
      <w:r w:rsidRPr="00077F9A">
        <w:t>heterna för detta.</w:t>
      </w:r>
    </w:p>
    <w:p w:rsidR="00CF1B5E" w:rsidRPr="00077F9A" w:rsidRDefault="00CF1B5E" w:rsidP="00CF1B5E">
      <w:pPr>
        <w:pStyle w:val="Normaltindrag"/>
      </w:pPr>
      <w:r w:rsidRPr="00077F9A">
        <w:t>Liksom hittills ska en tidsfrist iakttas mellan den dag då ett utkast till en lagstiftningsakt görs tillgängligt och den dag då utkastet förs upp på rådets da</w:t>
      </w:r>
      <w:r w:rsidRPr="00077F9A">
        <w:t>g</w:t>
      </w:r>
      <w:r w:rsidRPr="00077F9A">
        <w:t>ordning för beslut. Tidsfristen förlängs från sex till åtta veckor jämfört med gällande regler och räknas från den dag då utkastet är tillgängligt för de natione</w:t>
      </w:r>
      <w:r w:rsidRPr="00077F9A">
        <w:t>l</w:t>
      </w:r>
      <w:r w:rsidRPr="00077F9A">
        <w:t>la parlamenten på unionens officiella språk. I brådskande fall kan undantag göras från tidsfristen, men skäl ska då anges av rådet (prot. 1 art. 4).</w:t>
      </w:r>
    </w:p>
    <w:p w:rsidR="00CF1B5E" w:rsidRPr="00077F9A" w:rsidRDefault="00CF1B5E" w:rsidP="00CF1B5E">
      <w:pPr>
        <w:pStyle w:val="Normaltindrag"/>
      </w:pPr>
      <w:r w:rsidRPr="00077F9A">
        <w:t>Efter antagandet ska Europaparlamentet översända sina lagstiftningsreso</w:t>
      </w:r>
      <w:r w:rsidRPr="00077F9A">
        <w:rPr>
          <w:spacing w:val="-2"/>
        </w:rPr>
        <w:t>l</w:t>
      </w:r>
      <w:r w:rsidRPr="00077F9A">
        <w:rPr>
          <w:spacing w:val="-2"/>
        </w:rPr>
        <w:t>u</w:t>
      </w:r>
      <w:r w:rsidRPr="00077F9A">
        <w:rPr>
          <w:spacing w:val="-2"/>
        </w:rPr>
        <w:t>tioner och rådet sina ståndpunkter till de nationella parlamenten (prot. 2 art. 4).</w:t>
      </w:r>
    </w:p>
    <w:p w:rsidR="00CF1B5E" w:rsidRPr="00077F9A" w:rsidRDefault="00CF1B5E" w:rsidP="00CF1B5E">
      <w:pPr>
        <w:pStyle w:val="Normaltindrag"/>
      </w:pPr>
      <w:r w:rsidRPr="00077F9A">
        <w:t>Enligt en ny artikel ska dagordningarna för och resultaten av rådets möten, inklusive protokollen från de möten då rådet diskuterar utkast till lagstif</w:t>
      </w:r>
      <w:r w:rsidRPr="00077F9A">
        <w:t>t</w:t>
      </w:r>
      <w:r w:rsidRPr="00077F9A">
        <w:t>ningsakter, skickas direkt till de nationella parlamenten samtidigt som de skickas till medlemsstaternas regeringar (prot. 1 art. 5). Ny är likaså bestä</w:t>
      </w:r>
      <w:r w:rsidRPr="00077F9A">
        <w:t>m</w:t>
      </w:r>
      <w:r w:rsidRPr="00077F9A">
        <w:t>melsen att Revisionsrätten för kännedom ska översända sin årsrapport till de nationella parlamenten samtidigt som den översänds till Europaparlamentet och rådet (prot. 1 art. 7).</w:t>
      </w:r>
    </w:p>
    <w:p w:rsidR="00CF1B5E" w:rsidRPr="00077F9A" w:rsidRDefault="00CF1B5E" w:rsidP="00CF1B5E">
      <w:pPr>
        <w:pStyle w:val="Rubrik3"/>
        <w:rPr>
          <w:noProof w:val="0"/>
        </w:rPr>
      </w:pPr>
      <w:bookmarkStart w:id="119" w:name="_Toc230676869"/>
      <w:bookmarkStart w:id="120" w:name="_Toc230708098"/>
      <w:r w:rsidRPr="00077F9A">
        <w:rPr>
          <w:noProof w:val="0"/>
        </w:rPr>
        <w:t>4.4.3 Tillsyn av subsidiaritetsprincipens tillämpning</w:t>
      </w:r>
      <w:bookmarkEnd w:id="119"/>
      <w:bookmarkEnd w:id="120"/>
    </w:p>
    <w:p w:rsidR="00CF1B5E" w:rsidRPr="00077F9A" w:rsidRDefault="00CF1B5E" w:rsidP="00CF1B5E">
      <w:r w:rsidRPr="00077F9A">
        <w:t>I artikel 5 av FEU framhålls att unionens institutioner ska tillämpa subsidiar</w:t>
      </w:r>
      <w:r w:rsidRPr="00077F9A">
        <w:t>i</w:t>
      </w:r>
      <w:r w:rsidRPr="00077F9A">
        <w:t xml:space="preserve">tetsprincipen i enlighet med det särskilda protokoll som reglerar frågan. Det sägs också att de nationella parlamenten </w:t>
      </w:r>
      <w:r w:rsidRPr="00077F9A">
        <w:rPr>
          <w:i/>
        </w:rPr>
        <w:t xml:space="preserve">ska se till </w:t>
      </w:r>
      <w:r w:rsidRPr="00077F9A">
        <w:t>att subsidiar</w:t>
      </w:r>
      <w:r w:rsidRPr="00077F9A">
        <w:t>i</w:t>
      </w:r>
      <w:r w:rsidRPr="00077F9A">
        <w:t>tetsprincipen följs i enlighet med det förfarande som anges i detta protokoll (min kursiv</w:t>
      </w:r>
      <w:r w:rsidRPr="00077F9A">
        <w:t>e</w:t>
      </w:r>
      <w:r w:rsidRPr="00077F9A">
        <w:t xml:space="preserve">ring). Det är alltså en fördragsenlig skyldighet för de nationella parlamenten att bevaka att subsidiaritetsprincipen efterlevs. </w:t>
      </w:r>
    </w:p>
    <w:p w:rsidR="00CF1B5E" w:rsidRPr="00077F9A" w:rsidRDefault="00CF1B5E" w:rsidP="00CF1B5E">
      <w:pPr>
        <w:pStyle w:val="Normaltindrag"/>
      </w:pPr>
      <w:r w:rsidRPr="00077F9A">
        <w:t>För att underlätta denna granskning ska utkasten till lagstiftningsakter m</w:t>
      </w:r>
      <w:r w:rsidRPr="00077F9A">
        <w:t>o</w:t>
      </w:r>
      <w:r w:rsidRPr="00077F9A">
        <w:t>tiveras med avseende på subsidi</w:t>
      </w:r>
      <w:r w:rsidRPr="00077F9A">
        <w:t>a</w:t>
      </w:r>
      <w:r w:rsidRPr="00077F9A">
        <w:t>ritets- och proportionalitetsprinciperna. Bl.a. bör varje utkast innehålla ett formulär med närmare uppgifter som gör det möjligt att bedöma om dessa principer följts. Skäl som visar att något av unionens mål bättre kan up</w:t>
      </w:r>
      <w:r w:rsidRPr="00077F9A">
        <w:t>p</w:t>
      </w:r>
      <w:r w:rsidRPr="00077F9A">
        <w:t xml:space="preserve">nås på unionsnivån ska bygga på kvalitativa </w:t>
      </w:r>
      <w:r w:rsidRPr="00077F9A">
        <w:rPr>
          <w:spacing w:val="-2"/>
        </w:rPr>
        <w:t>indikatorer och, varje gång det är möjligt, på kvantitativa sådana (prot. 2 art. 5).</w:t>
      </w:r>
      <w:r w:rsidRPr="00077F9A">
        <w:t xml:space="preserve"> </w:t>
      </w:r>
    </w:p>
    <w:p w:rsidR="00CF1B5E" w:rsidRPr="00077F9A" w:rsidRDefault="00CF1B5E" w:rsidP="00CF1B5E">
      <w:pPr>
        <w:pStyle w:val="Normaltindrag"/>
      </w:pPr>
      <w:r w:rsidRPr="00077F9A">
        <w:t>Varje nationellt parlament eller varje kammare i ett sådant parlament får till Europaparlamentets, rådets och kommissionens ordförande lämna ett motiv</w:t>
      </w:r>
      <w:r w:rsidRPr="00077F9A">
        <w:t>e</w:t>
      </w:r>
      <w:r w:rsidRPr="00077F9A">
        <w:t>rat yttrande med skälen till att ett utkast till en lagstiftningsakt inte anses vara förenligt med subsidiaritetsprincipen. Varje nationellt parlament eller varje kammare i ett sådant parlament ska i förekommande fall samråda med de regionala parlament som har lagstifta</w:t>
      </w:r>
      <w:r w:rsidRPr="00077F9A">
        <w:t>n</w:t>
      </w:r>
      <w:r w:rsidRPr="00077F9A">
        <w:t xml:space="preserve">de befogenheter (prot. 2 art. 6). </w:t>
      </w:r>
    </w:p>
    <w:p w:rsidR="00CF1B5E" w:rsidRPr="00077F9A" w:rsidRDefault="00CF1B5E" w:rsidP="00CF1B5E">
      <w:pPr>
        <w:pStyle w:val="Normaltindrag"/>
      </w:pPr>
      <w:r w:rsidRPr="00077F9A">
        <w:t>Förslagsställaren, antingen det är kommissionen eller någon av de andra initiativtagarna som angavs ovan, ska ta hänsyn till alla motiverade yttranden som kommer in. För att mer specifika åtgärder ska vidtas av fö</w:t>
      </w:r>
      <w:r w:rsidRPr="00077F9A">
        <w:t>r</w:t>
      </w:r>
      <w:r w:rsidRPr="00077F9A">
        <w:t>slagsställaren gäller olika tröskelvärden som beräknas med utgångspunkt från principen att varje nationellt parlament ska ha två röster, i ett tvåkammarsystem fördelade på en röst till vardera kammaren. Om minst en tredjedel av det totala antalet röster som tilldelats de nationella parlamenten står bakom motiverade yttra</w:t>
      </w:r>
      <w:r w:rsidRPr="00077F9A">
        <w:t>n</w:t>
      </w:r>
      <w:r w:rsidRPr="00077F9A">
        <w:t>den ska utkastet omprövas (”gula kortet”). För ett utkast till en lagstiftning</w:t>
      </w:r>
      <w:r w:rsidRPr="00077F9A">
        <w:t>s</w:t>
      </w:r>
      <w:r w:rsidRPr="00077F9A">
        <w:t>akt som avser straffrättsligt samarbete och polissamarbete är tröskeln en fjärd</w:t>
      </w:r>
      <w:r w:rsidRPr="00077F9A">
        <w:t>e</w:t>
      </w:r>
      <w:r w:rsidRPr="00077F9A">
        <w:t>del, dvs. något lägre. Efter omprövningen kan förslagsställaren besluta att antingen vidhålla utkastet, ändra det eller dra tillbaka det. Detta beslut ska vara motiverat (prot. 2 art. 7.1–2).</w:t>
      </w:r>
    </w:p>
    <w:p w:rsidR="00CF1B5E" w:rsidRPr="00077F9A" w:rsidRDefault="00CF1B5E" w:rsidP="00CF1B5E">
      <w:pPr>
        <w:pStyle w:val="Normaltindrag"/>
      </w:pPr>
      <w:r w:rsidRPr="00077F9A">
        <w:t>Inom ramen för det ordinarie lagstiftningsförfarandet kan ett förslag från kommissionen till en lagstiftningsakt som föranlett att minst en enkel major</w:t>
      </w:r>
      <w:r w:rsidRPr="00077F9A">
        <w:t>i</w:t>
      </w:r>
      <w:r w:rsidRPr="00077F9A">
        <w:t>tet har ställt sig bakom motiverade yttranden få ytterligare konsekvenser under lagstiftningsprocessen (”orangea kortet”). Efter omprövningen kan kommissionen besluta att antingen vidhålla förslaget, ändra det eller dra til</w:t>
      </w:r>
      <w:r w:rsidRPr="00077F9A">
        <w:t>l</w:t>
      </w:r>
      <w:r w:rsidRPr="00077F9A">
        <w:t>baka det. Om kommissionen väljer att vidhålla förslaget, ska den i ett motiv</w:t>
      </w:r>
      <w:r w:rsidRPr="00077F9A">
        <w:t>e</w:t>
      </w:r>
      <w:r w:rsidRPr="00077F9A">
        <w:t>rat yttra</w:t>
      </w:r>
      <w:r w:rsidRPr="00077F9A">
        <w:t>n</w:t>
      </w:r>
      <w:r w:rsidRPr="00077F9A">
        <w:t>de ange skälen till varför den anser att förslaget är förenligt med subsidiar</w:t>
      </w:r>
      <w:r w:rsidRPr="00077F9A">
        <w:t>i</w:t>
      </w:r>
      <w:r w:rsidRPr="00077F9A">
        <w:t>tetsprincipen. Före den första behandlingen ska Europaparlamentet och rådet ta ställning till huruvida lagstiftningsförslaget är förenligt med subsidiaritet</w:t>
      </w:r>
      <w:r w:rsidRPr="00077F9A">
        <w:t>s</w:t>
      </w:r>
      <w:r w:rsidRPr="00077F9A">
        <w:t>principen och ska då särskilt beakta de motiveringar som angetts och delas av maj</w:t>
      </w:r>
      <w:r w:rsidRPr="00077F9A">
        <w:t>o</w:t>
      </w:r>
      <w:r w:rsidRPr="00077F9A">
        <w:t>riteten av de nationella parlamenten samt kommissionens motiverade yttrande. Om rådet med en majoritet av 55 % av rådsmedlemma</w:t>
      </w:r>
      <w:r w:rsidRPr="00077F9A">
        <w:t>r</w:t>
      </w:r>
      <w:r w:rsidRPr="00077F9A">
        <w:t>na eller Europaparlamentet med en majoritet av de avgivna rösterna nser att lagstiftningsförslaget inte är förenligt med subsidiaritetsprincipen, ska försl</w:t>
      </w:r>
      <w:r w:rsidRPr="00077F9A">
        <w:t>a</w:t>
      </w:r>
      <w:r w:rsidRPr="00077F9A">
        <w:t>get inte b</w:t>
      </w:r>
      <w:r w:rsidRPr="00077F9A">
        <w:t>e</w:t>
      </w:r>
      <w:r w:rsidRPr="00077F9A">
        <w:t>handlas vidare (prot. 2 art. 7.3).</w:t>
      </w:r>
    </w:p>
    <w:p w:rsidR="00CF1B5E" w:rsidRPr="00077F9A" w:rsidRDefault="00CF1B5E" w:rsidP="00CF1B5E">
      <w:pPr>
        <w:pStyle w:val="Normaltindrag"/>
      </w:pPr>
      <w:r w:rsidRPr="00077F9A">
        <w:t xml:space="preserve">Proceduren vid institutionernas behandling av motiverade yttranden från de nationella parlamenten framgår av </w:t>
      </w:r>
      <w:r w:rsidRPr="00077F9A">
        <w:rPr>
          <w:i/>
        </w:rPr>
        <w:t xml:space="preserve">figur 1 </w:t>
      </w:r>
      <w:r w:rsidRPr="00077F9A">
        <w:t>(se nästa sida).</w:t>
      </w:r>
    </w:p>
    <w:p w:rsidR="00CF1B5E" w:rsidRPr="00077F9A" w:rsidRDefault="00CF1B5E" w:rsidP="00CF1B5E">
      <w:pPr>
        <w:pStyle w:val="Normaltindrag"/>
      </w:pPr>
      <w:r w:rsidRPr="00077F9A">
        <w:t>Ett nationellt parlament har vidare möjlighet att hos sin regering begära att den väcker talan hos EU-domstolen</w:t>
      </w:r>
      <w:r w:rsidRPr="00077F9A">
        <w:rPr>
          <w:rStyle w:val="Fotnotsreferens"/>
        </w:rPr>
        <w:footnoteReference w:id="23"/>
      </w:r>
      <w:r w:rsidRPr="00077F9A">
        <w:t xml:space="preserve"> om åsidosättande av subsidiaritetspri</w:t>
      </w:r>
      <w:r w:rsidRPr="00077F9A">
        <w:t>n</w:t>
      </w:r>
      <w:r w:rsidRPr="00077F9A">
        <w:t>cipen i ett visst fall (prot. 2 art. 8).</w:t>
      </w:r>
    </w:p>
    <w:p w:rsidR="00CF1B5E" w:rsidRPr="00077F9A" w:rsidRDefault="00CF1B5E" w:rsidP="00CF1B5E">
      <w:pPr>
        <w:pStyle w:val="Normaltindrag"/>
      </w:pPr>
      <w:r w:rsidRPr="00077F9A">
        <w:t>Slutligen är de nationella parlamenten liksom Europeiska rådet, Europ</w:t>
      </w:r>
      <w:r w:rsidRPr="00077F9A">
        <w:t>a</w:t>
      </w:r>
      <w:r w:rsidRPr="00077F9A">
        <w:t>parlamentet, Ekonomiska och sociala kommittén och Regionkommittén mo</w:t>
      </w:r>
      <w:r w:rsidRPr="00077F9A">
        <w:t>t</w:t>
      </w:r>
      <w:r w:rsidRPr="00077F9A">
        <w:t>tagare av den rapport som kommissionen årligen ska lägga fram om tilläm</w:t>
      </w:r>
      <w:r w:rsidRPr="00077F9A">
        <w:t>p</w:t>
      </w:r>
      <w:r w:rsidRPr="00077F9A">
        <w:t>ningen av artikel 5 i FEU, dvs. bl.a. om tillämpningen av subsidiaritetsprinc</w:t>
      </w:r>
      <w:r w:rsidRPr="00077F9A">
        <w:t>i</w:t>
      </w:r>
      <w:r w:rsidRPr="00077F9A">
        <w:t xml:space="preserve">pen. Här torde avses den rapport som hittills haft titeln </w:t>
      </w:r>
      <w:r w:rsidRPr="00077F9A">
        <w:rPr>
          <w:i/>
        </w:rPr>
        <w:t>Bättre lagstiftning (årtal).</w:t>
      </w:r>
      <w:r w:rsidRPr="00077F9A">
        <w:rPr>
          <w:rStyle w:val="Fotnotsreferens"/>
          <w:i/>
        </w:rPr>
        <w:footnoteReference w:id="24"/>
      </w:r>
    </w:p>
    <w:p w:rsidR="00CF1B5E" w:rsidRPr="00077F9A" w:rsidRDefault="00CF1B5E" w:rsidP="00CF1B5E">
      <w:pPr>
        <w:pStyle w:val="Rubrik3"/>
        <w:rPr>
          <w:noProof w:val="0"/>
        </w:rPr>
      </w:pPr>
      <w:bookmarkStart w:id="121" w:name="_Toc230676870"/>
      <w:bookmarkStart w:id="122" w:name="_Toc230708099"/>
      <w:r w:rsidRPr="00077F9A">
        <w:rPr>
          <w:noProof w:val="0"/>
        </w:rPr>
        <w:t>4.4.4 Utvärderingen av genomförandet av EU:s politik på området med frihet, säkerhet och rättvisa (Avdelning V, FEUF)</w:t>
      </w:r>
      <w:bookmarkEnd w:id="121"/>
      <w:bookmarkEnd w:id="122"/>
    </w:p>
    <w:p w:rsidR="00CF1B5E" w:rsidRPr="00077F9A" w:rsidRDefault="00CF1B5E" w:rsidP="00CF1B5E">
      <w:r w:rsidRPr="00077F9A">
        <w:t>I denna del rör sig de nationella parlamentens medverkan om att de ska i</w:t>
      </w:r>
      <w:r w:rsidRPr="00077F9A">
        <w:t>n</w:t>
      </w:r>
      <w:r w:rsidRPr="00077F9A">
        <w:t>formeras om eller delta i utvärd</w:t>
      </w:r>
      <w:r w:rsidRPr="00077F9A">
        <w:t>e</w:t>
      </w:r>
      <w:r w:rsidRPr="00077F9A">
        <w:t>ringen.</w:t>
      </w:r>
    </w:p>
    <w:p w:rsidR="00CF1B5E" w:rsidRPr="00077F9A" w:rsidRDefault="00CF1B5E" w:rsidP="00CF1B5E">
      <w:pPr>
        <w:pStyle w:val="Normaltindrag"/>
      </w:pPr>
      <w:r w:rsidRPr="00077F9A">
        <w:t>Bland de allmänna bestämmelserna i avdelningen finns en regel om att de nationella parlamenten ska i</w:t>
      </w:r>
      <w:r w:rsidRPr="00077F9A">
        <w:t>n</w:t>
      </w:r>
      <w:r w:rsidRPr="00077F9A">
        <w:t>formeras om innehållet i och resultaten av ”en objektiv och opartisk utvärdering av hur medlemsstaternas myndigheter genomför unionens politik enligt denna avdelning, särskilt för att främja en fullständig tillämpning av principen om ömsesidigt erkännande”. Detta gäller dels domar och beslut i brottmål och, vid behov, tillnärmning av den straf</w:t>
      </w:r>
      <w:r w:rsidRPr="00077F9A">
        <w:t>f</w:t>
      </w:r>
      <w:r w:rsidRPr="00077F9A">
        <w:t>rättsliga lagstiftningen, dels rättsliga och utomrättsliga avgöra</w:t>
      </w:r>
      <w:r w:rsidRPr="00077F9A">
        <w:t>n</w:t>
      </w:r>
      <w:r w:rsidRPr="00077F9A">
        <w:t>den på det civila området. Denna utvärdering genomförs av medlemsstaterna i samarb</w:t>
      </w:r>
      <w:r w:rsidRPr="00077F9A">
        <w:t>e</w:t>
      </w:r>
      <w:r w:rsidRPr="00077F9A">
        <w:t>te med kommissionen enligt former som fastställs av rådet på förslag av ko</w:t>
      </w:r>
      <w:r w:rsidRPr="00077F9A">
        <w:t>m</w:t>
      </w:r>
      <w:r w:rsidRPr="00077F9A">
        <w:t xml:space="preserve">missionen (FEUF art. 70). </w:t>
      </w:r>
    </w:p>
    <w:p w:rsidR="00CF1B5E" w:rsidRPr="00077F9A" w:rsidRDefault="00CF1B5E" w:rsidP="00CF1B5E">
      <w:pPr>
        <w:pStyle w:val="Normaltindrag"/>
      </w:pPr>
    </w:p>
    <w:p w:rsidR="00CF1B5E" w:rsidRPr="00077F9A" w:rsidRDefault="00CF1B5E" w:rsidP="00CF1B5E">
      <w:pPr>
        <w:pStyle w:val="Diagramrubrik"/>
        <w:pageBreakBefore/>
        <w:spacing w:before="0"/>
        <w:ind w:left="57" w:hanging="624"/>
      </w:pPr>
      <w:r w:rsidRPr="00077F9A">
        <w:rPr>
          <w:i/>
        </w:rPr>
        <w:t>Figur 1</w:t>
      </w:r>
      <w:r w:rsidRPr="00077F9A">
        <w:rPr>
          <w:b/>
        </w:rPr>
        <w:t xml:space="preserve"> </w:t>
      </w:r>
      <w:r w:rsidRPr="00077F9A">
        <w:t>Proceduren enligt artikel 7 i protokollet om tillämpning av sub</w:t>
      </w:r>
      <w:r w:rsidRPr="00077F9A">
        <w:softHyphen/>
        <w:t>sidiaritets- och proportionalitet</w:t>
      </w:r>
      <w:r w:rsidRPr="00077F9A">
        <w:t>s</w:t>
      </w:r>
      <w:r w:rsidRPr="00077F9A">
        <w:t>principerna på EU-nivå</w:t>
      </w:r>
    </w:p>
    <w:p w:rsidR="00CF1B5E" w:rsidRPr="00077F9A" w:rsidRDefault="00077F9A" w:rsidP="00CF1B5E">
      <w:pPr>
        <w:spacing w:before="240"/>
        <w:ind w:left="-709"/>
      </w:pPr>
      <w:r w:rsidRPr="00077F9A">
        <w:rPr>
          <w:noProof/>
        </w:rPr>
        <w:drawing>
          <wp:inline distT="0" distB="0" distL="0" distR="0">
            <wp:extent cx="4235450" cy="5664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235450" cy="5664200"/>
                    </a:xfrm>
                    <a:prstGeom prst="rect">
                      <a:avLst/>
                    </a:prstGeom>
                    <a:noFill/>
                    <a:ln>
                      <a:noFill/>
                    </a:ln>
                  </pic:spPr>
                </pic:pic>
              </a:graphicData>
            </a:graphic>
          </wp:inline>
        </w:drawing>
      </w:r>
    </w:p>
    <w:p w:rsidR="00DA2ACC" w:rsidRPr="00077F9A" w:rsidRDefault="00DA2ACC" w:rsidP="00CF1B5E">
      <w:pPr>
        <w:pStyle w:val="Normaltindrag"/>
      </w:pPr>
    </w:p>
    <w:p w:rsidR="00CF1B5E" w:rsidRPr="00077F9A" w:rsidRDefault="00CF1B5E" w:rsidP="00CF1B5E">
      <w:pPr>
        <w:pStyle w:val="Normaltindrag"/>
      </w:pPr>
      <w:r w:rsidRPr="00077F9A">
        <w:t>Enligt en annan bestämmelse ska de nationella parlamenten inform</w:t>
      </w:r>
      <w:r w:rsidRPr="00077F9A">
        <w:t>e</w:t>
      </w:r>
      <w:r w:rsidRPr="00077F9A">
        <w:t>ras om arbetet i den ständiga kommitté som ska inrättas i rådet för att se till att det operativa samarbetet inom unionen främjas och förstärks i frågor som rör den inre säkerh</w:t>
      </w:r>
      <w:r w:rsidRPr="00077F9A">
        <w:t>e</w:t>
      </w:r>
      <w:r w:rsidRPr="00077F9A">
        <w:t>ten (FEUF art. 71).</w:t>
      </w:r>
    </w:p>
    <w:p w:rsidR="00CF1B5E" w:rsidRPr="00077F9A" w:rsidRDefault="00CF1B5E" w:rsidP="00CF1B5E">
      <w:pPr>
        <w:pStyle w:val="Normaltindrag"/>
      </w:pPr>
      <w:r w:rsidRPr="00077F9A">
        <w:t>När det gäller det civilrättsliga samarbetet är huvudregeln att åtgärder ska beslutas i enlighet med det ordinarie lagstiftningsförfarandet, sä</w:t>
      </w:r>
      <w:r w:rsidRPr="00077F9A">
        <w:t>r</w:t>
      </w:r>
      <w:r w:rsidRPr="00077F9A">
        <w:t>skilt när det är nödvändigt för att den inre marknaden ska fungera väl. Men åtgärder som rör familjerätten och som har gränsöverskr</w:t>
      </w:r>
      <w:r w:rsidRPr="00077F9A">
        <w:t>i</w:t>
      </w:r>
      <w:r w:rsidRPr="00077F9A">
        <w:t>dande följder ska föreskrivas av rådet med enhällighet efter det att rådet har hört Europaparlame</w:t>
      </w:r>
      <w:r w:rsidRPr="00077F9A">
        <w:t>n</w:t>
      </w:r>
      <w:r w:rsidRPr="00077F9A">
        <w:t>tet. Rådet får dock på förslag av kommissionen anta ett beslut där det anges vilka aspekter av familjerätten som har gränsöverskr</w:t>
      </w:r>
      <w:r w:rsidRPr="00077F9A">
        <w:t>i</w:t>
      </w:r>
      <w:r w:rsidRPr="00077F9A">
        <w:t>dande följder och som kan bli föremål för akter som antas i enlighet med det ordinarie lagstiftning</w:t>
      </w:r>
      <w:r w:rsidRPr="00077F9A">
        <w:t>s</w:t>
      </w:r>
      <w:r w:rsidRPr="00077F9A">
        <w:t>förfarandet. Ett sådant förslag ska dock översändas till de nationella parl</w:t>
      </w:r>
      <w:r w:rsidRPr="00077F9A">
        <w:t>a</w:t>
      </w:r>
      <w:r w:rsidRPr="00077F9A">
        <w:t xml:space="preserve">menten som inom sex månader kan lägga in ett veto mot förslaget (FEUF art. 81, jfr s. </w:t>
      </w:r>
      <w:smartTag w:uri="urn:schemas-microsoft-com:office:smarttags" w:element="metricconverter">
        <w:smartTagPr>
          <w:attr w:name="ProductID" w:val="43 f"/>
        </w:smartTagPr>
        <w:r w:rsidR="00D5545C" w:rsidRPr="00077F9A">
          <w:t xml:space="preserve">43 </w:t>
        </w:r>
        <w:r w:rsidRPr="00077F9A">
          <w:t>f</w:t>
        </w:r>
      </w:smartTag>
      <w:r w:rsidRPr="00077F9A">
        <w:t>. om den s.k. passerellen vid fördragsän</w:t>
      </w:r>
      <w:r w:rsidRPr="00077F9A">
        <w:t>d</w:t>
      </w:r>
      <w:r w:rsidRPr="00077F9A">
        <w:t>ringar).</w:t>
      </w:r>
    </w:p>
    <w:p w:rsidR="00CF1B5E" w:rsidRPr="00077F9A" w:rsidRDefault="00CF1B5E" w:rsidP="00CF1B5E">
      <w:pPr>
        <w:pStyle w:val="Normaltindrag"/>
      </w:pPr>
      <w:r w:rsidRPr="00077F9A">
        <w:t>Mer operativt ska de nationella parlamenten delta i övervakningen av E</w:t>
      </w:r>
      <w:r w:rsidRPr="00077F9A">
        <w:t>u</w:t>
      </w:r>
      <w:r w:rsidRPr="00077F9A">
        <w:t xml:space="preserve">rojust och Europol. </w:t>
      </w:r>
    </w:p>
    <w:p w:rsidR="00CF1B5E" w:rsidRPr="00077F9A" w:rsidRDefault="00CF1B5E" w:rsidP="00CF1B5E">
      <w:pPr>
        <w:pStyle w:val="Normaltindrag"/>
      </w:pPr>
      <w:r w:rsidRPr="00077F9A">
        <w:t>Eurojusts uppgift ska vara att stödja och stärka samordningen och sama</w:t>
      </w:r>
      <w:r w:rsidRPr="00077F9A">
        <w:t>r</w:t>
      </w:r>
      <w:r w:rsidRPr="00077F9A">
        <w:t>betet mellan de nationella myndigheter som har till uppgift att utreda och lagföra allvarlig brottslighet som berör flera medlemsstater eller som kräver lagföring på gemensamma grunder. Genom förordningar som beslutas i e</w:t>
      </w:r>
      <w:r w:rsidRPr="00077F9A">
        <w:t>n</w:t>
      </w:r>
      <w:r w:rsidRPr="00077F9A">
        <w:t>lighet med det ordinarie lagstif</w:t>
      </w:r>
      <w:r w:rsidRPr="00077F9A">
        <w:t>t</w:t>
      </w:r>
      <w:r w:rsidRPr="00077F9A">
        <w:t>ningsförfarandet regleras Eurojusts struktur, arbetssätt, verksamhet och uppgifter. I dessa förordningar ska det också fas</w:t>
      </w:r>
      <w:r w:rsidRPr="00077F9A">
        <w:t>t</w:t>
      </w:r>
      <w:r w:rsidRPr="00077F9A">
        <w:t>ställas villkor för Europaparlamentets deltagande och de nationella parlame</w:t>
      </w:r>
      <w:r w:rsidRPr="00077F9A">
        <w:t>n</w:t>
      </w:r>
      <w:r w:rsidRPr="00077F9A">
        <w:t>tens deltagande i utvärd</w:t>
      </w:r>
      <w:r w:rsidRPr="00077F9A">
        <w:t>e</w:t>
      </w:r>
      <w:r w:rsidRPr="00077F9A">
        <w:t>ringen av Eurojusts verksamhet (FEUF art. 85).</w:t>
      </w:r>
    </w:p>
    <w:p w:rsidR="00CF1B5E" w:rsidRPr="00077F9A" w:rsidRDefault="00CF1B5E" w:rsidP="00CF1B5E">
      <w:pPr>
        <w:pStyle w:val="Normaltindrag"/>
      </w:pPr>
      <w:r w:rsidRPr="00077F9A">
        <w:t>Europols uppgift ska vara att stödja och stärka medlemsstaternas poli</w:t>
      </w:r>
      <w:r w:rsidRPr="00077F9A">
        <w:t>s</w:t>
      </w:r>
      <w:r w:rsidRPr="00077F9A">
        <w:t>myndigheters och andra brottsbekämpande organs insatser samt deras öms</w:t>
      </w:r>
      <w:r w:rsidRPr="00077F9A">
        <w:t>e</w:t>
      </w:r>
      <w:r w:rsidRPr="00077F9A">
        <w:t>sidiga samarbete. Syftet ska vara att förebygga och bekämpa allvarlig brott</w:t>
      </w:r>
      <w:r w:rsidRPr="00077F9A">
        <w:t>s</w:t>
      </w:r>
      <w:r w:rsidRPr="00077F9A">
        <w:t>lighet som berör flera medlemsstater, terrorism och sådana former av brott</w:t>
      </w:r>
      <w:r w:rsidRPr="00077F9A">
        <w:t>s</w:t>
      </w:r>
      <w:r w:rsidRPr="00077F9A">
        <w:t>lighet som skadar ett geme</w:t>
      </w:r>
      <w:r w:rsidRPr="00077F9A">
        <w:t>n</w:t>
      </w:r>
      <w:r w:rsidRPr="00077F9A">
        <w:t>samt intresse som omfattas av unionens politik. Genom förordningar som beslutas i enlighet med det ordinarie lagstiftning</w:t>
      </w:r>
      <w:r w:rsidRPr="00077F9A">
        <w:t>s</w:t>
      </w:r>
      <w:r w:rsidRPr="00077F9A">
        <w:t>förfara</w:t>
      </w:r>
      <w:r w:rsidRPr="00077F9A">
        <w:t>n</w:t>
      </w:r>
      <w:r w:rsidRPr="00077F9A">
        <w:t>det regleras Europols struktur, arbetssätt, verksamhet och uppgifter. I dessa förordningar ska det även fastställas närmare bestämmelser för den kontroll av Europols verksamhet som Europaparlamentet utför under medve</w:t>
      </w:r>
      <w:r w:rsidRPr="00077F9A">
        <w:t>r</w:t>
      </w:r>
      <w:r w:rsidRPr="00077F9A">
        <w:t>kan av de nationella parlamenten (FEUF art. 88).</w:t>
      </w:r>
    </w:p>
    <w:p w:rsidR="00CF1B5E" w:rsidRPr="00077F9A" w:rsidRDefault="00CF1B5E" w:rsidP="00CF1B5E">
      <w:pPr>
        <w:pStyle w:val="Rubrik3"/>
        <w:rPr>
          <w:noProof w:val="0"/>
        </w:rPr>
      </w:pPr>
      <w:bookmarkStart w:id="123" w:name="_Toc230676871"/>
      <w:bookmarkStart w:id="124" w:name="_Toc230708100"/>
      <w:r w:rsidRPr="00077F9A">
        <w:rPr>
          <w:noProof w:val="0"/>
        </w:rPr>
        <w:t>4.4.5 Deltagande i förfarandena för att ändra fördragen</w:t>
      </w:r>
      <w:bookmarkEnd w:id="123"/>
      <w:bookmarkEnd w:id="124"/>
    </w:p>
    <w:p w:rsidR="00CF1B5E" w:rsidRPr="00077F9A" w:rsidRDefault="00CF1B5E" w:rsidP="00CF1B5E">
      <w:r w:rsidRPr="00077F9A">
        <w:t>Fördragen får enligt artikel 48 i EUF ändras i enlighet med ett ordinarie än</w:t>
      </w:r>
      <w:r w:rsidRPr="00077F9A">
        <w:t>d</w:t>
      </w:r>
      <w:r w:rsidRPr="00077F9A">
        <w:t>ringsförfarande eller endera av två förenklade ändringsförfaranden. De nati</w:t>
      </w:r>
      <w:r w:rsidRPr="00077F9A">
        <w:t>o</w:t>
      </w:r>
      <w:r w:rsidRPr="00077F9A">
        <w:t>nella parlamenten har en roll att spela i det ordinarie än</w:t>
      </w:r>
      <w:r w:rsidRPr="00077F9A">
        <w:t>d</w:t>
      </w:r>
      <w:r w:rsidRPr="00077F9A">
        <w:t>ringsförfarandet och särskilt i det andra av de förenklade förf</w:t>
      </w:r>
      <w:r w:rsidRPr="00077F9A">
        <w:t>a</w:t>
      </w:r>
      <w:r w:rsidRPr="00077F9A">
        <w:t>randena.</w:t>
      </w:r>
    </w:p>
    <w:p w:rsidR="00CF1B5E" w:rsidRPr="00077F9A" w:rsidRDefault="00CF1B5E" w:rsidP="00CF1B5E">
      <w:pPr>
        <w:pStyle w:val="Normaltindrag"/>
      </w:pPr>
      <w:r w:rsidRPr="00077F9A">
        <w:t>Enligt det ordinarie förfarandet kan initiativ till ändringar tas av varje me</w:t>
      </w:r>
      <w:r w:rsidRPr="00077F9A">
        <w:t>d</w:t>
      </w:r>
      <w:r w:rsidRPr="00077F9A">
        <w:t>lemsstat, Europaparlamentet eller kommissionen. Initiativen föreläggs rådet som översänder dem till Europeiska rådet och de nationella parl</w:t>
      </w:r>
      <w:r w:rsidRPr="00077F9A">
        <w:t>a</w:t>
      </w:r>
      <w:r w:rsidRPr="00077F9A">
        <w:t>menten. Om Europeiska rådet efter att ha hört Europaparlamentet och kommissionen med enkel majoritet antar ett beslut om att granska de ändringar som föreslås, ska ordföranden i rådet sammankalla ett konvent bestående av företrädare för de nationella parlamenten, medlemsstaternas stats- eller regeringschefer, Eur</w:t>
      </w:r>
      <w:r w:rsidRPr="00077F9A">
        <w:t>o</w:t>
      </w:r>
      <w:r w:rsidRPr="00077F9A">
        <w:t>paparlamentet och kommissionen. Konventet ska behandla förslagen till ändringar och ska ”med konsensus” anta en reko</w:t>
      </w:r>
      <w:r w:rsidRPr="00077F9A">
        <w:t>m</w:t>
      </w:r>
      <w:r w:rsidRPr="00077F9A">
        <w:t>mendation till en konferens mellan företrädarna för medlemsstaternas regeringar. Syftet med konferensen är att ”i samförstånd” komma överens om ändringarna. Dessa träder i kraft när de har ratificerats av alla medlemsst</w:t>
      </w:r>
      <w:r w:rsidRPr="00077F9A">
        <w:t>a</w:t>
      </w:r>
      <w:r w:rsidRPr="00077F9A">
        <w:t>terna i enlighet med deras respektive konstitutionella bestämmelser, dvs. för svensk del efter beslut av riksd</w:t>
      </w:r>
      <w:r w:rsidRPr="00077F9A">
        <w:t>a</w:t>
      </w:r>
      <w:r w:rsidRPr="00077F9A">
        <w:t>gen.</w:t>
      </w:r>
    </w:p>
    <w:p w:rsidR="00CF1B5E" w:rsidRPr="00077F9A" w:rsidRDefault="00CF1B5E" w:rsidP="00CF1B5E">
      <w:pPr>
        <w:pStyle w:val="Normaltindrag"/>
      </w:pPr>
      <w:r w:rsidRPr="00077F9A">
        <w:t>Det ena av de förenklade förfarandena kan endast tillämpas på den del av FEUF som rör unionens inre politik och inre åtgärder. Skillnaden i förhålla</w:t>
      </w:r>
      <w:r w:rsidRPr="00077F9A">
        <w:t>n</w:t>
      </w:r>
      <w:r w:rsidRPr="00077F9A">
        <w:t>de till det ordinarie förfarandet är att inget konvent med påföljande konferens mellan medlemsstaternas regeringar behöver anordnas. Europeiska rådets beslut går direkt till ratif</w:t>
      </w:r>
      <w:r w:rsidRPr="00077F9A">
        <w:t>i</w:t>
      </w:r>
      <w:r w:rsidRPr="00077F9A">
        <w:t>cering.</w:t>
      </w:r>
    </w:p>
    <w:p w:rsidR="00CF1B5E" w:rsidRPr="00077F9A" w:rsidRDefault="00CF1B5E" w:rsidP="00CF1B5E">
      <w:pPr>
        <w:pStyle w:val="Normaltindrag"/>
      </w:pPr>
      <w:r w:rsidRPr="00077F9A">
        <w:t>Det andra av de förenklade förfarandena är den s.k. passerellen.</w:t>
      </w:r>
      <w:r w:rsidRPr="00077F9A">
        <w:rPr>
          <w:rStyle w:val="Fotnotsreferens"/>
        </w:rPr>
        <w:footnoteReference w:id="25"/>
      </w:r>
      <w:r w:rsidRPr="00077F9A">
        <w:t xml:space="preserve"> Den ti</w:t>
      </w:r>
      <w:r w:rsidRPr="00077F9A">
        <w:t>l</w:t>
      </w:r>
      <w:r w:rsidRPr="00077F9A">
        <w:t>lämpas i två fall, dels när det gäller övergång från beslut med enhällighet till beslut med kvalificerad majoritet i rådet på området för FEUF eller i avde</w:t>
      </w:r>
      <w:r w:rsidRPr="00077F9A">
        <w:t>l</w:t>
      </w:r>
      <w:r w:rsidRPr="00077F9A">
        <w:t>ning V i FEU (Gemensamma säkerhets- och försvarspolitiken), dels i fråga om övergång från ett särskilt lagstiftningsförfarande till det ordinarie i rådet. Undantagna från möjligheten till övergång till kvalificerad majoritet är dock beslut med militära eller försvarsmässiga konsekvenser. Europeiska rådet får med enhällighet och efter godkännande av Europaparlamentet anta ett prel</w:t>
      </w:r>
      <w:r w:rsidRPr="00077F9A">
        <w:t>i</w:t>
      </w:r>
      <w:r w:rsidRPr="00077F9A">
        <w:t>minärt beslut att bemyndiga rådet att gå över till kvalificerad majoritet r</w:t>
      </w:r>
      <w:r w:rsidRPr="00077F9A">
        <w:t>e</w:t>
      </w:r>
      <w:r w:rsidRPr="00077F9A">
        <w:t>spektive det ordinarie lagstiftningsförfarandet, men varje sådant initiativ från Europeiska rådet ska översändas till de nationella parlamenten. Om en i</w:t>
      </w:r>
      <w:r w:rsidRPr="00077F9A">
        <w:t>n</w:t>
      </w:r>
      <w:r w:rsidRPr="00077F9A">
        <w:t>vändning från ett nationellt parlament har medd</w:t>
      </w:r>
      <w:r w:rsidRPr="00077F9A">
        <w:t>e</w:t>
      </w:r>
      <w:r w:rsidRPr="00077F9A">
        <w:t>lats inom sex månader ska Europeiska rådets beslut inte antas.</w:t>
      </w:r>
    </w:p>
    <w:p w:rsidR="00CF1B5E" w:rsidRPr="00077F9A" w:rsidRDefault="00CF1B5E" w:rsidP="00CF1B5E">
      <w:pPr>
        <w:pStyle w:val="Rubrik3"/>
        <w:rPr>
          <w:noProof w:val="0"/>
        </w:rPr>
      </w:pPr>
      <w:bookmarkStart w:id="125" w:name="_Toc230676872"/>
      <w:bookmarkStart w:id="126" w:name="_Toc230708101"/>
      <w:r w:rsidRPr="00077F9A">
        <w:rPr>
          <w:noProof w:val="0"/>
        </w:rPr>
        <w:t>4.4.6 Information om ansökningar om anslutning till unionen</w:t>
      </w:r>
      <w:bookmarkEnd w:id="125"/>
      <w:bookmarkEnd w:id="126"/>
    </w:p>
    <w:p w:rsidR="00CF1B5E" w:rsidRPr="00077F9A" w:rsidRDefault="00CF1B5E" w:rsidP="00CF1B5E">
      <w:r w:rsidRPr="00077F9A">
        <w:t>De nationella parlamenten ska liksom Europaparlamentet underrättas om en europeisk stats ansökan om me</w:t>
      </w:r>
      <w:r w:rsidRPr="00077F9A">
        <w:t>d</w:t>
      </w:r>
      <w:r w:rsidRPr="00077F9A">
        <w:t>lemskap i EU. Någon annan befattning med denna fråga har dock inte de nationella parlamenten enligt fördr</w:t>
      </w:r>
      <w:r w:rsidRPr="00077F9A">
        <w:t>a</w:t>
      </w:r>
      <w:r w:rsidRPr="00077F9A">
        <w:t>gen (utom i sa</w:t>
      </w:r>
      <w:r w:rsidRPr="00077F9A">
        <w:t>m</w:t>
      </w:r>
      <w:r w:rsidRPr="00077F9A">
        <w:t>band med ratificering av anslutningsfördragen).</w:t>
      </w:r>
    </w:p>
    <w:p w:rsidR="00CF1B5E" w:rsidRPr="00077F9A" w:rsidRDefault="00CF1B5E" w:rsidP="00CF1B5E">
      <w:pPr>
        <w:pStyle w:val="Rubrik2"/>
      </w:pPr>
      <w:bookmarkStart w:id="127" w:name="_Toc227660632"/>
      <w:bookmarkStart w:id="128" w:name="_Toc227662097"/>
      <w:bookmarkStart w:id="129" w:name="_Toc227994088"/>
      <w:bookmarkStart w:id="130" w:name="_Toc230676873"/>
      <w:bookmarkStart w:id="131" w:name="_Toc230677046"/>
      <w:bookmarkStart w:id="132" w:name="_Toc230708102"/>
      <w:r w:rsidRPr="00077F9A">
        <w:t>4.5 Det interparlamentariska samarbetet</w:t>
      </w:r>
      <w:bookmarkEnd w:id="127"/>
      <w:bookmarkEnd w:id="128"/>
      <w:bookmarkEnd w:id="129"/>
      <w:bookmarkEnd w:id="130"/>
      <w:bookmarkEnd w:id="131"/>
      <w:bookmarkEnd w:id="132"/>
      <w:r w:rsidRPr="00077F9A">
        <w:t xml:space="preserve"> </w:t>
      </w:r>
    </w:p>
    <w:p w:rsidR="00CF1B5E" w:rsidRPr="00077F9A" w:rsidRDefault="00CF1B5E" w:rsidP="00CF1B5E">
      <w:r w:rsidRPr="00077F9A">
        <w:t>Enligt protokollet om de nationella parlamentens roll i EU ska Europaparl</w:t>
      </w:r>
      <w:r w:rsidRPr="00077F9A">
        <w:t>a</w:t>
      </w:r>
      <w:r w:rsidRPr="00077F9A">
        <w:t>mentet och de nationella parlame</w:t>
      </w:r>
      <w:r w:rsidRPr="00077F9A">
        <w:t>n</w:t>
      </w:r>
      <w:r w:rsidRPr="00077F9A">
        <w:t>ten tillsammans bestämma hur ett effektivt och regelbundet interparlamentariskt samarbete ska organiseras och främjas inom unionen (prot. 1 art. 9).</w:t>
      </w:r>
    </w:p>
    <w:p w:rsidR="00CF1B5E" w:rsidRPr="00077F9A" w:rsidRDefault="00CF1B5E" w:rsidP="00CF1B5E">
      <w:pPr>
        <w:pStyle w:val="Normaltindrag"/>
      </w:pPr>
      <w:r w:rsidRPr="00077F9A">
        <w:t>Till skillnad från det protokoll om de nationella parlamentens roll som upprättades i samband med Amste</w:t>
      </w:r>
      <w:r w:rsidRPr="00077F9A">
        <w:t>r</w:t>
      </w:r>
      <w:r w:rsidRPr="00077F9A">
        <w:t>damfördraget nämner det nya protokollet inte Cosac specifikt, utan det talas endast om en konferens mellan parlame</w:t>
      </w:r>
      <w:r w:rsidRPr="00077F9A">
        <w:t>n</w:t>
      </w:r>
      <w:r w:rsidRPr="00077F9A">
        <w:t>tariska organ för EU-frågor. Denna konferens får överlämna alla bidrag som den finner lämpliga till Europaparlamentet, rådet och kommissionen. Konf</w:t>
      </w:r>
      <w:r w:rsidRPr="00077F9A">
        <w:t>e</w:t>
      </w:r>
      <w:r w:rsidRPr="00077F9A">
        <w:t>rensen ska dessutom främja utbyte av information och bästa praxis mellan de nationella parlamenten och Europaparlamentet, och även mellan deras facku</w:t>
      </w:r>
      <w:r w:rsidRPr="00077F9A">
        <w:t>t</w:t>
      </w:r>
      <w:r w:rsidRPr="00077F9A">
        <w:t>skott. Den kan också anordna interparlamentariska konferenser om särskilda teman, särskilt för att diskutera frågor om den gemensamma utrikes- och säkerhetspolitiken, inklusive den gemensamma säkerhets- och försvarspolit</w:t>
      </w:r>
      <w:r w:rsidRPr="00077F9A">
        <w:t>i</w:t>
      </w:r>
      <w:r w:rsidRPr="00077F9A">
        <w:t>ken. Konferensens bidrag ska inte vara bindande för de nationella parlame</w:t>
      </w:r>
      <w:r w:rsidRPr="00077F9A">
        <w:t>n</w:t>
      </w:r>
      <w:r w:rsidRPr="00077F9A">
        <w:t>ten eller föregripa deras ståndpun</w:t>
      </w:r>
      <w:r w:rsidRPr="00077F9A">
        <w:t>k</w:t>
      </w:r>
      <w:r w:rsidRPr="00077F9A">
        <w:t>ter (prot. 1 art. 10).</w:t>
      </w:r>
    </w:p>
    <w:p w:rsidR="00CF1B5E" w:rsidRPr="00077F9A" w:rsidRDefault="00CF1B5E" w:rsidP="00CF1B5E">
      <w:pPr>
        <w:pStyle w:val="Normaltindrag"/>
      </w:pPr>
      <w:r w:rsidRPr="00077F9A">
        <w:t>Vid sitt möte i Lissabon den 19–21 juni 2008 enades talmännen i de nati</w:t>
      </w:r>
      <w:r w:rsidRPr="00077F9A">
        <w:t>o</w:t>
      </w:r>
      <w:r w:rsidRPr="00077F9A">
        <w:t>nella parlamenten och Europapa</w:t>
      </w:r>
      <w:r w:rsidRPr="00077F9A">
        <w:t>r</w:t>
      </w:r>
      <w:r w:rsidRPr="00077F9A">
        <w:t xml:space="preserve">lamentet om en revidering av de riktlinjer för samarbetet mellan parlamenten i EU som antogs i Haag 2004. En del av dessa riktlinjer överensstämmer helt eller delvis med dem som beslöts i Haag 2004, andra är utbyggda eller helt nya. </w:t>
      </w:r>
    </w:p>
    <w:p w:rsidR="00CF1B5E" w:rsidRPr="00077F9A" w:rsidRDefault="00CF1B5E" w:rsidP="00CF1B5E">
      <w:pPr>
        <w:pStyle w:val="Normaltindrag"/>
      </w:pPr>
      <w:r w:rsidRPr="00077F9A">
        <w:t>I ingressen till denna överenskommelse framhålls att de nationella parl</w:t>
      </w:r>
      <w:r w:rsidRPr="00077F9A">
        <w:t>a</w:t>
      </w:r>
      <w:r w:rsidRPr="00077F9A">
        <w:t>menten aktivt bidrar till att EU fu</w:t>
      </w:r>
      <w:r w:rsidRPr="00077F9A">
        <w:t>n</w:t>
      </w:r>
      <w:r w:rsidRPr="00077F9A">
        <w:t>gerar väl och ökar unionens demokratiska legitimitet. Medlemsstaternas regeringar som representerar staterna i rådet är själva demokratiskt ansvariga inför sina parlament. Det sägs också att sama</w:t>
      </w:r>
      <w:r w:rsidRPr="00077F9A">
        <w:t>r</w:t>
      </w:r>
      <w:r w:rsidRPr="00077F9A">
        <w:t>betet mellan parlamenten ska respektera alla principer och regler som EU antagit liksom principen att de nationella parlamenten och Europaparlamentet står på jämbördig fot (</w:t>
      </w:r>
      <w:r w:rsidRPr="00077F9A">
        <w:rPr>
          <w:i/>
        </w:rPr>
        <w:t xml:space="preserve">equal footing) </w:t>
      </w:r>
      <w:r w:rsidRPr="00077F9A">
        <w:t>och har komplementära roller. Det ko</w:t>
      </w:r>
      <w:r w:rsidRPr="00077F9A">
        <w:t>n</w:t>
      </w:r>
      <w:r w:rsidRPr="00077F9A">
        <w:t xml:space="preserve">stateras också i ingressen att Lissabonfördraget ger de nationella parlamenten, tillsammans med rådet, kommissionen och Europaparlamentet, ansvar för granskning av alla lagstiftningsinitiativ och andra initiativ. </w:t>
      </w:r>
    </w:p>
    <w:p w:rsidR="00CF1B5E" w:rsidRPr="00077F9A" w:rsidRDefault="00CF1B5E" w:rsidP="00CF1B5E">
      <w:pPr>
        <w:pStyle w:val="Normaltindrag"/>
      </w:pPr>
      <w:r w:rsidRPr="00077F9A">
        <w:t>Syftet med samarbetet mellan parlamenten i EU är enligt talmännens öve</w:t>
      </w:r>
      <w:r w:rsidRPr="00077F9A">
        <w:t>r</w:t>
      </w:r>
      <w:r w:rsidRPr="00077F9A">
        <w:t>enskommelse</w:t>
      </w:r>
    </w:p>
    <w:p w:rsidR="00CF1B5E" w:rsidRPr="00077F9A" w:rsidRDefault="00CF1B5E" w:rsidP="00CF1B5E">
      <w:pPr>
        <w:pStyle w:val="PunktlistaBomb"/>
      </w:pPr>
      <w:r w:rsidRPr="00077F9A">
        <w:t>att främja utbytet av information och bästa praxis mellan de nationella parlamenten och Eur</w:t>
      </w:r>
      <w:r w:rsidRPr="00077F9A">
        <w:t>o</w:t>
      </w:r>
      <w:r w:rsidRPr="00077F9A">
        <w:t>paparlamentet för att stärka den parlamentariska kontrollen, inflytandet och gransknin</w:t>
      </w:r>
      <w:r w:rsidRPr="00077F9A">
        <w:t>g</w:t>
      </w:r>
      <w:r w:rsidRPr="00077F9A">
        <w:t>en på alla nivåer</w:t>
      </w:r>
    </w:p>
    <w:p w:rsidR="00CF1B5E" w:rsidRPr="00077F9A" w:rsidRDefault="00CF1B5E" w:rsidP="00CF1B5E">
      <w:pPr>
        <w:pStyle w:val="PunktlistaBomb"/>
        <w:spacing w:before="0"/>
      </w:pPr>
      <w:r w:rsidRPr="00077F9A">
        <w:t>att säkra det effektiva utövandet av de parlamentariska bef</w:t>
      </w:r>
      <w:r w:rsidRPr="00077F9A">
        <w:t>o</w:t>
      </w:r>
      <w:r w:rsidRPr="00077F9A">
        <w:t>genheterna i unionsfrågorna, särskilt när det gäller överva</w:t>
      </w:r>
      <w:r w:rsidRPr="00077F9A">
        <w:t>k</w:t>
      </w:r>
      <w:r w:rsidRPr="00077F9A">
        <w:t>ningen av subsidiaritets- och proportionalitetsprinciperna</w:t>
      </w:r>
    </w:p>
    <w:p w:rsidR="00CF1B5E" w:rsidRPr="00077F9A" w:rsidRDefault="00CF1B5E" w:rsidP="00CF1B5E">
      <w:pPr>
        <w:pStyle w:val="PunktlistaBomb"/>
        <w:spacing w:before="0"/>
      </w:pPr>
      <w:r w:rsidRPr="00077F9A">
        <w:t>att främja samarbetet med parlament i länder utanför unionen (</w:t>
      </w:r>
      <w:r w:rsidRPr="00077F9A">
        <w:rPr>
          <w:i/>
        </w:rPr>
        <w:t>third cou</w:t>
      </w:r>
      <w:r w:rsidRPr="00077F9A">
        <w:rPr>
          <w:i/>
        </w:rPr>
        <w:t>n</w:t>
      </w:r>
      <w:r w:rsidRPr="00077F9A">
        <w:rPr>
          <w:i/>
        </w:rPr>
        <w:t>tries).</w:t>
      </w:r>
    </w:p>
    <w:p w:rsidR="00CF1B5E" w:rsidRPr="00077F9A" w:rsidRDefault="00CF1B5E" w:rsidP="00CF1B5E">
      <w:pPr>
        <w:spacing w:before="120"/>
      </w:pPr>
      <w:r w:rsidRPr="00077F9A">
        <w:t>Samarbetet mellan parlamenten ska försiggå inom ett ramverk bestående av följande sex mötesformer:</w:t>
      </w:r>
    </w:p>
    <w:p w:rsidR="00CF1B5E" w:rsidRPr="00077F9A" w:rsidRDefault="00CF1B5E" w:rsidP="00CF1B5E">
      <w:pPr>
        <w:pStyle w:val="PunktlistaBomb"/>
      </w:pPr>
      <w:r w:rsidRPr="00077F9A">
        <w:t>konferensen mellan talmännen i EU:s parlament, som ska vaka över koo</w:t>
      </w:r>
      <w:r w:rsidRPr="00077F9A">
        <w:t>r</w:t>
      </w:r>
      <w:r w:rsidRPr="00077F9A">
        <w:t>dineringen av aktiviteterna mellan parlame</w:t>
      </w:r>
      <w:r w:rsidRPr="00077F9A">
        <w:t>n</w:t>
      </w:r>
      <w:r w:rsidRPr="00077F9A">
        <w:t>ten</w:t>
      </w:r>
    </w:p>
    <w:p w:rsidR="00CF1B5E" w:rsidRPr="00077F9A" w:rsidRDefault="00CF1B5E" w:rsidP="00CF1B5E">
      <w:pPr>
        <w:pStyle w:val="PunktlistaBomb"/>
        <w:spacing w:before="0"/>
      </w:pPr>
      <w:r w:rsidRPr="00077F9A">
        <w:t>Cosac, som möjliggör ett regelbundet utbyte av information, bästa praxis och åsikter rörande unionsfrågor</w:t>
      </w:r>
    </w:p>
    <w:p w:rsidR="00CF1B5E" w:rsidRPr="00077F9A" w:rsidRDefault="00CF1B5E" w:rsidP="00CF1B5E">
      <w:pPr>
        <w:pStyle w:val="PunktlistaBomb"/>
        <w:spacing w:before="0"/>
      </w:pPr>
      <w:r w:rsidRPr="00077F9A">
        <w:t>gemensamma möten om ämnen av gemensamt intresse, som ordnas av parlamentet i ordf</w:t>
      </w:r>
      <w:r w:rsidRPr="00077F9A">
        <w:t>ö</w:t>
      </w:r>
      <w:r w:rsidRPr="00077F9A">
        <w:t>randelandet</w:t>
      </w:r>
    </w:p>
    <w:p w:rsidR="00CF1B5E" w:rsidRPr="00077F9A" w:rsidRDefault="00CF1B5E" w:rsidP="00CF1B5E">
      <w:pPr>
        <w:pStyle w:val="PunktlistaBomb"/>
        <w:spacing w:before="0"/>
      </w:pPr>
      <w:r w:rsidRPr="00077F9A">
        <w:t>möten mellan fackutskott för att diskutera unionsfrågor inom deras respe</w:t>
      </w:r>
      <w:r w:rsidRPr="00077F9A">
        <w:t>k</w:t>
      </w:r>
      <w:r w:rsidRPr="00077F9A">
        <w:t>tive ansvarsomr</w:t>
      </w:r>
      <w:r w:rsidRPr="00077F9A">
        <w:t>å</w:t>
      </w:r>
      <w:r w:rsidRPr="00077F9A">
        <w:t>den</w:t>
      </w:r>
    </w:p>
    <w:p w:rsidR="00CF1B5E" w:rsidRPr="00077F9A" w:rsidRDefault="00CF1B5E" w:rsidP="00CF1B5E">
      <w:pPr>
        <w:pStyle w:val="PunktlistaBomb"/>
        <w:spacing w:before="0"/>
      </w:pPr>
      <w:r w:rsidRPr="00077F9A">
        <w:t>generalsekreterarna eller andra utsedda tjänstemän som trä</w:t>
      </w:r>
      <w:r w:rsidRPr="00077F9A">
        <w:t>f</w:t>
      </w:r>
      <w:r w:rsidRPr="00077F9A">
        <w:t>fas regelbundet för att förbereda föredragningslistan och debatterna vid talmanskonfere</w:t>
      </w:r>
      <w:r w:rsidRPr="00077F9A">
        <w:t>n</w:t>
      </w:r>
      <w:r w:rsidRPr="00077F9A">
        <w:t>serna och för att avgöra andra frågor som bedöms som nödvä</w:t>
      </w:r>
      <w:r w:rsidRPr="00077F9A">
        <w:t>n</w:t>
      </w:r>
      <w:r w:rsidRPr="00077F9A">
        <w:t>diga</w:t>
      </w:r>
    </w:p>
    <w:p w:rsidR="00CF1B5E" w:rsidRPr="00077F9A" w:rsidRDefault="00CF1B5E" w:rsidP="00CF1B5E">
      <w:pPr>
        <w:pStyle w:val="PunktlistaBomb"/>
        <w:spacing w:before="0"/>
      </w:pPr>
      <w:r w:rsidRPr="00077F9A">
        <w:t>de nationella parlamentens representanter i EU som ska stärka samarbetet genom att underlätta det regelbundna utbytet av information mellan parl</w:t>
      </w:r>
      <w:r w:rsidRPr="00077F9A">
        <w:t>a</w:t>
      </w:r>
      <w:r w:rsidRPr="00077F9A">
        <w:t>menten.</w:t>
      </w:r>
    </w:p>
    <w:p w:rsidR="00CF1B5E" w:rsidRPr="00077F9A" w:rsidRDefault="00CF1B5E" w:rsidP="00CF1B5E">
      <w:pPr>
        <w:spacing w:before="120"/>
      </w:pPr>
      <w:r w:rsidRPr="00077F9A">
        <w:t>Samarbete mellan parlamenten är enligt talmännens överenskommelse sä</w:t>
      </w:r>
      <w:r w:rsidRPr="00077F9A">
        <w:t>r</w:t>
      </w:r>
      <w:r w:rsidRPr="00077F9A">
        <w:t>skilt viktigt på följande två områden:</w:t>
      </w:r>
    </w:p>
    <w:p w:rsidR="00CF1B5E" w:rsidRPr="00077F9A" w:rsidRDefault="00CF1B5E" w:rsidP="00CF1B5E">
      <w:pPr>
        <w:pStyle w:val="PunktlistaBomb"/>
      </w:pPr>
      <w:r w:rsidRPr="00077F9A">
        <w:t>utbytet av information och bästa praxis på alla politikomr</w:t>
      </w:r>
      <w:r w:rsidRPr="00077F9A">
        <w:t>å</w:t>
      </w:r>
      <w:r w:rsidRPr="00077F9A">
        <w:t>den som täcks av fördragen, men huvudsakligen när det gäller procedurerna för parl</w:t>
      </w:r>
      <w:r w:rsidRPr="00077F9A">
        <w:t>a</w:t>
      </w:r>
      <w:r w:rsidRPr="00077F9A">
        <w:t>mentens granskning av unionsfr</w:t>
      </w:r>
      <w:r w:rsidRPr="00077F9A">
        <w:t>å</w:t>
      </w:r>
      <w:r w:rsidRPr="00077F9A">
        <w:t>gorna</w:t>
      </w:r>
    </w:p>
    <w:p w:rsidR="00CF1B5E" w:rsidRPr="00077F9A" w:rsidRDefault="00CF1B5E" w:rsidP="00CF1B5E">
      <w:pPr>
        <w:pStyle w:val="PunktlistaBomb"/>
        <w:spacing w:before="0"/>
      </w:pPr>
      <w:r w:rsidRPr="00077F9A">
        <w:t>övervakningen av tillämpningen av subsidiaritets- och proportionalitet</w:t>
      </w:r>
      <w:r w:rsidRPr="00077F9A">
        <w:t>s</w:t>
      </w:r>
      <w:r w:rsidRPr="00077F9A">
        <w:t>principerna när det gäller utkast till unionens lagstiftningsakter.</w:t>
      </w:r>
    </w:p>
    <w:p w:rsidR="00CF1B5E" w:rsidRPr="00077F9A" w:rsidRDefault="00CF1B5E" w:rsidP="00CF1B5E">
      <w:pPr>
        <w:spacing w:before="120"/>
      </w:pPr>
      <w:r w:rsidRPr="00077F9A">
        <w:t>Verktygen för det parlamentariska samarbetet är följande:</w:t>
      </w:r>
    </w:p>
    <w:p w:rsidR="00CF1B5E" w:rsidRPr="00077F9A" w:rsidRDefault="00CF1B5E" w:rsidP="00CF1B5E">
      <w:pPr>
        <w:pStyle w:val="PunktlistaBomb"/>
      </w:pPr>
      <w:r w:rsidRPr="00077F9A">
        <w:t>IPEX som utgör en plattform för elektroniskt information</w:t>
      </w:r>
      <w:r w:rsidRPr="00077F9A">
        <w:t>s</w:t>
      </w:r>
      <w:r w:rsidRPr="00077F9A">
        <w:t>utbyte, särskilt när det gäller lagstiftningsutkastens överen</w:t>
      </w:r>
      <w:r w:rsidRPr="00077F9A">
        <w:t>s</w:t>
      </w:r>
      <w:r w:rsidRPr="00077F9A">
        <w:t>stämmelse med subsidiaritets- och proportionalitetsprinc</w:t>
      </w:r>
      <w:r w:rsidRPr="00077F9A">
        <w:t>i</w:t>
      </w:r>
      <w:r w:rsidRPr="00077F9A">
        <w:t>perna</w:t>
      </w:r>
    </w:p>
    <w:p w:rsidR="00CF1B5E" w:rsidRPr="00077F9A" w:rsidRDefault="00CF1B5E" w:rsidP="00CF1B5E">
      <w:pPr>
        <w:pStyle w:val="PunktlistaBomb"/>
        <w:spacing w:before="0"/>
      </w:pPr>
      <w:r w:rsidRPr="00077F9A">
        <w:t>utbyte av information, utredningar och dokumentation som sker på alla lämpliga sätt, inklusive Cosac och ECPRD (European Centre for Parli</w:t>
      </w:r>
      <w:r w:rsidRPr="00077F9A">
        <w:t>a</w:t>
      </w:r>
      <w:r w:rsidRPr="00077F9A">
        <w:t>mentary Research and Document</w:t>
      </w:r>
      <w:r w:rsidRPr="00077F9A">
        <w:t>a</w:t>
      </w:r>
      <w:r w:rsidRPr="00077F9A">
        <w:t>tion).</w:t>
      </w:r>
    </w:p>
    <w:p w:rsidR="00CF1B5E" w:rsidRPr="00077F9A" w:rsidRDefault="00CF1B5E" w:rsidP="00CF1B5E">
      <w:pPr>
        <w:pStyle w:val="Rubrik2"/>
      </w:pPr>
      <w:bookmarkStart w:id="133" w:name="_Toc227660633"/>
      <w:bookmarkStart w:id="134" w:name="_Toc227662098"/>
      <w:bookmarkStart w:id="135" w:name="_Toc227994089"/>
      <w:bookmarkStart w:id="136" w:name="_Toc230676874"/>
      <w:bookmarkStart w:id="137" w:name="_Toc230677047"/>
      <w:bookmarkStart w:id="138" w:name="_Toc230708103"/>
      <w:r w:rsidRPr="00077F9A">
        <w:t>4.6 Sammanfattning och slutsatser</w:t>
      </w:r>
      <w:bookmarkEnd w:id="133"/>
      <w:bookmarkEnd w:id="134"/>
      <w:bookmarkEnd w:id="135"/>
      <w:bookmarkEnd w:id="136"/>
      <w:bookmarkEnd w:id="137"/>
      <w:bookmarkEnd w:id="138"/>
    </w:p>
    <w:p w:rsidR="00CF1B5E" w:rsidRPr="00077F9A" w:rsidRDefault="00CF1B5E" w:rsidP="00CF1B5E">
      <w:r w:rsidRPr="00077F9A">
        <w:t xml:space="preserve">Sammanfattningsvis finns det alltså en typ av EU-ärenden där fördragen </w:t>
      </w:r>
      <w:r w:rsidRPr="00077F9A">
        <w:rPr>
          <w:i/>
        </w:rPr>
        <w:t>kräver</w:t>
      </w:r>
      <w:r w:rsidRPr="00077F9A">
        <w:t xml:space="preserve"> de nationella parlamentens medverkan. Det är utkasten till lagstif</w:t>
      </w:r>
      <w:r w:rsidRPr="00077F9A">
        <w:t>t</w:t>
      </w:r>
      <w:r w:rsidRPr="00077F9A">
        <w:t>ningsakter som ska bli föremål för granskning från subsidiaritetssy</w:t>
      </w:r>
      <w:r w:rsidRPr="00077F9A">
        <w:t>n</w:t>
      </w:r>
      <w:r w:rsidRPr="00077F9A">
        <w:t>punkt inom åtta veckor från den dag utkastet översänts. Fördraget ger också de nationella parlamenten möjlighet att väcka en fråga om prövning av en ant</w:t>
      </w:r>
      <w:r w:rsidRPr="00077F9A">
        <w:t>a</w:t>
      </w:r>
      <w:r w:rsidRPr="00077F9A">
        <w:t>gen lagstiftningsakts förenlighet med subsidiaritetspri</w:t>
      </w:r>
      <w:r w:rsidRPr="00077F9A">
        <w:t>n</w:t>
      </w:r>
      <w:r w:rsidRPr="00077F9A">
        <w:t>cipen vid EU-domstolen, men inte direkt hos domstolen utan via regeringen som företrädare för landet som medlemsstat i unionen. De nationella parlamenten ska också medverka i beslutsprocessen för att ändra fördragen enligt det ordinarie än</w:t>
      </w:r>
      <w:r w:rsidRPr="00077F9A">
        <w:t>d</w:t>
      </w:r>
      <w:r w:rsidRPr="00077F9A">
        <w:t>ringsförfarandet. Enligt detta förfarande bereds fördragsändringar av ett ko</w:t>
      </w:r>
      <w:r w:rsidRPr="00077F9A">
        <w:t>n</w:t>
      </w:r>
      <w:r w:rsidRPr="00077F9A">
        <w:t>vent, och i detta deltar företrädare för de nationella parlamenten. Liksom hittills krävs också de nationella parlamentens godkännande för att en öve</w:t>
      </w:r>
      <w:r w:rsidRPr="00077F9A">
        <w:t>r</w:t>
      </w:r>
      <w:r w:rsidRPr="00077F9A">
        <w:t>enskommen fördragsändring ska träda i kraft. Detsamma gäller anslutning</w:t>
      </w:r>
      <w:r w:rsidRPr="00077F9A">
        <w:t>s</w:t>
      </w:r>
      <w:r w:rsidRPr="00077F9A">
        <w:t xml:space="preserve">fördragen för nya medlemsstater. </w:t>
      </w:r>
    </w:p>
    <w:p w:rsidR="00CF1B5E" w:rsidRPr="00077F9A" w:rsidRDefault="00CF1B5E" w:rsidP="00CF1B5E">
      <w:pPr>
        <w:pStyle w:val="Normaltindrag"/>
      </w:pPr>
      <w:r w:rsidRPr="00077F9A">
        <w:t>I en annan typ av ärenden krävs visserligen inte de nationella parlamentens medverkan, men deras medve</w:t>
      </w:r>
      <w:r w:rsidRPr="00077F9A">
        <w:t>r</w:t>
      </w:r>
      <w:r w:rsidRPr="00077F9A">
        <w:t xml:space="preserve">kan är </w:t>
      </w:r>
      <w:r w:rsidRPr="00077F9A">
        <w:rPr>
          <w:i/>
        </w:rPr>
        <w:t>möjlig</w:t>
      </w:r>
      <w:r w:rsidRPr="00077F9A">
        <w:t xml:space="preserve"> och i så fall avgörande. Det är fördragsändringar enligt det förenklade förfarandet där varje nationellt parl</w:t>
      </w:r>
      <w:r w:rsidRPr="00077F9A">
        <w:t>a</w:t>
      </w:r>
      <w:r w:rsidRPr="00077F9A">
        <w:t xml:space="preserve">ment kan lägga in sitt veto inom sex månader innan Europeiska rådet ska fatta sitt slutliga beslut. </w:t>
      </w:r>
    </w:p>
    <w:p w:rsidR="00CF1B5E" w:rsidRPr="00077F9A" w:rsidRDefault="00CF1B5E" w:rsidP="00CF1B5E">
      <w:pPr>
        <w:pStyle w:val="Normaltindrag"/>
      </w:pPr>
      <w:r w:rsidRPr="00077F9A">
        <w:t>Till dessa ärendetyper kommer det att läggas en tredje typ som rör öve</w:t>
      </w:r>
      <w:r w:rsidRPr="00077F9A">
        <w:t>r</w:t>
      </w:r>
      <w:r w:rsidRPr="00077F9A">
        <w:t>vakningen av Eurojust och Europol. Men villkoren för de nationella parl</w:t>
      </w:r>
      <w:r w:rsidRPr="00077F9A">
        <w:t>a</w:t>
      </w:r>
      <w:r w:rsidRPr="00077F9A">
        <w:t>mentens delt</w:t>
      </w:r>
      <w:r w:rsidRPr="00077F9A">
        <w:t>a</w:t>
      </w:r>
      <w:r w:rsidRPr="00077F9A">
        <w:t>gande i denna övervakning har ännu inte fastställts.</w:t>
      </w:r>
    </w:p>
    <w:p w:rsidR="00CF1B5E" w:rsidRPr="00077F9A" w:rsidRDefault="00CF1B5E" w:rsidP="00CF1B5E">
      <w:pPr>
        <w:pStyle w:val="Normaltindrag"/>
        <w:rPr>
          <w:i/>
        </w:rPr>
      </w:pPr>
      <w:r w:rsidRPr="00077F9A">
        <w:t>I övriga bestämmelser där de nationella parlamenten berörs handlar det varken om krav på eller möjlighet till formell medverkan i EU:s beslutande eller dömande verksamhet, utan endast om information som lämnas från EU:s institutioner till parlamenten. En sammanställning av de dokument som EU-institutionerna enligt fördr</w:t>
      </w:r>
      <w:r w:rsidRPr="00077F9A">
        <w:t>a</w:t>
      </w:r>
      <w:r w:rsidRPr="00077F9A">
        <w:t xml:space="preserve">gen ska överlämna till de nationella parlamenten finns i </w:t>
      </w:r>
      <w:r w:rsidRPr="00077F9A">
        <w:rPr>
          <w:i/>
        </w:rPr>
        <w:t xml:space="preserve">bilaga 2. </w:t>
      </w:r>
      <w:r w:rsidRPr="00077F9A">
        <w:t>Hur de nationella parlamenten hanterar denna information är parlamentens ensak. Den kan användas som underlag för att påverka EU direkt genom fra</w:t>
      </w:r>
      <w:r w:rsidRPr="00077F9A">
        <w:t>m</w:t>
      </w:r>
      <w:r w:rsidRPr="00077F9A">
        <w:t>ställningar till kommissionen (”Barroso-initiativet”) eller andra EU-institutioner eller indirekt via den egna regeringen. För riksdagens del saknas konstitutionell möjlighet att avge formella yttranden direkt till kommi</w:t>
      </w:r>
      <w:r w:rsidRPr="00077F9A">
        <w:t>s</w:t>
      </w:r>
      <w:r w:rsidRPr="00077F9A">
        <w:t xml:space="preserve">sionen (se utl. 2008/09:KU3). </w:t>
      </w:r>
    </w:p>
    <w:p w:rsidR="00CF1B5E" w:rsidRPr="00077F9A" w:rsidRDefault="00CF1B5E" w:rsidP="00CF1B5E">
      <w:pPr>
        <w:pStyle w:val="Normaltindrag"/>
      </w:pPr>
      <w:r w:rsidRPr="00077F9A">
        <w:t>Man kan alltså konstatera att i Lissabonfördraget är de nationella parl</w:t>
      </w:r>
      <w:r w:rsidRPr="00077F9A">
        <w:t>a</w:t>
      </w:r>
      <w:r w:rsidRPr="00077F9A">
        <w:t>menten inte längre bara en mottagare av information från EU:s institutioner som de kan hantera på olika sätt utan att det får någon formell betydelse inom EU. Genom Lissabonfördraget tilldelas de nationella parlamenten en formell roll som beslutsfattare i vissa frågor. Självständigt och som företrädare för sitt land som medlemsstat i EU ska de nationella parlame</w:t>
      </w:r>
      <w:r w:rsidRPr="00077F9A">
        <w:t>n</w:t>
      </w:r>
      <w:r w:rsidRPr="00077F9A">
        <w:t>ten kunna motsätta sig en lagstiftningsakt av subsidiaritetsskäl eller en fördragsändring enligt det förenklade förfarandet. I det stora flertalet av EU:s medlemsstater är styrels</w:t>
      </w:r>
      <w:r w:rsidRPr="00077F9A">
        <w:t>e</w:t>
      </w:r>
      <w:r w:rsidRPr="00077F9A">
        <w:t>skicket parlamentariskt med regeringen i den ledande rollen i frågor som rör relationerna till andra länder och mellanstatliga organisationer. De funktioner som parlamenten får inom EU är således alltså inte bara en nyhet inom EU utan också i de flesta staters konst</w:t>
      </w:r>
      <w:r w:rsidRPr="00077F9A">
        <w:t>i</w:t>
      </w:r>
      <w:r w:rsidRPr="00077F9A">
        <w:t>tutionella liv generellt.</w:t>
      </w:r>
      <w:r w:rsidRPr="00077F9A">
        <w:rPr>
          <w:rStyle w:val="Fotnotsreferens"/>
        </w:rPr>
        <w:footnoteReference w:id="26"/>
      </w:r>
    </w:p>
    <w:p w:rsidR="00CF1B5E" w:rsidRPr="00077F9A" w:rsidRDefault="00CF1B5E" w:rsidP="00CF1B5E">
      <w:pPr>
        <w:pStyle w:val="Normaltindrag"/>
      </w:pPr>
      <w:r w:rsidRPr="00077F9A">
        <w:t>Vad beträffar det interparlamentariska samarbetet tillförs inget nytt genom ändringarna i protokollet om de nationella parlamentens roll. Den europeiska talmanskonferensens beslut i juni 2008 ger ett konkret ramverk för mötesfo</w:t>
      </w:r>
      <w:r w:rsidRPr="00077F9A">
        <w:t>r</w:t>
      </w:r>
      <w:r w:rsidRPr="00077F9A">
        <w:t xml:space="preserve">merna mellan parlamenten och preciserar uppgifterna och verktygen för det interparlamentariska samarbetet. Men inte heller här är det fråga om några egentliga nyheter. </w:t>
      </w:r>
    </w:p>
    <w:p w:rsidR="00CF1B5E" w:rsidRPr="00077F9A" w:rsidRDefault="00CF1B5E" w:rsidP="00CF1B5E">
      <w:bookmarkStart w:id="139" w:name="_Toc223952209"/>
      <w:bookmarkStart w:id="140" w:name="_Toc227660634"/>
      <w:bookmarkStart w:id="141" w:name="_Toc227662099"/>
    </w:p>
    <w:p w:rsidR="00CF1B5E" w:rsidRPr="00077F9A" w:rsidRDefault="00CF1B5E" w:rsidP="00CF1B5E">
      <w:bookmarkStart w:id="142" w:name="_Toc227994090"/>
    </w:p>
    <w:p w:rsidR="00CF1B5E" w:rsidRPr="00077F9A" w:rsidRDefault="00CF1B5E" w:rsidP="00CF1B5E">
      <w:pPr>
        <w:pStyle w:val="Rubrik1"/>
        <w:rPr>
          <w:noProof w:val="0"/>
        </w:rPr>
        <w:sectPr w:rsidR="00CF1B5E" w:rsidRPr="00077F9A" w:rsidSect="00CF1B5E">
          <w:headerReference w:type="even" r:id="rId58"/>
          <w:headerReference w:type="default" r:id="rId59"/>
          <w:footerReference w:type="even" r:id="rId60"/>
          <w:footerReference w:type="default" r:id="rId61"/>
          <w:headerReference w:type="first" r:id="rId62"/>
          <w:footerReference w:type="first" r:id="rId63"/>
          <w:pgSz w:w="11906" w:h="16838" w:code="9"/>
          <w:pgMar w:top="907" w:right="4649" w:bottom="4508" w:left="1304" w:header="340" w:footer="227" w:gutter="0"/>
          <w:cols w:space="720"/>
          <w:titlePg/>
        </w:sectPr>
      </w:pPr>
    </w:p>
    <w:p w:rsidR="00CF1B5E" w:rsidRPr="00077F9A" w:rsidRDefault="00CF1B5E" w:rsidP="00CF1B5E">
      <w:pPr>
        <w:pStyle w:val="Rubrik1"/>
        <w:rPr>
          <w:noProof w:val="0"/>
        </w:rPr>
      </w:pPr>
      <w:bookmarkStart w:id="143" w:name="_Toc230676875"/>
      <w:bookmarkStart w:id="144" w:name="_Toc230677048"/>
      <w:bookmarkStart w:id="145" w:name="_Toc230708104"/>
      <w:r w:rsidRPr="00077F9A">
        <w:rPr>
          <w:noProof w:val="0"/>
        </w:rPr>
        <w:t>5 Försök med subsidiaritetskontroll</w:t>
      </w:r>
      <w:bookmarkEnd w:id="139"/>
      <w:bookmarkEnd w:id="140"/>
      <w:bookmarkEnd w:id="141"/>
      <w:bookmarkEnd w:id="142"/>
      <w:bookmarkEnd w:id="143"/>
      <w:bookmarkEnd w:id="144"/>
      <w:bookmarkEnd w:id="145"/>
    </w:p>
    <w:p w:rsidR="00CF1B5E" w:rsidRPr="00077F9A" w:rsidRDefault="00CF1B5E" w:rsidP="00CF1B5E">
      <w:r w:rsidRPr="00077F9A">
        <w:t>I Cosacs regi har det anordnats sex försök, ett pilotförsök och fem egentliga fö</w:t>
      </w:r>
      <w:r w:rsidRPr="00077F9A">
        <w:t>r</w:t>
      </w:r>
      <w:r w:rsidRPr="00077F9A">
        <w:t>sök, med subsidiaritetskontroll sedan 2005.</w:t>
      </w:r>
      <w:r w:rsidRPr="00077F9A">
        <w:rPr>
          <w:rStyle w:val="Fotnotsreferens"/>
        </w:rPr>
        <w:footnoteReference w:id="27"/>
      </w:r>
      <w:r w:rsidRPr="00077F9A">
        <w:t xml:space="preserve"> Dessa försök rörde följande förslag från kommissionen:</w:t>
      </w:r>
    </w:p>
    <w:p w:rsidR="00CF1B5E" w:rsidRPr="00077F9A" w:rsidRDefault="00CF1B5E" w:rsidP="00CF1B5E">
      <w:pPr>
        <w:pStyle w:val="PunktlistaBomb"/>
      </w:pPr>
      <w:r w:rsidRPr="00077F9A">
        <w:t>Tredje järnvägspaketet mars–april 2005 (pilotprojekt)</w:t>
      </w:r>
    </w:p>
    <w:p w:rsidR="00CF1B5E" w:rsidRPr="00077F9A" w:rsidRDefault="00CF1B5E" w:rsidP="00CF1B5E">
      <w:pPr>
        <w:pStyle w:val="PunktlistaBomb"/>
        <w:spacing w:before="0"/>
      </w:pPr>
      <w:r w:rsidRPr="00077F9A">
        <w:t>Skilsmässolagstiftning juli–september 2006</w:t>
      </w:r>
    </w:p>
    <w:p w:rsidR="00CF1B5E" w:rsidRPr="00077F9A" w:rsidRDefault="00CF1B5E" w:rsidP="00CF1B5E">
      <w:pPr>
        <w:pStyle w:val="PunktlistaBomb"/>
        <w:spacing w:before="0"/>
      </w:pPr>
      <w:r w:rsidRPr="00077F9A">
        <w:t>Gemenskapens inre posttjänster november–december 2006</w:t>
      </w:r>
    </w:p>
    <w:p w:rsidR="00CF1B5E" w:rsidRPr="00077F9A" w:rsidRDefault="00CF1B5E" w:rsidP="00CF1B5E">
      <w:pPr>
        <w:pStyle w:val="PunktlistaBomb"/>
        <w:spacing w:before="0"/>
      </w:pPr>
      <w:r w:rsidRPr="00077F9A">
        <w:t>Bekämpande av terrorism november 2007–januari 2008</w:t>
      </w:r>
    </w:p>
    <w:p w:rsidR="00CF1B5E" w:rsidRPr="00077F9A" w:rsidRDefault="00CF1B5E" w:rsidP="00CF1B5E">
      <w:pPr>
        <w:pStyle w:val="PunktlistaBomb"/>
        <w:spacing w:before="0"/>
      </w:pPr>
      <w:r w:rsidRPr="00077F9A">
        <w:t>Anti-diskrimineringsåtgärder juli–september 2008</w:t>
      </w:r>
    </w:p>
    <w:p w:rsidR="00CF1B5E" w:rsidRPr="00077F9A" w:rsidRDefault="00CF1B5E" w:rsidP="00CF1B5E">
      <w:pPr>
        <w:pStyle w:val="PunktlistaBomb"/>
        <w:spacing w:before="0"/>
      </w:pPr>
      <w:r w:rsidRPr="00077F9A">
        <w:t>Kvalitets- och säkerhetsåtgärder för transplantationsorgan december 2008–januari 2009.</w:t>
      </w:r>
    </w:p>
    <w:p w:rsidR="00CF1B5E" w:rsidRPr="00077F9A" w:rsidRDefault="00CF1B5E" w:rsidP="00CF1B5E">
      <w:r w:rsidRPr="00077F9A">
        <w:t>I pilotförsöket deltog parlamenten i alla medlemsländer utom Malta (saknar järnvägar), Portugal (parlamentet upplöst i samband med val) och Spanien. I Italien och Tyskland deltog bara den ena av kamrarna. I det första egentliga försöket hade endast nio medlemsstater deltagit då tidsfristen på sex veckor gick ut, men därefter tillkom åtta. Sverige deltog inte på grund av riksdagsv</w:t>
      </w:r>
      <w:r w:rsidRPr="00077F9A">
        <w:t>a</w:t>
      </w:r>
      <w:r w:rsidRPr="00077F9A">
        <w:t>let i september. Vid tidsfristens utgång för det andra försöket hade nio länder lämnat in en rapport, men därefter inkom rapporter från ytterligare elva lä</w:t>
      </w:r>
      <w:r w:rsidRPr="00077F9A">
        <w:t>n</w:t>
      </w:r>
      <w:r w:rsidRPr="00077F9A">
        <w:t>der, däribland Sverige. Deltagandet i det tredje försöket uppgick vid tid</w:t>
      </w:r>
      <w:r w:rsidRPr="00077F9A">
        <w:t>s</w:t>
      </w:r>
      <w:r w:rsidRPr="00077F9A">
        <w:t>fristens utgång till 20 länder, bl.a. Sverige. Senare kom tre länder till. I det fjärde försöket deltog 13 länder med avrapportering inom tidsgränsen. Ytte</w:t>
      </w:r>
      <w:r w:rsidRPr="00077F9A">
        <w:t>r</w:t>
      </w:r>
      <w:r w:rsidRPr="00077F9A">
        <w:t>ligare 13 kom in försent på grund av sommaruppehåll.</w:t>
      </w:r>
      <w:r w:rsidRPr="00077F9A">
        <w:rPr>
          <w:rStyle w:val="Fotnotsreferens"/>
        </w:rPr>
        <w:footnoteReference w:id="28"/>
      </w:r>
      <w:r w:rsidRPr="00077F9A">
        <w:t xml:space="preserve"> För det senaste fö</w:t>
      </w:r>
      <w:r w:rsidRPr="00077F9A">
        <w:t>r</w:t>
      </w:r>
      <w:r w:rsidRPr="00077F9A">
        <w:t>söket för</w:t>
      </w:r>
      <w:r w:rsidRPr="00077F9A">
        <w:t>e</w:t>
      </w:r>
      <w:r w:rsidRPr="00077F9A">
        <w:t>ligger ännu inte någon rapport från Cosac.</w:t>
      </w:r>
    </w:p>
    <w:p w:rsidR="00CF1B5E" w:rsidRPr="00077F9A" w:rsidRDefault="00CF1B5E" w:rsidP="00CF1B5E">
      <w:pPr>
        <w:pStyle w:val="Normaltindrag"/>
      </w:pPr>
      <w:r w:rsidRPr="00077F9A">
        <w:t>Om man ser till det totala deltagandet i de egentliga försöken är tendensen stigande, från 17 till 26 länder. Men man kan notera att på grund av somma</w:t>
      </w:r>
      <w:r w:rsidRPr="00077F9A">
        <w:t>r</w:t>
      </w:r>
      <w:r w:rsidRPr="00077F9A">
        <w:t>uppehåll i parlamenten var det många länder som skickade in rapporter om deltagande i det första och fjärde försöket först efter tidsfristens utgång. Tid</w:t>
      </w:r>
      <w:r w:rsidRPr="00077F9A">
        <w:t>s</w:t>
      </w:r>
      <w:r w:rsidRPr="00077F9A">
        <w:t>fristen hade ju ingen betydelse eftersom det rörde sig om ett försök.</w:t>
      </w:r>
    </w:p>
    <w:p w:rsidR="00CF1B5E" w:rsidRPr="00077F9A" w:rsidRDefault="00CF1B5E" w:rsidP="00CF1B5E">
      <w:pPr>
        <w:pStyle w:val="Normaltindrag"/>
      </w:pPr>
      <w:r w:rsidRPr="00077F9A">
        <w:t>I de allra flesta av parlamenten har motsvarigheten till vår EU-nämnd sp</w:t>
      </w:r>
      <w:r w:rsidRPr="00077F9A">
        <w:t>e</w:t>
      </w:r>
      <w:r w:rsidRPr="00077F9A">
        <w:t>lat en huvudroll i subsidiaritet</w:t>
      </w:r>
      <w:r w:rsidRPr="00077F9A">
        <w:t>s</w:t>
      </w:r>
      <w:r w:rsidRPr="00077F9A">
        <w:t>granskningen, antingen så att den ensam står för granskningen eller så att den har en samordnande/överordnad roll i förhå</w:t>
      </w:r>
      <w:r w:rsidRPr="00077F9A">
        <w:t>l</w:t>
      </w:r>
      <w:r w:rsidRPr="00077F9A">
        <w:t>la</w:t>
      </w:r>
      <w:r w:rsidRPr="00077F9A">
        <w:t>n</w:t>
      </w:r>
      <w:r w:rsidRPr="00077F9A">
        <w:t>de till fackutskotten. I drygt hälften av parlamenten har fackutskotten deltagit i processen. Såvitt framgår av det senaste genomförda och avrappo</w:t>
      </w:r>
      <w:r w:rsidRPr="00077F9A">
        <w:t>r</w:t>
      </w:r>
      <w:r w:rsidRPr="00077F9A">
        <w:t>terade försöket är det bara i den belgiska senaten och i Luxemburgs deputer</w:t>
      </w:r>
      <w:r w:rsidRPr="00077F9A">
        <w:t>a</w:t>
      </w:r>
      <w:r w:rsidRPr="00077F9A">
        <w:t xml:space="preserve">dekammare som uppgiften har skötts helt och hållet av ett fackutskott. </w:t>
      </w:r>
    </w:p>
    <w:p w:rsidR="00CF1B5E" w:rsidRPr="00077F9A" w:rsidRDefault="00CF1B5E" w:rsidP="00CF1B5E">
      <w:pPr>
        <w:pStyle w:val="Normaltindrag"/>
      </w:pPr>
      <w:r w:rsidRPr="00077F9A">
        <w:t>För svensk del prövades aldrig den modell för subsidiaritetsgranskningen som Riksdagskommittén (RDK) föreslog fullt ut, men i pilotförsöket deltog föru</w:t>
      </w:r>
      <w:r w:rsidRPr="00077F9A">
        <w:t>t</w:t>
      </w:r>
      <w:r w:rsidRPr="00077F9A">
        <w:t>om två fackutskott också KU i enlighet med modellen. (För en översikt av den föreslagna mode</w:t>
      </w:r>
      <w:r w:rsidRPr="00077F9A">
        <w:t>l</w:t>
      </w:r>
      <w:r w:rsidR="00D5545C" w:rsidRPr="00077F9A">
        <w:t>len se figuren på s. 51</w:t>
      </w:r>
      <w:r w:rsidRPr="00077F9A">
        <w:t>.) Å andra sidan var det bara i det försöket som ett av de deltagande fackutskotten (trafikutskottet, det andra var lagutskottet) kom till slutsatsen att de prövade utkasten till direktiv delvis stod i strid med subsidiaritetsprincipen. Enligt den föreslagna modellen var KU:s prö</w:t>
      </w:r>
      <w:r w:rsidRPr="00077F9A">
        <w:t>v</w:t>
      </w:r>
      <w:r w:rsidRPr="00077F9A">
        <w:t>ning i sådana fall obligatorisk. Men enligt modellen kunde också KU på eget initi</w:t>
      </w:r>
      <w:r w:rsidRPr="00077F9A">
        <w:t>a</w:t>
      </w:r>
      <w:r w:rsidRPr="00077F9A">
        <w:t>tiv pröva alla utkast. Detta skedde emellertid inte. Inte heller gavs i försöken ledamöterna möjlighet att anmäla ett utkast till subsidiaritet</w:t>
      </w:r>
      <w:r w:rsidRPr="00077F9A">
        <w:t>s</w:t>
      </w:r>
      <w:r w:rsidRPr="00077F9A">
        <w:t>granskning i KU, vilket hade föresl</w:t>
      </w:r>
      <w:r w:rsidRPr="00077F9A">
        <w:t>a</w:t>
      </w:r>
      <w:r w:rsidRPr="00077F9A">
        <w:t xml:space="preserve">gits av RDK. </w:t>
      </w:r>
    </w:p>
    <w:p w:rsidR="00CF1B5E" w:rsidRPr="00077F9A" w:rsidRDefault="00CF1B5E" w:rsidP="00CF1B5E">
      <w:pPr>
        <w:pStyle w:val="Normaltindrag"/>
      </w:pPr>
      <w:r w:rsidRPr="00077F9A">
        <w:t>I de fyra andra försök som riksdagen deltagit i har subsidiaritetsprövningen gjorts endast av ett fackutskott – trafikutskottet i fallet inre posttjänster, just</w:t>
      </w:r>
      <w:r w:rsidRPr="00077F9A">
        <w:t>i</w:t>
      </w:r>
      <w:r w:rsidRPr="00077F9A">
        <w:t>tieutskottet i frågan om åtgärder mot terrorism, arbetsmarknadsu</w:t>
      </w:r>
      <w:r w:rsidRPr="00077F9A">
        <w:t>t</w:t>
      </w:r>
      <w:r w:rsidRPr="00077F9A">
        <w:t>skottet när det gällde anti-diskrimineringsdirektivet och socialutskottet i frågan om o</w:t>
      </w:r>
      <w:r w:rsidRPr="00077F9A">
        <w:t>r</w:t>
      </w:r>
      <w:r w:rsidRPr="00077F9A">
        <w:t>gantransplantation.</w:t>
      </w:r>
    </w:p>
    <w:p w:rsidR="00CF1B5E" w:rsidRPr="00077F9A" w:rsidRDefault="00CF1B5E" w:rsidP="00CF1B5E">
      <w:pPr>
        <w:pStyle w:val="Normaltindrag"/>
      </w:pPr>
      <w:r w:rsidRPr="00077F9A">
        <w:t>Regeringarna i alla länder har med några få undantag varit involverade i de parlamentariska organens subs</w:t>
      </w:r>
      <w:r w:rsidRPr="00077F9A">
        <w:t>i</w:t>
      </w:r>
      <w:r w:rsidRPr="00077F9A">
        <w:t>diaritetsgranskning. I riksdagen fanns det faktapromemorior från regeringen i alla de fem försöksfrågorna innan förs</w:t>
      </w:r>
      <w:r w:rsidRPr="00077F9A">
        <w:t>ö</w:t>
      </w:r>
      <w:r w:rsidRPr="00077F9A">
        <w:t>ket var avslutat.</w:t>
      </w:r>
      <w:r w:rsidRPr="00077F9A">
        <w:rPr>
          <w:rStyle w:val="Fotnotsreferens"/>
        </w:rPr>
        <w:footnoteReference w:id="29"/>
      </w:r>
      <w:r w:rsidRPr="00077F9A">
        <w:t xml:space="preserve"> I två fall förelåg faktapromemorior innan försöket hade påbörjats; i de övriga tre kom en faktapromemoria medan försöket pågick. I alla frågorna lämnades också muntlig information från Regeringskansliet till utskotten vid slutna utfrågningar. Denna information var inte alltid begränsad till subs</w:t>
      </w:r>
      <w:r w:rsidRPr="00077F9A">
        <w:t>i</w:t>
      </w:r>
      <w:r w:rsidRPr="00077F9A">
        <w:t>diaritetsfrågan.</w:t>
      </w:r>
    </w:p>
    <w:p w:rsidR="00CF1B5E" w:rsidRPr="00077F9A" w:rsidRDefault="00CF1B5E" w:rsidP="00CF1B5E">
      <w:pPr>
        <w:pStyle w:val="Normaltindrag"/>
      </w:pPr>
      <w:r w:rsidRPr="00077F9A">
        <w:t>Utgången av prövningen blev i de flesta försöksfrågorna att ett överväga</w:t>
      </w:r>
      <w:r w:rsidRPr="00077F9A">
        <w:t>n</w:t>
      </w:r>
      <w:r w:rsidRPr="00077F9A">
        <w:t>de flertal av parlamenten ansåg att utkastet (utkasten) inte stred mot subsidi</w:t>
      </w:r>
      <w:r w:rsidRPr="00077F9A">
        <w:t>a</w:t>
      </w:r>
      <w:r w:rsidRPr="00077F9A">
        <w:t>ritetsprincipen. Bara i ett fall var meningarna starkt delade, och det var i pilo</w:t>
      </w:r>
      <w:r w:rsidRPr="00077F9A">
        <w:t>t</w:t>
      </w:r>
      <w:r w:rsidRPr="00077F9A">
        <w:t>försöket, tredje järnvägspaketet. Drygt en tredjedel av parlamenten ansåg att ett eller flera av de prövade direktiven stred mot subsidiaritetsprincipen. I riksdagen ansåg TU att två av direktiven var oförenliga med denna princip. Men KU – som hade att fatta det slutliga beslutet eftersom ingen kammarb</w:t>
      </w:r>
      <w:r w:rsidRPr="00077F9A">
        <w:t>e</w:t>
      </w:r>
      <w:r w:rsidRPr="00077F9A">
        <w:t>handling för</w:t>
      </w:r>
      <w:r w:rsidRPr="00077F9A">
        <w:t>e</w:t>
      </w:r>
      <w:r w:rsidRPr="00077F9A">
        <w:t>kom – ansåg att bara ett av direktiven inte var förenligt med subsidiaritetsprincipen. I de andra försöken som riksdagen deltog i har r</w:t>
      </w:r>
      <w:r w:rsidRPr="00077F9A">
        <w:t>e</w:t>
      </w:r>
      <w:r w:rsidRPr="00077F9A">
        <w:t>spektive fackutskott ansett att inget brott mot subsidiaritetsprincipen förel</w:t>
      </w:r>
      <w:r w:rsidRPr="00077F9A">
        <w:t>e</w:t>
      </w:r>
      <w:r w:rsidRPr="00077F9A">
        <w:t>gat. Däremot ställde sig JuU i förslaget om bekämpande av terrorism tve</w:t>
      </w:r>
      <w:r w:rsidRPr="00077F9A">
        <w:t>k</w:t>
      </w:r>
      <w:r w:rsidRPr="00077F9A">
        <w:t>samt till om de åtgärder som skulle vidtas stod i proportion till de mål som skulle uppnås, dvs. ett möjligt brott mot proportionalitetsprincipen. Beträ</w:t>
      </w:r>
      <w:r w:rsidRPr="00077F9A">
        <w:t>f</w:t>
      </w:r>
      <w:r w:rsidRPr="00077F9A">
        <w:t>fande detta förslag ansåg en minoritet (v och mp) inom JuU att det stred mot både subsidiaritetsprincipen och pr</w:t>
      </w:r>
      <w:r w:rsidRPr="00077F9A">
        <w:t>o</w:t>
      </w:r>
      <w:r w:rsidRPr="00077F9A">
        <w:t xml:space="preserve">portionalitetsprincipen. </w:t>
      </w:r>
    </w:p>
    <w:p w:rsidR="00CF1B5E" w:rsidRPr="00077F9A" w:rsidRDefault="00CF1B5E" w:rsidP="00CF1B5E">
      <w:pPr>
        <w:pStyle w:val="Normaltindrag"/>
      </w:pPr>
      <w:r w:rsidRPr="00077F9A">
        <w:t>Rapporterna från de nationella parlamenten innehåller också redovisningar av de problem som de haft vid subsidiaritetsprövningen. Ett återkommande problem i granskningen är att man anser att kommissionen inte tillräckligt ingående motiverat förslagens förenlighet med subsidiaritetsprincipen. Från svensk sida fanns den kritiken i fråga om tredje järnvägsdirektivet och anti-diskrimineringsdirektivet. I det senare fallet ansåg AU att målen med de föreslagna åtgärderna inte hade utvecklats tillräckligt. I de andra tre försöken har de berörda riksdagsutskotten förklarat sig nöjda med motiveringens u</w:t>
      </w:r>
      <w:r w:rsidRPr="00077F9A">
        <w:t>t</w:t>
      </w:r>
      <w:r w:rsidRPr="00077F9A">
        <w:t xml:space="preserve">formning. </w:t>
      </w:r>
    </w:p>
    <w:p w:rsidR="00CF1B5E" w:rsidRPr="00077F9A" w:rsidRDefault="00CF1B5E" w:rsidP="00CF1B5E">
      <w:pPr>
        <w:pStyle w:val="Normaltindrag"/>
      </w:pPr>
      <w:r w:rsidRPr="00077F9A">
        <w:t>En annan vanlig kritik var att tidsfristen var för kort. Ändå förlängdes den i enlighet med Lissabonfördr</w:t>
      </w:r>
      <w:r w:rsidRPr="00077F9A">
        <w:t>a</w:t>
      </w:r>
      <w:r w:rsidRPr="00077F9A">
        <w:t>gets regler från sex till åtta veckor från och med det försök som gällde åtgärder mot terrorism. I det fallet och också i det s</w:t>
      </w:r>
      <w:r w:rsidRPr="00077F9A">
        <w:t>e</w:t>
      </w:r>
      <w:r w:rsidRPr="00077F9A">
        <w:t>naste försöket inföll dock i många parlament, inklusive det svenska, ett julu</w:t>
      </w:r>
      <w:r w:rsidRPr="00077F9A">
        <w:t>p</w:t>
      </w:r>
      <w:r w:rsidRPr="00077F9A">
        <w:t>pehåll under fö</w:t>
      </w:r>
      <w:r w:rsidRPr="00077F9A">
        <w:t>r</w:t>
      </w:r>
      <w:r w:rsidRPr="00077F9A">
        <w:t>söksperioden. I försöket med åtgärder mot diskriminering löpte åttaveckorsperioden under sommaruppehållet i riksdagen och i de flesta andra parlament. Bara fyra av de deltagande kamrarna hade inga klagomål mot tid</w:t>
      </w:r>
      <w:r w:rsidRPr="00077F9A">
        <w:t>s</w:t>
      </w:r>
      <w:r w:rsidRPr="00077F9A">
        <w:t xml:space="preserve">fristen i detta fall. </w:t>
      </w:r>
    </w:p>
    <w:p w:rsidR="00CF1B5E" w:rsidRPr="00077F9A" w:rsidRDefault="00CF1B5E" w:rsidP="00CF1B5E">
      <w:pPr>
        <w:pStyle w:val="Normaltindrag"/>
      </w:pPr>
      <w:r w:rsidRPr="00077F9A">
        <w:t>Ett problem som framhållits av riksdagen är svårigheten att skilja subsidi</w:t>
      </w:r>
      <w:r w:rsidRPr="00077F9A">
        <w:t>a</w:t>
      </w:r>
      <w:r w:rsidRPr="00077F9A">
        <w:t>ritetsgranskningen från en granskning av sakinnehållet i förslagen. Problemet omnämns i samband med två av försöken, pilotförsöket (tredje järnvägspak</w:t>
      </w:r>
      <w:r w:rsidRPr="00077F9A">
        <w:t>e</w:t>
      </w:r>
      <w:r w:rsidRPr="00077F9A">
        <w:t xml:space="preserve">tet) och det tredje (åtgärder mot terrorism). </w:t>
      </w:r>
    </w:p>
    <w:p w:rsidR="00CF1B5E" w:rsidRPr="00077F9A" w:rsidRDefault="00CF1B5E" w:rsidP="00CF1B5E">
      <w:pPr>
        <w:pStyle w:val="Normaltindrag"/>
      </w:pPr>
      <w:r w:rsidRPr="00077F9A">
        <w:t>I det senast genomförda försöket (organtransplantation) var i varje fall för riksdagens del – beträffande de andra länderna föreligger ännu ej uppgifter – problemen mindre utom vad beträffar tidsfristens förläggning (se ovan). Sk</w:t>
      </w:r>
      <w:r w:rsidRPr="00077F9A">
        <w:t>ä</w:t>
      </w:r>
      <w:r w:rsidRPr="00077F9A">
        <w:t>len för unionsåtgärder ansågs ha redovisats klart och tydligt av kommissi</w:t>
      </w:r>
      <w:r w:rsidRPr="00077F9A">
        <w:t>o</w:t>
      </w:r>
      <w:r w:rsidRPr="00077F9A">
        <w:t>nen. Det var heller inga svårigheter att koncentrera behandlingen på subsidi</w:t>
      </w:r>
      <w:r w:rsidRPr="00077F9A">
        <w:t>a</w:t>
      </w:r>
      <w:r w:rsidRPr="00077F9A">
        <w:t>ritetsfrågan. Information från andra parlament hade funnits att tillgå på IPEX. Från svensk synpunkt framstår detta försök som det mest lyckade.</w:t>
      </w:r>
      <w:r w:rsidRPr="00077F9A">
        <w:rPr>
          <w:rStyle w:val="Fotnotsreferens"/>
        </w:rPr>
        <w:footnoteReference w:id="30"/>
      </w:r>
    </w:p>
    <w:p w:rsidR="00CF1B5E" w:rsidRPr="00077F9A" w:rsidRDefault="00CF1B5E" w:rsidP="00CF1B5E">
      <w:bookmarkStart w:id="146" w:name="_Toc223952210"/>
      <w:bookmarkStart w:id="147" w:name="_Toc227660635"/>
      <w:bookmarkStart w:id="148" w:name="_Toc227662100"/>
      <w:bookmarkStart w:id="149" w:name="_Toc227994091"/>
    </w:p>
    <w:p w:rsidR="00CF1B5E" w:rsidRPr="00077F9A" w:rsidRDefault="00CF1B5E" w:rsidP="00CF1B5E">
      <w:pPr>
        <w:sectPr w:rsidR="00CF1B5E" w:rsidRPr="00077F9A" w:rsidSect="00CF1B5E">
          <w:headerReference w:type="even" r:id="rId64"/>
          <w:headerReference w:type="default" r:id="rId65"/>
          <w:footerReference w:type="even" r:id="rId66"/>
          <w:footerReference w:type="default" r:id="rId67"/>
          <w:headerReference w:type="first" r:id="rId68"/>
          <w:footerReference w:type="first" r:id="rId69"/>
          <w:pgSz w:w="11906" w:h="16838" w:code="9"/>
          <w:pgMar w:top="907" w:right="4649" w:bottom="4508" w:left="1304" w:header="340" w:footer="227" w:gutter="0"/>
          <w:cols w:space="720"/>
          <w:titlePg/>
        </w:sectPr>
      </w:pPr>
    </w:p>
    <w:p w:rsidR="00CF1B5E" w:rsidRPr="00077F9A" w:rsidRDefault="00CF1B5E" w:rsidP="00CF1B5E">
      <w:pPr>
        <w:pStyle w:val="Rubrik1"/>
        <w:spacing w:after="360"/>
        <w:rPr>
          <w:noProof w:val="0"/>
        </w:rPr>
      </w:pPr>
      <w:bookmarkStart w:id="150" w:name="_Toc230676876"/>
      <w:bookmarkStart w:id="151" w:name="_Toc230677049"/>
      <w:bookmarkStart w:id="152" w:name="_Toc230708105"/>
      <w:r w:rsidRPr="00077F9A">
        <w:rPr>
          <w:noProof w:val="0"/>
        </w:rPr>
        <w:t>6 Riksdagens deltagande i EU:s beslutsprocesser – överväganden och förslag</w:t>
      </w:r>
      <w:bookmarkEnd w:id="146"/>
      <w:bookmarkEnd w:id="147"/>
      <w:bookmarkEnd w:id="148"/>
      <w:bookmarkEnd w:id="149"/>
      <w:bookmarkEnd w:id="150"/>
      <w:bookmarkEnd w:id="151"/>
      <w:bookmarkEnd w:id="152"/>
    </w:p>
    <w:p w:rsidR="00CF1B5E" w:rsidRPr="00077F9A" w:rsidRDefault="00CF1B5E" w:rsidP="00CF1B5E">
      <w:pPr>
        <w:pStyle w:val="Rubrik2"/>
        <w:spacing w:before="0"/>
      </w:pPr>
      <w:bookmarkStart w:id="153" w:name="_Toc227660636"/>
      <w:bookmarkStart w:id="154" w:name="_Toc227662101"/>
      <w:bookmarkStart w:id="155" w:name="_Toc227994092"/>
      <w:bookmarkStart w:id="156" w:name="_Toc230676877"/>
      <w:bookmarkStart w:id="157" w:name="_Toc230677050"/>
      <w:bookmarkStart w:id="158" w:name="_Toc230708106"/>
      <w:r w:rsidRPr="00077F9A">
        <w:t>6.1 Inledning</w:t>
      </w:r>
      <w:bookmarkEnd w:id="153"/>
      <w:bookmarkEnd w:id="154"/>
      <w:bookmarkEnd w:id="155"/>
      <w:bookmarkEnd w:id="156"/>
      <w:bookmarkEnd w:id="157"/>
      <w:bookmarkEnd w:id="158"/>
    </w:p>
    <w:p w:rsidR="00CF1B5E" w:rsidRPr="00077F9A" w:rsidRDefault="00CF1B5E" w:rsidP="00CF1B5E">
      <w:r w:rsidRPr="00077F9A">
        <w:t>Utgångspunkten för utredningens överväganden är de förslag som lämnades av Riksdagskommittén (RDK) till riksdagsstyrelsen i december 2005 (framst. 2005/06:RS3 s. 58–64, 193–200). Förslagen baserades på det ko</w:t>
      </w:r>
      <w:r w:rsidRPr="00077F9A">
        <w:t>n</w:t>
      </w:r>
      <w:r w:rsidRPr="00077F9A">
        <w:t>stitutionella fördraget som hade undertecknats i Rom i oktober 2004 men som aldrig trä</w:t>
      </w:r>
      <w:r w:rsidRPr="00077F9A">
        <w:t>d</w:t>
      </w:r>
      <w:r w:rsidRPr="00077F9A">
        <w:t>de i kraft. Det är små skillnader mellan det konstitutionella fördraget och Lissabonfördraget i de avseenden som är aktuella här (de nationella parlame</w:t>
      </w:r>
      <w:r w:rsidRPr="00077F9A">
        <w:t>n</w:t>
      </w:r>
      <w:r w:rsidRPr="00077F9A">
        <w:t>tens roll). När det gäller subsidiaritetskontrollen utsträcks tidsfristen för pa</w:t>
      </w:r>
      <w:r w:rsidRPr="00077F9A">
        <w:t>r</w:t>
      </w:r>
      <w:r w:rsidRPr="00077F9A">
        <w:t>lamentens behandling av utkasten till lagstiftningsakter från sex till åtta vec</w:t>
      </w:r>
      <w:r w:rsidRPr="00077F9A">
        <w:t>k</w:t>
      </w:r>
      <w:r w:rsidRPr="00077F9A">
        <w:t>or. Vidare kan en kritik från en majoritet av parlamenten av tillämpnin</w:t>
      </w:r>
      <w:r w:rsidRPr="00077F9A">
        <w:t>g</w:t>
      </w:r>
      <w:r w:rsidRPr="00077F9A">
        <w:t>en av subsidiaritetsprincipen i ett visst fall få vidare konsekvenser än att kommi</w:t>
      </w:r>
      <w:r w:rsidRPr="00077F9A">
        <w:t>s</w:t>
      </w:r>
      <w:r w:rsidRPr="00077F9A">
        <w:t>sionen måste ompröva utkastet. Slutligen har det i Lissabonfördraget til</w:t>
      </w:r>
      <w:r w:rsidRPr="00077F9A">
        <w:t>l</w:t>
      </w:r>
      <w:r w:rsidRPr="00077F9A">
        <w:t>kommit en mö</w:t>
      </w:r>
      <w:r w:rsidRPr="00077F9A">
        <w:t>j</w:t>
      </w:r>
      <w:r w:rsidRPr="00077F9A">
        <w:t>lighet för de nationella parlamenten att stoppa en föreslagen övergång till det ordinarie lagstiftningsförfarandet på en del av det familj</w:t>
      </w:r>
      <w:r w:rsidRPr="00077F9A">
        <w:t>e</w:t>
      </w:r>
      <w:r w:rsidRPr="00077F9A">
        <w:t>rättsliga området.</w:t>
      </w:r>
    </w:p>
    <w:p w:rsidR="00CF1B5E" w:rsidRPr="00077F9A" w:rsidRDefault="00CF1B5E" w:rsidP="00CF1B5E">
      <w:pPr>
        <w:pStyle w:val="Normaltindrag"/>
      </w:pPr>
      <w:r w:rsidRPr="00077F9A">
        <w:t>För riksdagens deltagande i beslutsfattandet inom EU enligt Lissabonfö</w:t>
      </w:r>
      <w:r w:rsidRPr="00077F9A">
        <w:t>r</w:t>
      </w:r>
      <w:r w:rsidRPr="00077F9A">
        <w:t>draget måste nya procedurer skapas när det gäller två typer av ärenden inom EU. Den ena och utan tvekan vanligaste ärendetypen är utkasten till lagstif</w:t>
      </w:r>
      <w:r w:rsidRPr="00077F9A">
        <w:t>t</w:t>
      </w:r>
      <w:r w:rsidRPr="00077F9A">
        <w:t>ning</w:t>
      </w:r>
      <w:r w:rsidRPr="00077F9A">
        <w:t>s</w:t>
      </w:r>
      <w:r w:rsidRPr="00077F9A">
        <w:t>akter där riksdagen ska kontrollera subsidiaritetsprincipens tillämpning. Den andra ärendetypen är fördragsändringar. När fördragsändringar sker med det förenklade förfarandet kan riksdagen lägga in sitt veto. När de sker enligt det ordinarie förfarandet ska riksdagen utse företrädare i det konvent som ska bereda försl</w:t>
      </w:r>
      <w:r w:rsidRPr="00077F9A">
        <w:t>a</w:t>
      </w:r>
      <w:r w:rsidRPr="00077F9A">
        <w:t>gen.</w:t>
      </w:r>
    </w:p>
    <w:p w:rsidR="00CF1B5E" w:rsidRPr="00077F9A" w:rsidRDefault="00CF1B5E" w:rsidP="00CF1B5E">
      <w:pPr>
        <w:pStyle w:val="Normaltindrag"/>
      </w:pPr>
      <w:r w:rsidRPr="00077F9A">
        <w:t>I direktiven till utredningen sägs att den bör bedöma om RDK:s förslag bör revideras. Direktiven framhåller att en utgångspunkt för utredningen bör vara att inte skapa särregleringar för hanteringen av dessa frågor i större utsträc</w:t>
      </w:r>
      <w:r w:rsidRPr="00077F9A">
        <w:t>k</w:t>
      </w:r>
      <w:r w:rsidRPr="00077F9A">
        <w:t>ning än nödvändigt. Mot denna bakgrund har utredningen strävat efter att förenkla det ganska komplicerade förfarande som RDK föreslog för subsidi</w:t>
      </w:r>
      <w:r w:rsidRPr="00077F9A">
        <w:t>a</w:t>
      </w:r>
      <w:r w:rsidRPr="00077F9A">
        <w:t>ritetsprövningen och prövningen av fördragsändringar enligt det förenklade förfarandet. En förenkling får dock inte gå ut över grundligheten i prövningen eller hänsynst</w:t>
      </w:r>
      <w:r w:rsidRPr="00077F9A">
        <w:t>a</w:t>
      </w:r>
      <w:r w:rsidRPr="00077F9A">
        <w:t>gandet till minoriteter i riksdagen.</w:t>
      </w:r>
    </w:p>
    <w:p w:rsidR="00CF1B5E" w:rsidRPr="00077F9A" w:rsidRDefault="00CF1B5E" w:rsidP="00CF1B5E">
      <w:pPr>
        <w:pStyle w:val="Normaltindrag"/>
      </w:pPr>
      <w:r w:rsidRPr="00077F9A">
        <w:t>En samlad beskrivning av RDK:s förslag finns i</w:t>
      </w:r>
      <w:r w:rsidR="00122558" w:rsidRPr="00077F9A">
        <w:t xml:space="preserve"> 2008/09:URF2</w:t>
      </w:r>
      <w:r w:rsidRPr="00077F9A">
        <w:t xml:space="preserve"> </w:t>
      </w:r>
      <w:r w:rsidR="00122558" w:rsidRPr="00077F9A">
        <w:t>(</w:t>
      </w:r>
      <w:r w:rsidRPr="00077F9A">
        <w:rPr>
          <w:i/>
        </w:rPr>
        <w:t>arbet</w:t>
      </w:r>
      <w:r w:rsidRPr="00077F9A">
        <w:rPr>
          <w:i/>
        </w:rPr>
        <w:t>s</w:t>
      </w:r>
      <w:r w:rsidRPr="00077F9A">
        <w:rPr>
          <w:i/>
        </w:rPr>
        <w:t>promemoria 3</w:t>
      </w:r>
      <w:r w:rsidR="00122558" w:rsidRPr="00077F9A">
        <w:t>).</w:t>
      </w:r>
      <w:r w:rsidRPr="00077F9A">
        <w:t xml:space="preserve"> Här återges en grafisk framställning av förslaget som hä</w:t>
      </w:r>
      <w:r w:rsidRPr="00077F9A">
        <w:t>m</w:t>
      </w:r>
      <w:r w:rsidRPr="00077F9A">
        <w:t>tats från denna PM.</w:t>
      </w:r>
    </w:p>
    <w:p w:rsidR="00CF1B5E" w:rsidRPr="00077F9A" w:rsidRDefault="00CF1B5E" w:rsidP="00CF1B5E">
      <w:pPr>
        <w:pStyle w:val="Bildrubrik"/>
        <w:pageBreakBefore/>
        <w:ind w:left="624" w:hanging="624"/>
      </w:pPr>
      <w:r w:rsidRPr="00077F9A">
        <w:rPr>
          <w:i/>
        </w:rPr>
        <w:t>Figur 2</w:t>
      </w:r>
      <w:r w:rsidRPr="00077F9A">
        <w:t xml:space="preserve"> Flödesschema över Riksdagskommitténs förslag till subs</w:t>
      </w:r>
      <w:r w:rsidRPr="00077F9A">
        <w:t>i</w:t>
      </w:r>
      <w:r w:rsidRPr="00077F9A">
        <w:t>diaritet</w:t>
      </w:r>
      <w:r w:rsidRPr="00077F9A">
        <w:t>s</w:t>
      </w:r>
      <w:r w:rsidRPr="00077F9A">
        <w:t>kontroll</w:t>
      </w:r>
    </w:p>
    <w:p w:rsidR="00CF1B5E" w:rsidRPr="00077F9A" w:rsidRDefault="00077F9A" w:rsidP="002249DA">
      <w:pPr>
        <w:spacing w:before="240"/>
      </w:pPr>
      <w:r w:rsidRPr="00077F9A">
        <w:rPr>
          <w:noProof/>
        </w:rPr>
        <w:drawing>
          <wp:inline distT="0" distB="0" distL="0" distR="0">
            <wp:extent cx="4210050" cy="32575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210050" cy="3257550"/>
                    </a:xfrm>
                    <a:prstGeom prst="rect">
                      <a:avLst/>
                    </a:prstGeom>
                    <a:noFill/>
                    <a:ln>
                      <a:noFill/>
                    </a:ln>
                  </pic:spPr>
                </pic:pic>
              </a:graphicData>
            </a:graphic>
          </wp:inline>
        </w:drawing>
      </w:r>
    </w:p>
    <w:p w:rsidR="00CF1B5E" w:rsidRPr="00077F9A" w:rsidRDefault="00CF1B5E" w:rsidP="00CF1B5E">
      <w:pPr>
        <w:pStyle w:val="Rubrik2"/>
      </w:pPr>
      <w:bookmarkStart w:id="159" w:name="_Toc227660637"/>
      <w:bookmarkStart w:id="160" w:name="_Toc227662102"/>
      <w:bookmarkStart w:id="161" w:name="_Toc227994093"/>
      <w:bookmarkStart w:id="162" w:name="_Toc230676878"/>
      <w:bookmarkStart w:id="163" w:name="_Toc230677051"/>
      <w:bookmarkStart w:id="164" w:name="_Toc230708107"/>
      <w:r w:rsidRPr="00077F9A">
        <w:t>6.2 Subsidiaritetskontrollen</w:t>
      </w:r>
      <w:bookmarkEnd w:id="159"/>
      <w:bookmarkEnd w:id="160"/>
      <w:bookmarkEnd w:id="161"/>
      <w:bookmarkEnd w:id="162"/>
      <w:bookmarkEnd w:id="163"/>
      <w:bookmarkEnd w:id="164"/>
    </w:p>
    <w:p w:rsidR="00CF1B5E" w:rsidRPr="00077F9A" w:rsidRDefault="00CF1B5E" w:rsidP="00CF1B5E">
      <w:r w:rsidRPr="00077F9A">
        <w:t>Som framgått tidigare ges de nationella parlamenten i Lissabonfördraget en särskild roll i kontrollen av tillämpningen av subsidiaritetsprincipen. I fördr</w:t>
      </w:r>
      <w:r w:rsidRPr="00077F9A">
        <w:t>a</w:t>
      </w:r>
      <w:r w:rsidRPr="00077F9A">
        <w:t>get beskrivs denna princip på följande sätt (FEU art. 5.3).</w:t>
      </w:r>
    </w:p>
    <w:p w:rsidR="00CF1B5E" w:rsidRPr="00077F9A" w:rsidRDefault="00CF1B5E" w:rsidP="00CF1B5E">
      <w:pPr>
        <w:pStyle w:val="Citat"/>
        <w:spacing w:before="60"/>
      </w:pPr>
      <w:r w:rsidRPr="00077F9A">
        <w:t>Enligt subsidiaritetsprincipen ska unionen på de områden där den inte har e</w:t>
      </w:r>
      <w:r w:rsidRPr="00077F9A">
        <w:t>x</w:t>
      </w:r>
      <w:r w:rsidRPr="00077F9A">
        <w:t>klusiv befogenhet vidta en åtgärd endast om och i den mån som målen för den planerade åtgärden inte i tillräcklig utsträckning kan uppnås av medlem</w:t>
      </w:r>
      <w:r w:rsidRPr="00077F9A">
        <w:t>s</w:t>
      </w:r>
      <w:r w:rsidRPr="00077F9A">
        <w:t>staterna, vare sig på central nivå eller på regional och lokal nivå, och därför, på grund av den planerade åtgärdens omfattning eller ver</w:t>
      </w:r>
      <w:r w:rsidRPr="00077F9A">
        <w:t>k</w:t>
      </w:r>
      <w:r w:rsidRPr="00077F9A">
        <w:t>ningar, bättre kan uppnås på unionsnivå.</w:t>
      </w:r>
    </w:p>
    <w:p w:rsidR="00CF1B5E" w:rsidRPr="00077F9A" w:rsidRDefault="00CF1B5E" w:rsidP="00CF1B5E">
      <w:r w:rsidRPr="00077F9A">
        <w:t>Subsidiaritetsprincipen gäller således inte på de områden där unionen har exklusiv kompetens, dvs. områden där unionen ensam har beslutanderätten. Sådana områden är tullunionen, vissa konkurrensregler och den g</w:t>
      </w:r>
      <w:r w:rsidRPr="00077F9A">
        <w:t>e</w:t>
      </w:r>
      <w:r w:rsidRPr="00077F9A">
        <w:t>mensamma handelspolitiken. För övriga områden inom unionssamarbetet gäller att subs</w:t>
      </w:r>
      <w:r w:rsidRPr="00077F9A">
        <w:t>i</w:t>
      </w:r>
      <w:r w:rsidRPr="00077F9A">
        <w:t>diaritetsprincipen ska tillämpas. Det gäller bl.a. den inre marknaden, miljö, konsumentskydd, transport, energi och området med frihet, säkerhet och rättvisa. Utredningen har närmare angett de områden där subsidiaritetsprinc</w:t>
      </w:r>
      <w:r w:rsidRPr="00077F9A">
        <w:t>i</w:t>
      </w:r>
      <w:r w:rsidRPr="00077F9A">
        <w:t>pen är tilläm</w:t>
      </w:r>
      <w:r w:rsidRPr="00077F9A">
        <w:t>p</w:t>
      </w:r>
      <w:r w:rsidRPr="00077F9A">
        <w:t xml:space="preserve">lig respektive inte tillämplig (se s. </w:t>
      </w:r>
      <w:smartTag w:uri="urn:schemas-microsoft-com:office:smarttags" w:element="metricconverter">
        <w:smartTagPr>
          <w:attr w:name="ProductID" w:val="33 f"/>
        </w:smartTagPr>
        <w:r w:rsidR="006734A5" w:rsidRPr="00077F9A">
          <w:t xml:space="preserve">33 </w:t>
        </w:r>
        <w:r w:rsidRPr="00077F9A">
          <w:t>f</w:t>
        </w:r>
      </w:smartTag>
      <w:r w:rsidRPr="00077F9A">
        <w:t>.).</w:t>
      </w:r>
    </w:p>
    <w:p w:rsidR="00CF1B5E" w:rsidRPr="00077F9A" w:rsidRDefault="00CF1B5E" w:rsidP="00CF1B5E">
      <w:pPr>
        <w:pStyle w:val="Normaltindrag"/>
      </w:pPr>
      <w:r w:rsidRPr="00077F9A">
        <w:t>Utredningen delar Riksdagskommitténs uppfattning att prövningen av fr</w:t>
      </w:r>
      <w:r w:rsidRPr="00077F9A">
        <w:t>å</w:t>
      </w:r>
      <w:r w:rsidRPr="00077F9A">
        <w:t>gan om ett lagstiftningsförslag är förenligt med subsidiaritetsprincipen i h</w:t>
      </w:r>
      <w:r w:rsidRPr="00077F9A">
        <w:t>u</w:t>
      </w:r>
      <w:r w:rsidRPr="00077F9A">
        <w:t>vudsak inte är att beteckna som en laglighetsprövning utan en lämplighet</w:t>
      </w:r>
      <w:r w:rsidRPr="00077F9A">
        <w:t>s</w:t>
      </w:r>
      <w:r w:rsidRPr="00077F9A">
        <w:t>prövning. Självfallet måste en laglighetsprövning göras när det gäller den rättsliga gru</w:t>
      </w:r>
      <w:r w:rsidRPr="00077F9A">
        <w:t>n</w:t>
      </w:r>
      <w:r w:rsidRPr="00077F9A">
        <w:t>den för förslaget. För att en subsidiaritetsprövning över huvud taget ska bli aktuell måste förslaget gälla något av de lagstif</w:t>
      </w:r>
      <w:r w:rsidRPr="00077F9A">
        <w:t>t</w:t>
      </w:r>
      <w:r w:rsidRPr="00077F9A">
        <w:t>ningsområden där lagstif</w:t>
      </w:r>
      <w:r w:rsidRPr="00077F9A">
        <w:t>t</w:t>
      </w:r>
      <w:r w:rsidRPr="00077F9A">
        <w:t>ningsmakten är delad mellan EU och medlemsstaterna. Endast på dessa områden ska en subsidiaritetsprövning ske. I denna prövning, särskilt när den läggs i händerna på en politisk församling som ett nationellt parl</w:t>
      </w:r>
      <w:r w:rsidRPr="00077F9A">
        <w:t>a</w:t>
      </w:r>
      <w:r w:rsidRPr="00077F9A">
        <w:t>ment, blir det med nödvändighet lämpli</w:t>
      </w:r>
      <w:r w:rsidRPr="00077F9A">
        <w:t>g</w:t>
      </w:r>
      <w:r w:rsidRPr="00077F9A">
        <w:t>hetssynpunkter som dominerar. Denna prövning bör dock inte innehålla ett ställningst</w:t>
      </w:r>
      <w:r w:rsidRPr="00077F9A">
        <w:t>a</w:t>
      </w:r>
      <w:r w:rsidRPr="00077F9A">
        <w:t>gande till om den föreslagna åtgärden ska företas eller inte utan endast om den bör ske på un</w:t>
      </w:r>
      <w:r w:rsidRPr="00077F9A">
        <w:t>i</w:t>
      </w:r>
      <w:r w:rsidRPr="00077F9A">
        <w:t>onsnivå eller på någon nationell nivå. Den fö</w:t>
      </w:r>
      <w:r w:rsidRPr="00077F9A">
        <w:t>r</w:t>
      </w:r>
      <w:r w:rsidRPr="00077F9A">
        <w:t xml:space="preserve">söksverksamhet som bedrivits (se8 </w:t>
      </w:r>
      <w:smartTag w:uri="urn:schemas-microsoft-com:office:smarttags" w:element="metricconverter">
        <w:smartTagPr>
          <w:attr w:name="ProductID" w:val="39 f"/>
        </w:smartTagPr>
        <w:r w:rsidRPr="00077F9A">
          <w:t>39 f</w:t>
        </w:r>
      </w:smartTag>
      <w:r w:rsidRPr="00077F9A">
        <w:t>.) har visat att det ibland funnits problem med att skilja dessa båda frågor från varandra. Det finns därför anle</w:t>
      </w:r>
      <w:r w:rsidRPr="00077F9A">
        <w:t>d</w:t>
      </w:r>
      <w:r w:rsidRPr="00077F9A">
        <w:t>ning att erinra om den metod som redan från subsidiaritetsprincipens införande i EU-fördragen varit vägleda</w:t>
      </w:r>
      <w:r w:rsidRPr="00077F9A">
        <w:t>n</w:t>
      </w:r>
      <w:r w:rsidRPr="00077F9A">
        <w:t>de för dem som ska tillämpa principen. Först ställs frågan om det är möjligt att uppnå målen för den föreslagna å</w:t>
      </w:r>
      <w:r w:rsidRPr="00077F9A">
        <w:t>t</w:t>
      </w:r>
      <w:r w:rsidRPr="00077F9A">
        <w:t>gärden genom att den företas på nationell, regional eller lokal nivå. Om svaret är nej ska åtgärden vidtas på unionsnivå. Om svaret är ja ska frågan ställas om m</w:t>
      </w:r>
      <w:r w:rsidRPr="00077F9A">
        <w:t>å</w:t>
      </w:r>
      <w:r w:rsidRPr="00077F9A">
        <w:t xml:space="preserve">len för åtgärden kan uppnås </w:t>
      </w:r>
      <w:r w:rsidRPr="00077F9A">
        <w:rPr>
          <w:i/>
        </w:rPr>
        <w:t>bättre</w:t>
      </w:r>
      <w:r w:rsidRPr="00077F9A">
        <w:t xml:space="preserve"> genom att den företas på unionsnivå. För att besvara den sistnämnda frågan bör följande följdfrågor ställas: Finns det viktiga grän</w:t>
      </w:r>
      <w:r w:rsidRPr="00077F9A">
        <w:t>s</w:t>
      </w:r>
      <w:r w:rsidRPr="00077F9A">
        <w:t>överskridande aspekter på den föreslagna åtgärden som inte på ett tillfred</w:t>
      </w:r>
      <w:r w:rsidRPr="00077F9A">
        <w:t>s</w:t>
      </w:r>
      <w:r w:rsidRPr="00077F9A">
        <w:t>ställande sätt kan regleras genom åtgärder av medlemsstaterna? Skulle underlåtenhet att handla på un</w:t>
      </w:r>
      <w:r w:rsidRPr="00077F9A">
        <w:t>i</w:t>
      </w:r>
      <w:r w:rsidRPr="00077F9A">
        <w:t>onsnivå stå i strid med fördragets krav eller på annat sätt avsevärt skada me</w:t>
      </w:r>
      <w:r w:rsidRPr="00077F9A">
        <w:t>d</w:t>
      </w:r>
      <w:r w:rsidRPr="00077F9A">
        <w:t>lemsstaternas intressen? Skulle en åtgärd på unionsnivå på grund av sin o</w:t>
      </w:r>
      <w:r w:rsidRPr="00077F9A">
        <w:t>m</w:t>
      </w:r>
      <w:r w:rsidRPr="00077F9A">
        <w:t>fattning eller sina verkningar innebära klara fördelar jämfört med en åtgärd på me</w:t>
      </w:r>
      <w:r w:rsidRPr="00077F9A">
        <w:t>d</w:t>
      </w:r>
      <w:r w:rsidRPr="00077F9A">
        <w:t>lemskapsnivå?</w:t>
      </w:r>
    </w:p>
    <w:p w:rsidR="00CF1B5E" w:rsidRPr="00077F9A" w:rsidRDefault="00CF1B5E" w:rsidP="00CF1B5E">
      <w:pPr>
        <w:pStyle w:val="Normaltindrag"/>
      </w:pPr>
      <w:r w:rsidRPr="00077F9A">
        <w:t>Inledningsvis är det alltså för att kontrollera att subsidiaritetsprincipen följs som lagstiftningsinitiativen b</w:t>
      </w:r>
      <w:r w:rsidRPr="00077F9A">
        <w:t>e</w:t>
      </w:r>
      <w:r w:rsidRPr="00077F9A">
        <w:t>handlas av riksdagen. Enligt utredningens mening är det dock positivt om subsidiaritetsgranskningen av försl</w:t>
      </w:r>
      <w:r w:rsidRPr="00077F9A">
        <w:t>a</w:t>
      </w:r>
      <w:r w:rsidRPr="00077F9A">
        <w:t xml:space="preserve">get kan fungera som ett incitament för utskotten att tidigt starta granskningen i sak av förslaget. </w:t>
      </w:r>
    </w:p>
    <w:p w:rsidR="00CF1B5E" w:rsidRPr="00077F9A" w:rsidRDefault="00CF1B5E" w:rsidP="00CF1B5E">
      <w:pPr>
        <w:pStyle w:val="Normaltindrag"/>
      </w:pPr>
      <w:r w:rsidRPr="00077F9A">
        <w:t>Utredningens bedömning att subsidiaritetstestet huvudsakligen är en läm</w:t>
      </w:r>
      <w:r w:rsidRPr="00077F9A">
        <w:t>p</w:t>
      </w:r>
      <w:r w:rsidRPr="00077F9A">
        <w:t>lighetsfråga leder till slutsatsen att det utskott som besitter den sakliga ko</w:t>
      </w:r>
      <w:r w:rsidRPr="00077F9A">
        <w:t>m</w:t>
      </w:r>
      <w:r w:rsidRPr="00077F9A">
        <w:t>petensen på det område som förslaget gäller är bäst skickat att också göra subs</w:t>
      </w:r>
      <w:r w:rsidRPr="00077F9A">
        <w:t>i</w:t>
      </w:r>
      <w:r w:rsidRPr="00077F9A">
        <w:t>diaritetsprövningen. Denna slutsats leder också till att utredningen till skillnad från RDK inte anser att konstitutionsutskottet ska behandla varje utkast till lagstiftningsakt där fackutskottet ansett att utkastet strider mot subsidiaritet</w:t>
      </w:r>
      <w:r w:rsidRPr="00077F9A">
        <w:t>s</w:t>
      </w:r>
      <w:r w:rsidRPr="00077F9A">
        <w:t>principen. Inte heller anser utredningen att konstitutionsutskottet – om det beredande utsko</w:t>
      </w:r>
      <w:r w:rsidRPr="00077F9A">
        <w:t>t</w:t>
      </w:r>
      <w:r w:rsidRPr="00077F9A">
        <w:t>tet kommit till slutsatsen att ett lagstiftningsutkast inte strider mot subsidiaritetsprincipen – på eget initiativ ska kunna göra en subsidiar</w:t>
      </w:r>
      <w:r w:rsidRPr="00077F9A">
        <w:t>i</w:t>
      </w:r>
      <w:r w:rsidRPr="00077F9A">
        <w:t>tetsprövning och föreslå kammaren att ett motiverat yttrande avges till kommissionen eller annan förslagsstä</w:t>
      </w:r>
      <w:r w:rsidRPr="00077F9A">
        <w:t>l</w:t>
      </w:r>
      <w:r w:rsidRPr="00077F9A">
        <w:t xml:space="preserve">lare inom EU. </w:t>
      </w:r>
    </w:p>
    <w:p w:rsidR="00CF1B5E" w:rsidRPr="00077F9A" w:rsidRDefault="00CF1B5E" w:rsidP="00CF1B5E">
      <w:pPr>
        <w:pStyle w:val="Normaltindrag"/>
      </w:pPr>
      <w:r w:rsidRPr="00077F9A">
        <w:t>Försöksverksamheten visar att den förhållandevis korta tid av åtta veckor som står till riksdagens förfoga</w:t>
      </w:r>
      <w:r w:rsidRPr="00077F9A">
        <w:t>n</w:t>
      </w:r>
      <w:r w:rsidRPr="00077F9A">
        <w:t>de för behandlingen av utkasten kan vålla problem, om behandlingen är för utdragen. Även detta talar enligt utrednin</w:t>
      </w:r>
      <w:r w:rsidRPr="00077F9A">
        <w:t>g</w:t>
      </w:r>
      <w:r w:rsidRPr="00077F9A">
        <w:t>ens mening för att koppla bort konstitutionsutskottet från subsidiaritetsprö</w:t>
      </w:r>
      <w:r w:rsidRPr="00077F9A">
        <w:t>v</w:t>
      </w:r>
      <w:r w:rsidRPr="00077F9A">
        <w:t>ningen (utom förstås vad gäller utkast på KU:s eget beredningsområde).</w:t>
      </w:r>
    </w:p>
    <w:p w:rsidR="00CF1B5E" w:rsidRPr="00077F9A" w:rsidRDefault="00CF1B5E" w:rsidP="00CF1B5E">
      <w:pPr>
        <w:pStyle w:val="Normaltindrag"/>
      </w:pPr>
      <w:r w:rsidRPr="00077F9A">
        <w:t xml:space="preserve">Samtidigt är det värdefullt om </w:t>
      </w:r>
      <w:r w:rsidRPr="00077F9A">
        <w:rPr>
          <w:i/>
        </w:rPr>
        <w:t>ett</w:t>
      </w:r>
      <w:r w:rsidRPr="00077F9A">
        <w:t xml:space="preserve"> organ följer utvecklingen av riksdagens subsidiaritetskontroll och samlar erfarenheter från olika områden. Konstit</w:t>
      </w:r>
      <w:r w:rsidRPr="00077F9A">
        <w:t>u</w:t>
      </w:r>
      <w:r w:rsidRPr="00077F9A">
        <w:t>tionsutskottet får anses vara det utskott som är bäst lämpat att utföra denna uppgift. Utskottet kan fylla det av RDK utpekade behovet av ett organ med ett s.k. helikopterpe</w:t>
      </w:r>
      <w:r w:rsidRPr="00077F9A">
        <w:t>r</w:t>
      </w:r>
      <w:r w:rsidRPr="00077F9A">
        <w:t>spektiv på tillämpningen av subsidiaritetsprincipen. Ett lämpligt tillfälle för KU att redovisa sin uppföljning för hela riksdagen är i samband med behandlingen av den rapport som kommissionen avger årligen om tillämpnin</w:t>
      </w:r>
      <w:r w:rsidRPr="00077F9A">
        <w:t>g</w:t>
      </w:r>
      <w:r w:rsidRPr="00077F9A">
        <w:t>en av subsidiaritets- och proportionalitetsprinciperna inom EU (rapporten ”Bättre lagstiftning”) och som också går till de nationella parl</w:t>
      </w:r>
      <w:r w:rsidRPr="00077F9A">
        <w:t>a</w:t>
      </w:r>
      <w:r w:rsidRPr="00077F9A">
        <w:t>menten. En remiss till KU kan också aktualiseras om ett utskott, vid prö</w:t>
      </w:r>
      <w:r w:rsidRPr="00077F9A">
        <w:t>v</w:t>
      </w:r>
      <w:r w:rsidRPr="00077F9A">
        <w:t>ningen av subsidiaritetsfrågan i ett visst fall, känner tvekan om subsidiaritet</w:t>
      </w:r>
      <w:r w:rsidRPr="00077F9A">
        <w:t>s</w:t>
      </w:r>
      <w:r w:rsidRPr="00077F9A">
        <w:t>princ</w:t>
      </w:r>
      <w:r w:rsidRPr="00077F9A">
        <w:t>i</w:t>
      </w:r>
      <w:r w:rsidRPr="00077F9A">
        <w:t>pens innebörd och dess tillämpning i praxis.</w:t>
      </w:r>
    </w:p>
    <w:p w:rsidR="00CF1B5E" w:rsidRPr="00077F9A" w:rsidRDefault="00CF1B5E" w:rsidP="00CF1B5E">
      <w:pPr>
        <w:pStyle w:val="Normaltindrag"/>
      </w:pPr>
      <w:r w:rsidRPr="00077F9A">
        <w:t>RDK föreslog att någon motionsrätt inte skulle gälla på lagstiftningsiniti</w:t>
      </w:r>
      <w:r w:rsidRPr="00077F9A">
        <w:t>a</w:t>
      </w:r>
      <w:r w:rsidRPr="00077F9A">
        <w:t>tiven från EU. Detta anser utredningen riktigt med hänsyn till att behandlin</w:t>
      </w:r>
      <w:r w:rsidRPr="00077F9A">
        <w:t>g</w:t>
      </w:r>
      <w:r w:rsidRPr="00077F9A">
        <w:t>en av dessa utkast inte ska gälla sakfrågan utan tillämpningen av subsidiar</w:t>
      </w:r>
      <w:r w:rsidRPr="00077F9A">
        <w:t>i</w:t>
      </w:r>
      <w:r w:rsidRPr="00077F9A">
        <w:t>tetsprincipen. Däremot hade RDK tänkt sig att en enskild ledamot skulle ha rätt att anmäla till konstit</w:t>
      </w:r>
      <w:r w:rsidRPr="00077F9A">
        <w:t>u</w:t>
      </w:r>
      <w:r w:rsidRPr="00077F9A">
        <w:t>tionsutskottet att han eller hon ansåg att ett utkast stred mot subsidiaritetsprincipen. KU hade då att pröva fr</w:t>
      </w:r>
      <w:r w:rsidRPr="00077F9A">
        <w:t>å</w:t>
      </w:r>
      <w:r w:rsidRPr="00077F9A">
        <w:t>gan, men ett beslut att avslå en anmälan skulle ligga hos KU självt och behövde inte motiveras. Syftet med denna anmälningsrätt var att få till stånd en prövning av subsidi</w:t>
      </w:r>
      <w:r w:rsidRPr="00077F9A">
        <w:t>a</w:t>
      </w:r>
      <w:r w:rsidRPr="00077F9A">
        <w:t>riteten i KU oavsett vilket resultat det ber</w:t>
      </w:r>
      <w:r w:rsidRPr="00077F9A">
        <w:t>e</w:t>
      </w:r>
      <w:r w:rsidRPr="00077F9A">
        <w:t xml:space="preserve">dande utskottet skulle komma till. I den modell som utredningen föreslår finns inte längre detta behov eftersom det beredande utskottet som har förslagsrätten i kammaren alltid ska göra en subsidiaritetsprövning. </w:t>
      </w:r>
    </w:p>
    <w:p w:rsidR="00CF1B5E" w:rsidRPr="00077F9A" w:rsidRDefault="00CF1B5E" w:rsidP="00CF1B5E">
      <w:pPr>
        <w:pStyle w:val="Normaltindrag"/>
      </w:pPr>
      <w:r w:rsidRPr="00077F9A">
        <w:t>När utskotten genomför sin kontroll av subsidiariteten är det enligt utre</w:t>
      </w:r>
      <w:r w:rsidRPr="00077F9A">
        <w:t>d</w:t>
      </w:r>
      <w:r w:rsidRPr="00077F9A">
        <w:t>nin</w:t>
      </w:r>
      <w:r w:rsidRPr="00077F9A">
        <w:t>g</w:t>
      </w:r>
      <w:r w:rsidRPr="00077F9A">
        <w:t>ens mening viktigt att detta sker i nära kontakt med regeringen som vid behov ska informera utskottet om sin bedömning. Initiativet till informationen bör komma från det beredande utskottet. Som framgick ovan har utskottet att först avgöra om lagstiftningsutkastet över huvud taget aktualiserar en subsid</w:t>
      </w:r>
      <w:r w:rsidRPr="00077F9A">
        <w:t>i</w:t>
      </w:r>
      <w:r w:rsidRPr="00077F9A">
        <w:t>aritetsprövning. Om inte detta är fallet eller om utskottet redan vid en prel</w:t>
      </w:r>
      <w:r w:rsidRPr="00077F9A">
        <w:t>i</w:t>
      </w:r>
      <w:r w:rsidRPr="00077F9A">
        <w:t>minär bedömning finner det odiskutabelt att utkastet inte strider mot subsidi</w:t>
      </w:r>
      <w:r w:rsidRPr="00077F9A">
        <w:t>a</w:t>
      </w:r>
      <w:r w:rsidRPr="00077F9A">
        <w:t>ritetsprincipen, behöver man inte begära att någon information lämnas från r</w:t>
      </w:r>
      <w:r w:rsidRPr="00077F9A">
        <w:t>e</w:t>
      </w:r>
      <w:r w:rsidRPr="00077F9A">
        <w:t>geringen. Om information ska lämnas måste detta ske så snabbt som möjligt på grund av åttaveckorsfristen. Enligt utredningen ska regeringen lämna info</w:t>
      </w:r>
      <w:r w:rsidRPr="00077F9A">
        <w:t>r</w:t>
      </w:r>
      <w:r w:rsidRPr="00077F9A">
        <w:t>mation om sin bedömning inom två veckor från den dag då utskottet begär det. Så sker redan i dag i Da</w:t>
      </w:r>
      <w:r w:rsidRPr="00077F9A">
        <w:t>n</w:t>
      </w:r>
      <w:r w:rsidRPr="00077F9A">
        <w:t>mark.</w:t>
      </w:r>
    </w:p>
    <w:p w:rsidR="00CF1B5E" w:rsidRPr="00077F9A" w:rsidRDefault="00CF1B5E" w:rsidP="00CF1B5E">
      <w:pPr>
        <w:pStyle w:val="Normaltindrag"/>
      </w:pPr>
      <w:r w:rsidRPr="00077F9A">
        <w:t>Som framgått tidigare ska de nationella parlamenten enligt protokollet om tillämpningen av subsidiaritets- och proportionalitetsprinciperna samråda med de regionala parlament som har lagstiftande befogenheter. Denna bestämme</w:t>
      </w:r>
      <w:r w:rsidRPr="00077F9A">
        <w:t>l</w:t>
      </w:r>
      <w:r w:rsidRPr="00077F9A">
        <w:t>se tar naturligtvis i första hand sikte på EU-stater som har en federal struktur eller regioner med vidsträckt självstyrelse. För vår del görs det när det gäller föreskriftsrätt ingen skillnad mellan kommuner på reg</w:t>
      </w:r>
      <w:r w:rsidRPr="00077F9A">
        <w:t>i</w:t>
      </w:r>
      <w:r w:rsidRPr="00077F9A">
        <w:t xml:space="preserve">onal och lokal nivå. En föreskriftsrätt föreligger för både kommuner och landsting på områden som avser bl.a. hälsoskydd, miljöfarlig verksamhet, renhållning, naturvård, allmän ordning och trafik. </w:t>
      </w:r>
    </w:p>
    <w:p w:rsidR="00CF1B5E" w:rsidRPr="00077F9A" w:rsidRDefault="00CF1B5E" w:rsidP="00CF1B5E">
      <w:pPr>
        <w:pStyle w:val="Normaltindrag"/>
      </w:pPr>
      <w:r w:rsidRPr="00077F9A">
        <w:t>Oavsett om bestämmelsen i protokollet ska anses tillämplig hos oss eller ej vill utredningen liksom RDK framhålla att de kommunala och regionala nivåerna har en viktig roll att spela i bedömningen av subsidiaritet</w:t>
      </w:r>
      <w:r w:rsidRPr="00077F9A">
        <w:t>s</w:t>
      </w:r>
      <w:r w:rsidRPr="00077F9A">
        <w:t>frågorna. Normalt kan man, som RDK framhåller, förvänta sig att riksdagens partier har kontakter med sina kommunala och regionala partiorganisationer och den vägen skaffar sig information om eventuella subsidiaritetsproblem ur ko</w:t>
      </w:r>
      <w:r w:rsidRPr="00077F9A">
        <w:t>m</w:t>
      </w:r>
      <w:r w:rsidRPr="00077F9A">
        <w:t xml:space="preserve">munal och regional synvinkel. Självfallet svarar varje parti självt för dessa kontakter. </w:t>
      </w:r>
    </w:p>
    <w:p w:rsidR="00CF1B5E" w:rsidRPr="00077F9A" w:rsidRDefault="00CF1B5E" w:rsidP="00CF1B5E">
      <w:pPr>
        <w:pStyle w:val="Normaltindrag"/>
      </w:pPr>
      <w:r w:rsidRPr="00077F9A">
        <w:t>Utredningen vill liksom RDK vidare framhålla att det också kan vara akt</w:t>
      </w:r>
      <w:r w:rsidRPr="00077F9A">
        <w:t>u</w:t>
      </w:r>
      <w:r w:rsidRPr="00077F9A">
        <w:t>ellt med kontakter mellan Sver</w:t>
      </w:r>
      <w:r w:rsidRPr="00077F9A">
        <w:t>i</w:t>
      </w:r>
      <w:r w:rsidRPr="00077F9A">
        <w:t>ges Kommuner och Landsting (SKL) och riksd</w:t>
      </w:r>
      <w:r w:rsidRPr="00077F9A">
        <w:t>a</w:t>
      </w:r>
      <w:r w:rsidRPr="00077F9A">
        <w:t>gens utskott. Initiativet till kontakterna kan tas från endera hållet. Det ligger enligt utredningens mening i alla berörda parters intresse att kontakte</w:t>
      </w:r>
      <w:r w:rsidRPr="00077F9A">
        <w:t>r</w:t>
      </w:r>
      <w:r w:rsidRPr="00077F9A">
        <w:t>na präglas av generositet och öppenhet. Det finns dock inga skäl att reglera ko</w:t>
      </w:r>
      <w:r w:rsidRPr="00077F9A">
        <w:t>n</w:t>
      </w:r>
      <w:r w:rsidRPr="00077F9A">
        <w:t>takterna med SKL i särskild ordning.</w:t>
      </w:r>
    </w:p>
    <w:p w:rsidR="00CF1B5E" w:rsidRPr="00077F9A" w:rsidRDefault="00CF1B5E" w:rsidP="00CF1B5E">
      <w:pPr>
        <w:pStyle w:val="Normaltindrag"/>
      </w:pPr>
      <w:r w:rsidRPr="00077F9A">
        <w:t>Om utskottet vid sin slutliga bedömning kommer till slutsatsen att försl</w:t>
      </w:r>
      <w:r w:rsidRPr="00077F9A">
        <w:t>a</w:t>
      </w:r>
      <w:r w:rsidRPr="00077F9A">
        <w:t>get inte strider mot subsidiaritet</w:t>
      </w:r>
      <w:r w:rsidRPr="00077F9A">
        <w:t>s</w:t>
      </w:r>
      <w:r w:rsidRPr="00077F9A">
        <w:t>principen, dvs. att inget motiverat yttrande ska avges till EU, ska inte utskottet behöva anmäla detta på något annat sätt till kammaren än genom ett protokollsutdrag. Däremot ska ett förslag till ett motiverat yttrande underställas kammarens prövning. Utredningen har ko</w:t>
      </w:r>
      <w:r w:rsidRPr="00077F9A">
        <w:t>m</w:t>
      </w:r>
      <w:r w:rsidRPr="00077F9A">
        <w:t>mit fram till att det ska räcka med att en minoritet av fem ledamöter i utsko</w:t>
      </w:r>
      <w:r w:rsidRPr="00077F9A">
        <w:t>t</w:t>
      </w:r>
      <w:r w:rsidRPr="00077F9A">
        <w:t>tet står bakom ett förslag till ett sådant yttrande för att det ska gå vidare till kammaren för beslut. RDK föreslog ett sådant minoritetsskydd när det gällde att få till stånd en subsidiaritetsgranskning i KU. Däremot innehöll inte fö</w:t>
      </w:r>
      <w:r w:rsidRPr="00077F9A">
        <w:t>r</w:t>
      </w:r>
      <w:r w:rsidRPr="00077F9A">
        <w:t>slaget något motsvarande minoritetsskydd i KU i syfte att åstadkomma en behandling i kammaren. Vi har dock ansett att man även i vår modell bör ge en minoritet rätten att få till stånd ytterligare en prövning av subsidiaritetsfr</w:t>
      </w:r>
      <w:r w:rsidRPr="00077F9A">
        <w:t>å</w:t>
      </w:r>
      <w:r w:rsidRPr="00077F9A">
        <w:t>gan. Den får då tillgodoses genom en kammarbehandling som naturligtvis inte kan bli så grundlig som en utskottsbehandling. Om t.ex. nya omständi</w:t>
      </w:r>
      <w:r w:rsidRPr="00077F9A">
        <w:t>g</w:t>
      </w:r>
      <w:r w:rsidRPr="00077F9A">
        <w:t>heter eller ändrade ställningstaga</w:t>
      </w:r>
      <w:r w:rsidRPr="00077F9A">
        <w:t>n</w:t>
      </w:r>
      <w:r w:rsidRPr="00077F9A">
        <w:t>den kommer fram i kammarbehandlingen kan dock en återremiss till det beredande utskottet eller en remiss till ett annat utskott komma i fråga. För återremiss krävs en tredjedel av de röstande och för remiss till ett annat utskott enkel majoritet (4 kap. 10 § RO). Ett ytterl</w:t>
      </w:r>
      <w:r w:rsidRPr="00077F9A">
        <w:t>i</w:t>
      </w:r>
      <w:r w:rsidRPr="00077F9A">
        <w:t>gare skäl för att kammarbehandla ett minoritetsförslag är att det givetvis händer att utskottsmajoriteten i det aktuella fallet inte överensstämmer med kamm</w:t>
      </w:r>
      <w:r w:rsidRPr="00077F9A">
        <w:t>a</w:t>
      </w:r>
      <w:r w:rsidRPr="00077F9A">
        <w:t xml:space="preserve">rens majoritet. </w:t>
      </w:r>
    </w:p>
    <w:p w:rsidR="00CF1B5E" w:rsidRPr="00077F9A" w:rsidRDefault="00CF1B5E" w:rsidP="00CF1B5E">
      <w:pPr>
        <w:pStyle w:val="Normaltindrag"/>
      </w:pPr>
      <w:r w:rsidRPr="00077F9A">
        <w:t>RDK föreslog också ett mer vidsträckt minoritetsskydd. Om 115 ledamöter begär att KU avger ett förslag till ett motiverat yttrande i en viss fråga till kammaren skulle KU vara skyldigt att göra det. Samma minoritet skulle också kunna få till stånd ett avbrytande av ett uppehåll i kammararbetet, t.ex. so</w:t>
      </w:r>
      <w:r w:rsidRPr="00077F9A">
        <w:t>m</w:t>
      </w:r>
      <w:r w:rsidRPr="00077F9A">
        <w:t>maruppehållet. Därmed skulle man garantera att frågan blev prövad i kamm</w:t>
      </w:r>
      <w:r w:rsidRPr="00077F9A">
        <w:t>a</w:t>
      </w:r>
      <w:r w:rsidRPr="00077F9A">
        <w:t xml:space="preserve">ren inom tidsfristen som då var sex veckor. Om detta förslag skulle överföras på den modell som föreslagits här skulle minoritetens begäran om förslag till motiverat yttrande riktas till det beredande utskottet. Utredningen anser dock att den föreslagna minoritetsrätten i detta utskott att föra ärendet vidare till kammaren är tillräcklig. </w:t>
      </w:r>
    </w:p>
    <w:p w:rsidR="00CF1B5E" w:rsidRPr="00077F9A" w:rsidRDefault="00CF1B5E" w:rsidP="00CF1B5E">
      <w:pPr>
        <w:pStyle w:val="Normaltindrag"/>
      </w:pPr>
      <w:r w:rsidRPr="00077F9A">
        <w:t>För att kunna iaktta en tidsgräns är det möjligt att riksdagen tvingas avbr</w:t>
      </w:r>
      <w:r w:rsidRPr="00077F9A">
        <w:t>y</w:t>
      </w:r>
      <w:r w:rsidRPr="00077F9A">
        <w:t>ta ett sammanträdesuppehåll för att behandla ett lagstiftningsutkast. Men risken för att detta ska inträffa har minskat i Lissabonfördraget jämfört med det konstitutionella fördraget eftersom tidsfristen utsträcks till åtta veckor. Des</w:t>
      </w:r>
      <w:r w:rsidRPr="00077F9A">
        <w:t>s</w:t>
      </w:r>
      <w:r w:rsidRPr="00077F9A">
        <w:t xml:space="preserve">utom har kommissionen informellt förklarat sig beredd att räkna bort fyra veckor i augusti från tidsfristen. </w:t>
      </w:r>
    </w:p>
    <w:p w:rsidR="00CF1B5E" w:rsidRPr="00077F9A" w:rsidRDefault="00CF1B5E" w:rsidP="00CF1B5E">
      <w:pPr>
        <w:pStyle w:val="Normaltindrag"/>
      </w:pPr>
      <w:r w:rsidRPr="00077F9A">
        <w:t>Den prövning av subsidiaritetsprincipen som utredningen hittills uppehållit sig vid är den prövning som sker innan behandlingen av lagstiftningsakten på allvar påbörjats inom EU. Det är viktigt, som RDK också framhållit, att rik</w:t>
      </w:r>
      <w:r w:rsidRPr="00077F9A">
        <w:t>s</w:t>
      </w:r>
      <w:r w:rsidRPr="00077F9A">
        <w:t>dagen genom det berörda utskottet också följer subsidiaritetsprincipens ha</w:t>
      </w:r>
      <w:r w:rsidRPr="00077F9A">
        <w:t>n</w:t>
      </w:r>
      <w:r w:rsidRPr="00077F9A">
        <w:t>tering i den fortsatta lagstiftningsprocessen. Om riksdagen har avgett ett m</w:t>
      </w:r>
      <w:r w:rsidRPr="00077F9A">
        <w:t>o</w:t>
      </w:r>
      <w:r w:rsidRPr="00077F9A">
        <w:t xml:space="preserve">tiverat yttrande i frågan är det särskilt viktigt att denna del av frågan bevakas. </w:t>
      </w:r>
    </w:p>
    <w:p w:rsidR="00CF1B5E" w:rsidRPr="00077F9A" w:rsidRDefault="00CF1B5E" w:rsidP="00CF1B5E">
      <w:pPr>
        <w:pStyle w:val="Normaltindrag"/>
      </w:pPr>
      <w:r w:rsidRPr="00077F9A">
        <w:t>Om den föreslagna rättsakten antas utan att riksdagens synpunkter i subs</w:t>
      </w:r>
      <w:r w:rsidRPr="00077F9A">
        <w:t>i</w:t>
      </w:r>
      <w:r w:rsidRPr="00077F9A">
        <w:t>diaritetsfrågan beaktats av EU:s institutioner kan det finnas anledning att överväga om ytterligare åtgärder bör vidtas. Protokollet om tilläm</w:t>
      </w:r>
      <w:r w:rsidRPr="00077F9A">
        <w:t>p</w:t>
      </w:r>
      <w:r w:rsidRPr="00077F9A">
        <w:t>ningen av subsidiaritets- och proportionalitetsprincipen ger de nationella parlamenten möjlighet att via sina regeringar väcka ogiltighetstalan i EU-domstolen inom två månader efter det att rättsakten antagits (se vidare</w:t>
      </w:r>
      <w:r w:rsidR="00122558" w:rsidRPr="00077F9A">
        <w:t xml:space="preserve"> 2008/09:URF2</w:t>
      </w:r>
      <w:r w:rsidRPr="00077F9A">
        <w:t xml:space="preserve"> </w:t>
      </w:r>
      <w:r w:rsidRPr="00077F9A">
        <w:rPr>
          <w:i/>
        </w:rPr>
        <w:t>arbet</w:t>
      </w:r>
      <w:r w:rsidRPr="00077F9A">
        <w:rPr>
          <w:i/>
        </w:rPr>
        <w:t>s</w:t>
      </w:r>
      <w:r w:rsidRPr="00077F9A">
        <w:rPr>
          <w:i/>
        </w:rPr>
        <w:t>promemoria 4)</w:t>
      </w:r>
      <w:r w:rsidRPr="00077F9A">
        <w:t>. Som RDK påpekat kan riksdagen redan i dag genom ett til</w:t>
      </w:r>
      <w:r w:rsidRPr="00077F9A">
        <w:t>l</w:t>
      </w:r>
      <w:r w:rsidRPr="00077F9A">
        <w:t>kännagivande uppmana regeringen att väcka en fråga av detta slag vid do</w:t>
      </w:r>
      <w:r w:rsidRPr="00077F9A">
        <w:t>m</w:t>
      </w:r>
      <w:r w:rsidRPr="00077F9A">
        <w:t>stolen. Således ändrar den nya bestämmelsen inte mycket på riksdagens fa</w:t>
      </w:r>
      <w:r w:rsidRPr="00077F9A">
        <w:t>k</w:t>
      </w:r>
      <w:r w:rsidRPr="00077F9A">
        <w:t>tiska möjligheter att agera i syfte att få till stånd en prövning i domstolen. Initiativ till ett sådant tillkännagivande får tas enligt vanliga regler, dvs. a</w:t>
      </w:r>
      <w:r w:rsidRPr="00077F9A">
        <w:t>n</w:t>
      </w:r>
      <w:r w:rsidRPr="00077F9A">
        <w:t>tingen genom motion eller genom utskottsinitiativ. Att fatta ett sådant beslut i någon annan form än ett tillkännagivande är främmande för svensk riksdag</w:t>
      </w:r>
      <w:r w:rsidRPr="00077F9A">
        <w:t>s</w:t>
      </w:r>
      <w:r w:rsidRPr="00077F9A">
        <w:t>rätt.</w:t>
      </w:r>
    </w:p>
    <w:p w:rsidR="00CF1B5E" w:rsidRPr="00077F9A" w:rsidRDefault="00CF1B5E" w:rsidP="00CF1B5E">
      <w:pPr>
        <w:pStyle w:val="Normaltindrag"/>
      </w:pPr>
      <w:r w:rsidRPr="00077F9A">
        <w:t>Regleringen av riksdagens subsidiaritetskontroll sker i en ny paragraf i RO, 10 kap. 6 §.</w:t>
      </w:r>
    </w:p>
    <w:p w:rsidR="00CF1B5E" w:rsidRPr="00077F9A" w:rsidRDefault="00CF1B5E" w:rsidP="00CF1B5E">
      <w:pPr>
        <w:pStyle w:val="Rubrik2"/>
      </w:pPr>
      <w:bookmarkStart w:id="165" w:name="_Toc227660638"/>
      <w:bookmarkStart w:id="166" w:name="_Toc227662103"/>
      <w:bookmarkStart w:id="167" w:name="_Toc227994094"/>
      <w:bookmarkStart w:id="168" w:name="_Toc230676879"/>
      <w:bookmarkStart w:id="169" w:name="_Toc230677052"/>
      <w:bookmarkStart w:id="170" w:name="_Toc230708108"/>
      <w:r w:rsidRPr="00077F9A">
        <w:t>6.3 Deltagande i konvent enligt det ordinarie förfarandet för fördragsändringar</w:t>
      </w:r>
      <w:bookmarkEnd w:id="165"/>
      <w:bookmarkEnd w:id="166"/>
      <w:bookmarkEnd w:id="167"/>
      <w:bookmarkEnd w:id="168"/>
      <w:bookmarkEnd w:id="169"/>
      <w:bookmarkEnd w:id="170"/>
    </w:p>
    <w:p w:rsidR="00CF1B5E" w:rsidRPr="00077F9A" w:rsidRDefault="00CF1B5E" w:rsidP="00CF1B5E">
      <w:pPr>
        <w:rPr>
          <w:szCs w:val="24"/>
        </w:rPr>
      </w:pPr>
      <w:r w:rsidRPr="00077F9A">
        <w:rPr>
          <w:szCs w:val="24"/>
        </w:rPr>
        <w:t>Lissabonfördraget innebär att framtida fördragsändringar normalt ska förb</w:t>
      </w:r>
      <w:r w:rsidRPr="00077F9A">
        <w:rPr>
          <w:szCs w:val="24"/>
        </w:rPr>
        <w:t>e</w:t>
      </w:r>
      <w:r w:rsidRPr="00077F9A">
        <w:rPr>
          <w:szCs w:val="24"/>
        </w:rPr>
        <w:t>redas av ett konvent med represe</w:t>
      </w:r>
      <w:r w:rsidRPr="00077F9A">
        <w:rPr>
          <w:szCs w:val="24"/>
        </w:rPr>
        <w:t>n</w:t>
      </w:r>
      <w:r w:rsidRPr="00077F9A">
        <w:rPr>
          <w:szCs w:val="24"/>
        </w:rPr>
        <w:t>tanter för bl.a. de nationella parlamenten. I de konvent som hållits hittills (om stadgan för grundläggande rä</w:t>
      </w:r>
      <w:r w:rsidRPr="00077F9A">
        <w:rPr>
          <w:szCs w:val="24"/>
        </w:rPr>
        <w:t>t</w:t>
      </w:r>
      <w:r w:rsidRPr="00077F9A">
        <w:rPr>
          <w:szCs w:val="24"/>
        </w:rPr>
        <w:t>tigheter samt det s.k. framtidskonventet) har riksdagsstyrelsen utsett ledamöterna, två ord</w:t>
      </w:r>
      <w:r w:rsidRPr="00077F9A">
        <w:rPr>
          <w:szCs w:val="24"/>
        </w:rPr>
        <w:t>i</w:t>
      </w:r>
      <w:r w:rsidRPr="00077F9A">
        <w:rPr>
          <w:szCs w:val="24"/>
        </w:rPr>
        <w:t>narie och två suppl</w:t>
      </w:r>
      <w:r w:rsidRPr="00077F9A">
        <w:rPr>
          <w:szCs w:val="24"/>
        </w:rPr>
        <w:t>e</w:t>
      </w:r>
      <w:r w:rsidRPr="00077F9A">
        <w:rPr>
          <w:szCs w:val="24"/>
        </w:rPr>
        <w:t xml:space="preserve">anter. </w:t>
      </w:r>
    </w:p>
    <w:p w:rsidR="00CF1B5E" w:rsidRPr="00077F9A" w:rsidRDefault="00CF1B5E" w:rsidP="00CF1B5E">
      <w:pPr>
        <w:pStyle w:val="Normaltindrag"/>
      </w:pPr>
      <w:r w:rsidRPr="00077F9A">
        <w:t>RDK föreslog att riksdagsstyrelsen även i fortsättningen skulle utse rik</w:t>
      </w:r>
      <w:r w:rsidRPr="00077F9A">
        <w:t>s</w:t>
      </w:r>
      <w:r w:rsidRPr="00077F9A">
        <w:t>dagens företrädare.</w:t>
      </w:r>
    </w:p>
    <w:p w:rsidR="00CF1B5E" w:rsidRPr="00077F9A" w:rsidRDefault="00CF1B5E" w:rsidP="00CF1B5E">
      <w:pPr>
        <w:pStyle w:val="Normaltindrag"/>
      </w:pPr>
      <w:r w:rsidRPr="00077F9A">
        <w:t>Utredningen anser att valet av representanter i framtida konvent är ett val av så stor vikt att det bör ske i kammaren. På detta sätt markeras tydligare att de valda riksdagsledamöterna företräder och är redovisning</w:t>
      </w:r>
      <w:r w:rsidRPr="00077F9A">
        <w:t>s</w:t>
      </w:r>
      <w:r w:rsidRPr="00077F9A">
        <w:t>skyldiga inför hela riksdagen. Detta bör också komma till uttryck på det sättet att en rappo</w:t>
      </w:r>
      <w:r w:rsidRPr="00077F9A">
        <w:t>r</w:t>
      </w:r>
      <w:r w:rsidRPr="00077F9A">
        <w:t>teringsskyldighet till riksdagen införs. Konventsrepresentanterna ska efter viktigare sammanträden med konventet lämna info</w:t>
      </w:r>
      <w:r w:rsidRPr="00077F9A">
        <w:t>r</w:t>
      </w:r>
      <w:r w:rsidRPr="00077F9A">
        <w:t xml:space="preserve">mation till kammaren och svara på frågor från ledamöterna. </w:t>
      </w:r>
    </w:p>
    <w:p w:rsidR="00CF1B5E" w:rsidRPr="00077F9A" w:rsidRDefault="00CF1B5E" w:rsidP="00CF1B5E">
      <w:pPr>
        <w:pStyle w:val="Normaltindrag"/>
      </w:pPr>
      <w:r w:rsidRPr="00077F9A">
        <w:t>Utredningen föreslår att valet i huvudsak sker enligt de allmänna regler för val som finns i 7 kap. RO. Valet ska således beredas av riksdagens valbere</w:t>
      </w:r>
      <w:r w:rsidRPr="00077F9A">
        <w:t>d</w:t>
      </w:r>
      <w:r w:rsidRPr="00077F9A">
        <w:t>ning (2 §). Det ska vara proportionellt och normalt ske med geme</w:t>
      </w:r>
      <w:r w:rsidRPr="00077F9A">
        <w:t>n</w:t>
      </w:r>
      <w:r w:rsidRPr="00077F9A">
        <w:t>sam lista (3, 4 §§). Sker det med slutna sedlar ska det kunna överklagas (5 §). Suppl</w:t>
      </w:r>
      <w:r w:rsidRPr="00077F9A">
        <w:t>e</w:t>
      </w:r>
      <w:r w:rsidRPr="00077F9A">
        <w:t>anter ska utses till samma antal som ledamöterna uppgår till och tjänstgöra enligt de regler som gäller i allmänhet för suppleanter som väljs av riksdagen (9, 10 §§). Konventsledamöter som lämnar riksdagen eller utses till talman eller statsråd under en valperiod måste avgå från uppdraget. Den partigrupp som den avgångna tillhör ska anmäla efterträd</w:t>
      </w:r>
      <w:r w:rsidRPr="00077F9A">
        <w:t>a</w:t>
      </w:r>
      <w:r w:rsidRPr="00077F9A">
        <w:t xml:space="preserve">re som talmannen förklarar vald (jfr 12 §). Om det sker ett riksdagsval under tiden som konventet arbetar ska konventsledamöterna avgå och ett nytt val äga rum efter riksdagsvalet. </w:t>
      </w:r>
    </w:p>
    <w:p w:rsidR="00CF1B5E" w:rsidRPr="00077F9A" w:rsidRDefault="00CF1B5E" w:rsidP="00CF1B5E">
      <w:pPr>
        <w:pStyle w:val="Normaltindrag"/>
      </w:pPr>
      <w:r w:rsidRPr="00077F9A">
        <w:t>En reglering av valet och informationslämnandet finns i en ny paragraf i RO, 10 kap. 7 §.</w:t>
      </w:r>
    </w:p>
    <w:p w:rsidR="00CF1B5E" w:rsidRPr="00077F9A" w:rsidRDefault="00CF1B5E" w:rsidP="00CF1B5E">
      <w:pPr>
        <w:pStyle w:val="Rubrik2"/>
      </w:pPr>
      <w:bookmarkStart w:id="171" w:name="_Toc227660639"/>
      <w:bookmarkStart w:id="172" w:name="_Toc227662104"/>
      <w:bookmarkStart w:id="173" w:name="_Toc227994095"/>
      <w:bookmarkStart w:id="174" w:name="_Toc230676880"/>
      <w:bookmarkStart w:id="175" w:name="_Toc230677053"/>
      <w:bookmarkStart w:id="176" w:name="_Toc230708109"/>
      <w:r w:rsidRPr="00077F9A">
        <w:t>6.4 Fördragsändringar enligt det förenklade förfarandet m.m.</w:t>
      </w:r>
      <w:bookmarkEnd w:id="171"/>
      <w:bookmarkEnd w:id="172"/>
      <w:bookmarkEnd w:id="173"/>
      <w:bookmarkEnd w:id="174"/>
      <w:bookmarkEnd w:id="175"/>
      <w:bookmarkEnd w:id="176"/>
    </w:p>
    <w:p w:rsidR="00CF1B5E" w:rsidRPr="00077F9A" w:rsidRDefault="00CF1B5E" w:rsidP="00CF1B5E">
      <w:pPr>
        <w:rPr>
          <w:szCs w:val="24"/>
        </w:rPr>
      </w:pPr>
      <w:r w:rsidRPr="00077F9A">
        <w:rPr>
          <w:szCs w:val="24"/>
        </w:rPr>
        <w:t>Den s.k. passerellen tillämpas då Europeiska rådet har tagit initiativ till ett beslut att bemyndiga rådet att gå över från enhällighet till kvalificerad major</w:t>
      </w:r>
      <w:r w:rsidRPr="00077F9A">
        <w:rPr>
          <w:szCs w:val="24"/>
        </w:rPr>
        <w:t>i</w:t>
      </w:r>
      <w:r w:rsidRPr="00077F9A">
        <w:rPr>
          <w:szCs w:val="24"/>
        </w:rPr>
        <w:t>tet eller från ett särskilt förfarande till det ordinarie lagstiftningsförfarandet. Initi</w:t>
      </w:r>
      <w:r w:rsidRPr="00077F9A">
        <w:rPr>
          <w:szCs w:val="24"/>
        </w:rPr>
        <w:t>a</w:t>
      </w:r>
      <w:r w:rsidRPr="00077F9A">
        <w:rPr>
          <w:szCs w:val="24"/>
        </w:rPr>
        <w:t>tivet ska översändas till de nationella parlamenten som vart och ett har möjlighet att stoppa initiativet inom sex månader. Samma procedur ska ti</w:t>
      </w:r>
      <w:r w:rsidRPr="00077F9A">
        <w:rPr>
          <w:szCs w:val="24"/>
        </w:rPr>
        <w:t>l</w:t>
      </w:r>
      <w:r w:rsidRPr="00077F9A">
        <w:rPr>
          <w:szCs w:val="24"/>
        </w:rPr>
        <w:t xml:space="preserve">lämpas </w:t>
      </w:r>
      <w:r w:rsidRPr="00077F9A">
        <w:t xml:space="preserve">på ett förslag från kommissionen till rådet att anta ett beslut där det anges vilka </w:t>
      </w:r>
      <w:r w:rsidRPr="00077F9A">
        <w:rPr>
          <w:spacing w:val="-2"/>
        </w:rPr>
        <w:t>aspe</w:t>
      </w:r>
      <w:r w:rsidRPr="00077F9A">
        <w:rPr>
          <w:spacing w:val="-2"/>
        </w:rPr>
        <w:t>k</w:t>
      </w:r>
      <w:r w:rsidRPr="00077F9A">
        <w:rPr>
          <w:spacing w:val="-2"/>
        </w:rPr>
        <w:t>ter av familjerätten som har gränsöverskridande följder och som kan bli föremål för akter som antas i enlighet med det ordinarie lagstif</w:t>
      </w:r>
      <w:r w:rsidRPr="00077F9A">
        <w:rPr>
          <w:spacing w:val="-2"/>
        </w:rPr>
        <w:t>t</w:t>
      </w:r>
      <w:r w:rsidRPr="00077F9A">
        <w:rPr>
          <w:spacing w:val="-2"/>
        </w:rPr>
        <w:t>ningsförfara</w:t>
      </w:r>
      <w:r w:rsidRPr="00077F9A">
        <w:rPr>
          <w:spacing w:val="-2"/>
        </w:rPr>
        <w:t>n</w:t>
      </w:r>
      <w:r w:rsidRPr="00077F9A">
        <w:rPr>
          <w:spacing w:val="-2"/>
        </w:rPr>
        <w:t>det.</w:t>
      </w:r>
    </w:p>
    <w:p w:rsidR="00CF1B5E" w:rsidRPr="00077F9A" w:rsidRDefault="00CF1B5E" w:rsidP="00CF1B5E">
      <w:pPr>
        <w:pStyle w:val="Normaltindrag"/>
      </w:pPr>
      <w:r w:rsidRPr="00077F9A">
        <w:t>Någon formell skyldighet för de nationella parlamenten att pröva dessa in</w:t>
      </w:r>
      <w:r w:rsidRPr="00077F9A">
        <w:t>i</w:t>
      </w:r>
      <w:r w:rsidRPr="00077F9A">
        <w:t>ti</w:t>
      </w:r>
      <w:r w:rsidRPr="00077F9A">
        <w:t>a</w:t>
      </w:r>
      <w:r w:rsidRPr="00077F9A">
        <w:t>tiv finns inte enligt fördragen. Inte heller anges någon överordnad princip eller liknande mot vilken initiativet ska prövas. Ett parlaments beslut att u</w:t>
      </w:r>
      <w:r w:rsidRPr="00077F9A">
        <w:t>t</w:t>
      </w:r>
      <w:r w:rsidRPr="00077F9A">
        <w:t>nyttja sin vetomöjlighet är ett rent politiskt beslut.</w:t>
      </w:r>
    </w:p>
    <w:p w:rsidR="00CF1B5E" w:rsidRPr="00077F9A" w:rsidRDefault="00CF1B5E" w:rsidP="00CF1B5E">
      <w:pPr>
        <w:pStyle w:val="Normaltindrag"/>
      </w:pPr>
      <w:r w:rsidRPr="00077F9A">
        <w:t>Med tanke på beslutets politiska karaktär och dess ingripande effekter f</w:t>
      </w:r>
      <w:r w:rsidRPr="00077F9A">
        <w:t>ö</w:t>
      </w:r>
      <w:r w:rsidRPr="00077F9A">
        <w:t xml:space="preserve">reslår utredningen för svensk del att varje sådant initiativ </w:t>
      </w:r>
      <w:r w:rsidRPr="00077F9A">
        <w:rPr>
          <w:i/>
        </w:rPr>
        <w:t>ska</w:t>
      </w:r>
      <w:r w:rsidRPr="00077F9A">
        <w:t xml:space="preserve"> prövas av rik</w:t>
      </w:r>
      <w:r w:rsidRPr="00077F9A">
        <w:t>s</w:t>
      </w:r>
      <w:r w:rsidRPr="00077F9A">
        <w:t>dagen i sin helhet. Det berörda utskottet ska bereda initiativet och däre</w:t>
      </w:r>
      <w:r w:rsidRPr="00077F9A">
        <w:t>f</w:t>
      </w:r>
      <w:r w:rsidRPr="00077F9A">
        <w:t xml:space="preserve">ter behandlas det av kammaren. Någon motionsrätt behövs dock inte vid ett beslut av denna enkla karaktär. </w:t>
      </w:r>
    </w:p>
    <w:p w:rsidR="00CF1B5E" w:rsidRPr="00077F9A" w:rsidRDefault="00CF1B5E" w:rsidP="00CF1B5E">
      <w:pPr>
        <w:pStyle w:val="Normaltindrag"/>
      </w:pPr>
      <w:r w:rsidRPr="00077F9A">
        <w:t>Som RDK påpekat ska frågan ha tagits upp tidigare med riksdagen. Sa</w:t>
      </w:r>
      <w:r w:rsidRPr="00077F9A">
        <w:t>m</w:t>
      </w:r>
      <w:r w:rsidRPr="00077F9A">
        <w:t>råd ska ha skett i utskottet och EU-nämnden innan regeringen biträtt ett initi</w:t>
      </w:r>
      <w:r w:rsidRPr="00077F9A">
        <w:t>a</w:t>
      </w:r>
      <w:r w:rsidRPr="00077F9A">
        <w:t>tiv i Europeiska rådet om att utnyttja passerellen.</w:t>
      </w:r>
    </w:p>
    <w:p w:rsidR="00CF1B5E" w:rsidRPr="00077F9A" w:rsidRDefault="00CF1B5E" w:rsidP="00CF1B5E">
      <w:pPr>
        <w:pStyle w:val="Normaltindrag"/>
      </w:pPr>
      <w:r w:rsidRPr="00077F9A">
        <w:t>Regleringen av detta förfarande föreslås ske i en ny paragraf i RO, 10 kap. 8 §.</w:t>
      </w:r>
    </w:p>
    <w:p w:rsidR="00CF1B5E" w:rsidRPr="00077F9A" w:rsidRDefault="00CF1B5E" w:rsidP="00CF1B5E">
      <w:pPr>
        <w:pStyle w:val="Rubrik2"/>
      </w:pPr>
      <w:bookmarkStart w:id="177" w:name="_Toc227660640"/>
      <w:bookmarkStart w:id="178" w:name="_Toc227662105"/>
      <w:bookmarkStart w:id="179" w:name="_Toc227994096"/>
      <w:bookmarkStart w:id="180" w:name="_Toc230676881"/>
      <w:bookmarkStart w:id="181" w:name="_Toc230677054"/>
      <w:bookmarkStart w:id="182" w:name="_Toc230708110"/>
      <w:r w:rsidRPr="00077F9A">
        <w:t>6.5 Deltagande i den politiska övervakningen av Europol och utvärderingen av Eurojust</w:t>
      </w:r>
      <w:bookmarkEnd w:id="177"/>
      <w:bookmarkEnd w:id="178"/>
      <w:bookmarkEnd w:id="179"/>
      <w:bookmarkEnd w:id="180"/>
      <w:bookmarkEnd w:id="181"/>
      <w:bookmarkEnd w:id="182"/>
    </w:p>
    <w:p w:rsidR="00CF1B5E" w:rsidRPr="00077F9A" w:rsidRDefault="00CF1B5E" w:rsidP="00CF1B5E">
      <w:pPr>
        <w:rPr>
          <w:rFonts w:cs="Bembo"/>
        </w:rPr>
      </w:pPr>
      <w:r w:rsidRPr="00077F9A">
        <w:rPr>
          <w:rFonts w:cs="Bembo"/>
        </w:rPr>
        <w:t>I Lissabonfördraget ges de nationella parlamenten en utvärderande roll inom området för frihet, säkerhet och rättvisa. Vidare ska de nationella parlamenten delta i den politiska övervakningen av Europol och utvärderingen av Eur</w:t>
      </w:r>
      <w:r w:rsidRPr="00077F9A">
        <w:rPr>
          <w:rFonts w:cs="Bembo"/>
        </w:rPr>
        <w:t>o</w:t>
      </w:r>
      <w:r w:rsidRPr="00077F9A">
        <w:rPr>
          <w:rFonts w:cs="Bembo"/>
        </w:rPr>
        <w:t xml:space="preserve">justs verksamhet. Enligt fördraget ska de närmare formerna för detta regleras i särskild ordning. </w:t>
      </w:r>
    </w:p>
    <w:p w:rsidR="00CF1B5E" w:rsidRPr="00077F9A" w:rsidRDefault="00CF1B5E" w:rsidP="00CF1B5E">
      <w:pPr>
        <w:pStyle w:val="Normaltindrag"/>
      </w:pPr>
      <w:r w:rsidRPr="00077F9A">
        <w:t>Enligt vad utredningen erfarit har några närmare diskussioner inte förts vad gäller formerna för de nationella parlamentens utvärdering eller ko</w:t>
      </w:r>
      <w:r w:rsidRPr="00077F9A">
        <w:t>n</w:t>
      </w:r>
      <w:r w:rsidRPr="00077F9A">
        <w:t>troll. Inom ramen för Cosac har frågan väckts, och en kartläggning av d</w:t>
      </w:r>
      <w:r w:rsidRPr="00077F9A">
        <w:t>a</w:t>
      </w:r>
      <w:r w:rsidRPr="00077F9A">
        <w:t>gens parlamentariska granskning av Europol och Eurojust kommer att inledas. Därefter är avsikten att se nä</w:t>
      </w:r>
      <w:r w:rsidRPr="00077F9A">
        <w:t>r</w:t>
      </w:r>
      <w:r w:rsidRPr="00077F9A">
        <w:t>mare på de framtida möjligheterna och behoven av samarbete på detta område mellan olika nationella parlament liksom me</w:t>
      </w:r>
      <w:r w:rsidRPr="00077F9A">
        <w:t>l</w:t>
      </w:r>
      <w:r w:rsidRPr="00077F9A">
        <w:t xml:space="preserve">lan nationella parlament och Europaparlamentet. </w:t>
      </w:r>
    </w:p>
    <w:p w:rsidR="00CF1B5E" w:rsidRPr="00077F9A" w:rsidRDefault="00CF1B5E" w:rsidP="00CF1B5E">
      <w:pPr>
        <w:pStyle w:val="Normaltindrag"/>
      </w:pPr>
      <w:r w:rsidRPr="00077F9A">
        <w:t>Enligt utredningens mening är det i dagsläget inte möjligt att göra några närmare bedömningar av hur de nya uppgifterna kommer att påverka riksd</w:t>
      </w:r>
      <w:r w:rsidRPr="00077F9A">
        <w:t>a</w:t>
      </w:r>
      <w:r w:rsidRPr="00077F9A">
        <w:t>gens arbete. Utredningen vill peka på vikten av att riksdagen aktivt deltar i diskussionen om utformningen av de nationella parlamentens roll på detta omr</w:t>
      </w:r>
      <w:r w:rsidRPr="00077F9A">
        <w:t>å</w:t>
      </w:r>
      <w:r w:rsidRPr="00077F9A">
        <w:t>de. De utskott som är närmast berörda liksom EU-nämnden bör därför inle</w:t>
      </w:r>
      <w:r w:rsidRPr="00077F9A">
        <w:t>d</w:t>
      </w:r>
      <w:r w:rsidRPr="00077F9A">
        <w:t>ningsvis få fördjupad information om hur diskussionerna förs och ges möjli</w:t>
      </w:r>
      <w:r w:rsidRPr="00077F9A">
        <w:t>g</w:t>
      </w:r>
      <w:r w:rsidRPr="00077F9A">
        <w:t>het att i någon form diskutera med varandra. Utskottens synpunkter bör tas till vara inför Cosacs möten, och återrapportering bör ske särskilt i utsko</w:t>
      </w:r>
      <w:r w:rsidRPr="00077F9A">
        <w:t>t</w:t>
      </w:r>
      <w:r w:rsidRPr="00077F9A">
        <w:t>ten.  </w:t>
      </w:r>
    </w:p>
    <w:p w:rsidR="00CF1B5E" w:rsidRPr="00077F9A" w:rsidRDefault="00CF1B5E" w:rsidP="00CF1B5E">
      <w:pPr>
        <w:pStyle w:val="Rubrik2"/>
      </w:pPr>
      <w:bookmarkStart w:id="183" w:name="_Toc227660641"/>
      <w:bookmarkStart w:id="184" w:name="_Toc227662106"/>
      <w:bookmarkStart w:id="185" w:name="_Toc227994097"/>
      <w:bookmarkStart w:id="186" w:name="_Toc230676882"/>
      <w:bookmarkStart w:id="187" w:name="_Toc230677055"/>
      <w:bookmarkStart w:id="188" w:name="_Toc230708111"/>
      <w:r w:rsidRPr="00077F9A">
        <w:t>6.6 Hantering av övrig information från EU:s institutioner</w:t>
      </w:r>
      <w:bookmarkEnd w:id="183"/>
      <w:bookmarkEnd w:id="184"/>
      <w:bookmarkEnd w:id="185"/>
      <w:bookmarkEnd w:id="186"/>
      <w:bookmarkEnd w:id="187"/>
      <w:bookmarkEnd w:id="188"/>
    </w:p>
    <w:p w:rsidR="00CF1B5E" w:rsidRPr="00077F9A" w:rsidRDefault="00CF1B5E" w:rsidP="00CF1B5E">
      <w:pPr>
        <w:rPr>
          <w:i/>
          <w:szCs w:val="24"/>
        </w:rPr>
      </w:pPr>
      <w:r w:rsidRPr="00077F9A">
        <w:rPr>
          <w:szCs w:val="24"/>
        </w:rPr>
        <w:t>Utredningen föreslår att 10 kap. RO inleds med en bestämmelse i vilken det konstateras att riksdagen får skrif</w:t>
      </w:r>
      <w:r w:rsidRPr="00077F9A">
        <w:rPr>
          <w:szCs w:val="24"/>
        </w:rPr>
        <w:t>t</w:t>
      </w:r>
      <w:r w:rsidRPr="00077F9A">
        <w:rPr>
          <w:szCs w:val="24"/>
        </w:rPr>
        <w:t>lig information från Europeiska unionens institutioner i enlighet med fördragen och de till fördragen hörande protoko</w:t>
      </w:r>
      <w:r w:rsidRPr="00077F9A">
        <w:rPr>
          <w:szCs w:val="24"/>
        </w:rPr>
        <w:t>l</w:t>
      </w:r>
      <w:r w:rsidRPr="00077F9A">
        <w:rPr>
          <w:szCs w:val="24"/>
        </w:rPr>
        <w:t>len. Någon hänvisning till vilka fördragsregler som innehåller krav på info</w:t>
      </w:r>
      <w:r w:rsidRPr="00077F9A">
        <w:rPr>
          <w:szCs w:val="24"/>
        </w:rPr>
        <w:t>r</w:t>
      </w:r>
      <w:r w:rsidRPr="00077F9A">
        <w:rPr>
          <w:szCs w:val="24"/>
        </w:rPr>
        <w:t xml:space="preserve">mation till de nationella parlamenten behövs inte. I denna rapport hänvisas till den förteckning som finns i </w:t>
      </w:r>
      <w:r w:rsidRPr="00077F9A">
        <w:rPr>
          <w:i/>
          <w:szCs w:val="24"/>
        </w:rPr>
        <w:t>bilaga 2.</w:t>
      </w:r>
    </w:p>
    <w:p w:rsidR="00CF1B5E" w:rsidRPr="00077F9A" w:rsidRDefault="00CF1B5E" w:rsidP="00CF1B5E">
      <w:pPr>
        <w:pStyle w:val="Normaltindrag"/>
      </w:pPr>
      <w:r w:rsidRPr="00077F9A">
        <w:t>Det mesta av den information som tillkommit genom Lissabonfördraget utgör underlag för riksdagens b</w:t>
      </w:r>
      <w:r w:rsidRPr="00077F9A">
        <w:t>e</w:t>
      </w:r>
      <w:r w:rsidRPr="00077F9A">
        <w:t>slut i fråga om subsidiaritetskontrollen av lagstiftningsutkasten och den fortsatta beredningen av dessa i utskotten, fö</w:t>
      </w:r>
      <w:r w:rsidRPr="00077F9A">
        <w:t>r</w:t>
      </w:r>
      <w:r w:rsidRPr="00077F9A">
        <w:t>dragsändringar enligt det förenklade förfarandet samt deltagandet i den pol</w:t>
      </w:r>
      <w:r w:rsidRPr="00077F9A">
        <w:t>i</w:t>
      </w:r>
      <w:r w:rsidRPr="00077F9A">
        <w:t>tiska öve</w:t>
      </w:r>
      <w:r w:rsidRPr="00077F9A">
        <w:t>r</w:t>
      </w:r>
      <w:r w:rsidRPr="00077F9A">
        <w:t>vakningen av Europol och utvärderingen av Eurojust. Riksdagen beslöt 2006 att grön- och vitböcker och även de andra d</w:t>
      </w:r>
      <w:r w:rsidRPr="00077F9A">
        <w:t>o</w:t>
      </w:r>
      <w:r w:rsidRPr="00077F9A">
        <w:t>kument från EU, med undantag för kommissionsförslag, som talmannen efter samråd med gruppledarna b</w:t>
      </w:r>
      <w:r w:rsidRPr="00077F9A">
        <w:t>e</w:t>
      </w:r>
      <w:r w:rsidRPr="00077F9A">
        <w:t>stämmer, ska behandlas i en särskild ordning som anges i 10 kap. 4 § RO. De dokument från EU som tillko</w:t>
      </w:r>
      <w:r w:rsidRPr="00077F9A">
        <w:t>m</w:t>
      </w:r>
      <w:r w:rsidRPr="00077F9A">
        <w:t>mer genom Lissabonfördraget kommer att omfattas av möjligheten till riksdagsbehandling efter talmannens bestämmande, om ingen lagändring görs. Bland dessa tillkommande dok</w:t>
      </w:r>
      <w:r w:rsidRPr="00077F9A">
        <w:t>u</w:t>
      </w:r>
      <w:r w:rsidRPr="00077F9A">
        <w:t>ment kan förvisso finnas sådana som det inte är meningsfullt att behandla i riksdagen. Men någon anledning att reglera detta finns inte. Bland de nya dokumenten finns också sådana där utredningen föreställer sig att riksdagsb</w:t>
      </w:r>
      <w:r w:rsidRPr="00077F9A">
        <w:t>e</w:t>
      </w:r>
      <w:r w:rsidRPr="00077F9A">
        <w:t>handling är öns</w:t>
      </w:r>
      <w:r w:rsidRPr="00077F9A">
        <w:t>k</w:t>
      </w:r>
      <w:r w:rsidRPr="00077F9A">
        <w:t>värd. Dit hör utkast till fördragsändringar och ansökningar om anslutning till unionen. Vissa dokument skulle kunna bli aktuella för riksdagsbehandling, t.ex. informationen om det operativa samarbetet i frågor som rör den inre säkerheten. Utredningen anser dock att någon riksdagsb</w:t>
      </w:r>
      <w:r w:rsidRPr="00077F9A">
        <w:t>e</w:t>
      </w:r>
      <w:r w:rsidRPr="00077F9A">
        <w:t>handling av de nu nämnda dokumenten inte bör föreskrivas i RO, utan ta</w:t>
      </w:r>
      <w:r w:rsidRPr="00077F9A">
        <w:t>l</w:t>
      </w:r>
      <w:r w:rsidRPr="00077F9A">
        <w:t>mannen får efter sa</w:t>
      </w:r>
      <w:r w:rsidRPr="00077F9A">
        <w:t>m</w:t>
      </w:r>
      <w:r w:rsidRPr="00077F9A">
        <w:t>råd med gruppledarna bestämma om riksdagsbehandling ska ske. Ingen än</w:t>
      </w:r>
      <w:r w:rsidRPr="00077F9A">
        <w:t>d</w:t>
      </w:r>
      <w:r w:rsidRPr="00077F9A">
        <w:t>ring bör alltså göras i denna bestämmelse.</w:t>
      </w:r>
    </w:p>
    <w:p w:rsidR="00CF1B5E" w:rsidRPr="00077F9A" w:rsidRDefault="00CF1B5E" w:rsidP="00CF1B5E">
      <w:pPr>
        <w:pStyle w:val="Normaltindrag"/>
      </w:pPr>
      <w:r w:rsidRPr="00077F9A">
        <w:t>Enligt utredningens uppfattning bör regeringen ha skyldighet att informera riksdagen om sin syn inte bara på kommissionsförslag som regeringen bed</w:t>
      </w:r>
      <w:r w:rsidRPr="00077F9A">
        <w:t>ö</w:t>
      </w:r>
      <w:r w:rsidRPr="00077F9A">
        <w:t>mer som betydelsefulla utan på alla typer av betydelsefulla EU-dokument som överlämnas till riksdagen. Regeringen avgör själv under parlamentariskt ansvar vilka dokument som är betydelsefulla. Detta ställningstagande innebär en ändring i bestämmelsen i 10 kap. RO om regeringens skyldighet att info</w:t>
      </w:r>
      <w:r w:rsidRPr="00077F9A">
        <w:t>r</w:t>
      </w:r>
      <w:r w:rsidRPr="00077F9A">
        <w:t>mera riksdagen (nuvarande 10 kap. 2 § som efter införande av en ny 1 § blir 10 kap. 3 §). I sammanhanget bör erinras om den speciellt reglerade inform</w:t>
      </w:r>
      <w:r w:rsidRPr="00077F9A">
        <w:t>a</w:t>
      </w:r>
      <w:r w:rsidRPr="00077F9A">
        <w:t>tionsskyldighet som regeringen föreslås få när det gäller subsidiaritetsgrans</w:t>
      </w:r>
      <w:r w:rsidRPr="00077F9A">
        <w:t>k</w:t>
      </w:r>
      <w:r w:rsidR="00AE60FA" w:rsidRPr="00077F9A">
        <w:t>ningen (s. 53</w:t>
      </w:r>
      <w:r w:rsidRPr="00077F9A">
        <w:t xml:space="preserve">). </w:t>
      </w:r>
    </w:p>
    <w:p w:rsidR="00CF1B5E" w:rsidRPr="00077F9A" w:rsidRDefault="00CF1B5E" w:rsidP="00CF1B5E">
      <w:pPr>
        <w:pStyle w:val="Rubrik2"/>
      </w:pPr>
      <w:bookmarkStart w:id="189" w:name="_Toc227660642"/>
      <w:bookmarkStart w:id="190" w:name="_Toc227662107"/>
      <w:bookmarkStart w:id="191" w:name="_Toc227994098"/>
      <w:bookmarkStart w:id="192" w:name="_Toc230676883"/>
      <w:bookmarkStart w:id="193" w:name="_Toc230677056"/>
      <w:bookmarkStart w:id="194" w:name="_Toc230708112"/>
      <w:r w:rsidRPr="00077F9A">
        <w:t>6.7 Kontakter med övriga parlament inom EU</w:t>
      </w:r>
      <w:bookmarkEnd w:id="189"/>
      <w:bookmarkEnd w:id="190"/>
      <w:bookmarkEnd w:id="191"/>
      <w:bookmarkEnd w:id="192"/>
      <w:bookmarkEnd w:id="193"/>
      <w:bookmarkEnd w:id="194"/>
    </w:p>
    <w:p w:rsidR="00CF1B5E" w:rsidRPr="00077F9A" w:rsidRDefault="00CF1B5E" w:rsidP="00CF1B5E">
      <w:r w:rsidRPr="00077F9A">
        <w:t>Det interparlamentariska samarbetet inom EU har utvecklats starkt under senare år. Förutom det reglerade samarbete som bedrivs inom ramen för Cosac har andra kontakt- och samarbetsformer uppstått. Inom ramen för arbetet i den europeiska talmanskonferensen har olika initiativ tagits för att förstärka och utveckla konta</w:t>
      </w:r>
      <w:r w:rsidRPr="00077F9A">
        <w:t>k</w:t>
      </w:r>
      <w:r w:rsidRPr="00077F9A">
        <w:t>terna. Möten mellan parlamentens fackutskott för diskussion av specifika lagstiftningsåtgärder förekommer i ökad utsträc</w:t>
      </w:r>
      <w:r w:rsidRPr="00077F9A">
        <w:t>k</w:t>
      </w:r>
      <w:r w:rsidRPr="00077F9A">
        <w:t>ning liksom möten inom andra, för tillfället skapade fora för diskussion av mer övergripande frågor och framtidsfrågor. Viktig information för konta</w:t>
      </w:r>
      <w:r w:rsidRPr="00077F9A">
        <w:t>k</w:t>
      </w:r>
      <w:r w:rsidRPr="00077F9A">
        <w:t xml:space="preserve">terna och samarbetet kan numera erhållas på webbplatsen IPEX. </w:t>
      </w:r>
    </w:p>
    <w:p w:rsidR="00CF1B5E" w:rsidRPr="00077F9A" w:rsidRDefault="00CF1B5E" w:rsidP="00CF1B5E">
      <w:pPr>
        <w:pStyle w:val="Normaltindrag"/>
      </w:pPr>
      <w:r w:rsidRPr="00077F9A">
        <w:t>Det interparlamentariska samarbetet är förankrat i unionsfördragets b</w:t>
      </w:r>
      <w:r w:rsidRPr="00077F9A">
        <w:t>e</w:t>
      </w:r>
      <w:r w:rsidRPr="00077F9A">
        <w:t>stämmelse om de nationella parl</w:t>
      </w:r>
      <w:r w:rsidRPr="00077F9A">
        <w:t>a</w:t>
      </w:r>
      <w:r w:rsidRPr="00077F9A">
        <w:t>menten (EUF art. 12) och i protokollet om de nationella parlamentens roll (art. 9–10). Reviderade riktlinjer för samarb</w:t>
      </w:r>
      <w:r w:rsidRPr="00077F9A">
        <w:t>e</w:t>
      </w:r>
      <w:r w:rsidRPr="00077F9A">
        <w:t>tet finns i den överenskommelse som den europeiska talmanskonferensen träff</w:t>
      </w:r>
      <w:r w:rsidRPr="00077F9A">
        <w:t>a</w:t>
      </w:r>
      <w:r w:rsidRPr="00077F9A">
        <w:t xml:space="preserve">de i Lissabon i juni 2008. </w:t>
      </w:r>
    </w:p>
    <w:p w:rsidR="00CF1B5E" w:rsidRPr="00077F9A" w:rsidRDefault="00CF1B5E" w:rsidP="00CF1B5E">
      <w:pPr>
        <w:pStyle w:val="Normaltindrag"/>
      </w:pPr>
      <w:r w:rsidRPr="00077F9A">
        <w:t>Utredningen vill liksom RDK framhålla värdet av kontakter med andra parlament. Behovet av sådana kontakter kommer snarast att öka när Lissabo</w:t>
      </w:r>
      <w:r w:rsidRPr="00077F9A">
        <w:t>n</w:t>
      </w:r>
      <w:r w:rsidRPr="00077F9A">
        <w:t>fördraget träder i kraft. Från svensk sida är – med den ordning vi har sedan 2006 för regeringens överläggning med utskotten om lagstiftningsutkast och den ordning som föreslås i denna rapport beträffande subsidiaritet</w:t>
      </w:r>
      <w:r w:rsidRPr="00077F9A">
        <w:t>s</w:t>
      </w:r>
      <w:r w:rsidRPr="00077F9A">
        <w:t>kontrollen m.m. – utskottens kontakter med sina motsvarigheter i de andra europeiska parlamenten av särskild vikt. Dessa kontakter underlättas av att utvecklingen går mot en ökad roll för fackutskotten i b</w:t>
      </w:r>
      <w:r w:rsidRPr="00077F9A">
        <w:t>e</w:t>
      </w:r>
      <w:r w:rsidRPr="00077F9A">
        <w:t xml:space="preserve">handlingen av EU-frågor även i andra länders parlament. </w:t>
      </w:r>
    </w:p>
    <w:p w:rsidR="00CF1B5E" w:rsidRPr="00077F9A" w:rsidRDefault="00CF1B5E" w:rsidP="00CF1B5E">
      <w:pPr>
        <w:pStyle w:val="Normaltindrag"/>
      </w:pPr>
      <w:r w:rsidRPr="00077F9A">
        <w:t>Utredningen anser att Cosac är ett värdefullt organ för diskussion och u</w:t>
      </w:r>
      <w:r w:rsidRPr="00077F9A">
        <w:t>t</w:t>
      </w:r>
      <w:r w:rsidRPr="00077F9A">
        <w:t>byte av erfarenheter när det gäller parlamentens arbete med EU-frågor över huvud taget, således även för diskussion av subsidiaritetsfrågor och andra frågor där parlamenten deltar i EU-lagstiftningen enligt Lissabonfördraget. I Cosac ingår enligt dess egen arbetsordning sex representanter från varje pa</w:t>
      </w:r>
      <w:r w:rsidRPr="00077F9A">
        <w:t>r</w:t>
      </w:r>
      <w:r w:rsidRPr="00077F9A">
        <w:t>laments spec</w:t>
      </w:r>
      <w:r w:rsidRPr="00077F9A">
        <w:t>i</w:t>
      </w:r>
      <w:r w:rsidRPr="00077F9A">
        <w:t>ella EU-organ, för svensk del från EU-nämnden. Kontakterna mellan utskotten och nämnden bör enligt utredningens mening vara omfatta</w:t>
      </w:r>
      <w:r w:rsidRPr="00077F9A">
        <w:t>n</w:t>
      </w:r>
      <w:r w:rsidRPr="00077F9A">
        <w:t>de, och det gäller även beträffande den subsidiaritetsgranskning som enligt utrednin</w:t>
      </w:r>
      <w:r w:rsidRPr="00077F9A">
        <w:t>g</w:t>
      </w:r>
      <w:r w:rsidRPr="00077F9A">
        <w:t>ens förslag ska ske i utskotten. Det är naturligt att dessa kontakter i första hand sker via partigrupperna. Nämndens breda sammansättning av ledam</w:t>
      </w:r>
      <w:r w:rsidRPr="00077F9A">
        <w:t>ö</w:t>
      </w:r>
      <w:r w:rsidRPr="00077F9A">
        <w:t>ter och för närvarande över 40 suppleanter ger goda möjligheter för att samma ledamöter som representerar partiet i ett fackutskott deltar i nämndens b</w:t>
      </w:r>
      <w:r w:rsidRPr="00077F9A">
        <w:t>e</w:t>
      </w:r>
      <w:r w:rsidRPr="00077F9A">
        <w:t>handling av fackutskottets frågor. Därmed är också möjligheterna goda att anpassa Cosacdelegationens sammansättning till de frågor som ska behan</w:t>
      </w:r>
      <w:r w:rsidRPr="00077F9A">
        <w:t>d</w:t>
      </w:r>
      <w:r w:rsidRPr="00077F9A">
        <w:t xml:space="preserve">las på ett Cosacmöte. </w:t>
      </w:r>
    </w:p>
    <w:p w:rsidR="00CF1B5E" w:rsidRPr="00077F9A" w:rsidRDefault="00CF1B5E" w:rsidP="00CF1B5E">
      <w:pPr>
        <w:pStyle w:val="Normaltindrag"/>
      </w:pPr>
      <w:r w:rsidRPr="00077F9A">
        <w:t>De ståndpunkter som intas av enskilda eller grupper av riksdagsledamöter i olika interparlamentariska EU-organ binder inte riksdagen. Endast riksdagen själv kan i de former som anges i RF och RO fatta sådana beslut. Inte desto mindre är det viktigt att de synpunkter och åsikter som framförs av svenska företrädare vid möten i dessa organ är så väl förankrade som möjligt i riksd</w:t>
      </w:r>
      <w:r w:rsidRPr="00077F9A">
        <w:t>a</w:t>
      </w:r>
      <w:r w:rsidRPr="00077F9A">
        <w:t xml:space="preserve">gens organ och partier. Med den mer framträdande roll som de nationella parlamenten får i Lissabonfördraget ökar detta krav. </w:t>
      </w:r>
    </w:p>
    <w:p w:rsidR="00CF1B5E" w:rsidRPr="00077F9A" w:rsidRDefault="00CF1B5E" w:rsidP="00CF1B5E">
      <w:pPr>
        <w:pStyle w:val="Normaltindrag"/>
      </w:pPr>
      <w:r w:rsidRPr="00077F9A">
        <w:t xml:space="preserve">Samråd sker i dag i olika former beroende på vilket interparlamentariskt organ det handlar om. </w:t>
      </w:r>
    </w:p>
    <w:p w:rsidR="00CF1B5E" w:rsidRPr="00077F9A" w:rsidRDefault="00CF1B5E" w:rsidP="00CF1B5E">
      <w:pPr>
        <w:pStyle w:val="Normaltindrag"/>
      </w:pPr>
      <w:r w:rsidRPr="00077F9A">
        <w:t>Inför mötena i den europeiska talmanskonferensen samråder talmannen med gruppledarna. På tjänstemannaplanet är det i första hand riksdagsdirekt</w:t>
      </w:r>
      <w:r w:rsidRPr="00077F9A">
        <w:t>ö</w:t>
      </w:r>
      <w:r w:rsidRPr="00077F9A">
        <w:t>ren som med stöd av EU-samordningen i kammarkansliet bereder fr</w:t>
      </w:r>
      <w:r w:rsidRPr="00077F9A">
        <w:t>å</w:t>
      </w:r>
      <w:r w:rsidRPr="00077F9A">
        <w:t xml:space="preserve">gorna i kontakt med utskottens och EU-nämndens kanslichefer. </w:t>
      </w:r>
    </w:p>
    <w:p w:rsidR="00CF1B5E" w:rsidRPr="00077F9A" w:rsidRDefault="00CF1B5E" w:rsidP="00CF1B5E">
      <w:pPr>
        <w:pStyle w:val="Normaltindrag"/>
      </w:pPr>
      <w:r w:rsidRPr="00077F9A">
        <w:t>De frågor som ska tas upp på Cosacmötena bereds i första hand i EU-nämnden och i den delegation ur nämnden som ska delta i mötet med stöd av nämndens kansli. EU-nämndens breda sammansättning ger goda möjligheter till politiska kontakter med utskotten. I likhet med vad som numera normalt är fallet när EU-nämnden behandlar frågor som rör ett visst utskott, bör tjänst</w:t>
      </w:r>
      <w:r w:rsidRPr="00077F9A">
        <w:t>e</w:t>
      </w:r>
      <w:r w:rsidRPr="00077F9A">
        <w:t xml:space="preserve">män från de berörda utskottskanslierna vara närvarande när EU-nämnden behandlar Cosacfrågor. </w:t>
      </w:r>
    </w:p>
    <w:p w:rsidR="00CF1B5E" w:rsidRPr="00077F9A" w:rsidRDefault="00CF1B5E" w:rsidP="00CF1B5E">
      <w:pPr>
        <w:pStyle w:val="Normaltindrag"/>
      </w:pPr>
      <w:r w:rsidRPr="00077F9A">
        <w:t>Förmöten bör äga rum i de delegationer som deltar i utskottsvisa möten och i konferenser om politiska fr</w:t>
      </w:r>
      <w:r w:rsidRPr="00077F9A">
        <w:t>å</w:t>
      </w:r>
      <w:r w:rsidRPr="00077F9A">
        <w:t>gor av mer övergripande karaktär. Det är angeläget att EU-nämnden informeras om möten av dessa slag och ges tillfä</w:t>
      </w:r>
      <w:r w:rsidRPr="00077F9A">
        <w:t>l</w:t>
      </w:r>
      <w:r w:rsidRPr="00077F9A">
        <w:t>le att framföra synpunkter på de frågor som ska behandlas. Dessa kontakter med nämnden underlättas givetvis om nämndledamöter finns med i deleg</w:t>
      </w:r>
      <w:r w:rsidRPr="00077F9A">
        <w:t>a</w:t>
      </w:r>
      <w:r w:rsidRPr="00077F9A">
        <w:t>tione</w:t>
      </w:r>
      <w:r w:rsidRPr="00077F9A">
        <w:t>r</w:t>
      </w:r>
      <w:r w:rsidRPr="00077F9A">
        <w:t xml:space="preserve">na. </w:t>
      </w:r>
    </w:p>
    <w:p w:rsidR="00CF1B5E" w:rsidRPr="00077F9A" w:rsidRDefault="00CF1B5E" w:rsidP="00CF1B5E">
      <w:pPr>
        <w:pStyle w:val="Rubrik2"/>
      </w:pPr>
      <w:bookmarkStart w:id="195" w:name="_Toc227660643"/>
      <w:bookmarkStart w:id="196" w:name="_Toc227662108"/>
      <w:bookmarkStart w:id="197" w:name="_Toc227994099"/>
      <w:bookmarkStart w:id="198" w:name="_Toc230676884"/>
      <w:bookmarkStart w:id="199" w:name="_Toc230677057"/>
      <w:bookmarkStart w:id="200" w:name="_Toc230708113"/>
      <w:r w:rsidRPr="00077F9A">
        <w:t>6.8 Konsekvenser för arbetet i riksdagen</w:t>
      </w:r>
      <w:bookmarkEnd w:id="198"/>
      <w:bookmarkEnd w:id="199"/>
      <w:bookmarkEnd w:id="200"/>
      <w:r w:rsidRPr="00077F9A">
        <w:t xml:space="preserve"> </w:t>
      </w:r>
      <w:bookmarkEnd w:id="195"/>
      <w:bookmarkEnd w:id="196"/>
      <w:bookmarkEnd w:id="197"/>
    </w:p>
    <w:p w:rsidR="00CF1B5E" w:rsidRPr="00077F9A" w:rsidRDefault="00CF1B5E" w:rsidP="00CF1B5E">
      <w:pPr>
        <w:rPr>
          <w:rFonts w:cs="Bembo"/>
        </w:rPr>
      </w:pPr>
      <w:r w:rsidRPr="00077F9A">
        <w:rPr>
          <w:rFonts w:cs="Bembo"/>
        </w:rPr>
        <w:t>En genomgång har gjorts av utkasten till lagstiftningsakter för 2007 och 2008 (se</w:t>
      </w:r>
      <w:r w:rsidR="00122558" w:rsidRPr="00077F9A">
        <w:rPr>
          <w:rFonts w:cs="Bembo"/>
        </w:rPr>
        <w:t xml:space="preserve"> </w:t>
      </w:r>
      <w:r w:rsidR="00122558" w:rsidRPr="00077F9A">
        <w:t>2008/09:URF2</w:t>
      </w:r>
      <w:r w:rsidRPr="00077F9A">
        <w:rPr>
          <w:rFonts w:cs="Bembo"/>
        </w:rPr>
        <w:t xml:space="preserve"> </w:t>
      </w:r>
      <w:r w:rsidRPr="00077F9A">
        <w:rPr>
          <w:rFonts w:cs="Bembo"/>
          <w:i/>
        </w:rPr>
        <w:t>arbetspromemoria 5</w:t>
      </w:r>
      <w:r w:rsidRPr="00077F9A">
        <w:rPr>
          <w:rFonts w:cs="Bembo"/>
        </w:rPr>
        <w:t>). Vid genomgången har det bedömts vilka utkast som ryms inom EU:s exklusiva befogenheter och vilka som faller inom o</w:t>
      </w:r>
      <w:r w:rsidRPr="00077F9A">
        <w:rPr>
          <w:rFonts w:cs="Bembo"/>
        </w:rPr>
        <w:t>m</w:t>
      </w:r>
      <w:r w:rsidRPr="00077F9A">
        <w:rPr>
          <w:rFonts w:cs="Bembo"/>
        </w:rPr>
        <w:t>råden där befogenheterna är delade mellan EU och medlemsstaterna. Vidare har lagstiftningsakterna delats upp på förordningar och direktiv. Fö</w:t>
      </w:r>
      <w:r w:rsidRPr="00077F9A">
        <w:rPr>
          <w:rFonts w:cs="Bembo"/>
        </w:rPr>
        <w:t>r</w:t>
      </w:r>
      <w:r w:rsidRPr="00077F9A">
        <w:rPr>
          <w:rFonts w:cs="Bembo"/>
        </w:rPr>
        <w:t>slag som gäller tredje pelaren omfattas inte av genomgången. Det noteras dock i promemorian att det är få ra</w:t>
      </w:r>
      <w:r w:rsidRPr="00077F9A">
        <w:rPr>
          <w:rFonts w:cs="Bembo"/>
        </w:rPr>
        <w:t>m</w:t>
      </w:r>
      <w:r w:rsidRPr="00077F9A">
        <w:rPr>
          <w:rFonts w:cs="Bembo"/>
        </w:rPr>
        <w:t>beslut som rör tredjepelarfrågor.</w:t>
      </w:r>
    </w:p>
    <w:p w:rsidR="00CF1B5E" w:rsidRPr="00077F9A" w:rsidRDefault="00CF1B5E" w:rsidP="00CF1B5E">
      <w:pPr>
        <w:pStyle w:val="Normaltindrag"/>
      </w:pPr>
      <w:r w:rsidRPr="00077F9A">
        <w:t>Tabellen nedan visar att av samtliga 482 utkast till direktiv och föror</w:t>
      </w:r>
      <w:r w:rsidRPr="00077F9A">
        <w:t>d</w:t>
      </w:r>
      <w:r w:rsidRPr="00077F9A">
        <w:t>ningar för perioden 2007–2008 tillhörde 151 (31 %) det delade befogenhet</w:t>
      </w:r>
      <w:r w:rsidRPr="00077F9A">
        <w:t>s</w:t>
      </w:r>
      <w:r w:rsidRPr="00077F9A">
        <w:t>området medan 331 (69 %) föll under EU:s exklusiva befogenheter. De sen</w:t>
      </w:r>
      <w:r w:rsidRPr="00077F9A">
        <w:t>a</w:t>
      </w:r>
      <w:r w:rsidRPr="00077F9A">
        <w:t>re kan räknas bort i detta sammanhang. För riksdagens prövning enligt subs</w:t>
      </w:r>
      <w:r w:rsidRPr="00077F9A">
        <w:t>i</w:t>
      </w:r>
      <w:r w:rsidRPr="00077F9A">
        <w:t>diar</w:t>
      </w:r>
      <w:r w:rsidRPr="00077F9A">
        <w:t>i</w:t>
      </w:r>
      <w:r w:rsidRPr="00077F9A">
        <w:t xml:space="preserve">tetsprincipen skulle det då återstå 62 lagstiftningsakter för 2007 och 89 för 2008. Av dessa är, som framgår av </w:t>
      </w:r>
      <w:r w:rsidR="00122558" w:rsidRPr="00077F9A">
        <w:t>utredningens arbetspromemoria</w:t>
      </w:r>
      <w:r w:rsidRPr="00077F9A">
        <w:t>, många än</w:t>
      </w:r>
      <w:r w:rsidRPr="00077F9A">
        <w:t>d</w:t>
      </w:r>
      <w:r w:rsidRPr="00077F9A">
        <w:t>ringsförfattningar som sannolikt inte skulle ha medfört särskilt mycket arbete för rik</w:t>
      </w:r>
      <w:r w:rsidRPr="00077F9A">
        <w:t>s</w:t>
      </w:r>
      <w:r w:rsidRPr="00077F9A">
        <w:t>dagen.</w:t>
      </w:r>
    </w:p>
    <w:p w:rsidR="00CF1B5E" w:rsidRPr="00077F9A" w:rsidRDefault="00CF1B5E" w:rsidP="00CF1B5E">
      <w:pPr>
        <w:pStyle w:val="Tabellrubrik"/>
        <w:ind w:left="794" w:hanging="794"/>
      </w:pPr>
      <w:r w:rsidRPr="00077F9A">
        <w:t>Tabell 1. utkast till direktiv och förordningar inom områden där EU har exklusiv befogenhet respektive delad befogenhet med medlemsstaterna</w:t>
      </w:r>
    </w:p>
    <w:tbl>
      <w:tblPr>
        <w:tblW w:w="5954" w:type="dxa"/>
        <w:tblInd w:w="180" w:type="dxa"/>
        <w:tblLayout w:type="fixed"/>
        <w:tblCellMar>
          <w:left w:w="180" w:type="dxa"/>
          <w:right w:w="180" w:type="dxa"/>
        </w:tblCellMar>
        <w:tblLook w:val="0000" w:firstRow="0" w:lastRow="0" w:firstColumn="0" w:lastColumn="0" w:noHBand="0" w:noVBand="0"/>
      </w:tblPr>
      <w:tblGrid>
        <w:gridCol w:w="1018"/>
        <w:gridCol w:w="2144"/>
        <w:gridCol w:w="1601"/>
        <w:gridCol w:w="1191"/>
      </w:tblGrid>
      <w:tr w:rsidR="00CF1B5E" w:rsidRPr="00077F9A" w:rsidTr="00CF1B5E">
        <w:tblPrEx>
          <w:tblCellMar>
            <w:top w:w="0" w:type="dxa"/>
            <w:bottom w:w="0" w:type="dxa"/>
          </w:tblCellMar>
        </w:tblPrEx>
        <w:trPr>
          <w:trHeight w:val="20"/>
        </w:trPr>
        <w:tc>
          <w:tcPr>
            <w:tcW w:w="1018" w:type="dxa"/>
            <w:tcBorders>
              <w:top w:val="single" w:sz="4" w:space="0" w:color="auto"/>
              <w:bottom w:val="single" w:sz="4" w:space="0" w:color="auto"/>
            </w:tcBorders>
          </w:tcPr>
          <w:p w:rsidR="00CF1B5E" w:rsidRPr="00077F9A" w:rsidRDefault="00CF1B5E" w:rsidP="00CF1B5E">
            <w:pPr>
              <w:pStyle w:val="Tabelltext"/>
              <w:spacing w:before="60"/>
              <w:ind w:left="-38" w:right="170"/>
              <w:rPr>
                <w:b/>
              </w:rPr>
            </w:pPr>
            <w:r w:rsidRPr="00077F9A">
              <w:rPr>
                <w:b/>
              </w:rPr>
              <w:t>År</w:t>
            </w:r>
          </w:p>
        </w:tc>
        <w:tc>
          <w:tcPr>
            <w:tcW w:w="2144" w:type="dxa"/>
            <w:tcBorders>
              <w:top w:val="single" w:sz="4" w:space="0" w:color="auto"/>
              <w:bottom w:val="single" w:sz="4" w:space="0" w:color="auto"/>
            </w:tcBorders>
          </w:tcPr>
          <w:p w:rsidR="00CF1B5E" w:rsidRPr="00077F9A" w:rsidRDefault="00CF1B5E" w:rsidP="00CF1B5E">
            <w:pPr>
              <w:pStyle w:val="Tabelltext"/>
              <w:spacing w:before="60"/>
              <w:rPr>
                <w:b/>
              </w:rPr>
            </w:pPr>
            <w:r w:rsidRPr="00077F9A">
              <w:rPr>
                <w:b/>
              </w:rPr>
              <w:t>Exklusiv befogenhet</w:t>
            </w:r>
          </w:p>
        </w:tc>
        <w:tc>
          <w:tcPr>
            <w:tcW w:w="1601" w:type="dxa"/>
            <w:tcBorders>
              <w:top w:val="single" w:sz="4" w:space="0" w:color="auto"/>
              <w:bottom w:val="single" w:sz="4" w:space="0" w:color="auto"/>
            </w:tcBorders>
          </w:tcPr>
          <w:p w:rsidR="00CF1B5E" w:rsidRPr="00077F9A" w:rsidRDefault="00CF1B5E" w:rsidP="00CF1B5E">
            <w:pPr>
              <w:pStyle w:val="Tabelltext"/>
              <w:spacing w:before="60"/>
              <w:rPr>
                <w:b/>
              </w:rPr>
            </w:pPr>
            <w:r w:rsidRPr="00077F9A">
              <w:rPr>
                <w:b/>
              </w:rPr>
              <w:t>Delad befogenhet</w:t>
            </w:r>
          </w:p>
        </w:tc>
        <w:tc>
          <w:tcPr>
            <w:tcW w:w="1191" w:type="dxa"/>
            <w:tcBorders>
              <w:top w:val="single" w:sz="4" w:space="0" w:color="auto"/>
              <w:bottom w:val="single" w:sz="4" w:space="0" w:color="auto"/>
            </w:tcBorders>
          </w:tcPr>
          <w:p w:rsidR="00CF1B5E" w:rsidRPr="00077F9A" w:rsidRDefault="00CF1B5E" w:rsidP="00CF1B5E">
            <w:pPr>
              <w:pStyle w:val="Tabelltext"/>
              <w:spacing w:before="60"/>
              <w:jc w:val="right"/>
              <w:rPr>
                <w:b/>
              </w:rPr>
            </w:pPr>
            <w:r w:rsidRPr="00077F9A">
              <w:rPr>
                <w:b/>
              </w:rPr>
              <w:t>Totalt</w:t>
            </w:r>
          </w:p>
        </w:tc>
      </w:tr>
      <w:tr w:rsidR="00CF1B5E" w:rsidRPr="00077F9A" w:rsidTr="00CF1B5E">
        <w:tblPrEx>
          <w:tblCellMar>
            <w:top w:w="0" w:type="dxa"/>
            <w:bottom w:w="0" w:type="dxa"/>
          </w:tblCellMar>
        </w:tblPrEx>
        <w:trPr>
          <w:trHeight w:val="20"/>
        </w:trPr>
        <w:tc>
          <w:tcPr>
            <w:tcW w:w="1018" w:type="dxa"/>
            <w:tcBorders>
              <w:top w:val="single" w:sz="4" w:space="0" w:color="auto"/>
            </w:tcBorders>
          </w:tcPr>
          <w:p w:rsidR="00CF1B5E" w:rsidRPr="00077F9A" w:rsidRDefault="00CF1B5E" w:rsidP="00CF1B5E">
            <w:pPr>
              <w:pStyle w:val="Tabelltext"/>
              <w:spacing w:before="60"/>
              <w:ind w:left="-38" w:right="170"/>
            </w:pPr>
          </w:p>
        </w:tc>
        <w:tc>
          <w:tcPr>
            <w:tcW w:w="2144" w:type="dxa"/>
            <w:tcBorders>
              <w:top w:val="single" w:sz="4" w:space="0" w:color="auto"/>
            </w:tcBorders>
          </w:tcPr>
          <w:p w:rsidR="00CF1B5E" w:rsidRPr="00077F9A" w:rsidRDefault="00CF1B5E" w:rsidP="00CF1B5E">
            <w:pPr>
              <w:pStyle w:val="Tabelltext"/>
              <w:spacing w:before="60"/>
            </w:pPr>
            <w:r w:rsidRPr="00077F9A">
              <w:t>Antal (andel)</w:t>
            </w:r>
          </w:p>
        </w:tc>
        <w:tc>
          <w:tcPr>
            <w:tcW w:w="1601" w:type="dxa"/>
            <w:tcBorders>
              <w:top w:val="single" w:sz="4" w:space="0" w:color="auto"/>
            </w:tcBorders>
          </w:tcPr>
          <w:p w:rsidR="00CF1B5E" w:rsidRPr="00077F9A" w:rsidRDefault="00CF1B5E" w:rsidP="00CF1B5E">
            <w:pPr>
              <w:pStyle w:val="Tabelltext"/>
              <w:spacing w:before="60"/>
            </w:pPr>
            <w:r w:rsidRPr="00077F9A">
              <w:t>Antal (andel)</w:t>
            </w:r>
          </w:p>
        </w:tc>
        <w:tc>
          <w:tcPr>
            <w:tcW w:w="1191" w:type="dxa"/>
            <w:tcBorders>
              <w:top w:val="single" w:sz="4" w:space="0" w:color="auto"/>
            </w:tcBorders>
          </w:tcPr>
          <w:p w:rsidR="00CF1B5E" w:rsidRPr="00077F9A" w:rsidRDefault="00CF1B5E" w:rsidP="00CF1B5E">
            <w:pPr>
              <w:pStyle w:val="Tabelltext"/>
              <w:spacing w:before="60"/>
              <w:jc w:val="right"/>
            </w:pPr>
            <w:r w:rsidRPr="00077F9A">
              <w:t>Antal</w:t>
            </w:r>
          </w:p>
        </w:tc>
      </w:tr>
      <w:tr w:rsidR="00CF1B5E" w:rsidRPr="00077F9A" w:rsidTr="00CF1B5E">
        <w:tblPrEx>
          <w:tblCellMar>
            <w:top w:w="0" w:type="dxa"/>
            <w:bottom w:w="0" w:type="dxa"/>
          </w:tblCellMar>
        </w:tblPrEx>
        <w:trPr>
          <w:trHeight w:val="20"/>
        </w:trPr>
        <w:tc>
          <w:tcPr>
            <w:tcW w:w="1018" w:type="dxa"/>
          </w:tcPr>
          <w:p w:rsidR="00CF1B5E" w:rsidRPr="00077F9A" w:rsidRDefault="00CF1B5E" w:rsidP="00CF1B5E">
            <w:pPr>
              <w:pStyle w:val="Tabelltextsiffror"/>
              <w:spacing w:before="60"/>
              <w:ind w:left="-38" w:right="170"/>
              <w:jc w:val="left"/>
            </w:pPr>
            <w:r w:rsidRPr="00077F9A">
              <w:t>2007</w:t>
            </w:r>
          </w:p>
        </w:tc>
        <w:tc>
          <w:tcPr>
            <w:tcW w:w="2144" w:type="dxa"/>
          </w:tcPr>
          <w:p w:rsidR="00CF1B5E" w:rsidRPr="00077F9A" w:rsidRDefault="00CF1B5E" w:rsidP="00CF1B5E">
            <w:pPr>
              <w:pStyle w:val="Tabelltextsiffror"/>
              <w:spacing w:before="60"/>
              <w:jc w:val="both"/>
            </w:pPr>
            <w:r w:rsidRPr="00077F9A">
              <w:t>162 (72 %)</w:t>
            </w:r>
          </w:p>
        </w:tc>
        <w:tc>
          <w:tcPr>
            <w:tcW w:w="1601" w:type="dxa"/>
          </w:tcPr>
          <w:p w:rsidR="00CF1B5E" w:rsidRPr="00077F9A" w:rsidRDefault="00CF1B5E" w:rsidP="00CF1B5E">
            <w:pPr>
              <w:pStyle w:val="Tabelltextsiffror"/>
              <w:spacing w:before="60"/>
              <w:jc w:val="both"/>
            </w:pPr>
            <w:r w:rsidRPr="00077F9A">
              <w:t>62 (28 %)</w:t>
            </w:r>
          </w:p>
        </w:tc>
        <w:tc>
          <w:tcPr>
            <w:tcW w:w="1191" w:type="dxa"/>
          </w:tcPr>
          <w:p w:rsidR="00CF1B5E" w:rsidRPr="00077F9A" w:rsidRDefault="00CF1B5E" w:rsidP="00CF1B5E">
            <w:pPr>
              <w:pStyle w:val="Tabelltextsiffror"/>
              <w:spacing w:before="60"/>
            </w:pPr>
            <w:r w:rsidRPr="00077F9A">
              <w:t>224</w:t>
            </w:r>
          </w:p>
        </w:tc>
      </w:tr>
      <w:tr w:rsidR="00CF1B5E" w:rsidRPr="00077F9A" w:rsidTr="00CF1B5E">
        <w:tblPrEx>
          <w:tblCellMar>
            <w:top w:w="0" w:type="dxa"/>
            <w:bottom w:w="0" w:type="dxa"/>
          </w:tblCellMar>
        </w:tblPrEx>
        <w:trPr>
          <w:trHeight w:val="20"/>
        </w:trPr>
        <w:tc>
          <w:tcPr>
            <w:tcW w:w="1018" w:type="dxa"/>
          </w:tcPr>
          <w:p w:rsidR="00CF1B5E" w:rsidRPr="00077F9A" w:rsidRDefault="00CF1B5E" w:rsidP="00CF1B5E">
            <w:pPr>
              <w:pStyle w:val="Tabelltextsiffror"/>
              <w:spacing w:before="60"/>
              <w:ind w:left="-38" w:right="170"/>
              <w:jc w:val="left"/>
            </w:pPr>
            <w:r w:rsidRPr="00077F9A">
              <w:t>2008</w:t>
            </w:r>
          </w:p>
        </w:tc>
        <w:tc>
          <w:tcPr>
            <w:tcW w:w="2144" w:type="dxa"/>
          </w:tcPr>
          <w:p w:rsidR="00CF1B5E" w:rsidRPr="00077F9A" w:rsidRDefault="00CF1B5E" w:rsidP="00CF1B5E">
            <w:pPr>
              <w:pStyle w:val="Tabelltextsiffror"/>
              <w:spacing w:before="60"/>
              <w:jc w:val="both"/>
            </w:pPr>
            <w:r w:rsidRPr="00077F9A">
              <w:t>169 (66 %)</w:t>
            </w:r>
          </w:p>
        </w:tc>
        <w:tc>
          <w:tcPr>
            <w:tcW w:w="1601" w:type="dxa"/>
          </w:tcPr>
          <w:p w:rsidR="00CF1B5E" w:rsidRPr="00077F9A" w:rsidRDefault="00CF1B5E" w:rsidP="00CF1B5E">
            <w:pPr>
              <w:pStyle w:val="Tabelltextsiffror"/>
              <w:spacing w:before="60"/>
              <w:jc w:val="both"/>
            </w:pPr>
            <w:r w:rsidRPr="00077F9A">
              <w:t>89 (34 %)</w:t>
            </w:r>
          </w:p>
        </w:tc>
        <w:tc>
          <w:tcPr>
            <w:tcW w:w="1191" w:type="dxa"/>
          </w:tcPr>
          <w:p w:rsidR="00CF1B5E" w:rsidRPr="00077F9A" w:rsidRDefault="00CF1B5E" w:rsidP="00CF1B5E">
            <w:pPr>
              <w:pStyle w:val="Tabelltextsiffror"/>
              <w:spacing w:before="60"/>
            </w:pPr>
            <w:r w:rsidRPr="00077F9A">
              <w:t>258</w:t>
            </w:r>
          </w:p>
        </w:tc>
      </w:tr>
      <w:tr w:rsidR="00CF1B5E" w:rsidRPr="00077F9A" w:rsidTr="00CF1B5E">
        <w:tblPrEx>
          <w:tblCellMar>
            <w:top w:w="0" w:type="dxa"/>
            <w:bottom w:w="0" w:type="dxa"/>
          </w:tblCellMar>
        </w:tblPrEx>
        <w:trPr>
          <w:trHeight w:val="20"/>
        </w:trPr>
        <w:tc>
          <w:tcPr>
            <w:tcW w:w="1018" w:type="dxa"/>
            <w:tcBorders>
              <w:bottom w:val="single" w:sz="4" w:space="0" w:color="auto"/>
            </w:tcBorders>
          </w:tcPr>
          <w:p w:rsidR="00CF1B5E" w:rsidRPr="00077F9A" w:rsidRDefault="00CF1B5E" w:rsidP="00CF1B5E">
            <w:pPr>
              <w:pStyle w:val="Tabelltextsiffror"/>
              <w:spacing w:before="60"/>
              <w:ind w:left="-38" w:right="170"/>
              <w:jc w:val="left"/>
            </w:pPr>
            <w:r w:rsidRPr="00077F9A">
              <w:t>Totalt</w:t>
            </w:r>
          </w:p>
        </w:tc>
        <w:tc>
          <w:tcPr>
            <w:tcW w:w="2144" w:type="dxa"/>
            <w:tcBorders>
              <w:bottom w:val="single" w:sz="4" w:space="0" w:color="auto"/>
            </w:tcBorders>
          </w:tcPr>
          <w:p w:rsidR="00CF1B5E" w:rsidRPr="00077F9A" w:rsidRDefault="00CF1B5E" w:rsidP="00CF1B5E">
            <w:pPr>
              <w:pStyle w:val="Tabelltextsiffror"/>
              <w:spacing w:before="60"/>
              <w:jc w:val="both"/>
            </w:pPr>
            <w:r w:rsidRPr="00077F9A">
              <w:t>331 (69 %)</w:t>
            </w:r>
          </w:p>
        </w:tc>
        <w:tc>
          <w:tcPr>
            <w:tcW w:w="1601" w:type="dxa"/>
            <w:tcBorders>
              <w:bottom w:val="single" w:sz="4" w:space="0" w:color="auto"/>
            </w:tcBorders>
          </w:tcPr>
          <w:p w:rsidR="00CF1B5E" w:rsidRPr="00077F9A" w:rsidRDefault="00CF1B5E" w:rsidP="00CF1B5E">
            <w:pPr>
              <w:pStyle w:val="Tabelltextsiffror"/>
              <w:spacing w:before="60"/>
              <w:jc w:val="both"/>
            </w:pPr>
            <w:r w:rsidRPr="00077F9A">
              <w:t>151 (31 %)</w:t>
            </w:r>
          </w:p>
        </w:tc>
        <w:tc>
          <w:tcPr>
            <w:tcW w:w="1191" w:type="dxa"/>
            <w:tcBorders>
              <w:bottom w:val="single" w:sz="4" w:space="0" w:color="auto"/>
            </w:tcBorders>
          </w:tcPr>
          <w:p w:rsidR="00CF1B5E" w:rsidRPr="00077F9A" w:rsidRDefault="00CF1B5E" w:rsidP="00CF1B5E">
            <w:pPr>
              <w:pStyle w:val="Tabelltextsiffror"/>
              <w:spacing w:before="60"/>
            </w:pPr>
            <w:r w:rsidRPr="00077F9A">
              <w:t>482</w:t>
            </w:r>
          </w:p>
        </w:tc>
      </w:tr>
    </w:tbl>
    <w:p w:rsidR="00CF1B5E" w:rsidRPr="00077F9A" w:rsidRDefault="00CF1B5E" w:rsidP="00CF1B5E">
      <w:pPr>
        <w:spacing w:before="187"/>
        <w:rPr>
          <w:rFonts w:cs="Bembo"/>
        </w:rPr>
      </w:pPr>
      <w:r w:rsidRPr="00077F9A">
        <w:rPr>
          <w:rFonts w:cs="Bembo"/>
        </w:rPr>
        <w:t>Vidare kan man utläsa av promemorian att andelen av samtliga dire</w:t>
      </w:r>
      <w:r w:rsidRPr="00077F9A">
        <w:rPr>
          <w:rFonts w:cs="Bembo"/>
        </w:rPr>
        <w:t>k</w:t>
      </w:r>
      <w:r w:rsidRPr="00077F9A">
        <w:rPr>
          <w:rFonts w:cs="Bembo"/>
        </w:rPr>
        <w:t>tiv under perioden 2007–2008 som föll inom det delade befogenhetsområdet (56 %) är bety</w:t>
      </w:r>
      <w:r w:rsidRPr="00077F9A">
        <w:rPr>
          <w:rFonts w:cs="Bembo"/>
        </w:rPr>
        <w:t>d</w:t>
      </w:r>
      <w:r w:rsidRPr="00077F9A">
        <w:rPr>
          <w:rFonts w:cs="Bembo"/>
        </w:rPr>
        <w:t>ligt större än andelen av samtliga förordningar för samma period (22 %). Det sistnämnda förklaras inte minst av att många förordningar föreslås på tull- och handelso</w:t>
      </w:r>
      <w:r w:rsidRPr="00077F9A">
        <w:rPr>
          <w:rFonts w:cs="Bembo"/>
        </w:rPr>
        <w:t>m</w:t>
      </w:r>
      <w:r w:rsidRPr="00077F9A">
        <w:rPr>
          <w:rFonts w:cs="Bembo"/>
        </w:rPr>
        <w:t>rådet, där unionen har exklusiv befogenhet.</w:t>
      </w:r>
    </w:p>
    <w:p w:rsidR="00CF1B5E" w:rsidRPr="00077F9A" w:rsidRDefault="00CF1B5E" w:rsidP="00CF1B5E">
      <w:pPr>
        <w:pStyle w:val="Normaltindrag"/>
      </w:pPr>
      <w:r w:rsidRPr="00077F9A">
        <w:t>Av de utkast till lagstiftningsakter som enligt Lissabonfördraget ska prövas av riksdagen var det miljö- och jordbruksutskottet och trafikutskottet som vid r</w:t>
      </w:r>
      <w:r w:rsidRPr="00077F9A">
        <w:t>e</w:t>
      </w:r>
      <w:r w:rsidRPr="00077F9A">
        <w:t>mitteringen hade fått de flesta utkasten (34 respektive 27). Få eller inga utkast under hela tvåårsperioden mottog konstitutions-, utrikes-, försvars-, kultur- och utbildningsu</w:t>
      </w:r>
      <w:r w:rsidRPr="00077F9A">
        <w:t>t</w:t>
      </w:r>
      <w:r w:rsidRPr="00077F9A">
        <w:t>skotten.</w:t>
      </w:r>
    </w:p>
    <w:p w:rsidR="00CF1B5E" w:rsidRPr="00077F9A" w:rsidRDefault="00CF1B5E" w:rsidP="00CF1B5E">
      <w:pPr>
        <w:pStyle w:val="Normaltindrag"/>
      </w:pPr>
      <w:r w:rsidRPr="00077F9A">
        <w:t>I promemorian visas också att det finns en årsrytm i EU:s lagstiftningsa</w:t>
      </w:r>
      <w:r w:rsidRPr="00077F9A">
        <w:t>k</w:t>
      </w:r>
      <w:r w:rsidRPr="00077F9A">
        <w:t>tivitet. Antalet utkast stiger under perioden juni–juli. Det följs av en mins</w:t>
      </w:r>
      <w:r w:rsidRPr="00077F9A">
        <w:t>k</w:t>
      </w:r>
      <w:r w:rsidRPr="00077F9A">
        <w:t>ning under augusti. Under hösten sker en ökning under oktober–december.</w:t>
      </w:r>
    </w:p>
    <w:p w:rsidR="00CF1B5E" w:rsidRPr="00077F9A" w:rsidRDefault="00CF1B5E" w:rsidP="00CF1B5E">
      <w:pPr>
        <w:pStyle w:val="Normaltindrag"/>
      </w:pPr>
      <w:r w:rsidRPr="00077F9A">
        <w:t>Vilka slutsatser kan dras av denna genomgång när det gäller arbetsbördan för riksdagen och dess utskott efter det att Lissabonfördraget och de här för</w:t>
      </w:r>
      <w:r w:rsidRPr="00077F9A">
        <w:t>e</w:t>
      </w:r>
      <w:r w:rsidRPr="00077F9A">
        <w:t>sla</w:t>
      </w:r>
      <w:r w:rsidRPr="00077F9A">
        <w:t>g</w:t>
      </w:r>
      <w:r w:rsidRPr="00077F9A">
        <w:t>na reglerna trätt i kraft?</w:t>
      </w:r>
    </w:p>
    <w:p w:rsidR="00CF1B5E" w:rsidRPr="00077F9A" w:rsidRDefault="00CF1B5E" w:rsidP="00CF1B5E">
      <w:pPr>
        <w:pStyle w:val="Normaltindrag"/>
      </w:pPr>
      <w:r w:rsidRPr="00077F9A">
        <w:t>Det är givet att subsidiaritetsgranskningen kommer att medföra en ökning av arbetsbördan för riksdagens utskott. För några utskott kommer denna ö</w:t>
      </w:r>
      <w:r w:rsidRPr="00077F9A">
        <w:t>k</w:t>
      </w:r>
      <w:r w:rsidRPr="00077F9A">
        <w:t>ning knappast att vara märkbar men för andra, t.ex. MJU och TU, påtaglig. Genom att den nuvarande tredje pelarens område läggs under det ordinarie lagstif</w:t>
      </w:r>
      <w:r w:rsidRPr="00077F9A">
        <w:t>t</w:t>
      </w:r>
      <w:r w:rsidRPr="00077F9A">
        <w:t xml:space="preserve">ningsförfarandet kan en viss förskjutning sannolikt väntas i riktning mot JuU:s, CU:s och SfU:s områden. </w:t>
      </w:r>
    </w:p>
    <w:p w:rsidR="00CF1B5E" w:rsidRPr="00077F9A" w:rsidRDefault="00CF1B5E" w:rsidP="00CF1B5E">
      <w:pPr>
        <w:pStyle w:val="Normaltindrag"/>
      </w:pPr>
      <w:r w:rsidRPr="00077F9A">
        <w:t>Årsrytmen i EU:s lagstiftningsaktivitet kommer med all sannolikhet att även i fortsättningen sammanfalla med riksdagens årsrytm med det undant</w:t>
      </w:r>
      <w:r w:rsidRPr="00077F9A">
        <w:t>a</w:t>
      </w:r>
      <w:r w:rsidRPr="00077F9A">
        <w:t>get att riksdagen för närvarande inte över huvud taget sammanträder under juli månad då många lagstiftningsutkast läggs fram av kommissionen. Fö</w:t>
      </w:r>
      <w:r w:rsidRPr="00077F9A">
        <w:t>r</w:t>
      </w:r>
      <w:r w:rsidRPr="00077F9A">
        <w:t>söksverksamheten har visat att det inte är bara för riksdagen som detta inn</w:t>
      </w:r>
      <w:r w:rsidRPr="00077F9A">
        <w:t>e</w:t>
      </w:r>
      <w:r w:rsidRPr="00077F9A">
        <w:t>bär problem. Det skulle därför vara positivt om den idé som framförts från ko</w:t>
      </w:r>
      <w:r w:rsidRPr="00077F9A">
        <w:t>m</w:t>
      </w:r>
      <w:r w:rsidRPr="00077F9A">
        <w:t>missionen, att räkna bort augustiveckorna från åttaveckorsperioden, förver</w:t>
      </w:r>
      <w:r w:rsidRPr="00077F9A">
        <w:t>k</w:t>
      </w:r>
      <w:r w:rsidRPr="00077F9A">
        <w:t>ligades.</w:t>
      </w:r>
    </w:p>
    <w:p w:rsidR="00CF1B5E" w:rsidRPr="00077F9A" w:rsidRDefault="00CF1B5E" w:rsidP="00CF1B5E">
      <w:pPr>
        <w:pStyle w:val="Normaltindrag"/>
      </w:pPr>
      <w:r w:rsidRPr="00077F9A">
        <w:t>När det gäller de övriga uppgifter som tillkommer genom Lissabonfördr</w:t>
      </w:r>
      <w:r w:rsidRPr="00077F9A">
        <w:t>a</w:t>
      </w:r>
      <w:r w:rsidRPr="00077F9A">
        <w:t>get finns det knappast anledning att vänta sig att de kontinuerligt medför n</w:t>
      </w:r>
      <w:r w:rsidRPr="00077F9A">
        <w:t>å</w:t>
      </w:r>
      <w:r w:rsidRPr="00077F9A">
        <w:t>gon ökad arbetsbörda för riksdagen. Ett frågetecken måste dock tills vidare sättas för de tillkommande kontrollfrågorna på området för frihet, säkerhet och rättvisa.</w:t>
      </w:r>
    </w:p>
    <w:p w:rsidR="00CF1B5E" w:rsidRPr="00077F9A" w:rsidRDefault="00CF1B5E" w:rsidP="00CF1B5E">
      <w:bookmarkStart w:id="201" w:name="_Toc223952211"/>
      <w:bookmarkStart w:id="202" w:name="_Toc227660644"/>
      <w:bookmarkStart w:id="203" w:name="_Toc227662109"/>
      <w:bookmarkStart w:id="204" w:name="_Toc227994100"/>
    </w:p>
    <w:p w:rsidR="00CF1B5E" w:rsidRPr="00077F9A" w:rsidRDefault="00CF1B5E" w:rsidP="00CF1B5E">
      <w:pPr>
        <w:sectPr w:rsidR="00CF1B5E" w:rsidRPr="00077F9A" w:rsidSect="00CF1B5E">
          <w:headerReference w:type="even" r:id="rId71"/>
          <w:headerReference w:type="default" r:id="rId72"/>
          <w:footerReference w:type="even" r:id="rId73"/>
          <w:footerReference w:type="default" r:id="rId74"/>
          <w:headerReference w:type="first" r:id="rId75"/>
          <w:footerReference w:type="first" r:id="rId76"/>
          <w:footnotePr>
            <w:numRestart w:val="eachSect"/>
          </w:footnotePr>
          <w:pgSz w:w="11906" w:h="16838" w:code="9"/>
          <w:pgMar w:top="907" w:right="4649" w:bottom="4508" w:left="1304" w:header="340" w:footer="227" w:gutter="0"/>
          <w:cols w:space="720"/>
          <w:titlePg/>
        </w:sectPr>
      </w:pPr>
    </w:p>
    <w:p w:rsidR="00CF1B5E" w:rsidRPr="00077F9A" w:rsidRDefault="00CF1B5E" w:rsidP="00CF1B5E">
      <w:pPr>
        <w:pStyle w:val="Rubrik1"/>
        <w:rPr>
          <w:noProof w:val="0"/>
        </w:rPr>
      </w:pPr>
      <w:bookmarkStart w:id="205" w:name="_Toc230676885"/>
      <w:bookmarkStart w:id="206" w:name="_Toc230677058"/>
      <w:bookmarkStart w:id="207" w:name="_Toc230708114"/>
      <w:r w:rsidRPr="00077F9A">
        <w:rPr>
          <w:noProof w:val="0"/>
        </w:rPr>
        <w:t>7 Författningskommentar</w:t>
      </w:r>
      <w:bookmarkEnd w:id="201"/>
      <w:bookmarkEnd w:id="202"/>
      <w:bookmarkEnd w:id="203"/>
      <w:bookmarkEnd w:id="204"/>
      <w:bookmarkEnd w:id="205"/>
      <w:bookmarkEnd w:id="206"/>
      <w:bookmarkEnd w:id="207"/>
    </w:p>
    <w:p w:rsidR="00CF1B5E" w:rsidRPr="00077F9A" w:rsidRDefault="00CF1B5E" w:rsidP="00CF1B5E">
      <w:pPr>
        <w:pStyle w:val="Rubrik2"/>
        <w:spacing w:before="0"/>
      </w:pPr>
      <w:bookmarkStart w:id="208" w:name="_Toc230676886"/>
      <w:bookmarkStart w:id="209" w:name="_Toc230677059"/>
      <w:bookmarkStart w:id="210" w:name="_Toc230708115"/>
      <w:r w:rsidRPr="00077F9A">
        <w:t>Förslaget till lag om ändring i riksdagsordningen</w:t>
      </w:r>
      <w:bookmarkEnd w:id="208"/>
      <w:bookmarkEnd w:id="209"/>
      <w:bookmarkEnd w:id="210"/>
    </w:p>
    <w:p w:rsidR="00CF1B5E" w:rsidRPr="00077F9A" w:rsidRDefault="00CF1B5E" w:rsidP="00CF1B5E">
      <w:pPr>
        <w:spacing w:before="0"/>
        <w:rPr>
          <w:b/>
        </w:rPr>
      </w:pPr>
      <w:r w:rsidRPr="00077F9A">
        <w:rPr>
          <w:b/>
        </w:rPr>
        <w:t>2 kap.</w:t>
      </w:r>
    </w:p>
    <w:p w:rsidR="00CF1B5E" w:rsidRPr="00077F9A" w:rsidRDefault="00CF1B5E" w:rsidP="00CF1B5E">
      <w:pPr>
        <w:rPr>
          <w:i/>
        </w:rPr>
      </w:pPr>
      <w:r w:rsidRPr="00077F9A">
        <w:rPr>
          <w:i/>
        </w:rPr>
        <w:t>Tilläggsbestämmelsen 2.7.1</w:t>
      </w:r>
    </w:p>
    <w:p w:rsidR="00CF1B5E" w:rsidRPr="00077F9A" w:rsidRDefault="00CF1B5E" w:rsidP="00CF1B5E">
      <w:r w:rsidRPr="00077F9A">
        <w:t>Som en följd av ändringarna i 10 kap. sker ändringar i bestämmelsen om ka</w:t>
      </w:r>
      <w:r w:rsidRPr="00077F9A">
        <w:t>m</w:t>
      </w:r>
      <w:r w:rsidRPr="00077F9A">
        <w:t>marens föredragningslista.</w:t>
      </w:r>
    </w:p>
    <w:p w:rsidR="00CF1B5E" w:rsidRPr="00077F9A" w:rsidRDefault="00CF1B5E" w:rsidP="00CF1B5E"/>
    <w:p w:rsidR="00CF1B5E" w:rsidRPr="00077F9A" w:rsidRDefault="00CF1B5E" w:rsidP="00CF1B5E">
      <w:pPr>
        <w:rPr>
          <w:b/>
        </w:rPr>
      </w:pPr>
      <w:r w:rsidRPr="00077F9A">
        <w:rPr>
          <w:b/>
        </w:rPr>
        <w:t xml:space="preserve">3 kap. </w:t>
      </w:r>
    </w:p>
    <w:p w:rsidR="00CF1B5E" w:rsidRPr="00077F9A" w:rsidRDefault="00CF1B5E" w:rsidP="00CF1B5E">
      <w:pPr>
        <w:rPr>
          <w:i/>
        </w:rPr>
      </w:pPr>
      <w:smartTag w:uri="urn:schemas-microsoft-com:office:smarttags" w:element="metricconverter">
        <w:smartTagPr>
          <w:attr w:name="ProductID" w:val="14 a"/>
        </w:smartTagPr>
        <w:r w:rsidRPr="00077F9A">
          <w:rPr>
            <w:i/>
          </w:rPr>
          <w:t>14 a</w:t>
        </w:r>
      </w:smartTag>
      <w:r w:rsidRPr="00077F9A">
        <w:rPr>
          <w:i/>
        </w:rPr>
        <w:t xml:space="preserve"> § EU-dokument</w:t>
      </w:r>
    </w:p>
    <w:p w:rsidR="00CF1B5E" w:rsidRPr="00077F9A" w:rsidRDefault="00CF1B5E" w:rsidP="00CF1B5E">
      <w:r w:rsidRPr="00077F9A">
        <w:t>Som en följd av ändringarna i 10 kap. sker ändringar i bestämmelsen om EU-dokument. Två nya stycken i</w:t>
      </w:r>
      <w:r w:rsidRPr="00077F9A">
        <w:t>n</w:t>
      </w:r>
      <w:r w:rsidRPr="00077F9A">
        <w:t>förs som hänvisar till subsidiaritetskontrollen av utkasten till lagstiftningsakter i 10 kap. 6 § och till godkä</w:t>
      </w:r>
      <w:r w:rsidRPr="00077F9A">
        <w:t>n</w:t>
      </w:r>
      <w:r w:rsidRPr="00077F9A">
        <w:t>nandet av vissa initiativ från Europeiska uni</w:t>
      </w:r>
      <w:r w:rsidRPr="00077F9A">
        <w:t>o</w:t>
      </w:r>
      <w:r w:rsidRPr="00077F9A">
        <w:t>nen i 10 kap. 8 §.</w:t>
      </w:r>
    </w:p>
    <w:p w:rsidR="00CF1B5E" w:rsidRPr="00077F9A" w:rsidRDefault="00CF1B5E" w:rsidP="00CF1B5E"/>
    <w:p w:rsidR="00CF1B5E" w:rsidRPr="00077F9A" w:rsidRDefault="00CF1B5E" w:rsidP="00CF1B5E">
      <w:pPr>
        <w:rPr>
          <w:b/>
        </w:rPr>
      </w:pPr>
      <w:r w:rsidRPr="00077F9A">
        <w:rPr>
          <w:b/>
        </w:rPr>
        <w:t xml:space="preserve">4 kap. </w:t>
      </w:r>
    </w:p>
    <w:p w:rsidR="00CF1B5E" w:rsidRPr="00077F9A" w:rsidRDefault="00CF1B5E" w:rsidP="00CF1B5E">
      <w:pPr>
        <w:rPr>
          <w:i/>
        </w:rPr>
      </w:pPr>
      <w:r w:rsidRPr="00077F9A">
        <w:rPr>
          <w:i/>
        </w:rPr>
        <w:t>4 § Konstitutionsutskottets uppgifter</w:t>
      </w:r>
    </w:p>
    <w:p w:rsidR="00CF1B5E" w:rsidRPr="00077F9A" w:rsidRDefault="00CF1B5E" w:rsidP="00CF1B5E">
      <w:r w:rsidRPr="00077F9A">
        <w:t>En hänvisning införs till bestämmelsen i 10 kap. 6 § enligt vilken KU får i uppgift att följa tillämpningen av subsidiaritetsprincipen.</w:t>
      </w:r>
    </w:p>
    <w:p w:rsidR="00CF1B5E" w:rsidRPr="00077F9A" w:rsidRDefault="00CF1B5E" w:rsidP="00CF1B5E">
      <w:pPr>
        <w:pStyle w:val="Normal6Fre"/>
      </w:pPr>
      <w:r w:rsidRPr="00077F9A">
        <w:t>Tilläggsbestämmelserna 4.6.2 och 5.12.1</w:t>
      </w:r>
    </w:p>
    <w:p w:rsidR="00CF1B5E" w:rsidRPr="00077F9A" w:rsidRDefault="00CF1B5E" w:rsidP="00CF1B5E">
      <w:r w:rsidRPr="00077F9A">
        <w:t>I Lissabonfördraget försvinner beteckningen Europeiska gemenskapen och ersätts med Europeiska unionen. Detta bör medföra att beteckningen på u</w:t>
      </w:r>
      <w:r w:rsidRPr="00077F9A">
        <w:t>t</w:t>
      </w:r>
      <w:r w:rsidRPr="00077F9A">
        <w:t>giftsområde 27 ändras till Avgiften till Europeiska unionen.</w:t>
      </w:r>
    </w:p>
    <w:p w:rsidR="00CF1B5E" w:rsidRPr="00077F9A" w:rsidRDefault="00CF1B5E" w:rsidP="00CF1B5E">
      <w:pPr>
        <w:rPr>
          <w:b/>
        </w:rPr>
      </w:pPr>
    </w:p>
    <w:p w:rsidR="00CF1B5E" w:rsidRPr="00077F9A" w:rsidRDefault="00CF1B5E" w:rsidP="00CF1B5E">
      <w:pPr>
        <w:rPr>
          <w:b/>
        </w:rPr>
      </w:pPr>
      <w:r w:rsidRPr="00077F9A">
        <w:rPr>
          <w:b/>
        </w:rPr>
        <w:t>10 kap.</w:t>
      </w:r>
    </w:p>
    <w:p w:rsidR="00CF1B5E" w:rsidRPr="00077F9A" w:rsidRDefault="00CF1B5E" w:rsidP="00CF1B5E">
      <w:pPr>
        <w:rPr>
          <w:i/>
        </w:rPr>
      </w:pPr>
      <w:r w:rsidRPr="00077F9A">
        <w:rPr>
          <w:i/>
        </w:rPr>
        <w:t>1 § Information från Europeiska unionen</w:t>
      </w:r>
    </w:p>
    <w:p w:rsidR="00CF1B5E" w:rsidRPr="00077F9A" w:rsidRDefault="00CF1B5E" w:rsidP="00CF1B5E">
      <w:r w:rsidRPr="00077F9A">
        <w:t>Paragrafen är ny.</w:t>
      </w:r>
    </w:p>
    <w:p w:rsidR="00CF1B5E" w:rsidRPr="00077F9A" w:rsidRDefault="00CF1B5E" w:rsidP="00CF1B5E">
      <w:pPr>
        <w:pStyle w:val="Normaltindrag"/>
      </w:pPr>
      <w:r w:rsidRPr="00077F9A">
        <w:t>Liksom Riksdagskommittén (RDK) anser utredningen att RO bör innehålla en paragraf där det anges att riksdagen får information om arbetet i Europei</w:t>
      </w:r>
      <w:r w:rsidRPr="00077F9A">
        <w:t>s</w:t>
      </w:r>
      <w:r w:rsidRPr="00077F9A">
        <w:t>ka unionen från unionens institutioner i enlighet med fördragen och de till fö</w:t>
      </w:r>
      <w:r w:rsidRPr="00077F9A">
        <w:t>r</w:t>
      </w:r>
      <w:r w:rsidRPr="00077F9A">
        <w:t>dragen hörande protokollen.</w:t>
      </w:r>
    </w:p>
    <w:p w:rsidR="00CF1B5E" w:rsidRPr="00077F9A" w:rsidRDefault="00CF1B5E" w:rsidP="00CF1B5E">
      <w:pPr>
        <w:pStyle w:val="Normaltindrag"/>
      </w:pPr>
      <w:r w:rsidRPr="00077F9A">
        <w:t>Till skillnad från RDK anser utredningen inte att RO behöver redovisa vi</w:t>
      </w:r>
      <w:r w:rsidRPr="00077F9A">
        <w:t>l</w:t>
      </w:r>
      <w:r w:rsidRPr="00077F9A">
        <w:t>ka dokument som de nationella parlamenten ska erhålla. En sådan redovi</w:t>
      </w:r>
      <w:r w:rsidRPr="00077F9A">
        <w:t>s</w:t>
      </w:r>
      <w:r w:rsidRPr="00077F9A">
        <w:t>ning skulle visserligen göra RO mer informativ men skulle inte til</w:t>
      </w:r>
      <w:r w:rsidRPr="00077F9A">
        <w:t>l</w:t>
      </w:r>
      <w:r w:rsidRPr="00077F9A">
        <w:t>föra något nytt i sak. Dessutom blir en bestämmelse som fullständigt redovisar inform</w:t>
      </w:r>
      <w:r w:rsidRPr="00077F9A">
        <w:t>a</w:t>
      </w:r>
      <w:r w:rsidRPr="00077F9A">
        <w:t xml:space="preserve">tionen från EU mycket omfattande. Utredningen har upprättat en lista över denna information (se </w:t>
      </w:r>
      <w:r w:rsidRPr="00077F9A">
        <w:rPr>
          <w:i/>
        </w:rPr>
        <w:t>bilaga 2</w:t>
      </w:r>
      <w:r w:rsidRPr="00077F9A">
        <w:t xml:space="preserve">). </w:t>
      </w:r>
    </w:p>
    <w:p w:rsidR="00CF1B5E" w:rsidRPr="00077F9A" w:rsidRDefault="00CF1B5E" w:rsidP="00CF1B5E">
      <w:pPr>
        <w:pStyle w:val="Normal6Fre"/>
        <w:pageBreakBefore/>
        <w:spacing w:before="0"/>
        <w:rPr>
          <w:i w:val="0"/>
        </w:rPr>
      </w:pPr>
      <w:r w:rsidRPr="00077F9A">
        <w:t>2 §</w:t>
      </w:r>
      <w:r w:rsidRPr="00077F9A">
        <w:rPr>
          <w:i w:val="0"/>
        </w:rPr>
        <w:t xml:space="preserve"> </w:t>
      </w:r>
      <w:r w:rsidRPr="00077F9A">
        <w:t>Regeringens</w:t>
      </w:r>
      <w:r w:rsidRPr="00077F9A">
        <w:rPr>
          <w:i w:val="0"/>
        </w:rPr>
        <w:t xml:space="preserve"> </w:t>
      </w:r>
      <w:r w:rsidRPr="00077F9A">
        <w:t>skyldighet att informera riksdagen om EU-arbetet</w:t>
      </w:r>
    </w:p>
    <w:p w:rsidR="00CF1B5E" w:rsidRPr="00077F9A" w:rsidRDefault="00CF1B5E" w:rsidP="00CF1B5E">
      <w:r w:rsidRPr="00077F9A">
        <w:t>Paragrafen ändrar nummer från 10 kap. 1 § till 10 kap. 2 §. I övrigt görs ingen ändring av paragrafen.</w:t>
      </w:r>
    </w:p>
    <w:p w:rsidR="00CF1B5E" w:rsidRPr="00077F9A" w:rsidRDefault="00CF1B5E" w:rsidP="00CF1B5E">
      <w:pPr>
        <w:pStyle w:val="Normal6Fre"/>
      </w:pPr>
      <w:r w:rsidRPr="00077F9A">
        <w:t>3 § Regeringens skyldighet att informera riksdagen om sin syn på dokument från Europeiska unionen</w:t>
      </w:r>
    </w:p>
    <w:p w:rsidR="00CF1B5E" w:rsidRPr="00077F9A" w:rsidRDefault="00CF1B5E" w:rsidP="00CF1B5E">
      <w:r w:rsidRPr="00077F9A">
        <w:t>Paragrafen ändrar nummer från 10 kap. 2 § till 10 kap. 3 §. Ändringarna</w:t>
      </w:r>
      <w:r w:rsidR="00AE60FA" w:rsidRPr="00077F9A">
        <w:t xml:space="preserve"> i övrigt har motiverats på s. 58</w:t>
      </w:r>
      <w:r w:rsidRPr="00077F9A">
        <w:t>.</w:t>
      </w:r>
    </w:p>
    <w:p w:rsidR="00CF1B5E" w:rsidRPr="00077F9A" w:rsidRDefault="00CF1B5E" w:rsidP="00CF1B5E">
      <w:pPr>
        <w:pStyle w:val="Normal6Fre"/>
      </w:pPr>
      <w:r w:rsidRPr="00077F9A">
        <w:t>4 § Utskottens arbete med EU-frågor</w:t>
      </w:r>
    </w:p>
    <w:p w:rsidR="00CF1B5E" w:rsidRPr="00077F9A" w:rsidRDefault="00CF1B5E" w:rsidP="00CF1B5E">
      <w:r w:rsidRPr="00077F9A">
        <w:t>Paragrafen ändrar nummer från 10 kap. 3 § till 10 kap. 4 §. I övrigt görs inga ändringar av paragrafen.</w:t>
      </w:r>
    </w:p>
    <w:p w:rsidR="00CF1B5E" w:rsidRPr="00077F9A" w:rsidRDefault="00CF1B5E" w:rsidP="00CF1B5E">
      <w:pPr>
        <w:pStyle w:val="Normal6Fre"/>
      </w:pPr>
      <w:r w:rsidRPr="00077F9A">
        <w:t>5 § Behandlingen av EU-dokument</w:t>
      </w:r>
    </w:p>
    <w:p w:rsidR="00CF1B5E" w:rsidRPr="00077F9A" w:rsidRDefault="00CF1B5E" w:rsidP="00CF1B5E">
      <w:r w:rsidRPr="00077F9A">
        <w:t>Paragrafen ändrar nummer från 10 kap. 4 § till 10 kap. 5 §. Bestämmelsen tar sikte på behandlingen av andra dokument från EU än utkast till lagstiftning</w:t>
      </w:r>
      <w:r w:rsidRPr="00077F9A">
        <w:t>s</w:t>
      </w:r>
      <w:r w:rsidRPr="00077F9A">
        <w:t>akter. Utkasten till lagstiftningsakter ska underkastas subsidiar</w:t>
      </w:r>
      <w:r w:rsidRPr="00077F9A">
        <w:t>i</w:t>
      </w:r>
      <w:r w:rsidRPr="00077F9A">
        <w:t xml:space="preserve">tetskontroll </w:t>
      </w:r>
      <w:r w:rsidRPr="00077F9A">
        <w:rPr>
          <w:spacing w:val="-2"/>
        </w:rPr>
        <w:t>enligt nästföljande paragraf. Möjligheten till behandling av övriga dokument efter beslut av talmannen enligt denna paragraf utsträcks genom Lissabonfö</w:t>
      </w:r>
      <w:r w:rsidRPr="00077F9A">
        <w:rPr>
          <w:spacing w:val="-2"/>
        </w:rPr>
        <w:t>r</w:t>
      </w:r>
      <w:r w:rsidRPr="00077F9A">
        <w:rPr>
          <w:spacing w:val="-2"/>
        </w:rPr>
        <w:t xml:space="preserve">draget till nya dokument, som framhållits i den allmänna motiveringen (s. </w:t>
      </w:r>
      <w:smartTag w:uri="urn:schemas-microsoft-com:office:smarttags" w:element="metricconverter">
        <w:smartTagPr>
          <w:attr w:name="ProductID" w:val="57 f"/>
        </w:smartTagPr>
        <w:r w:rsidR="00AE60FA" w:rsidRPr="00077F9A">
          <w:rPr>
            <w:spacing w:val="-2"/>
          </w:rPr>
          <w:t xml:space="preserve">57 </w:t>
        </w:r>
        <w:r w:rsidRPr="00077F9A">
          <w:rPr>
            <w:spacing w:val="-2"/>
          </w:rPr>
          <w:t>f</w:t>
        </w:r>
      </w:smartTag>
      <w:r w:rsidRPr="00077F9A">
        <w:rPr>
          <w:spacing w:val="-2"/>
        </w:rPr>
        <w:t>.).</w:t>
      </w:r>
    </w:p>
    <w:p w:rsidR="00CF1B5E" w:rsidRPr="00077F9A" w:rsidRDefault="00CF1B5E" w:rsidP="00CF1B5E">
      <w:pPr>
        <w:pStyle w:val="Normaltindrag"/>
      </w:pPr>
      <w:r w:rsidRPr="00077F9A">
        <w:t>Ändringarna i paragrafen är av formellt slag.</w:t>
      </w:r>
    </w:p>
    <w:p w:rsidR="00CF1B5E" w:rsidRPr="00077F9A" w:rsidRDefault="00CF1B5E" w:rsidP="00CF1B5E">
      <w:pPr>
        <w:pStyle w:val="Normal6Fre"/>
      </w:pPr>
      <w:r w:rsidRPr="00077F9A">
        <w:t xml:space="preserve">6 § Subsidiaritetskontroll </w:t>
      </w:r>
    </w:p>
    <w:p w:rsidR="00CF1B5E" w:rsidRPr="00077F9A" w:rsidRDefault="00CF1B5E" w:rsidP="00CF1B5E">
      <w:r w:rsidRPr="00077F9A">
        <w:t>Paragrafen är ny.</w:t>
      </w:r>
    </w:p>
    <w:p w:rsidR="00CF1B5E" w:rsidRPr="00077F9A" w:rsidRDefault="00CF1B5E" w:rsidP="00CF1B5E">
      <w:pPr>
        <w:pStyle w:val="Normaltindrag"/>
      </w:pPr>
      <w:r w:rsidRPr="00077F9A">
        <w:t xml:space="preserve">Motivering för paragrafen lämnas på s. </w:t>
      </w:r>
      <w:smartTag w:uri="urn:schemas-microsoft-com:office:smarttags" w:element="metricconverter">
        <w:smartTagPr>
          <w:attr w:name="ProductID" w:val="42 f"/>
        </w:smartTagPr>
        <w:r w:rsidRPr="00077F9A">
          <w:t>42 f</w:t>
        </w:r>
      </w:smartTag>
      <w:r w:rsidRPr="00077F9A">
        <w:t>.</w:t>
      </w:r>
    </w:p>
    <w:p w:rsidR="00CF1B5E" w:rsidRPr="00077F9A" w:rsidRDefault="00CF1B5E" w:rsidP="00CF1B5E">
      <w:pPr>
        <w:pStyle w:val="Normaltindrag"/>
      </w:pPr>
      <w:r w:rsidRPr="00077F9A">
        <w:t>Uttrycket ”riksdagen” i första stycket ska inte uppfattas som liktydigt med ”kammaren”. I vilka fall kamm</w:t>
      </w:r>
      <w:r w:rsidRPr="00077F9A">
        <w:t>a</w:t>
      </w:r>
      <w:r w:rsidRPr="00077F9A">
        <w:t>ren ska pröva subsidiaritetsfrågan framgår av fjärde stycket. I övriga fall avgör ett utskott.</w:t>
      </w:r>
    </w:p>
    <w:p w:rsidR="00CF1B5E" w:rsidRPr="00077F9A" w:rsidRDefault="00CF1B5E" w:rsidP="00CF1B5E">
      <w:pPr>
        <w:pStyle w:val="Normaltindrag"/>
      </w:pPr>
      <w:r w:rsidRPr="00077F9A">
        <w:t>Utkasten till lagstiftningsakter omfattas av RO:s beredningstvång (4 kap. 1 §) och principiella förbud mot delning av ärenden mellan utskott (4 kap. 7 §). Utskottshänvisning ska ske enligt ärendefördelningsreglerna i 4 kap. 4–6 §§. Samarbete kan ske mellan utskotten genom att det beredande utskottet inhä</w:t>
      </w:r>
      <w:r w:rsidRPr="00077F9A">
        <w:t>m</w:t>
      </w:r>
      <w:r w:rsidRPr="00077F9A">
        <w:t>tar yttrande från ett eller flera andra utskott eller genom beredning i samma</w:t>
      </w:r>
      <w:r w:rsidRPr="00077F9A">
        <w:t>n</w:t>
      </w:r>
      <w:r w:rsidRPr="00077F9A">
        <w:t>satt utskott (4 kap. 8 §).</w:t>
      </w:r>
    </w:p>
    <w:p w:rsidR="00CF1B5E" w:rsidRPr="00077F9A" w:rsidRDefault="00CF1B5E" w:rsidP="00CF1B5E">
      <w:pPr>
        <w:pStyle w:val="Normaltindrag"/>
      </w:pPr>
      <w:r w:rsidRPr="00077F9A">
        <w:t xml:space="preserve">I </w:t>
      </w:r>
      <w:r w:rsidR="00AE60FA" w:rsidRPr="00077F9A">
        <w:t>den allmänna motiveringen (s. 53</w:t>
      </w:r>
      <w:r w:rsidRPr="00077F9A">
        <w:t>) har utredningen angett skäl till att r</w:t>
      </w:r>
      <w:r w:rsidRPr="00077F9A">
        <w:t>e</w:t>
      </w:r>
      <w:r w:rsidRPr="00077F9A">
        <w:t>geringen inom två veckor ska informera ett utskott om sin bedömning av ti</w:t>
      </w:r>
      <w:r w:rsidRPr="00077F9A">
        <w:t>l</w:t>
      </w:r>
      <w:r w:rsidRPr="00077F9A">
        <w:t>lämpningen av subsidiaritetsprincipen i ett visst fall, om utskottet begär det. I</w:t>
      </w:r>
      <w:r w:rsidRPr="00077F9A">
        <w:t>n</w:t>
      </w:r>
      <w:r w:rsidRPr="00077F9A">
        <w:t>formationen kan lämnas skriftligen och/eller muntligen av ett statsråd eller en statssekreterare, undantagsvis av en annan tjänsteman från berört depart</w:t>
      </w:r>
      <w:r w:rsidRPr="00077F9A">
        <w:t>e</w:t>
      </w:r>
      <w:r w:rsidRPr="00077F9A">
        <w:t xml:space="preserve">ment i Regeringskansliet. </w:t>
      </w:r>
    </w:p>
    <w:p w:rsidR="00CF1B5E" w:rsidRPr="00077F9A" w:rsidRDefault="00CF1B5E" w:rsidP="00CF1B5E">
      <w:pPr>
        <w:pStyle w:val="Normaltindrag"/>
      </w:pPr>
      <w:r w:rsidRPr="00077F9A">
        <w:t>Ett utskott kan inte på egen hand fatta beslut om att avge ett motiverat yt</w:t>
      </w:r>
      <w:r w:rsidRPr="00077F9A">
        <w:t>t</w:t>
      </w:r>
      <w:r w:rsidRPr="00077F9A">
        <w:t>rande på riksdagens vägnar. Redan en utskottsminoritet har rätt att få frågan prövad i kammare</w:t>
      </w:r>
      <w:r w:rsidR="00AE60FA" w:rsidRPr="00077F9A">
        <w:t>n. Detta har motiverats på s. 54</w:t>
      </w:r>
      <w:r w:rsidRPr="00077F9A">
        <w:t>. Utredningen anser att ett utskott</w:t>
      </w:r>
      <w:r w:rsidRPr="00077F9A">
        <w:t>s</w:t>
      </w:r>
      <w:r w:rsidRPr="00077F9A">
        <w:t xml:space="preserve">förslag om att avge ett motiverat yttrande ska – i likhet med vad som är fallet med yttranden över andra EU-dokument enligt 5 § – benämnas </w:t>
      </w:r>
      <w:r w:rsidRPr="00077F9A">
        <w:rPr>
          <w:i/>
        </w:rPr>
        <w:t>utl</w:t>
      </w:r>
      <w:r w:rsidRPr="00077F9A">
        <w:rPr>
          <w:i/>
        </w:rPr>
        <w:t>å</w:t>
      </w:r>
      <w:r w:rsidRPr="00077F9A">
        <w:rPr>
          <w:i/>
        </w:rPr>
        <w:t xml:space="preserve">tande. </w:t>
      </w:r>
      <w:r w:rsidRPr="00077F9A">
        <w:t>Beslut att inte avge utlåtande meddelas kammaren genom protokoll</w:t>
      </w:r>
      <w:r w:rsidRPr="00077F9A">
        <w:t>s</w:t>
      </w:r>
      <w:r w:rsidRPr="00077F9A">
        <w:t>utdrag.</w:t>
      </w:r>
    </w:p>
    <w:p w:rsidR="00CF1B5E" w:rsidRPr="00077F9A" w:rsidRDefault="00CF1B5E" w:rsidP="00CF1B5E">
      <w:pPr>
        <w:pStyle w:val="Normaltindrag"/>
      </w:pPr>
      <w:r w:rsidRPr="00077F9A">
        <w:t>Vid utskottets beslut, antingen det är fråga om att avge ett utlåtande eller ett protokollsutdrag till kammaren, gäller reglerna om omröstning, reserv</w:t>
      </w:r>
      <w:r w:rsidRPr="00077F9A">
        <w:t>a</w:t>
      </w:r>
      <w:r w:rsidRPr="00077F9A">
        <w:t>tionsrätt och särskilt yttrande (4 kap. 15–16 §§ RO).</w:t>
      </w:r>
    </w:p>
    <w:p w:rsidR="00CF1B5E" w:rsidRPr="00077F9A" w:rsidRDefault="00CF1B5E" w:rsidP="00CF1B5E">
      <w:pPr>
        <w:pStyle w:val="Normaltindrag"/>
      </w:pPr>
      <w:r w:rsidRPr="00077F9A">
        <w:t>När kammaren beslutar om ett utlåtande är bestämmelserna om återförvi</w:t>
      </w:r>
      <w:r w:rsidRPr="00077F9A">
        <w:t>s</w:t>
      </w:r>
      <w:r w:rsidRPr="00077F9A">
        <w:t>ning och hänvisning till annat utskott tillämpliga (4 kap. 10 § RO). Likaså tillä</w:t>
      </w:r>
      <w:r w:rsidRPr="00077F9A">
        <w:t>m</w:t>
      </w:r>
      <w:r w:rsidRPr="00077F9A">
        <w:t>pas reglerna om anmälan och bordläggning (5 kap. 1 §), om tillåtna yrkanden (3 §) och om avgörande av ärenden (4–7 §§). Om kammaren mott</w:t>
      </w:r>
      <w:r w:rsidRPr="00077F9A">
        <w:t>a</w:t>
      </w:r>
      <w:r w:rsidRPr="00077F9A">
        <w:t>git ett protokollsutdrag från ett utskott eller själv inte beslutar att avge något motiverat yttrande, avgår ingen skrivelse till unionsinst</w:t>
      </w:r>
      <w:r w:rsidRPr="00077F9A">
        <w:t>i</w:t>
      </w:r>
      <w:r w:rsidRPr="00077F9A">
        <w:t xml:space="preserve">tutionerna. </w:t>
      </w:r>
    </w:p>
    <w:p w:rsidR="00CF1B5E" w:rsidRPr="00077F9A" w:rsidRDefault="00CF1B5E" w:rsidP="00CF1B5E">
      <w:pPr>
        <w:pStyle w:val="Normaltindrag"/>
      </w:pPr>
      <w:r w:rsidRPr="00077F9A">
        <w:t xml:space="preserve">I </w:t>
      </w:r>
      <w:r w:rsidR="00AE60FA" w:rsidRPr="00077F9A">
        <w:t>den allmänna motiveringen (s. 53</w:t>
      </w:r>
      <w:r w:rsidRPr="00077F9A">
        <w:t>) har utredningen angett skäl till att KU ska följa tillämpningen av subsidiaritetsprincipen och rapportera sina iaktt</w:t>
      </w:r>
      <w:r w:rsidRPr="00077F9A">
        <w:t>a</w:t>
      </w:r>
      <w:r w:rsidRPr="00077F9A">
        <w:t xml:space="preserve">gelser till kammaren i ett utlåtande. Kammarens beslut kan inte bli annat än att lägga utlåtandet till handlingarna. </w:t>
      </w:r>
    </w:p>
    <w:p w:rsidR="00CF1B5E" w:rsidRPr="00077F9A" w:rsidRDefault="00CF1B5E" w:rsidP="00CF1B5E">
      <w:pPr>
        <w:pStyle w:val="Normal6Fre"/>
      </w:pPr>
      <w:r w:rsidRPr="00077F9A">
        <w:t>7 § Ledamöter i konvent för fördragsändringar inom Europeiska unionen</w:t>
      </w:r>
    </w:p>
    <w:p w:rsidR="00CF1B5E" w:rsidRPr="00077F9A" w:rsidRDefault="00CF1B5E" w:rsidP="00CF1B5E">
      <w:r w:rsidRPr="00077F9A">
        <w:t>Paragrafen är ny.</w:t>
      </w:r>
    </w:p>
    <w:p w:rsidR="00CF1B5E" w:rsidRPr="00077F9A" w:rsidRDefault="00CF1B5E" w:rsidP="00CF1B5E">
      <w:pPr>
        <w:pStyle w:val="Normaltindrag"/>
      </w:pPr>
      <w:r w:rsidRPr="00077F9A">
        <w:t>Utredningens stäl</w:t>
      </w:r>
      <w:r w:rsidR="00AE60FA" w:rsidRPr="00077F9A">
        <w:t xml:space="preserve">lningstagande motiveras på s. </w:t>
      </w:r>
      <w:smartTag w:uri="urn:schemas-microsoft-com:office:smarttags" w:element="metricconverter">
        <w:smartTagPr>
          <w:attr w:name="ProductID" w:val="55 f"/>
        </w:smartTagPr>
        <w:r w:rsidR="00AE60FA" w:rsidRPr="00077F9A">
          <w:t>55</w:t>
        </w:r>
        <w:r w:rsidRPr="00077F9A">
          <w:t xml:space="preserve"> f</w:t>
        </w:r>
      </w:smartTag>
      <w:r w:rsidRPr="00077F9A">
        <w:t xml:space="preserve">. </w:t>
      </w:r>
    </w:p>
    <w:p w:rsidR="00CF1B5E" w:rsidRPr="00077F9A" w:rsidRDefault="00CF1B5E" w:rsidP="00CF1B5E">
      <w:pPr>
        <w:pStyle w:val="Normal6Fre"/>
      </w:pPr>
      <w:r w:rsidRPr="00077F9A">
        <w:t>8 § Godkännande av vissa initiativ från Europeiska unionen</w:t>
      </w:r>
    </w:p>
    <w:p w:rsidR="00CF1B5E" w:rsidRPr="00077F9A" w:rsidRDefault="00CF1B5E" w:rsidP="00CF1B5E">
      <w:r w:rsidRPr="00077F9A">
        <w:t>Paragrafen är ny.</w:t>
      </w:r>
    </w:p>
    <w:p w:rsidR="00CF1B5E" w:rsidRPr="00077F9A" w:rsidRDefault="00CF1B5E" w:rsidP="00CF1B5E">
      <w:pPr>
        <w:pStyle w:val="Normaltindrag"/>
      </w:pPr>
      <w:r w:rsidRPr="00077F9A">
        <w:t>Utredningens stäl</w:t>
      </w:r>
      <w:r w:rsidR="00AE60FA" w:rsidRPr="00077F9A">
        <w:t xml:space="preserve">lningstagande motiveras på s. </w:t>
      </w:r>
      <w:smartTag w:uri="urn:schemas-microsoft-com:office:smarttags" w:element="metricconverter">
        <w:smartTagPr>
          <w:attr w:name="ProductID" w:val="56 f"/>
        </w:smartTagPr>
        <w:r w:rsidR="00AE60FA" w:rsidRPr="00077F9A">
          <w:t>56</w:t>
        </w:r>
        <w:r w:rsidRPr="00077F9A">
          <w:t xml:space="preserve"> f</w:t>
        </w:r>
      </w:smartTag>
      <w:r w:rsidRPr="00077F9A">
        <w:t xml:space="preserve">. </w:t>
      </w:r>
    </w:p>
    <w:p w:rsidR="00CF1B5E" w:rsidRPr="00077F9A" w:rsidRDefault="00CF1B5E" w:rsidP="00CF1B5E">
      <w:pPr>
        <w:pStyle w:val="Normaltindrag"/>
      </w:pPr>
      <w:r w:rsidRPr="00077F9A">
        <w:t>Initiativen omfattas av RO:s beredningstvång (4 kap. 1 §) och principiella förbud mot delning av ärenden mellan utskott (4 kap. 7 §). Utskottshänvi</w:t>
      </w:r>
      <w:r w:rsidRPr="00077F9A">
        <w:t>s</w:t>
      </w:r>
      <w:r w:rsidRPr="00077F9A">
        <w:t>ning ska ske enligt ärendefördelningsreglerna i 4 kap. 4–6 §§. Sa</w:t>
      </w:r>
      <w:r w:rsidRPr="00077F9A">
        <w:t>m</w:t>
      </w:r>
      <w:r w:rsidRPr="00077F9A">
        <w:t>arbete kan ske mellan utskotten genom att det beredande utskottet inhämtar yttrande från ett eller flera andra utskott eller genom beredning i sammansatt utskott (4 kap. 8 §). Utskottet ska inhämta behövliga upplysningar från regeringen.</w:t>
      </w:r>
    </w:p>
    <w:p w:rsidR="00CF1B5E" w:rsidRPr="00077F9A" w:rsidRDefault="00CF1B5E" w:rsidP="00CF1B5E">
      <w:pPr>
        <w:pStyle w:val="Normaltindrag"/>
      </w:pPr>
      <w:r w:rsidRPr="00077F9A">
        <w:t xml:space="preserve">Ett utskottets förslag till ställningstagande ska – i likhet med vad som är fallet med yttranden över andra EU-dokument – benämnas </w:t>
      </w:r>
      <w:r w:rsidRPr="00077F9A">
        <w:rPr>
          <w:i/>
        </w:rPr>
        <w:t xml:space="preserve">utlåtande. </w:t>
      </w:r>
      <w:r w:rsidRPr="00077F9A">
        <w:t>Vid utsko</w:t>
      </w:r>
      <w:r w:rsidRPr="00077F9A">
        <w:t>t</w:t>
      </w:r>
      <w:r w:rsidRPr="00077F9A">
        <w:t>tets beslut gäller reglerna om omröstning, reservationsrätt och särskilt yttra</w:t>
      </w:r>
      <w:r w:rsidRPr="00077F9A">
        <w:t>n</w:t>
      </w:r>
      <w:r w:rsidRPr="00077F9A">
        <w:t>de (4 kap. 15–16 §§ RO).</w:t>
      </w:r>
    </w:p>
    <w:p w:rsidR="00CF1B5E" w:rsidRPr="00077F9A" w:rsidRDefault="00CF1B5E" w:rsidP="00CF1B5E">
      <w:pPr>
        <w:pStyle w:val="Normaltindrag"/>
      </w:pPr>
      <w:r w:rsidRPr="00077F9A">
        <w:t>När kammaren beslutar om ett utlåtande är bestämmelserna om återförvi</w:t>
      </w:r>
      <w:r w:rsidRPr="00077F9A">
        <w:t>s</w:t>
      </w:r>
      <w:r w:rsidRPr="00077F9A">
        <w:t>ning och hänvisning till annat utskott tillämpliga (4 kap. 10 § RO). Likaså tillä</w:t>
      </w:r>
      <w:r w:rsidRPr="00077F9A">
        <w:t>m</w:t>
      </w:r>
      <w:r w:rsidRPr="00077F9A">
        <w:t>pas reglerna om anmälan och bordläggning (5 kap. 1 §), om tillåtna yrkanden (3 §) och om avgörande av ärenden (4–7 §§). Eftersom endast två beslut är möjliga – godkännande eller avslag på initiativet – innebär ett fö</w:t>
      </w:r>
      <w:r w:rsidRPr="00077F9A">
        <w:t>r</w:t>
      </w:r>
      <w:r w:rsidRPr="00077F9A">
        <w:t xml:space="preserve">kastande av utskottets förslag till beslut att det motsatta beslutet fattats. </w:t>
      </w:r>
    </w:p>
    <w:p w:rsidR="00CF1B5E" w:rsidRPr="00077F9A" w:rsidRDefault="00CF1B5E" w:rsidP="00CF1B5E">
      <w:pPr>
        <w:pStyle w:val="Normaltindrag"/>
      </w:pPr>
      <w:r w:rsidRPr="00077F9A">
        <w:t xml:space="preserve">Om kammaren beslutar att godkänna initiativet avgår ingen skrivelse till den berörda unionsinstitutionen. </w:t>
      </w:r>
    </w:p>
    <w:p w:rsidR="00CF1B5E" w:rsidRPr="00077F9A" w:rsidRDefault="00CF1B5E" w:rsidP="00CF1B5E">
      <w:pPr>
        <w:pStyle w:val="Normal6Fre"/>
      </w:pPr>
      <w:r w:rsidRPr="00077F9A">
        <w:t>Ikraftträdandebestämmelsen</w:t>
      </w:r>
    </w:p>
    <w:p w:rsidR="00CF1B5E" w:rsidRPr="00077F9A" w:rsidRDefault="00CF1B5E" w:rsidP="00CF1B5E">
      <w:r w:rsidRPr="00077F9A">
        <w:t>Bestämmelsen har fått denna utformning eftersom riksdagen inte råder över dagen för lagens ikraftträdande om den ska sammanfalla med dagen för fö</w:t>
      </w:r>
      <w:r w:rsidRPr="00077F9A">
        <w:t>r</w:t>
      </w:r>
      <w:r w:rsidRPr="00077F9A">
        <w:rPr>
          <w:spacing w:val="-2"/>
        </w:rPr>
        <w:t xml:space="preserve">dragets ikraftträdande. För närvarande är det inte möjligt att bedöma när </w:t>
      </w:r>
      <w:r w:rsidRPr="00077F9A">
        <w:t>fördr</w:t>
      </w:r>
      <w:r w:rsidRPr="00077F9A">
        <w:t>a</w:t>
      </w:r>
      <w:r w:rsidRPr="00077F9A">
        <w:t>get träder i kraft. Men det är givetvis möjligt att det går att göra vid utskott</w:t>
      </w:r>
      <w:r w:rsidRPr="00077F9A">
        <w:t>s</w:t>
      </w:r>
      <w:r w:rsidRPr="00077F9A">
        <w:t>be</w:t>
      </w:r>
      <w:r w:rsidRPr="00077F9A">
        <w:rPr>
          <w:spacing w:val="-2"/>
        </w:rPr>
        <w:t>handlingen och att den föreslagna bestämmelsen då kan ersättas med en b</w:t>
      </w:r>
      <w:r w:rsidRPr="00077F9A">
        <w:rPr>
          <w:spacing w:val="-2"/>
        </w:rPr>
        <w:t>e</w:t>
      </w:r>
      <w:r w:rsidRPr="00077F9A">
        <w:rPr>
          <w:spacing w:val="-2"/>
        </w:rPr>
        <w:t>stämd dag.</w:t>
      </w:r>
    </w:p>
    <w:p w:rsidR="00606FAD" w:rsidRPr="00077F9A" w:rsidRDefault="00606FAD" w:rsidP="00606FAD">
      <w:pPr>
        <w:pStyle w:val="Normaltindrag"/>
      </w:pPr>
      <w:r w:rsidRPr="00077F9A">
        <w:br w:type="page"/>
      </w:r>
    </w:p>
    <w:p w:rsidR="00606FAD" w:rsidRPr="00077F9A" w:rsidRDefault="00606FAD" w:rsidP="00606FAD">
      <w:pPr>
        <w:pStyle w:val="Bilaga"/>
      </w:pPr>
      <w:r w:rsidRPr="00077F9A">
        <w:fldChar w:fldCharType="begin" w:fldLock="1"/>
      </w:r>
      <w:r w:rsidRPr="00077F9A">
        <w:instrText xml:space="preserve"> QUOTE "Bilaga 1" \* MERGEFORMAT </w:instrText>
      </w:r>
      <w:r w:rsidRPr="00077F9A">
        <w:fldChar w:fldCharType="separate"/>
      </w:r>
      <w:r w:rsidR="00AF0A69" w:rsidRPr="00077F9A">
        <w:t>Bilaga 1</w:t>
      </w:r>
      <w:r w:rsidRPr="00077F9A">
        <w:fldChar w:fldCharType="end"/>
      </w:r>
    </w:p>
    <w:p w:rsidR="00606FAD" w:rsidRPr="00077F9A" w:rsidRDefault="00606FAD" w:rsidP="00606FAD">
      <w:pPr>
        <w:pStyle w:val="Rubrik1"/>
        <w:rPr>
          <w:noProof w:val="0"/>
        </w:rPr>
      </w:pPr>
      <w:bookmarkStart w:id="211" w:name="_Toc230676887"/>
      <w:bookmarkStart w:id="212" w:name="_Toc230677060"/>
      <w:bookmarkStart w:id="213" w:name="_Toc230708116"/>
      <w:r w:rsidRPr="00077F9A">
        <w:rPr>
          <w:noProof w:val="0"/>
        </w:rPr>
        <w:t>Förslag till lag om ändring i riksdagsordningen</w:t>
      </w:r>
      <w:bookmarkEnd w:id="211"/>
      <w:bookmarkEnd w:id="212"/>
      <w:bookmarkEnd w:id="213"/>
    </w:p>
    <w:p w:rsidR="00606FAD" w:rsidRPr="00077F9A" w:rsidRDefault="00606FAD" w:rsidP="00606FAD">
      <w:pPr>
        <w:pStyle w:val="Normaltindrag"/>
      </w:pPr>
      <w:r w:rsidRPr="00077F9A">
        <w:t>Härigenom föreskrivs i fråga om riksdagsor</w:t>
      </w:r>
      <w:r w:rsidRPr="00077F9A">
        <w:t>d</w:t>
      </w:r>
      <w:r w:rsidRPr="00077F9A">
        <w:t>ningen</w:t>
      </w:r>
      <w:r w:rsidRPr="00077F9A">
        <w:rPr>
          <w:rStyle w:val="Fotnotsreferens"/>
        </w:rPr>
        <w:footnoteReference w:id="31"/>
      </w:r>
      <w:r w:rsidRPr="00077F9A">
        <w:t xml:space="preserve"> </w:t>
      </w:r>
    </w:p>
    <w:p w:rsidR="00606FAD" w:rsidRPr="00077F9A" w:rsidRDefault="00606FAD" w:rsidP="00606FAD">
      <w:pPr>
        <w:pStyle w:val="LagtextIndrag"/>
      </w:pPr>
      <w:r w:rsidRPr="00077F9A">
        <w:rPr>
          <w:i/>
        </w:rPr>
        <w:t xml:space="preserve">dels </w:t>
      </w:r>
      <w:r w:rsidRPr="00077F9A">
        <w:t>att nuvarande 10 kap. 1–4 och 5–9 §§ samt tilläggsbestämmelserna 10.5.1 och 10.7.1–4 ska betecknas 10 kap. 2–5 och 9–13 §§ r</w:t>
      </w:r>
      <w:r w:rsidRPr="00077F9A">
        <w:t>e</w:t>
      </w:r>
      <w:r w:rsidRPr="00077F9A">
        <w:t>spektive 10.9.1 och 10.11.1–4,</w:t>
      </w:r>
    </w:p>
    <w:p w:rsidR="00606FAD" w:rsidRPr="00077F9A" w:rsidRDefault="00606FAD" w:rsidP="00606FAD">
      <w:pPr>
        <w:pStyle w:val="LagtextIndrag"/>
      </w:pPr>
      <w:r w:rsidRPr="00077F9A">
        <w:rPr>
          <w:i/>
        </w:rPr>
        <w:t xml:space="preserve">dels </w:t>
      </w:r>
      <w:r w:rsidRPr="00077F9A">
        <w:t xml:space="preserve">att 3 kap. </w:t>
      </w:r>
      <w:smartTag w:uri="urn:schemas-microsoft-com:office:smarttags" w:element="metricconverter">
        <w:smartTagPr>
          <w:attr w:name="ProductID" w:val="14 a"/>
        </w:smartTagPr>
        <w:r w:rsidRPr="00077F9A">
          <w:t>14 a</w:t>
        </w:r>
      </w:smartTag>
      <w:r w:rsidRPr="00077F9A">
        <w:t xml:space="preserve"> § och 4 kap. 4 § samt tilläggsbestämmelserna 2.7.1, 4.6.2 och 5.12.1 samt rubriken närmast före 10 kap. 3 § ska ha följande lyde</w:t>
      </w:r>
      <w:r w:rsidRPr="00077F9A">
        <w:t>l</w:t>
      </w:r>
      <w:r w:rsidRPr="00077F9A">
        <w:t>se,</w:t>
      </w:r>
    </w:p>
    <w:p w:rsidR="00606FAD" w:rsidRPr="00077F9A" w:rsidRDefault="00606FAD" w:rsidP="00606FAD">
      <w:pPr>
        <w:pStyle w:val="LagtextIndrag"/>
      </w:pPr>
      <w:r w:rsidRPr="00077F9A">
        <w:rPr>
          <w:i/>
        </w:rPr>
        <w:t xml:space="preserve">dels </w:t>
      </w:r>
      <w:r w:rsidRPr="00077F9A">
        <w:t xml:space="preserve">att nya 10 kap. 3 och 5 §§ ska ha följande lydelse, </w:t>
      </w:r>
    </w:p>
    <w:p w:rsidR="00606FAD" w:rsidRPr="00077F9A" w:rsidRDefault="00606FAD" w:rsidP="00606FAD">
      <w:pPr>
        <w:pStyle w:val="LagtextIndrag"/>
      </w:pPr>
      <w:r w:rsidRPr="00077F9A">
        <w:rPr>
          <w:i/>
        </w:rPr>
        <w:t xml:space="preserve">dels </w:t>
      </w:r>
      <w:r w:rsidRPr="00077F9A">
        <w:t>att det ska införas fyra nya paragrafer, 10 kap. 1, 6–8 §§, av följande lydelse.</w:t>
      </w:r>
    </w:p>
    <w:p w:rsidR="00606FAD" w:rsidRPr="00077F9A" w:rsidRDefault="00606FAD" w:rsidP="00606FAD">
      <w:pPr>
        <w:pStyle w:val="Lagtext"/>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4"/>
        <w:gridCol w:w="29"/>
        <w:gridCol w:w="2980"/>
      </w:tblGrid>
      <w:tr w:rsidR="00606FAD" w:rsidRPr="00077F9A" w:rsidTr="00606FAD">
        <w:trPr>
          <w:tblHeader/>
        </w:trPr>
        <w:tc>
          <w:tcPr>
            <w:tcW w:w="3081" w:type="dxa"/>
            <w:gridSpan w:val="2"/>
          </w:tcPr>
          <w:p w:rsidR="00606FAD" w:rsidRPr="00077F9A" w:rsidRDefault="00606FAD" w:rsidP="00606FAD">
            <w:pPr>
              <w:spacing w:after="120"/>
              <w:rPr>
                <w:i/>
              </w:rPr>
            </w:pPr>
            <w:r w:rsidRPr="00077F9A">
              <w:rPr>
                <w:i/>
              </w:rPr>
              <w:t>Nuvarande lydelse</w:t>
            </w:r>
          </w:p>
        </w:tc>
        <w:tc>
          <w:tcPr>
            <w:tcW w:w="3088" w:type="dxa"/>
          </w:tcPr>
          <w:p w:rsidR="00606FAD" w:rsidRPr="00077F9A" w:rsidRDefault="00606FAD" w:rsidP="00606FAD">
            <w:pPr>
              <w:spacing w:after="120"/>
              <w:rPr>
                <w:i/>
              </w:rPr>
            </w:pPr>
            <w:r w:rsidRPr="00077F9A">
              <w:rPr>
                <w:i/>
              </w:rPr>
              <w:t>Föreslagen lydelse</w:t>
            </w:r>
          </w:p>
        </w:tc>
      </w:tr>
      <w:tr w:rsidR="00606FAD" w:rsidRPr="00077F9A" w:rsidTr="00606FAD">
        <w:tc>
          <w:tcPr>
            <w:tcW w:w="6169" w:type="dxa"/>
            <w:gridSpan w:val="3"/>
          </w:tcPr>
          <w:p w:rsidR="00606FAD" w:rsidRPr="00077F9A" w:rsidRDefault="00606FAD" w:rsidP="00606FAD">
            <w:pPr>
              <w:pStyle w:val="Lagtext"/>
              <w:jc w:val="center"/>
            </w:pPr>
            <w:r w:rsidRPr="00077F9A">
              <w:t xml:space="preserve">2.7.1  </w:t>
            </w:r>
          </w:p>
        </w:tc>
      </w:tr>
      <w:tr w:rsidR="00606FAD" w:rsidRPr="00077F9A" w:rsidTr="00606FAD">
        <w:tc>
          <w:tcPr>
            <w:tcW w:w="3081" w:type="dxa"/>
            <w:gridSpan w:val="2"/>
          </w:tcPr>
          <w:p w:rsidR="00606FAD" w:rsidRPr="00077F9A" w:rsidRDefault="00606FAD" w:rsidP="00606FAD">
            <w:pPr>
              <w:pStyle w:val="LagtextIndrag"/>
            </w:pPr>
            <w:r w:rsidRPr="00077F9A">
              <w:t>Yrkande om folko</w:t>
            </w:r>
            <w:r w:rsidRPr="00077F9A">
              <w:t>m</w:t>
            </w:r>
            <w:r w:rsidRPr="00077F9A">
              <w:t>röstning i en grundlagsfråga, förslag till ny stat</w:t>
            </w:r>
            <w:r w:rsidRPr="00077F9A">
              <w:t>s</w:t>
            </w:r>
            <w:r w:rsidRPr="00077F9A">
              <w:t>minister eller yrkande om misstroe</w:t>
            </w:r>
            <w:r w:rsidRPr="00077F9A">
              <w:t>n</w:t>
            </w:r>
            <w:r w:rsidRPr="00077F9A">
              <w:t>deförklaring förs upp som första punkt på föredragning</w:t>
            </w:r>
            <w:r w:rsidRPr="00077F9A">
              <w:t>s</w:t>
            </w:r>
            <w:r w:rsidRPr="00077F9A">
              <w:t>listan. Om det finns mer än ett sådant ärende, tas de upp i den ordning de nu har a</w:t>
            </w:r>
            <w:r w:rsidRPr="00077F9A">
              <w:t>n</w:t>
            </w:r>
            <w:r w:rsidRPr="00077F9A">
              <w:t>getts. I övrigt tas äre</w:t>
            </w:r>
            <w:r w:rsidRPr="00077F9A">
              <w:t>n</w:t>
            </w:r>
            <w:r w:rsidRPr="00077F9A">
              <w:t>dena upp i följande ordning, om inte talmannen bestä</w:t>
            </w:r>
            <w:r w:rsidRPr="00077F9A">
              <w:t>m</w:t>
            </w:r>
            <w:r w:rsidRPr="00077F9A">
              <w:t xml:space="preserve">mer annat: </w:t>
            </w:r>
          </w:p>
          <w:p w:rsidR="00606FAD" w:rsidRPr="00077F9A" w:rsidRDefault="00606FAD" w:rsidP="00606FAD">
            <w:pPr>
              <w:pStyle w:val="LagtextIndrag"/>
            </w:pPr>
            <w:r w:rsidRPr="00077F9A">
              <w:t>1. val,</w:t>
            </w:r>
          </w:p>
          <w:p w:rsidR="00606FAD" w:rsidRPr="00077F9A" w:rsidRDefault="00606FAD" w:rsidP="00606FAD">
            <w:pPr>
              <w:pStyle w:val="LagtextIndrag"/>
            </w:pPr>
            <w:r w:rsidRPr="00077F9A">
              <w:t>2. propositioner samt skrivelser från rege</w:t>
            </w:r>
            <w:r w:rsidRPr="00077F9A">
              <w:t>r</w:t>
            </w:r>
            <w:r w:rsidRPr="00077F9A">
              <w:t>ingen,</w:t>
            </w:r>
          </w:p>
          <w:p w:rsidR="00606FAD" w:rsidRPr="00077F9A" w:rsidRDefault="00606FAD" w:rsidP="00606FAD">
            <w:pPr>
              <w:pStyle w:val="LagtextIndrag"/>
            </w:pPr>
            <w:r w:rsidRPr="00077F9A">
              <w:t>3. framställningar och redogörelser från andra riksdagsorgan än u</w:t>
            </w:r>
            <w:r w:rsidRPr="00077F9A">
              <w:t>t</w:t>
            </w:r>
            <w:r w:rsidRPr="00077F9A">
              <w:t>skott,</w:t>
            </w:r>
          </w:p>
          <w:p w:rsidR="00606FAD" w:rsidRPr="00077F9A" w:rsidRDefault="00606FAD" w:rsidP="00606FAD">
            <w:pPr>
              <w:pStyle w:val="LagtextIndrag"/>
            </w:pPr>
            <w:r w:rsidRPr="00077F9A">
              <w:t>4. motioner,</w:t>
            </w:r>
          </w:p>
          <w:p w:rsidR="00606FAD" w:rsidRPr="00077F9A" w:rsidRDefault="00606FAD" w:rsidP="00606FAD">
            <w:pPr>
              <w:pStyle w:val="LagtextIndrag"/>
            </w:pPr>
            <w:r w:rsidRPr="00077F9A">
              <w:t>5. </w:t>
            </w:r>
            <w:r w:rsidRPr="00077F9A">
              <w:rPr>
                <w:spacing w:val="-4"/>
              </w:rPr>
              <w:t>EU-dokument som a</w:t>
            </w:r>
            <w:r w:rsidRPr="00077F9A">
              <w:rPr>
                <w:spacing w:val="-4"/>
              </w:rPr>
              <w:t>v</w:t>
            </w:r>
            <w:r w:rsidRPr="00077F9A">
              <w:rPr>
                <w:spacing w:val="-4"/>
              </w:rPr>
              <w:t xml:space="preserve">ses i 10 </w:t>
            </w:r>
            <w:r w:rsidRPr="00077F9A">
              <w:t xml:space="preserve">kap. </w:t>
            </w:r>
            <w:r w:rsidRPr="00077F9A">
              <w:rPr>
                <w:i/>
              </w:rPr>
              <w:t>4 §</w:t>
            </w:r>
            <w:r w:rsidRPr="00077F9A">
              <w:t>,</w:t>
            </w:r>
          </w:p>
          <w:p w:rsidR="00606FAD" w:rsidRPr="00077F9A" w:rsidRDefault="00606FAD" w:rsidP="00606FAD">
            <w:pPr>
              <w:pStyle w:val="LagtextIndrag"/>
            </w:pPr>
            <w:r w:rsidRPr="00077F9A">
              <w:t>6. utskottsbetänkanden och utl</w:t>
            </w:r>
            <w:r w:rsidRPr="00077F9A">
              <w:t>å</w:t>
            </w:r>
            <w:r w:rsidRPr="00077F9A">
              <w:t>tan</w:t>
            </w:r>
            <w:r w:rsidRPr="00077F9A">
              <w:softHyphen/>
              <w:t>den som a</w:t>
            </w:r>
            <w:r w:rsidRPr="00077F9A">
              <w:t>v</w:t>
            </w:r>
            <w:r w:rsidRPr="00077F9A">
              <w:t xml:space="preserve">ses i 10 kap. </w:t>
            </w:r>
            <w:r w:rsidRPr="00077F9A">
              <w:rPr>
                <w:i/>
              </w:rPr>
              <w:t>4 §</w:t>
            </w:r>
            <w:r w:rsidRPr="00077F9A">
              <w:t xml:space="preserve"> i den ordning utskotten anges i tilläggsb</w:t>
            </w:r>
            <w:r w:rsidRPr="00077F9A">
              <w:t>e</w:t>
            </w:r>
            <w:r w:rsidRPr="00077F9A">
              <w:t>stämme</w:t>
            </w:r>
            <w:r w:rsidRPr="00077F9A">
              <w:t>l</w:t>
            </w:r>
            <w:r w:rsidRPr="00077F9A">
              <w:t>se 4.2.1.</w:t>
            </w:r>
          </w:p>
        </w:tc>
        <w:tc>
          <w:tcPr>
            <w:tcW w:w="3088" w:type="dxa"/>
          </w:tcPr>
          <w:p w:rsidR="00606FAD" w:rsidRPr="00077F9A" w:rsidRDefault="00606FAD" w:rsidP="00606FAD">
            <w:pPr>
              <w:pStyle w:val="LagtextIndrag"/>
            </w:pPr>
            <w:r w:rsidRPr="00077F9A">
              <w:t>Yrkande om folko</w:t>
            </w:r>
            <w:r w:rsidRPr="00077F9A">
              <w:t>m</w:t>
            </w:r>
            <w:r w:rsidRPr="00077F9A">
              <w:t>röstning i en grundlagsfråga, förslag till ny stat</w:t>
            </w:r>
            <w:r w:rsidRPr="00077F9A">
              <w:t>s</w:t>
            </w:r>
            <w:r w:rsidRPr="00077F9A">
              <w:t>minister eller yrkande om misstroe</w:t>
            </w:r>
            <w:r w:rsidRPr="00077F9A">
              <w:t>n</w:t>
            </w:r>
            <w:r w:rsidRPr="00077F9A">
              <w:t>deförklaring förs upp som första punkt på föredragning</w:t>
            </w:r>
            <w:r w:rsidRPr="00077F9A">
              <w:t>s</w:t>
            </w:r>
            <w:r w:rsidRPr="00077F9A">
              <w:t>listan. Om det finns mer än ett sådant ärende, tas de upp i den ordning de nu har a</w:t>
            </w:r>
            <w:r w:rsidRPr="00077F9A">
              <w:t>n</w:t>
            </w:r>
            <w:r w:rsidRPr="00077F9A">
              <w:t>getts. I övrigt tas äre</w:t>
            </w:r>
            <w:r w:rsidRPr="00077F9A">
              <w:t>n</w:t>
            </w:r>
            <w:r w:rsidRPr="00077F9A">
              <w:t>dena upp i följande ordning, om inte talmannen bestä</w:t>
            </w:r>
            <w:r w:rsidRPr="00077F9A">
              <w:t>m</w:t>
            </w:r>
            <w:r w:rsidRPr="00077F9A">
              <w:t xml:space="preserve">mer annat: </w:t>
            </w:r>
          </w:p>
          <w:p w:rsidR="00606FAD" w:rsidRPr="00077F9A" w:rsidRDefault="00606FAD" w:rsidP="00606FAD">
            <w:pPr>
              <w:pStyle w:val="LagtextIndrag"/>
            </w:pPr>
            <w:r w:rsidRPr="00077F9A">
              <w:t>1. val,</w:t>
            </w:r>
          </w:p>
          <w:p w:rsidR="00606FAD" w:rsidRPr="00077F9A" w:rsidRDefault="00606FAD" w:rsidP="00606FAD">
            <w:pPr>
              <w:pStyle w:val="LagtextIndrag"/>
            </w:pPr>
            <w:r w:rsidRPr="00077F9A">
              <w:t>2. propositioner samt skrivelser från rege</w:t>
            </w:r>
            <w:r w:rsidRPr="00077F9A">
              <w:t>r</w:t>
            </w:r>
            <w:r w:rsidRPr="00077F9A">
              <w:t>ingen,</w:t>
            </w:r>
          </w:p>
          <w:p w:rsidR="00606FAD" w:rsidRPr="00077F9A" w:rsidRDefault="00606FAD" w:rsidP="00606FAD">
            <w:pPr>
              <w:pStyle w:val="LagtextIndrag"/>
            </w:pPr>
            <w:r w:rsidRPr="00077F9A">
              <w:t>3. framställningar och redogörelser från andra riksdagsorgan än u</w:t>
            </w:r>
            <w:r w:rsidRPr="00077F9A">
              <w:t>t</w:t>
            </w:r>
            <w:r w:rsidRPr="00077F9A">
              <w:t>skott,</w:t>
            </w:r>
          </w:p>
          <w:p w:rsidR="00606FAD" w:rsidRPr="00077F9A" w:rsidRDefault="00606FAD" w:rsidP="00606FAD">
            <w:pPr>
              <w:pStyle w:val="LagtextIndrag"/>
            </w:pPr>
            <w:r w:rsidRPr="00077F9A">
              <w:t>4. motioner,</w:t>
            </w:r>
          </w:p>
          <w:p w:rsidR="00606FAD" w:rsidRPr="00077F9A" w:rsidRDefault="00606FAD" w:rsidP="00606FAD">
            <w:pPr>
              <w:pStyle w:val="LagtextIndrag"/>
            </w:pPr>
            <w:r w:rsidRPr="00077F9A">
              <w:t>5. </w:t>
            </w:r>
            <w:r w:rsidRPr="00077F9A">
              <w:rPr>
                <w:spacing w:val="-4"/>
              </w:rPr>
              <w:t>EU-dokument som a</w:t>
            </w:r>
            <w:r w:rsidRPr="00077F9A">
              <w:rPr>
                <w:spacing w:val="-4"/>
              </w:rPr>
              <w:t>v</w:t>
            </w:r>
            <w:r w:rsidRPr="00077F9A">
              <w:rPr>
                <w:spacing w:val="-4"/>
              </w:rPr>
              <w:t xml:space="preserve">ses i 10 </w:t>
            </w:r>
            <w:r w:rsidRPr="00077F9A">
              <w:t xml:space="preserve">kap. </w:t>
            </w:r>
            <w:r w:rsidRPr="00077F9A">
              <w:rPr>
                <w:i/>
              </w:rPr>
              <w:t>5–6 och 8 §§,</w:t>
            </w:r>
          </w:p>
          <w:p w:rsidR="00606FAD" w:rsidRPr="00077F9A" w:rsidRDefault="00606FAD" w:rsidP="00606FAD">
            <w:pPr>
              <w:pStyle w:val="LagtextIndrag"/>
            </w:pPr>
            <w:r w:rsidRPr="00077F9A">
              <w:t>6. utskottsbetänkanden och utl</w:t>
            </w:r>
            <w:r w:rsidRPr="00077F9A">
              <w:t>å</w:t>
            </w:r>
            <w:r w:rsidRPr="00077F9A">
              <w:t>tan</w:t>
            </w:r>
            <w:r w:rsidRPr="00077F9A">
              <w:softHyphen/>
              <w:t>den som a</w:t>
            </w:r>
            <w:r w:rsidRPr="00077F9A">
              <w:t>v</w:t>
            </w:r>
            <w:r w:rsidRPr="00077F9A">
              <w:t xml:space="preserve">ses i 10 kap. </w:t>
            </w:r>
            <w:r w:rsidRPr="00077F9A">
              <w:rPr>
                <w:i/>
              </w:rPr>
              <w:t>5–6 och 8 §§</w:t>
            </w:r>
            <w:r w:rsidRPr="00077F9A">
              <w:t xml:space="preserve"> i den ordning utskotten anges i tilläggsb</w:t>
            </w:r>
            <w:r w:rsidRPr="00077F9A">
              <w:t>e</w:t>
            </w:r>
            <w:r w:rsidRPr="00077F9A">
              <w:t>stämmelse 4.2.1.</w:t>
            </w:r>
          </w:p>
        </w:tc>
      </w:tr>
      <w:tr w:rsidR="00606FAD" w:rsidRPr="00077F9A" w:rsidTr="00606FAD">
        <w:tc>
          <w:tcPr>
            <w:tcW w:w="6169" w:type="dxa"/>
            <w:gridSpan w:val="3"/>
          </w:tcPr>
          <w:p w:rsidR="00606FAD" w:rsidRPr="00077F9A" w:rsidRDefault="00606FAD" w:rsidP="00606FAD">
            <w:pPr>
              <w:pStyle w:val="Lagtext"/>
              <w:spacing w:before="125"/>
              <w:jc w:val="center"/>
            </w:pPr>
            <w:r w:rsidRPr="00077F9A">
              <w:t>3 kap.</w:t>
            </w:r>
          </w:p>
        </w:tc>
      </w:tr>
      <w:tr w:rsidR="00606FAD" w:rsidRPr="00077F9A" w:rsidTr="00606FAD">
        <w:tc>
          <w:tcPr>
            <w:tcW w:w="6169" w:type="dxa"/>
            <w:gridSpan w:val="3"/>
          </w:tcPr>
          <w:p w:rsidR="00606FAD" w:rsidRPr="00077F9A" w:rsidRDefault="00606FAD" w:rsidP="00606FAD">
            <w:pPr>
              <w:pStyle w:val="Lagtext"/>
              <w:jc w:val="center"/>
            </w:pPr>
            <w:smartTag w:uri="urn:schemas-microsoft-com:office:smarttags" w:element="metricconverter">
              <w:smartTagPr>
                <w:attr w:name="ProductID" w:val="14 a"/>
              </w:smartTagPr>
              <w:r w:rsidRPr="00077F9A">
                <w:t>14 a</w:t>
              </w:r>
            </w:smartTag>
            <w:r w:rsidRPr="00077F9A">
              <w:t xml:space="preserve"> §</w:t>
            </w:r>
          </w:p>
        </w:tc>
      </w:tr>
      <w:tr w:rsidR="00606FAD" w:rsidRPr="00077F9A" w:rsidTr="00606FAD">
        <w:tc>
          <w:tcPr>
            <w:tcW w:w="3081" w:type="dxa"/>
            <w:gridSpan w:val="2"/>
          </w:tcPr>
          <w:p w:rsidR="00606FAD" w:rsidRPr="00077F9A" w:rsidRDefault="00606FAD" w:rsidP="00606FAD">
            <w:pPr>
              <w:pStyle w:val="LagtextIndrag"/>
            </w:pPr>
            <w:r w:rsidRPr="00077F9A">
              <w:t xml:space="preserve">Grön- och vitböcker som </w:t>
            </w:r>
            <w:r w:rsidRPr="00077F9A">
              <w:rPr>
                <w:i/>
              </w:rPr>
              <w:t>skall til</w:t>
            </w:r>
            <w:r w:rsidRPr="00077F9A">
              <w:rPr>
                <w:i/>
              </w:rPr>
              <w:t>l</w:t>
            </w:r>
            <w:r w:rsidRPr="00077F9A">
              <w:rPr>
                <w:i/>
              </w:rPr>
              <w:t>ställas</w:t>
            </w:r>
            <w:r w:rsidRPr="00077F9A">
              <w:t xml:space="preserve"> riksdagen </w:t>
            </w:r>
            <w:r w:rsidRPr="00077F9A">
              <w:rPr>
                <w:i/>
              </w:rPr>
              <w:t>enligt prot</w:t>
            </w:r>
            <w:r w:rsidRPr="00077F9A">
              <w:rPr>
                <w:i/>
              </w:rPr>
              <w:t>o</w:t>
            </w:r>
            <w:r w:rsidRPr="00077F9A">
              <w:rPr>
                <w:i/>
              </w:rPr>
              <w:t>kollet om de nationella parlame</w:t>
            </w:r>
            <w:r w:rsidRPr="00077F9A">
              <w:rPr>
                <w:i/>
              </w:rPr>
              <w:t>n</w:t>
            </w:r>
            <w:r w:rsidRPr="00077F9A">
              <w:rPr>
                <w:i/>
              </w:rPr>
              <w:t xml:space="preserve">tens roll i Europeiska unionen skall </w:t>
            </w:r>
            <w:r w:rsidRPr="00077F9A">
              <w:t>behan</w:t>
            </w:r>
            <w:r w:rsidRPr="00077F9A">
              <w:t>d</w:t>
            </w:r>
            <w:r w:rsidRPr="00077F9A">
              <w:t>las av riksdagen enligt b</w:t>
            </w:r>
            <w:r w:rsidRPr="00077F9A">
              <w:t>e</w:t>
            </w:r>
            <w:r w:rsidRPr="00077F9A">
              <w:t xml:space="preserve">stämmelserna i 10 kap. </w:t>
            </w:r>
            <w:r w:rsidRPr="00077F9A">
              <w:rPr>
                <w:i/>
              </w:rPr>
              <w:t xml:space="preserve">4 </w:t>
            </w:r>
            <w:r w:rsidRPr="00077F9A">
              <w:t>§. De</w:t>
            </w:r>
            <w:r w:rsidRPr="00077F9A">
              <w:t>t</w:t>
            </w:r>
            <w:r w:rsidRPr="00077F9A">
              <w:t>samma gäller i fråga om de andra dokument från Europ</w:t>
            </w:r>
            <w:r w:rsidRPr="00077F9A">
              <w:t>e</w:t>
            </w:r>
            <w:r w:rsidRPr="00077F9A">
              <w:t xml:space="preserve">iska unionen, med undantag för </w:t>
            </w:r>
            <w:r w:rsidRPr="00077F9A">
              <w:rPr>
                <w:i/>
              </w:rPr>
              <w:t>förslag från Europeiska gemensk</w:t>
            </w:r>
            <w:r w:rsidRPr="00077F9A">
              <w:rPr>
                <w:i/>
              </w:rPr>
              <w:t>a</w:t>
            </w:r>
            <w:r w:rsidRPr="00077F9A">
              <w:rPr>
                <w:i/>
              </w:rPr>
              <w:t>pernas kommi</w:t>
            </w:r>
            <w:r w:rsidRPr="00077F9A">
              <w:rPr>
                <w:i/>
              </w:rPr>
              <w:t>s</w:t>
            </w:r>
            <w:r w:rsidRPr="00077F9A">
              <w:rPr>
                <w:i/>
              </w:rPr>
              <w:t>sion</w:t>
            </w:r>
            <w:r w:rsidRPr="00077F9A">
              <w:t>, som talmannen efter samråd med de särskilda för</w:t>
            </w:r>
            <w:r w:rsidRPr="00077F9A">
              <w:t>e</w:t>
            </w:r>
            <w:r w:rsidRPr="00077F9A">
              <w:t>trädarna för partigrupperna bestä</w:t>
            </w:r>
            <w:r w:rsidRPr="00077F9A">
              <w:t>m</w:t>
            </w:r>
            <w:r w:rsidRPr="00077F9A">
              <w:t xml:space="preserve">mer </w:t>
            </w:r>
            <w:r w:rsidRPr="00077F9A">
              <w:rPr>
                <w:i/>
              </w:rPr>
              <w:t>skall</w:t>
            </w:r>
            <w:r w:rsidRPr="00077F9A">
              <w:t xml:space="preserve"> b</w:t>
            </w:r>
            <w:r w:rsidRPr="00077F9A">
              <w:t>e</w:t>
            </w:r>
            <w:r w:rsidRPr="00077F9A">
              <w:t>handlas på detta sätt.</w:t>
            </w:r>
          </w:p>
        </w:tc>
        <w:tc>
          <w:tcPr>
            <w:tcW w:w="3088" w:type="dxa"/>
          </w:tcPr>
          <w:p w:rsidR="00606FAD" w:rsidRPr="00077F9A" w:rsidRDefault="00606FAD" w:rsidP="00606FAD">
            <w:pPr>
              <w:pStyle w:val="LagtextIndrag"/>
            </w:pPr>
            <w:r w:rsidRPr="00077F9A">
              <w:t xml:space="preserve">Grön- och vitböcker som </w:t>
            </w:r>
            <w:r w:rsidRPr="00077F9A">
              <w:rPr>
                <w:i/>
              </w:rPr>
              <w:t>överlä</w:t>
            </w:r>
            <w:r w:rsidRPr="00077F9A">
              <w:rPr>
                <w:i/>
              </w:rPr>
              <w:t>m</w:t>
            </w:r>
            <w:r w:rsidRPr="00077F9A">
              <w:rPr>
                <w:spacing w:val="-4"/>
              </w:rPr>
              <w:t>nas till riksdagen ska behandlas av rik</w:t>
            </w:r>
            <w:r w:rsidRPr="00077F9A">
              <w:rPr>
                <w:spacing w:val="-4"/>
              </w:rPr>
              <w:t>s</w:t>
            </w:r>
            <w:r w:rsidRPr="00077F9A">
              <w:rPr>
                <w:spacing w:val="-4"/>
              </w:rPr>
              <w:softHyphen/>
              <w:t>dagen enligt bestämmelserna i 10 kap.</w:t>
            </w:r>
            <w:r w:rsidRPr="00077F9A">
              <w:t xml:space="preserve"> </w:t>
            </w:r>
            <w:r w:rsidRPr="00077F9A">
              <w:rPr>
                <w:i/>
              </w:rPr>
              <w:t xml:space="preserve">5 </w:t>
            </w:r>
            <w:r w:rsidRPr="00077F9A">
              <w:t>§. De</w:t>
            </w:r>
            <w:r w:rsidRPr="00077F9A">
              <w:t>t</w:t>
            </w:r>
            <w:r w:rsidRPr="00077F9A">
              <w:t>samma gäller i fråga om de andra dokument från Europ</w:t>
            </w:r>
            <w:r w:rsidRPr="00077F9A">
              <w:t>e</w:t>
            </w:r>
            <w:r w:rsidRPr="00077F9A">
              <w:t xml:space="preserve">iska unionen, med undantag för </w:t>
            </w:r>
            <w:r w:rsidRPr="00077F9A">
              <w:rPr>
                <w:i/>
              </w:rPr>
              <w:t>utkast till lagstiftningsakter</w:t>
            </w:r>
            <w:r w:rsidRPr="00077F9A">
              <w:t>, som talmannen efter samråd med de särskilda för</w:t>
            </w:r>
            <w:r w:rsidRPr="00077F9A">
              <w:t>e</w:t>
            </w:r>
            <w:r w:rsidRPr="00077F9A">
              <w:t>trädarna för partigrupperna bestä</w:t>
            </w:r>
            <w:r w:rsidRPr="00077F9A">
              <w:t>m</w:t>
            </w:r>
            <w:r w:rsidRPr="00077F9A">
              <w:t xml:space="preserve">mer </w:t>
            </w:r>
            <w:r w:rsidRPr="00077F9A">
              <w:rPr>
                <w:i/>
              </w:rPr>
              <w:t>ska</w:t>
            </w:r>
            <w:r w:rsidRPr="00077F9A">
              <w:t xml:space="preserve"> behandlas på detta sätt.</w:t>
            </w:r>
          </w:p>
        </w:tc>
      </w:tr>
      <w:tr w:rsidR="00606FAD" w:rsidRPr="00077F9A" w:rsidTr="00606FAD">
        <w:tc>
          <w:tcPr>
            <w:tcW w:w="3081" w:type="dxa"/>
            <w:gridSpan w:val="2"/>
          </w:tcPr>
          <w:p w:rsidR="00606FAD" w:rsidRPr="00077F9A" w:rsidRDefault="00606FAD" w:rsidP="00606FAD">
            <w:pPr>
              <w:pStyle w:val="LagtextIndrag"/>
              <w:rPr>
                <w:color w:val="000000"/>
              </w:rPr>
            </w:pPr>
          </w:p>
        </w:tc>
        <w:tc>
          <w:tcPr>
            <w:tcW w:w="3088" w:type="dxa"/>
          </w:tcPr>
          <w:p w:rsidR="00606FAD" w:rsidRPr="00077F9A" w:rsidRDefault="00606FAD" w:rsidP="00606FAD">
            <w:pPr>
              <w:pStyle w:val="LagtextIndrag"/>
              <w:rPr>
                <w:i/>
              </w:rPr>
            </w:pPr>
            <w:r w:rsidRPr="00077F9A">
              <w:rPr>
                <w:i/>
              </w:rPr>
              <w:t>Riksdagen ska på det sätt som a</w:t>
            </w:r>
            <w:r w:rsidRPr="00077F9A">
              <w:rPr>
                <w:i/>
              </w:rPr>
              <w:t>n</w:t>
            </w:r>
            <w:r w:rsidRPr="00077F9A">
              <w:rPr>
                <w:i/>
              </w:rPr>
              <w:t>ges i 10 kap. 6 §  pröva om ett utkast till en lagstiftningsakt strider mot subsidiar</w:t>
            </w:r>
            <w:r w:rsidRPr="00077F9A">
              <w:rPr>
                <w:i/>
              </w:rPr>
              <w:t>i</w:t>
            </w:r>
            <w:r w:rsidRPr="00077F9A">
              <w:rPr>
                <w:i/>
              </w:rPr>
              <w:t xml:space="preserve">tetsprincipen. </w:t>
            </w:r>
          </w:p>
          <w:p w:rsidR="00606FAD" w:rsidRPr="00077F9A" w:rsidRDefault="00606FAD" w:rsidP="00606FAD">
            <w:pPr>
              <w:pStyle w:val="LagtextIndrag"/>
              <w:rPr>
                <w:i/>
                <w:color w:val="000000"/>
              </w:rPr>
            </w:pPr>
            <w:r w:rsidRPr="00077F9A">
              <w:rPr>
                <w:i/>
              </w:rPr>
              <w:t>Riksdagen ska på det sätt som a</w:t>
            </w:r>
            <w:r w:rsidRPr="00077F9A">
              <w:rPr>
                <w:i/>
              </w:rPr>
              <w:t>n</w:t>
            </w:r>
            <w:r w:rsidRPr="00077F9A">
              <w:rPr>
                <w:i/>
              </w:rPr>
              <w:t>ges i 10 kap. 8 § godkänna eller avslå ett initi</w:t>
            </w:r>
            <w:r w:rsidRPr="00077F9A">
              <w:rPr>
                <w:i/>
              </w:rPr>
              <w:t>a</w:t>
            </w:r>
            <w:r w:rsidRPr="00077F9A">
              <w:rPr>
                <w:i/>
              </w:rPr>
              <w:t>tiv från Europeiska rådet att besluta om ett bemyndiga</w:t>
            </w:r>
            <w:r w:rsidRPr="00077F9A">
              <w:rPr>
                <w:i/>
              </w:rPr>
              <w:t>n</w:t>
            </w:r>
            <w:r w:rsidRPr="00077F9A">
              <w:rPr>
                <w:i/>
              </w:rPr>
              <w:t>de för rådet att ändra beslutsor</w:t>
            </w:r>
            <w:r w:rsidRPr="00077F9A">
              <w:rPr>
                <w:i/>
              </w:rPr>
              <w:t>d</w:t>
            </w:r>
            <w:r w:rsidRPr="00077F9A">
              <w:rPr>
                <w:i/>
              </w:rPr>
              <w:t>ningen på ett visst område eller i ett visst fall från enhällighet till kvalif</w:t>
            </w:r>
            <w:r w:rsidRPr="00077F9A">
              <w:rPr>
                <w:i/>
              </w:rPr>
              <w:t>i</w:t>
            </w:r>
            <w:r w:rsidRPr="00077F9A">
              <w:rPr>
                <w:i/>
              </w:rPr>
              <w:t>cerad majoritet eller från ett särskilt lagstiftningsförfarande till det ord</w:t>
            </w:r>
            <w:r w:rsidRPr="00077F9A">
              <w:rPr>
                <w:i/>
              </w:rPr>
              <w:t>i</w:t>
            </w:r>
            <w:r w:rsidRPr="00077F9A">
              <w:rPr>
                <w:i/>
              </w:rPr>
              <w:t>narie lagstiftningsförfarandet. Rik</w:t>
            </w:r>
            <w:r w:rsidRPr="00077F9A">
              <w:rPr>
                <w:i/>
              </w:rPr>
              <w:t>s</w:t>
            </w:r>
            <w:r w:rsidRPr="00077F9A">
              <w:rPr>
                <w:i/>
              </w:rPr>
              <w:t>dagen ska också på samma sätt go</w:t>
            </w:r>
            <w:r w:rsidRPr="00077F9A">
              <w:rPr>
                <w:i/>
              </w:rPr>
              <w:t>d</w:t>
            </w:r>
            <w:r w:rsidRPr="00077F9A">
              <w:rPr>
                <w:i/>
              </w:rPr>
              <w:t>känna eller avslå ett förslag från Europeiska kommissi</w:t>
            </w:r>
            <w:r w:rsidRPr="00077F9A">
              <w:rPr>
                <w:i/>
              </w:rPr>
              <w:t>o</w:t>
            </w:r>
            <w:r w:rsidRPr="00077F9A">
              <w:rPr>
                <w:i/>
              </w:rPr>
              <w:t>nen att ange vilka aspekter av fami</w:t>
            </w:r>
            <w:r w:rsidRPr="00077F9A">
              <w:rPr>
                <w:i/>
              </w:rPr>
              <w:t>l</w:t>
            </w:r>
            <w:r w:rsidRPr="00077F9A">
              <w:rPr>
                <w:i/>
              </w:rPr>
              <w:t>jerätten som har gränsöve</w:t>
            </w:r>
            <w:r w:rsidRPr="00077F9A">
              <w:rPr>
                <w:i/>
              </w:rPr>
              <w:t>r</w:t>
            </w:r>
            <w:r w:rsidRPr="00077F9A">
              <w:rPr>
                <w:i/>
              </w:rPr>
              <w:t>skridande följder och som kan bli föremål för lagstiftning</w:t>
            </w:r>
            <w:r w:rsidRPr="00077F9A">
              <w:rPr>
                <w:i/>
              </w:rPr>
              <w:t>s</w:t>
            </w:r>
            <w:r w:rsidRPr="00077F9A">
              <w:rPr>
                <w:i/>
              </w:rPr>
              <w:t>akter som antas i enlighet med det ordinarie lagstiftning</w:t>
            </w:r>
            <w:r w:rsidRPr="00077F9A">
              <w:rPr>
                <w:i/>
              </w:rPr>
              <w:t>s</w:t>
            </w:r>
            <w:r w:rsidRPr="00077F9A">
              <w:rPr>
                <w:i/>
              </w:rPr>
              <w:t xml:space="preserve">förfarandet. </w:t>
            </w:r>
          </w:p>
        </w:tc>
      </w:tr>
      <w:tr w:rsidR="00606FAD" w:rsidRPr="00077F9A" w:rsidTr="00606FAD">
        <w:tc>
          <w:tcPr>
            <w:tcW w:w="6169" w:type="dxa"/>
            <w:gridSpan w:val="3"/>
          </w:tcPr>
          <w:p w:rsidR="00606FAD" w:rsidRPr="00077F9A" w:rsidRDefault="00606FAD" w:rsidP="00606FAD">
            <w:pPr>
              <w:pStyle w:val="Lagtext"/>
              <w:spacing w:before="125"/>
              <w:jc w:val="center"/>
            </w:pPr>
            <w:r w:rsidRPr="00077F9A">
              <w:t>4 kap.</w:t>
            </w:r>
          </w:p>
        </w:tc>
      </w:tr>
      <w:tr w:rsidR="00606FAD" w:rsidRPr="00077F9A" w:rsidTr="00606FAD">
        <w:tc>
          <w:tcPr>
            <w:tcW w:w="6169" w:type="dxa"/>
            <w:gridSpan w:val="3"/>
          </w:tcPr>
          <w:p w:rsidR="00606FAD" w:rsidRPr="00077F9A" w:rsidRDefault="00606FAD" w:rsidP="00606FAD">
            <w:pPr>
              <w:pStyle w:val="Lagtext"/>
              <w:jc w:val="center"/>
            </w:pPr>
            <w:r w:rsidRPr="00077F9A">
              <w:t>4 §</w:t>
            </w:r>
          </w:p>
        </w:tc>
      </w:tr>
      <w:tr w:rsidR="00606FAD" w:rsidRPr="00077F9A" w:rsidTr="00606FAD">
        <w:tc>
          <w:tcPr>
            <w:tcW w:w="3051" w:type="dxa"/>
          </w:tcPr>
          <w:p w:rsidR="00606FAD" w:rsidRPr="00077F9A" w:rsidRDefault="00606FAD" w:rsidP="00606FAD">
            <w:pPr>
              <w:pStyle w:val="LagtextIndrag"/>
            </w:pPr>
            <w:r w:rsidRPr="00077F9A">
              <w:t xml:space="preserve">Konstitutionsutskottet </w:t>
            </w:r>
            <w:r w:rsidRPr="00077F9A">
              <w:rPr>
                <w:i/>
              </w:rPr>
              <w:t>skall</w:t>
            </w:r>
            <w:r w:rsidRPr="00077F9A">
              <w:t xml:space="preserve"> bereda ärenden som rör grundlagarna och riksdagsordningen. Bestämmelser om konstitutionsutskottets uppgifter finns också i 2 kap. 12 §, 8 kap. 15 § och 12 kap. 1 § rege</w:t>
            </w:r>
            <w:r w:rsidRPr="00077F9A">
              <w:t>r</w:t>
            </w:r>
            <w:r w:rsidRPr="00077F9A">
              <w:t>ingsformen samt i 2 kap. 9 §, 3 kap. 14 §, 4 kap. 11 §, 6 kap. 1 och 4 §§, 8 kap. 11 och 13 §§, 9 kap. 8 § samt tillägg</w:t>
            </w:r>
            <w:r w:rsidRPr="00077F9A">
              <w:t>s</w:t>
            </w:r>
            <w:r w:rsidRPr="00077F9A">
              <w:t>bestämmelserna 4.6.1, 5.4.1, 8.4.1, 8.5.1, 8.11.1, 8.11.2 och 8.12.1 de</w:t>
            </w:r>
            <w:r w:rsidRPr="00077F9A">
              <w:t>n</w:t>
            </w:r>
            <w:r w:rsidRPr="00077F9A">
              <w:t>na lag.</w:t>
            </w:r>
          </w:p>
        </w:tc>
        <w:tc>
          <w:tcPr>
            <w:tcW w:w="3118" w:type="dxa"/>
            <w:gridSpan w:val="2"/>
          </w:tcPr>
          <w:p w:rsidR="00606FAD" w:rsidRPr="00077F9A" w:rsidRDefault="00606FAD" w:rsidP="00606FAD">
            <w:pPr>
              <w:pStyle w:val="LagtextIndrag"/>
            </w:pPr>
            <w:r w:rsidRPr="00077F9A">
              <w:t xml:space="preserve">Konstitutionsutskottet </w:t>
            </w:r>
            <w:r w:rsidRPr="00077F9A">
              <w:rPr>
                <w:i/>
              </w:rPr>
              <w:t>ska</w:t>
            </w:r>
            <w:r w:rsidRPr="00077F9A">
              <w:t xml:space="preserve"> bereda ärenden som rör grundlagarna och riksdagsordningen. Bestämmelser om ko</w:t>
            </w:r>
            <w:r w:rsidRPr="00077F9A">
              <w:t>n</w:t>
            </w:r>
            <w:r w:rsidRPr="00077F9A">
              <w:t>stitutionsutskottets uppgifter finns också i 2 kap. 12 §, 8 kap. 15 § och 12 kap. 1 § rege</w:t>
            </w:r>
            <w:r w:rsidRPr="00077F9A">
              <w:t>r</w:t>
            </w:r>
            <w:r w:rsidRPr="00077F9A">
              <w:t xml:space="preserve">ingsformen samt i 2 kap. 9 §, 3 kap. 14 §, 4 kap. 11 §, 6 kap. 1 och 4 §§, 8 kap. 11 och 13 §§, 9 kap. 8 § </w:t>
            </w:r>
            <w:r w:rsidRPr="00077F9A">
              <w:rPr>
                <w:i/>
              </w:rPr>
              <w:t xml:space="preserve">och 10 kap. 6 § </w:t>
            </w:r>
            <w:r w:rsidRPr="00077F9A">
              <w:t>samt tillägg</w:t>
            </w:r>
            <w:r w:rsidRPr="00077F9A">
              <w:t>s</w:t>
            </w:r>
            <w:r w:rsidRPr="00077F9A">
              <w:t>bestämmelserna 4.6.1, 5.4.1, 8.4.1, 8.5.1, 8.11.1, 8.11.2 och 8.12.1 denna lag.</w:t>
            </w:r>
          </w:p>
        </w:tc>
      </w:tr>
      <w:tr w:rsidR="00606FAD" w:rsidRPr="00077F9A" w:rsidTr="00606FAD">
        <w:tc>
          <w:tcPr>
            <w:tcW w:w="3051" w:type="dxa"/>
          </w:tcPr>
          <w:p w:rsidR="00606FAD" w:rsidRPr="00077F9A" w:rsidRDefault="00606FAD" w:rsidP="00606FAD">
            <w:pPr>
              <w:pStyle w:val="Lagtext"/>
            </w:pPr>
          </w:p>
        </w:tc>
        <w:tc>
          <w:tcPr>
            <w:tcW w:w="3118" w:type="dxa"/>
            <w:gridSpan w:val="2"/>
          </w:tcPr>
          <w:p w:rsidR="00606FAD" w:rsidRPr="00077F9A" w:rsidRDefault="00606FAD" w:rsidP="00606FAD">
            <w:pPr>
              <w:pStyle w:val="Lagtext"/>
            </w:pPr>
          </w:p>
        </w:tc>
      </w:tr>
      <w:tr w:rsidR="00606FAD" w:rsidRPr="00077F9A" w:rsidTr="00606FAD">
        <w:tc>
          <w:tcPr>
            <w:tcW w:w="6169" w:type="dxa"/>
            <w:gridSpan w:val="3"/>
          </w:tcPr>
          <w:p w:rsidR="00606FAD" w:rsidRPr="00077F9A" w:rsidRDefault="00606FAD" w:rsidP="00606FAD">
            <w:pPr>
              <w:pStyle w:val="Lagtext"/>
              <w:pageBreakBefore/>
              <w:spacing w:before="125"/>
              <w:jc w:val="center"/>
            </w:pPr>
            <w:r w:rsidRPr="00077F9A">
              <w:t xml:space="preserve">4.6.2  </w:t>
            </w:r>
          </w:p>
        </w:tc>
      </w:tr>
      <w:tr w:rsidR="00606FAD" w:rsidRPr="00077F9A" w:rsidTr="00606FAD">
        <w:tc>
          <w:tcPr>
            <w:tcW w:w="3081" w:type="dxa"/>
            <w:gridSpan w:val="2"/>
          </w:tcPr>
          <w:p w:rsidR="00606FAD" w:rsidRPr="00077F9A" w:rsidRDefault="00606FAD" w:rsidP="00606FAD">
            <w:pPr>
              <w:pStyle w:val="LagtextIndrag"/>
            </w:pPr>
            <w:r w:rsidRPr="00077F9A">
              <w:t xml:space="preserve">Finansutskottet </w:t>
            </w:r>
            <w:r w:rsidRPr="00077F9A">
              <w:rPr>
                <w:i/>
              </w:rPr>
              <w:t>skall</w:t>
            </w:r>
            <w:r w:rsidRPr="00077F9A">
              <w:t xml:space="preserve"> bereda äre</w:t>
            </w:r>
            <w:r w:rsidRPr="00077F9A">
              <w:t>n</w:t>
            </w:r>
            <w:r w:rsidRPr="00077F9A">
              <w:t>den om</w:t>
            </w:r>
          </w:p>
          <w:p w:rsidR="00606FAD" w:rsidRPr="00077F9A" w:rsidRDefault="00606FAD" w:rsidP="00606FAD">
            <w:pPr>
              <w:pStyle w:val="LagtextIndrag"/>
            </w:pPr>
            <w:r w:rsidRPr="00077F9A">
              <w:t>1. penning-, kredit-, valuta- och stats</w:t>
            </w:r>
            <w:r w:rsidRPr="00077F9A">
              <w:softHyphen/>
              <w:t>skuld</w:t>
            </w:r>
            <w:r w:rsidRPr="00077F9A">
              <w:t>s</w:t>
            </w:r>
            <w:r w:rsidRPr="00077F9A">
              <w:t xml:space="preserve">politiken, </w:t>
            </w:r>
          </w:p>
          <w:p w:rsidR="00606FAD" w:rsidRPr="00077F9A" w:rsidRDefault="00606FAD" w:rsidP="00606FAD">
            <w:pPr>
              <w:pStyle w:val="LagtextIndrag"/>
            </w:pPr>
            <w:r w:rsidRPr="00077F9A">
              <w:t>2. kredit- och fondv</w:t>
            </w:r>
            <w:r w:rsidRPr="00077F9A">
              <w:t>ä</w:t>
            </w:r>
            <w:r w:rsidRPr="00077F9A">
              <w:t xml:space="preserve">sendet, </w:t>
            </w:r>
          </w:p>
          <w:p w:rsidR="00606FAD" w:rsidRPr="00077F9A" w:rsidRDefault="00606FAD" w:rsidP="00606FAD">
            <w:pPr>
              <w:pStyle w:val="LagtextIndrag"/>
            </w:pPr>
            <w:r w:rsidRPr="00077F9A">
              <w:t>3. det affärsmässiga försäkringsv</w:t>
            </w:r>
            <w:r w:rsidRPr="00077F9A">
              <w:t>ä</w:t>
            </w:r>
            <w:r w:rsidRPr="00077F9A">
              <w:t xml:space="preserve">sendet, </w:t>
            </w:r>
          </w:p>
          <w:p w:rsidR="00606FAD" w:rsidRPr="00077F9A" w:rsidRDefault="00606FAD" w:rsidP="00606FAD">
            <w:pPr>
              <w:pStyle w:val="LagtextIndrag"/>
            </w:pPr>
            <w:r w:rsidRPr="00077F9A">
              <w:t>4. Riksrevisionen i den mån äre</w:t>
            </w:r>
            <w:r w:rsidRPr="00077F9A">
              <w:t>n</w:t>
            </w:r>
            <w:r w:rsidRPr="00077F9A">
              <w:t>dena inte tillhör konstitutionsutsko</w:t>
            </w:r>
            <w:r w:rsidRPr="00077F9A">
              <w:t>t</w:t>
            </w:r>
            <w:r w:rsidRPr="00077F9A">
              <w:t xml:space="preserve">tets beredning, </w:t>
            </w:r>
          </w:p>
          <w:p w:rsidR="00606FAD" w:rsidRPr="00077F9A" w:rsidRDefault="00606FAD" w:rsidP="00606FAD">
            <w:pPr>
              <w:pStyle w:val="LagtextIndrag"/>
            </w:pPr>
            <w:r w:rsidRPr="00077F9A">
              <w:t xml:space="preserve">5. den kommunala ekonomin, </w:t>
            </w:r>
          </w:p>
          <w:p w:rsidR="00606FAD" w:rsidRPr="00077F9A" w:rsidRDefault="00606FAD" w:rsidP="00606FAD">
            <w:pPr>
              <w:pStyle w:val="LagtextIndrag"/>
            </w:pPr>
            <w:r w:rsidRPr="00077F9A">
              <w:t>6. statliga arbetsgiva</w:t>
            </w:r>
            <w:r w:rsidRPr="00077F9A">
              <w:t>r</w:t>
            </w:r>
            <w:r w:rsidRPr="00077F9A">
              <w:t xml:space="preserve">frågor, statlig statistik, redovisning, revision och rationalisering, </w:t>
            </w:r>
          </w:p>
          <w:p w:rsidR="00606FAD" w:rsidRPr="00077F9A" w:rsidRDefault="00606FAD" w:rsidP="00606FAD">
            <w:pPr>
              <w:pStyle w:val="LagtextIndrag"/>
            </w:pPr>
            <w:r w:rsidRPr="00077F9A">
              <w:t>7. statens egendom och upphan</w:t>
            </w:r>
            <w:r w:rsidRPr="00077F9A">
              <w:t>d</w:t>
            </w:r>
            <w:r w:rsidRPr="00077F9A">
              <w:t>ling i allmä</w:t>
            </w:r>
            <w:r w:rsidRPr="00077F9A">
              <w:t>n</w:t>
            </w:r>
            <w:r w:rsidRPr="00077F9A">
              <w:t xml:space="preserve">het, </w:t>
            </w:r>
          </w:p>
          <w:p w:rsidR="00606FAD" w:rsidRPr="00077F9A" w:rsidRDefault="00606FAD" w:rsidP="00606FAD">
            <w:pPr>
              <w:pStyle w:val="LagtextIndrag"/>
            </w:pPr>
            <w:r w:rsidRPr="00077F9A">
              <w:t>8. förvaltningsekon</w:t>
            </w:r>
            <w:r w:rsidRPr="00077F9A">
              <w:t>o</w:t>
            </w:r>
            <w:r w:rsidRPr="00077F9A">
              <w:t xml:space="preserve">miska frågor i övrigt som inte rör enbart ett visst ämnesområde samt </w:t>
            </w:r>
          </w:p>
          <w:p w:rsidR="00606FAD" w:rsidRPr="00077F9A" w:rsidRDefault="00606FAD" w:rsidP="00606FAD">
            <w:pPr>
              <w:pStyle w:val="LagtextIndrag"/>
            </w:pPr>
            <w:r w:rsidRPr="00077F9A">
              <w:t>9. budgettekniska fr</w:t>
            </w:r>
            <w:r w:rsidRPr="00077F9A">
              <w:t>å</w:t>
            </w:r>
            <w:r w:rsidRPr="00077F9A">
              <w:t xml:space="preserve">gor. </w:t>
            </w:r>
          </w:p>
          <w:p w:rsidR="00606FAD" w:rsidRPr="00077F9A" w:rsidRDefault="00606FAD" w:rsidP="00606FAD">
            <w:pPr>
              <w:pStyle w:val="LagtextIndrag"/>
            </w:pPr>
            <w:r w:rsidRPr="00077F9A">
              <w:t xml:space="preserve">Utskottet </w:t>
            </w:r>
            <w:r w:rsidRPr="00077F9A">
              <w:rPr>
                <w:i/>
              </w:rPr>
              <w:t>skall</w:t>
            </w:r>
            <w:r w:rsidRPr="00077F9A">
              <w:t xml:space="preserve"> även granska b</w:t>
            </w:r>
            <w:r w:rsidRPr="00077F9A">
              <w:t>e</w:t>
            </w:r>
            <w:r w:rsidRPr="00077F9A">
              <w:t>räkningen av statens inkomster och sammanställa statsbu</w:t>
            </w:r>
            <w:r w:rsidRPr="00077F9A">
              <w:t>d</w:t>
            </w:r>
            <w:r w:rsidRPr="00077F9A">
              <w:t xml:space="preserve">geten. </w:t>
            </w:r>
          </w:p>
        </w:tc>
        <w:tc>
          <w:tcPr>
            <w:tcW w:w="3088" w:type="dxa"/>
          </w:tcPr>
          <w:p w:rsidR="00606FAD" w:rsidRPr="00077F9A" w:rsidRDefault="00606FAD" w:rsidP="00606FAD">
            <w:pPr>
              <w:pStyle w:val="LagtextIndrag"/>
            </w:pPr>
            <w:r w:rsidRPr="00077F9A">
              <w:t xml:space="preserve">Finansutskottet </w:t>
            </w:r>
            <w:r w:rsidRPr="00077F9A">
              <w:rPr>
                <w:i/>
              </w:rPr>
              <w:t>ska</w:t>
            </w:r>
            <w:r w:rsidRPr="00077F9A">
              <w:t xml:space="preserve"> bereda ärenden om</w:t>
            </w:r>
          </w:p>
          <w:p w:rsidR="00606FAD" w:rsidRPr="00077F9A" w:rsidRDefault="00606FAD" w:rsidP="00606FAD">
            <w:pPr>
              <w:pStyle w:val="LagtextIndrag"/>
            </w:pPr>
            <w:r w:rsidRPr="00077F9A">
              <w:t>1. penning-, kredit-, valuta- och stats</w:t>
            </w:r>
            <w:r w:rsidRPr="00077F9A">
              <w:softHyphen/>
              <w:t>skuld</w:t>
            </w:r>
            <w:r w:rsidRPr="00077F9A">
              <w:t>s</w:t>
            </w:r>
            <w:r w:rsidRPr="00077F9A">
              <w:softHyphen/>
              <w:t xml:space="preserve">politiken, </w:t>
            </w:r>
          </w:p>
          <w:p w:rsidR="00606FAD" w:rsidRPr="00077F9A" w:rsidRDefault="00606FAD" w:rsidP="00606FAD">
            <w:pPr>
              <w:pStyle w:val="LagtextIndrag"/>
            </w:pPr>
            <w:r w:rsidRPr="00077F9A">
              <w:t>2. kredit- och fondv</w:t>
            </w:r>
            <w:r w:rsidRPr="00077F9A">
              <w:t>ä</w:t>
            </w:r>
            <w:r w:rsidRPr="00077F9A">
              <w:t xml:space="preserve">sendet, </w:t>
            </w:r>
          </w:p>
          <w:p w:rsidR="00606FAD" w:rsidRPr="00077F9A" w:rsidRDefault="00606FAD" w:rsidP="00606FAD">
            <w:pPr>
              <w:pStyle w:val="LagtextIndrag"/>
            </w:pPr>
            <w:r w:rsidRPr="00077F9A">
              <w:t>3. det affärsmässiga försäkringsv</w:t>
            </w:r>
            <w:r w:rsidRPr="00077F9A">
              <w:t>ä</w:t>
            </w:r>
            <w:r w:rsidRPr="00077F9A">
              <w:t xml:space="preserve">sendet, </w:t>
            </w:r>
          </w:p>
          <w:p w:rsidR="00606FAD" w:rsidRPr="00077F9A" w:rsidRDefault="00606FAD" w:rsidP="00606FAD">
            <w:pPr>
              <w:pStyle w:val="LagtextIndrag"/>
            </w:pPr>
            <w:r w:rsidRPr="00077F9A">
              <w:t>4. Riksrevisionen i den mån äre</w:t>
            </w:r>
            <w:r w:rsidRPr="00077F9A">
              <w:t>n</w:t>
            </w:r>
            <w:r w:rsidRPr="00077F9A">
              <w:t>dena inte tillhör konstitutionsutsko</w:t>
            </w:r>
            <w:r w:rsidRPr="00077F9A">
              <w:t>t</w:t>
            </w:r>
            <w:r w:rsidRPr="00077F9A">
              <w:t xml:space="preserve">tets beredning, </w:t>
            </w:r>
          </w:p>
          <w:p w:rsidR="00606FAD" w:rsidRPr="00077F9A" w:rsidRDefault="00606FAD" w:rsidP="00606FAD">
            <w:pPr>
              <w:pStyle w:val="LagtextIndrag"/>
            </w:pPr>
            <w:r w:rsidRPr="00077F9A">
              <w:t xml:space="preserve">5. den kommunala ekonomin, </w:t>
            </w:r>
          </w:p>
          <w:p w:rsidR="00606FAD" w:rsidRPr="00077F9A" w:rsidRDefault="00606FAD" w:rsidP="00606FAD">
            <w:pPr>
              <w:pStyle w:val="LagtextIndrag"/>
            </w:pPr>
            <w:r w:rsidRPr="00077F9A">
              <w:t>6. statliga arbetsgiva</w:t>
            </w:r>
            <w:r w:rsidRPr="00077F9A">
              <w:t>r</w:t>
            </w:r>
            <w:r w:rsidRPr="00077F9A">
              <w:t xml:space="preserve">frågor, statlig statistik, redovisning, revision och rationalisering, </w:t>
            </w:r>
          </w:p>
          <w:p w:rsidR="00606FAD" w:rsidRPr="00077F9A" w:rsidRDefault="00606FAD" w:rsidP="00606FAD">
            <w:pPr>
              <w:pStyle w:val="LagtextIndrag"/>
            </w:pPr>
            <w:r w:rsidRPr="00077F9A">
              <w:t>7. statens egendom och upphan</w:t>
            </w:r>
            <w:r w:rsidRPr="00077F9A">
              <w:t>d</w:t>
            </w:r>
            <w:r w:rsidRPr="00077F9A">
              <w:t>ling i allmä</w:t>
            </w:r>
            <w:r w:rsidRPr="00077F9A">
              <w:t>n</w:t>
            </w:r>
            <w:r w:rsidRPr="00077F9A">
              <w:t xml:space="preserve">het, </w:t>
            </w:r>
          </w:p>
          <w:p w:rsidR="00606FAD" w:rsidRPr="00077F9A" w:rsidRDefault="00606FAD" w:rsidP="00606FAD">
            <w:pPr>
              <w:pStyle w:val="LagtextIndrag"/>
            </w:pPr>
            <w:r w:rsidRPr="00077F9A">
              <w:t>8. förvaltningsekon</w:t>
            </w:r>
            <w:r w:rsidRPr="00077F9A">
              <w:t>o</w:t>
            </w:r>
            <w:r w:rsidRPr="00077F9A">
              <w:t xml:space="preserve">miska frågor i övrigt som inte rör enbart ett visst ämnesområde samt </w:t>
            </w:r>
          </w:p>
          <w:p w:rsidR="00606FAD" w:rsidRPr="00077F9A" w:rsidRDefault="00606FAD" w:rsidP="00606FAD">
            <w:pPr>
              <w:pStyle w:val="LagtextIndrag"/>
            </w:pPr>
            <w:r w:rsidRPr="00077F9A">
              <w:t>9. budgettekniska fr</w:t>
            </w:r>
            <w:r w:rsidRPr="00077F9A">
              <w:t>å</w:t>
            </w:r>
            <w:r w:rsidRPr="00077F9A">
              <w:t xml:space="preserve">gor. </w:t>
            </w:r>
          </w:p>
          <w:p w:rsidR="00606FAD" w:rsidRPr="00077F9A" w:rsidRDefault="00606FAD" w:rsidP="00606FAD">
            <w:pPr>
              <w:pStyle w:val="LagtextIndrag"/>
            </w:pPr>
            <w:r w:rsidRPr="00077F9A">
              <w:t xml:space="preserve">Utskottet </w:t>
            </w:r>
            <w:r w:rsidRPr="00077F9A">
              <w:rPr>
                <w:i/>
              </w:rPr>
              <w:t>ska</w:t>
            </w:r>
            <w:r w:rsidRPr="00077F9A">
              <w:t xml:space="preserve"> även granska berä</w:t>
            </w:r>
            <w:r w:rsidRPr="00077F9A">
              <w:t>k</w:t>
            </w:r>
            <w:r w:rsidRPr="00077F9A">
              <w:t>ningen av statens inkomster och sammanställa statsbu</w:t>
            </w:r>
            <w:r w:rsidRPr="00077F9A">
              <w:t>d</w:t>
            </w:r>
            <w:r w:rsidRPr="00077F9A">
              <w:t xml:space="preserve">geten. </w:t>
            </w:r>
          </w:p>
        </w:tc>
      </w:tr>
      <w:tr w:rsidR="00606FAD" w:rsidRPr="00077F9A" w:rsidTr="00606FAD">
        <w:tc>
          <w:tcPr>
            <w:tcW w:w="3081" w:type="dxa"/>
            <w:gridSpan w:val="2"/>
          </w:tcPr>
          <w:p w:rsidR="00606FAD" w:rsidRPr="00077F9A" w:rsidRDefault="00606FAD" w:rsidP="00606FAD">
            <w:pPr>
              <w:pStyle w:val="LagtextIndrag"/>
            </w:pPr>
            <w:r w:rsidRPr="00077F9A">
              <w:t>Ärenden om anslag inom utgift</w:t>
            </w:r>
            <w:r w:rsidRPr="00077F9A">
              <w:t>s</w:t>
            </w:r>
            <w:r w:rsidRPr="00077F9A">
              <w:t>områdena 2 Samhällsekonomi och finansförvaltning, 25 Allmänna b</w:t>
            </w:r>
            <w:r w:rsidRPr="00077F9A">
              <w:t>i</w:t>
            </w:r>
            <w:r w:rsidRPr="00077F9A">
              <w:t>drag till kommuner, 26 Statsskuld</w:t>
            </w:r>
            <w:r w:rsidRPr="00077F9A">
              <w:t>s</w:t>
            </w:r>
            <w:r w:rsidRPr="00077F9A">
              <w:t>räntor m.m. samt 27 Avgiften till Europ</w:t>
            </w:r>
            <w:r w:rsidRPr="00077F9A">
              <w:t>e</w:t>
            </w:r>
            <w:r w:rsidRPr="00077F9A">
              <w:t xml:space="preserve">iska </w:t>
            </w:r>
            <w:r w:rsidRPr="00077F9A">
              <w:rPr>
                <w:i/>
              </w:rPr>
              <w:t>gemenskapen</w:t>
            </w:r>
            <w:r w:rsidRPr="00077F9A">
              <w:t xml:space="preserve"> bereds av finansutsko</w:t>
            </w:r>
            <w:r w:rsidRPr="00077F9A">
              <w:t>t</w:t>
            </w:r>
            <w:r w:rsidRPr="00077F9A">
              <w:t>tet.</w:t>
            </w:r>
          </w:p>
        </w:tc>
        <w:tc>
          <w:tcPr>
            <w:tcW w:w="3088" w:type="dxa"/>
          </w:tcPr>
          <w:p w:rsidR="00606FAD" w:rsidRPr="00077F9A" w:rsidRDefault="00606FAD" w:rsidP="00606FAD">
            <w:pPr>
              <w:pStyle w:val="LagtextIndrag"/>
            </w:pPr>
            <w:r w:rsidRPr="00077F9A">
              <w:t>Ärenden om anslag inom utgift</w:t>
            </w:r>
            <w:r w:rsidRPr="00077F9A">
              <w:t>s</w:t>
            </w:r>
            <w:r w:rsidRPr="00077F9A">
              <w:t>områdena 2 Samhällsekonomi och finansförvaltning, 25 Allmänna b</w:t>
            </w:r>
            <w:r w:rsidRPr="00077F9A">
              <w:t>i</w:t>
            </w:r>
            <w:r w:rsidRPr="00077F9A">
              <w:t>drag till kommuner, 26 Statsskuld</w:t>
            </w:r>
            <w:r w:rsidRPr="00077F9A">
              <w:t>s</w:t>
            </w:r>
            <w:r w:rsidRPr="00077F9A">
              <w:t xml:space="preserve">räntor m.m. samt 27 Avgiften till Europeiska </w:t>
            </w:r>
            <w:r w:rsidRPr="00077F9A">
              <w:rPr>
                <w:i/>
              </w:rPr>
              <w:t>unionen</w:t>
            </w:r>
            <w:r w:rsidRPr="00077F9A">
              <w:t xml:space="preserve"> bereds av f</w:t>
            </w:r>
            <w:r w:rsidRPr="00077F9A">
              <w:t>i</w:t>
            </w:r>
            <w:r w:rsidRPr="00077F9A">
              <w:t>nansutskottet.</w:t>
            </w:r>
          </w:p>
        </w:tc>
      </w:tr>
      <w:tr w:rsidR="00606FAD" w:rsidRPr="00077F9A" w:rsidTr="00606FAD">
        <w:tc>
          <w:tcPr>
            <w:tcW w:w="6169" w:type="dxa"/>
            <w:gridSpan w:val="3"/>
          </w:tcPr>
          <w:p w:rsidR="00606FAD" w:rsidRPr="00077F9A" w:rsidRDefault="00606FAD" w:rsidP="00606FAD">
            <w:pPr>
              <w:pStyle w:val="Lagtext"/>
              <w:spacing w:before="125"/>
              <w:jc w:val="center"/>
            </w:pPr>
            <w:r w:rsidRPr="00077F9A">
              <w:t xml:space="preserve">5 kap.  </w:t>
            </w:r>
          </w:p>
        </w:tc>
      </w:tr>
      <w:tr w:rsidR="00606FAD" w:rsidRPr="00077F9A" w:rsidTr="00606FAD">
        <w:tc>
          <w:tcPr>
            <w:tcW w:w="6169" w:type="dxa"/>
            <w:gridSpan w:val="3"/>
          </w:tcPr>
          <w:p w:rsidR="00606FAD" w:rsidRPr="00077F9A" w:rsidRDefault="00606FAD" w:rsidP="00606FAD">
            <w:pPr>
              <w:pStyle w:val="Lagtext"/>
              <w:jc w:val="center"/>
            </w:pPr>
            <w:r w:rsidRPr="00077F9A">
              <w:t>5.12.1</w:t>
            </w:r>
            <w:r w:rsidRPr="00077F9A">
              <w:rPr>
                <w:rStyle w:val="Fotnotsreferens"/>
              </w:rPr>
              <w:footnoteReference w:id="32"/>
            </w:r>
          </w:p>
        </w:tc>
      </w:tr>
      <w:tr w:rsidR="00606FAD" w:rsidRPr="00077F9A" w:rsidTr="00606FAD">
        <w:tc>
          <w:tcPr>
            <w:tcW w:w="3081" w:type="dxa"/>
            <w:gridSpan w:val="2"/>
          </w:tcPr>
          <w:p w:rsidR="00606FAD" w:rsidRPr="00077F9A" w:rsidRDefault="00606FAD" w:rsidP="00606FAD">
            <w:pPr>
              <w:pStyle w:val="LagtextIndrag"/>
            </w:pPr>
            <w:r w:rsidRPr="00077F9A">
              <w:t>Statsutgifterna ska hänföras till fö</w:t>
            </w:r>
            <w:r w:rsidRPr="00077F9A">
              <w:t>l</w:t>
            </w:r>
            <w:r w:rsidRPr="00077F9A">
              <w:t>jande utgiftsområden: 1 Rikets st</w:t>
            </w:r>
            <w:r w:rsidRPr="00077F9A">
              <w:t>y</w:t>
            </w:r>
            <w:r w:rsidRPr="00077F9A">
              <w:t>relse, 2 Samhällsekonomi och finan</w:t>
            </w:r>
            <w:r w:rsidRPr="00077F9A">
              <w:t>s</w:t>
            </w:r>
            <w:r w:rsidRPr="00077F9A">
              <w:t>förvaltning, 3 Skatt, tull och exek</w:t>
            </w:r>
            <w:r w:rsidRPr="00077F9A">
              <w:t>u</w:t>
            </w:r>
            <w:r w:rsidRPr="00077F9A">
              <w:t>tion, 4 Rättsväsendet, 5 Internationell samve</w:t>
            </w:r>
            <w:r w:rsidRPr="00077F9A">
              <w:t>r</w:t>
            </w:r>
            <w:r w:rsidRPr="00077F9A">
              <w:t>kan, 6 Försvar och samhällets krisberedskap, 7 Internationellt b</w:t>
            </w:r>
            <w:r w:rsidRPr="00077F9A">
              <w:t>i</w:t>
            </w:r>
            <w:r w:rsidRPr="00077F9A">
              <w:t>stånd, 8 Migration, 9 Hälsovård, sjukvård och social omsorg, 10 Ek</w:t>
            </w:r>
            <w:r w:rsidRPr="00077F9A">
              <w:t>o</w:t>
            </w:r>
            <w:r w:rsidRPr="00077F9A">
              <w:t>nomisk trygghet vid sjukdom och hand</w:t>
            </w:r>
            <w:r w:rsidRPr="00077F9A">
              <w:t>i</w:t>
            </w:r>
            <w:r w:rsidRPr="00077F9A">
              <w:t>kapp, 11 Ekonomisk trygghet vid ålderdom, 12 Ekonomisk tryg</w:t>
            </w:r>
            <w:r w:rsidRPr="00077F9A">
              <w:t>g</w:t>
            </w:r>
            <w:r w:rsidRPr="00077F9A">
              <w:t>het för familjer och barn, 13 Integr</w:t>
            </w:r>
            <w:r w:rsidRPr="00077F9A">
              <w:t>a</w:t>
            </w:r>
            <w:r w:rsidRPr="00077F9A">
              <w:t>tion och jämställdhet, 14 Arbet</w:t>
            </w:r>
            <w:r w:rsidRPr="00077F9A">
              <w:t>s</w:t>
            </w:r>
            <w:r w:rsidRPr="00077F9A">
              <w:t>marknad och arbetsliv, 15 Studi</w:t>
            </w:r>
            <w:r w:rsidRPr="00077F9A">
              <w:t>e</w:t>
            </w:r>
            <w:r w:rsidRPr="00077F9A">
              <w:t>stöd, 16 Utbildning och universitet</w:t>
            </w:r>
            <w:r w:rsidRPr="00077F9A">
              <w:t>s</w:t>
            </w:r>
            <w:r w:rsidRPr="00077F9A">
              <w:t>forskning, 17 Kultur, medier, tro</w:t>
            </w:r>
            <w:r w:rsidRPr="00077F9A">
              <w:t>s</w:t>
            </w:r>
            <w:r w:rsidRPr="00077F9A">
              <w:t>samfund och fritid, 18 Samhällspl</w:t>
            </w:r>
            <w:r w:rsidRPr="00077F9A">
              <w:t>a</w:t>
            </w:r>
            <w:r w:rsidRPr="00077F9A">
              <w:t>nering, bostadsförsörjning, byggande samt konsumentpolitik, 19 Regi</w:t>
            </w:r>
            <w:r w:rsidRPr="00077F9A">
              <w:t>o</w:t>
            </w:r>
            <w:r w:rsidRPr="00077F9A">
              <w:t>nal tillväxt, 20 Allmän miljö- och natu</w:t>
            </w:r>
            <w:r w:rsidRPr="00077F9A">
              <w:t>r</w:t>
            </w:r>
            <w:r w:rsidRPr="00077F9A">
              <w:t>vård, 21 Energi, 22 Kommunikati</w:t>
            </w:r>
            <w:r w:rsidRPr="00077F9A">
              <w:t>o</w:t>
            </w:r>
            <w:r w:rsidRPr="00077F9A">
              <w:t>ner, 23 Jord- och skogsbruk, fiske med anslutande näringar, 24 Näring</w:t>
            </w:r>
            <w:r w:rsidRPr="00077F9A">
              <w:t>s</w:t>
            </w:r>
            <w:r w:rsidRPr="00077F9A">
              <w:t>liv, 25 Allmänna bidrag till komm</w:t>
            </w:r>
            <w:r w:rsidRPr="00077F9A">
              <w:t>u</w:t>
            </w:r>
            <w:r w:rsidRPr="00077F9A">
              <w:t>ner, 26 Statsskuldsrä</w:t>
            </w:r>
            <w:r w:rsidRPr="00077F9A">
              <w:t>n</w:t>
            </w:r>
            <w:r w:rsidRPr="00077F9A">
              <w:t xml:space="preserve">tor m.m. och 27 Avgiften till Europeiska </w:t>
            </w:r>
            <w:r w:rsidRPr="00077F9A">
              <w:rPr>
                <w:i/>
              </w:rPr>
              <w:t>geme</w:t>
            </w:r>
            <w:r w:rsidRPr="00077F9A">
              <w:rPr>
                <w:i/>
              </w:rPr>
              <w:t>n</w:t>
            </w:r>
            <w:r w:rsidRPr="00077F9A">
              <w:rPr>
                <w:i/>
              </w:rPr>
              <w:t>skapen</w:t>
            </w:r>
            <w:r w:rsidRPr="00077F9A">
              <w:t xml:space="preserve">. </w:t>
            </w:r>
          </w:p>
        </w:tc>
        <w:tc>
          <w:tcPr>
            <w:tcW w:w="3088" w:type="dxa"/>
          </w:tcPr>
          <w:p w:rsidR="00606FAD" w:rsidRPr="00077F9A" w:rsidRDefault="00606FAD" w:rsidP="00606FAD">
            <w:pPr>
              <w:pStyle w:val="LagtextIndrag"/>
            </w:pPr>
            <w:r w:rsidRPr="00077F9A">
              <w:t>Statsutgifterna ska hänföras till fö</w:t>
            </w:r>
            <w:r w:rsidRPr="00077F9A">
              <w:t>l</w:t>
            </w:r>
            <w:r w:rsidRPr="00077F9A">
              <w:t>jande utgiftsområden: 1 Rikets st</w:t>
            </w:r>
            <w:r w:rsidRPr="00077F9A">
              <w:t>y</w:t>
            </w:r>
            <w:r w:rsidRPr="00077F9A">
              <w:t>relse, 2 Samhällsekonomi och finan</w:t>
            </w:r>
            <w:r w:rsidRPr="00077F9A">
              <w:t>s</w:t>
            </w:r>
            <w:r w:rsidRPr="00077F9A">
              <w:t>förvaltning, 3 Skatt, tull och exek</w:t>
            </w:r>
            <w:r w:rsidRPr="00077F9A">
              <w:t>u</w:t>
            </w:r>
            <w:r w:rsidRPr="00077F9A">
              <w:t>tion, 4 Rättsväsendet, 5 Internationell samve</w:t>
            </w:r>
            <w:r w:rsidRPr="00077F9A">
              <w:t>r</w:t>
            </w:r>
            <w:r w:rsidRPr="00077F9A">
              <w:t>kan, 6 Försvar och samhällets krisberedskap, 7 Internationellt b</w:t>
            </w:r>
            <w:r w:rsidRPr="00077F9A">
              <w:t>i</w:t>
            </w:r>
            <w:r w:rsidRPr="00077F9A">
              <w:t>stånd, 8 Migration, 9 Hälsovård, sjukvård och social omsorg, 10 Ek</w:t>
            </w:r>
            <w:r w:rsidRPr="00077F9A">
              <w:t>o</w:t>
            </w:r>
            <w:r w:rsidRPr="00077F9A">
              <w:t>nomisk trygghet vid sjukdom och hand</w:t>
            </w:r>
            <w:r w:rsidRPr="00077F9A">
              <w:t>i</w:t>
            </w:r>
            <w:r w:rsidRPr="00077F9A">
              <w:t>kapp, 11 Ekonomisk trygghet vid ålderdom, 12 Ekonomisk tryg</w:t>
            </w:r>
            <w:r w:rsidRPr="00077F9A">
              <w:t>g</w:t>
            </w:r>
            <w:r w:rsidRPr="00077F9A">
              <w:t>het för familjer och barn, 13 Integr</w:t>
            </w:r>
            <w:r w:rsidRPr="00077F9A">
              <w:t>a</w:t>
            </w:r>
            <w:r w:rsidRPr="00077F9A">
              <w:t>tion och jämställdhet, 14 Arbet</w:t>
            </w:r>
            <w:r w:rsidRPr="00077F9A">
              <w:t>s</w:t>
            </w:r>
            <w:r w:rsidRPr="00077F9A">
              <w:t>marknad och arbet</w:t>
            </w:r>
            <w:r w:rsidRPr="00077F9A">
              <w:t>s</w:t>
            </w:r>
            <w:r w:rsidRPr="00077F9A">
              <w:t>liv, 15 Studiestöd, 16 Utbildning och universitetsfors</w:t>
            </w:r>
            <w:r w:rsidRPr="00077F9A">
              <w:t>k</w:t>
            </w:r>
            <w:r w:rsidRPr="00077F9A">
              <w:t>ning, 17 Kultur, medier, tro</w:t>
            </w:r>
            <w:r w:rsidRPr="00077F9A">
              <w:t>s</w:t>
            </w:r>
            <w:r w:rsidRPr="00077F9A">
              <w:t>samfund och fritid, 18 Samhällspl</w:t>
            </w:r>
            <w:r w:rsidRPr="00077F9A">
              <w:t>a</w:t>
            </w:r>
            <w:r w:rsidRPr="00077F9A">
              <w:t>nering, bostadsförsörjning, byggande samt konsumentpolitik, 19 Regional til</w:t>
            </w:r>
            <w:r w:rsidRPr="00077F9A">
              <w:t>l</w:t>
            </w:r>
            <w:r w:rsidRPr="00077F9A">
              <w:t>växt, 20 Allmän miljö- och natu</w:t>
            </w:r>
            <w:r w:rsidRPr="00077F9A">
              <w:t>r</w:t>
            </w:r>
            <w:r w:rsidRPr="00077F9A">
              <w:t>vård, 21 Energi, 22 Kommunikati</w:t>
            </w:r>
            <w:r w:rsidRPr="00077F9A">
              <w:t>o</w:t>
            </w:r>
            <w:r w:rsidRPr="00077F9A">
              <w:t>ner, 23 Jord- och skogsbruk, fiske med anslutande näringar, 24 Näring</w:t>
            </w:r>
            <w:r w:rsidRPr="00077F9A">
              <w:t>s</w:t>
            </w:r>
            <w:r w:rsidRPr="00077F9A">
              <w:t>liv, 25 Allmänna bidrag till komm</w:t>
            </w:r>
            <w:r w:rsidRPr="00077F9A">
              <w:t>u</w:t>
            </w:r>
            <w:r w:rsidRPr="00077F9A">
              <w:t>ner, 26 Statsskuldsrä</w:t>
            </w:r>
            <w:r w:rsidRPr="00077F9A">
              <w:t>n</w:t>
            </w:r>
            <w:r w:rsidRPr="00077F9A">
              <w:t>tor m.m. och 27 Avgi</w:t>
            </w:r>
            <w:r w:rsidRPr="00077F9A">
              <w:t>f</w:t>
            </w:r>
            <w:r w:rsidRPr="00077F9A">
              <w:t xml:space="preserve">ten till Europeiska </w:t>
            </w:r>
            <w:r w:rsidRPr="00077F9A">
              <w:rPr>
                <w:i/>
              </w:rPr>
              <w:t>unionen</w:t>
            </w:r>
            <w:r w:rsidRPr="00077F9A">
              <w:t>.</w:t>
            </w:r>
          </w:p>
          <w:p w:rsidR="00606FAD" w:rsidRPr="00077F9A" w:rsidRDefault="00606FAD" w:rsidP="00606FAD">
            <w:pPr>
              <w:pStyle w:val="Lagtext"/>
            </w:pPr>
          </w:p>
        </w:tc>
      </w:tr>
      <w:tr w:rsidR="00606FAD" w:rsidRPr="00077F9A" w:rsidTr="00606FAD">
        <w:tc>
          <w:tcPr>
            <w:tcW w:w="6169" w:type="dxa"/>
            <w:gridSpan w:val="3"/>
          </w:tcPr>
          <w:p w:rsidR="00606FAD" w:rsidRPr="00077F9A" w:rsidRDefault="00606FAD" w:rsidP="00606FAD">
            <w:pPr>
              <w:pStyle w:val="Lagtext"/>
              <w:spacing w:before="125"/>
              <w:jc w:val="center"/>
            </w:pPr>
            <w:r w:rsidRPr="00077F9A">
              <w:t>10 kap.</w:t>
            </w:r>
          </w:p>
        </w:tc>
      </w:tr>
      <w:tr w:rsidR="00606FAD" w:rsidRPr="00077F9A" w:rsidTr="00606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06FAD" w:rsidRPr="00077F9A" w:rsidRDefault="00606FAD" w:rsidP="00606FAD">
            <w:pPr>
              <w:spacing w:before="187"/>
              <w:rPr>
                <w:b/>
              </w:rPr>
            </w:pPr>
          </w:p>
        </w:tc>
        <w:tc>
          <w:tcPr>
            <w:tcW w:w="3088" w:type="dxa"/>
            <w:tcBorders>
              <w:top w:val="nil"/>
              <w:left w:val="nil"/>
              <w:bottom w:val="nil"/>
              <w:right w:val="nil"/>
            </w:tcBorders>
          </w:tcPr>
          <w:p w:rsidR="00606FAD" w:rsidRPr="00077F9A" w:rsidRDefault="00606FAD" w:rsidP="00606FAD">
            <w:pPr>
              <w:pStyle w:val="Lagtext"/>
              <w:spacing w:before="125"/>
              <w:rPr>
                <w:b/>
                <w:i/>
              </w:rPr>
            </w:pPr>
            <w:r w:rsidRPr="00077F9A">
              <w:rPr>
                <w:b/>
                <w:i/>
              </w:rPr>
              <w:t>Information från Europeiska uni</w:t>
            </w:r>
            <w:r w:rsidRPr="00077F9A">
              <w:rPr>
                <w:b/>
                <w:i/>
              </w:rPr>
              <w:t>o</w:t>
            </w:r>
            <w:r w:rsidRPr="00077F9A">
              <w:rPr>
                <w:b/>
                <w:i/>
              </w:rPr>
              <w:t>nen</w:t>
            </w:r>
          </w:p>
        </w:tc>
      </w:tr>
      <w:tr w:rsidR="00606FAD" w:rsidRPr="00077F9A" w:rsidTr="00606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06FAD" w:rsidRPr="00077F9A" w:rsidRDefault="00606FAD" w:rsidP="00606FAD">
            <w:pPr>
              <w:rPr>
                <w:b/>
              </w:rPr>
            </w:pPr>
          </w:p>
        </w:tc>
        <w:tc>
          <w:tcPr>
            <w:tcW w:w="3088" w:type="dxa"/>
            <w:tcBorders>
              <w:top w:val="nil"/>
              <w:left w:val="nil"/>
              <w:bottom w:val="nil"/>
              <w:right w:val="nil"/>
            </w:tcBorders>
          </w:tcPr>
          <w:p w:rsidR="00606FAD" w:rsidRPr="00077F9A" w:rsidRDefault="00606FAD" w:rsidP="00606FAD">
            <w:pPr>
              <w:pStyle w:val="Lagtext"/>
              <w:spacing w:before="125"/>
              <w:rPr>
                <w:i/>
              </w:rPr>
            </w:pPr>
            <w:r w:rsidRPr="00077F9A">
              <w:rPr>
                <w:i/>
              </w:rPr>
              <w:t>1 §</w:t>
            </w:r>
          </w:p>
        </w:tc>
      </w:tr>
      <w:tr w:rsidR="00606FAD" w:rsidRPr="00077F9A" w:rsidTr="00606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06FAD" w:rsidRPr="00077F9A" w:rsidRDefault="00606FAD" w:rsidP="00606FAD">
            <w:pPr>
              <w:jc w:val="center"/>
            </w:pPr>
          </w:p>
        </w:tc>
        <w:tc>
          <w:tcPr>
            <w:tcW w:w="3088" w:type="dxa"/>
            <w:tcBorders>
              <w:top w:val="nil"/>
              <w:left w:val="nil"/>
              <w:bottom w:val="nil"/>
              <w:right w:val="nil"/>
            </w:tcBorders>
          </w:tcPr>
          <w:p w:rsidR="00606FAD" w:rsidRPr="00077F9A" w:rsidRDefault="00606FAD" w:rsidP="00606FAD">
            <w:pPr>
              <w:pStyle w:val="LagtextIndrag"/>
              <w:rPr>
                <w:i/>
              </w:rPr>
            </w:pPr>
            <w:r w:rsidRPr="00077F9A">
              <w:rPr>
                <w:i/>
              </w:rPr>
              <w:t>Riksdagen får skriftlig information om arbetet i Europeiska unionen från unionens instit</w:t>
            </w:r>
            <w:r w:rsidRPr="00077F9A">
              <w:rPr>
                <w:i/>
              </w:rPr>
              <w:t>u</w:t>
            </w:r>
            <w:r w:rsidRPr="00077F9A">
              <w:rPr>
                <w:i/>
              </w:rPr>
              <w:t>tioner i enlighet med fördragen och de till fördragen h</w:t>
            </w:r>
            <w:r w:rsidRPr="00077F9A">
              <w:rPr>
                <w:i/>
              </w:rPr>
              <w:t>ö</w:t>
            </w:r>
            <w:r w:rsidRPr="00077F9A">
              <w:rPr>
                <w:i/>
              </w:rPr>
              <w:t>rande prot</w:t>
            </w:r>
            <w:r w:rsidRPr="00077F9A">
              <w:rPr>
                <w:i/>
              </w:rPr>
              <w:t>o</w:t>
            </w:r>
            <w:r w:rsidRPr="00077F9A">
              <w:rPr>
                <w:i/>
              </w:rPr>
              <w:t>kollen.</w:t>
            </w:r>
          </w:p>
        </w:tc>
      </w:tr>
      <w:tr w:rsidR="00606FAD" w:rsidRPr="00077F9A" w:rsidTr="00606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06FAD" w:rsidRPr="00077F9A" w:rsidRDefault="00606FAD" w:rsidP="00606FAD">
            <w:pPr>
              <w:pStyle w:val="Lagtext"/>
            </w:pPr>
          </w:p>
        </w:tc>
        <w:tc>
          <w:tcPr>
            <w:tcW w:w="3088" w:type="dxa"/>
            <w:tcBorders>
              <w:top w:val="nil"/>
              <w:left w:val="nil"/>
              <w:bottom w:val="nil"/>
              <w:right w:val="nil"/>
            </w:tcBorders>
          </w:tcPr>
          <w:p w:rsidR="00606FAD" w:rsidRPr="00077F9A" w:rsidRDefault="00606FAD" w:rsidP="00606FAD">
            <w:pPr>
              <w:pStyle w:val="Lagtext"/>
              <w:rPr>
                <w:i/>
              </w:rPr>
            </w:pPr>
          </w:p>
        </w:tc>
      </w:tr>
      <w:tr w:rsidR="00606FAD" w:rsidRPr="00077F9A" w:rsidTr="00606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06FAD" w:rsidRPr="00077F9A" w:rsidRDefault="00606FAD" w:rsidP="00606FAD">
            <w:pPr>
              <w:pStyle w:val="Lagtext"/>
              <w:rPr>
                <w:b/>
                <w:i/>
              </w:rPr>
            </w:pPr>
            <w:r w:rsidRPr="00077F9A">
              <w:rPr>
                <w:b/>
              </w:rPr>
              <w:t>Regeringens skyldighet att info</w:t>
            </w:r>
            <w:r w:rsidRPr="00077F9A">
              <w:rPr>
                <w:b/>
              </w:rPr>
              <w:t>r</w:t>
            </w:r>
            <w:r w:rsidRPr="00077F9A">
              <w:rPr>
                <w:b/>
              </w:rPr>
              <w:t>mera riksdagen om sin syn</w:t>
            </w:r>
            <w:r w:rsidRPr="00077F9A">
              <w:rPr>
                <w:b/>
                <w:i/>
              </w:rPr>
              <w:t xml:space="preserve"> </w:t>
            </w:r>
            <w:r w:rsidRPr="00077F9A">
              <w:rPr>
                <w:b/>
              </w:rPr>
              <w:t>på</w:t>
            </w:r>
            <w:r w:rsidRPr="00077F9A">
              <w:rPr>
                <w:b/>
                <w:i/>
              </w:rPr>
              <w:t xml:space="preserve"> kommissi</w:t>
            </w:r>
            <w:r w:rsidRPr="00077F9A">
              <w:rPr>
                <w:b/>
                <w:i/>
              </w:rPr>
              <w:t>o</w:t>
            </w:r>
            <w:r w:rsidRPr="00077F9A">
              <w:rPr>
                <w:b/>
                <w:i/>
              </w:rPr>
              <w:t xml:space="preserve">nens förslag </w:t>
            </w:r>
          </w:p>
        </w:tc>
        <w:tc>
          <w:tcPr>
            <w:tcW w:w="3088" w:type="dxa"/>
            <w:tcBorders>
              <w:top w:val="nil"/>
              <w:left w:val="nil"/>
              <w:bottom w:val="nil"/>
              <w:right w:val="nil"/>
            </w:tcBorders>
          </w:tcPr>
          <w:p w:rsidR="00606FAD" w:rsidRPr="00077F9A" w:rsidRDefault="00606FAD" w:rsidP="00606FAD">
            <w:pPr>
              <w:pStyle w:val="Lagtext"/>
              <w:rPr>
                <w:b/>
                <w:i/>
              </w:rPr>
            </w:pPr>
            <w:r w:rsidRPr="00077F9A">
              <w:rPr>
                <w:b/>
              </w:rPr>
              <w:t>Regeringens skyldighet att info</w:t>
            </w:r>
            <w:r w:rsidRPr="00077F9A">
              <w:rPr>
                <w:b/>
              </w:rPr>
              <w:t>r</w:t>
            </w:r>
            <w:r w:rsidRPr="00077F9A">
              <w:rPr>
                <w:b/>
              </w:rPr>
              <w:t>mera riksdagen om sin syn</w:t>
            </w:r>
            <w:r w:rsidRPr="00077F9A">
              <w:rPr>
                <w:b/>
                <w:i/>
              </w:rPr>
              <w:t xml:space="preserve"> </w:t>
            </w:r>
            <w:r w:rsidRPr="00077F9A">
              <w:rPr>
                <w:b/>
              </w:rPr>
              <w:t>på</w:t>
            </w:r>
            <w:r w:rsidRPr="00077F9A">
              <w:rPr>
                <w:b/>
                <w:i/>
              </w:rPr>
              <w:t xml:space="preserve"> dokument från Europeiska uni</w:t>
            </w:r>
            <w:r w:rsidRPr="00077F9A">
              <w:rPr>
                <w:b/>
                <w:i/>
              </w:rPr>
              <w:t>o</w:t>
            </w:r>
            <w:r w:rsidRPr="00077F9A">
              <w:rPr>
                <w:b/>
                <w:i/>
              </w:rPr>
              <w:t>nen</w:t>
            </w:r>
          </w:p>
        </w:tc>
      </w:tr>
      <w:tr w:rsidR="00606FAD" w:rsidRPr="00077F9A" w:rsidTr="00606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06FAD" w:rsidRPr="00077F9A" w:rsidRDefault="00606FAD" w:rsidP="00606FAD">
            <w:pPr>
              <w:pStyle w:val="Lagtext"/>
              <w:spacing w:before="125"/>
              <w:rPr>
                <w:i/>
              </w:rPr>
            </w:pPr>
            <w:r w:rsidRPr="00077F9A">
              <w:rPr>
                <w:i/>
              </w:rPr>
              <w:t xml:space="preserve">2 </w:t>
            </w:r>
            <w:r w:rsidRPr="00077F9A">
              <w:t>§</w:t>
            </w:r>
          </w:p>
        </w:tc>
        <w:tc>
          <w:tcPr>
            <w:tcW w:w="3088" w:type="dxa"/>
            <w:tcBorders>
              <w:top w:val="nil"/>
              <w:left w:val="nil"/>
              <w:bottom w:val="nil"/>
              <w:right w:val="nil"/>
            </w:tcBorders>
          </w:tcPr>
          <w:p w:rsidR="00606FAD" w:rsidRPr="00077F9A" w:rsidRDefault="00606FAD" w:rsidP="00606FAD">
            <w:pPr>
              <w:pStyle w:val="Lagtext"/>
              <w:spacing w:before="125"/>
              <w:rPr>
                <w:i/>
              </w:rPr>
            </w:pPr>
            <w:r w:rsidRPr="00077F9A">
              <w:rPr>
                <w:i/>
              </w:rPr>
              <w:t xml:space="preserve">3 </w:t>
            </w:r>
            <w:r w:rsidRPr="00077F9A">
              <w:t>§</w:t>
            </w:r>
          </w:p>
        </w:tc>
      </w:tr>
      <w:tr w:rsidR="00606FAD" w:rsidRPr="00077F9A" w:rsidTr="00606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06FAD" w:rsidRPr="00077F9A" w:rsidRDefault="00606FAD" w:rsidP="00606FAD">
            <w:pPr>
              <w:pStyle w:val="Lagtext"/>
              <w:ind w:firstLine="190"/>
            </w:pPr>
            <w:r w:rsidRPr="00077F9A">
              <w:rPr>
                <w:spacing w:val="-2"/>
              </w:rPr>
              <w:t xml:space="preserve">Regeringen </w:t>
            </w:r>
            <w:r w:rsidRPr="00077F9A">
              <w:rPr>
                <w:i/>
              </w:rPr>
              <w:t>skall</w:t>
            </w:r>
            <w:r w:rsidRPr="00077F9A">
              <w:t xml:space="preserve"> informera riksd</w:t>
            </w:r>
            <w:r w:rsidRPr="00077F9A">
              <w:t>a</w:t>
            </w:r>
            <w:r w:rsidRPr="00077F9A">
              <w:t xml:space="preserve">gen om sin syn på de </w:t>
            </w:r>
            <w:r w:rsidRPr="00077F9A">
              <w:rPr>
                <w:i/>
              </w:rPr>
              <w:t>förslag från Europeiska gemenskapernas ko</w:t>
            </w:r>
            <w:r w:rsidRPr="00077F9A">
              <w:rPr>
                <w:i/>
              </w:rPr>
              <w:t>m</w:t>
            </w:r>
            <w:r w:rsidRPr="00077F9A">
              <w:rPr>
                <w:i/>
              </w:rPr>
              <w:t xml:space="preserve">mission </w:t>
            </w:r>
            <w:r w:rsidRPr="00077F9A">
              <w:t>som regeringen bedömer som betydelsefu</w:t>
            </w:r>
            <w:r w:rsidRPr="00077F9A">
              <w:t>l</w:t>
            </w:r>
            <w:r w:rsidRPr="00077F9A">
              <w:t xml:space="preserve">la. </w:t>
            </w:r>
          </w:p>
        </w:tc>
        <w:tc>
          <w:tcPr>
            <w:tcW w:w="3088" w:type="dxa"/>
            <w:tcBorders>
              <w:top w:val="nil"/>
              <w:left w:val="nil"/>
              <w:bottom w:val="nil"/>
              <w:right w:val="nil"/>
            </w:tcBorders>
          </w:tcPr>
          <w:p w:rsidR="00606FAD" w:rsidRPr="00077F9A" w:rsidRDefault="00606FAD" w:rsidP="00606FAD">
            <w:pPr>
              <w:pStyle w:val="LagtextIndrag"/>
              <w:rPr>
                <w:i/>
                <w:spacing w:val="-2"/>
              </w:rPr>
            </w:pPr>
            <w:r w:rsidRPr="00077F9A">
              <w:rPr>
                <w:spacing w:val="-2"/>
              </w:rPr>
              <w:t xml:space="preserve">Regeringen </w:t>
            </w:r>
            <w:r w:rsidRPr="00077F9A">
              <w:rPr>
                <w:i/>
                <w:spacing w:val="-2"/>
              </w:rPr>
              <w:t>ska</w:t>
            </w:r>
            <w:r w:rsidRPr="00077F9A">
              <w:rPr>
                <w:spacing w:val="-2"/>
              </w:rPr>
              <w:t xml:space="preserve"> informera riksd</w:t>
            </w:r>
            <w:r w:rsidRPr="00077F9A">
              <w:rPr>
                <w:spacing w:val="-2"/>
              </w:rPr>
              <w:t>a</w:t>
            </w:r>
            <w:r w:rsidRPr="00077F9A">
              <w:rPr>
                <w:spacing w:val="-2"/>
              </w:rPr>
              <w:t xml:space="preserve">gen om sin syn på de </w:t>
            </w:r>
            <w:r w:rsidRPr="00077F9A">
              <w:rPr>
                <w:i/>
                <w:spacing w:val="-2"/>
              </w:rPr>
              <w:t>dokument som Eur</w:t>
            </w:r>
            <w:r w:rsidRPr="00077F9A">
              <w:rPr>
                <w:i/>
                <w:spacing w:val="-2"/>
              </w:rPr>
              <w:t>o</w:t>
            </w:r>
            <w:r w:rsidRPr="00077F9A">
              <w:rPr>
                <w:i/>
                <w:spacing w:val="-2"/>
              </w:rPr>
              <w:t>peiska unionens institutioner öve</w:t>
            </w:r>
            <w:r w:rsidRPr="00077F9A">
              <w:rPr>
                <w:i/>
                <w:spacing w:val="-2"/>
              </w:rPr>
              <w:t>r</w:t>
            </w:r>
            <w:r w:rsidRPr="00077F9A">
              <w:rPr>
                <w:i/>
                <w:spacing w:val="-2"/>
              </w:rPr>
              <w:t xml:space="preserve">lämnat till riksdagen och </w:t>
            </w:r>
            <w:r w:rsidRPr="00077F9A">
              <w:rPr>
                <w:spacing w:val="-2"/>
              </w:rPr>
              <w:t>som rege</w:t>
            </w:r>
            <w:r w:rsidRPr="00077F9A">
              <w:rPr>
                <w:spacing w:val="-2"/>
              </w:rPr>
              <w:t>r</w:t>
            </w:r>
            <w:r w:rsidRPr="00077F9A">
              <w:rPr>
                <w:spacing w:val="-2"/>
              </w:rPr>
              <w:t>ingen bedömer som betydelsefu</w:t>
            </w:r>
            <w:r w:rsidRPr="00077F9A">
              <w:rPr>
                <w:spacing w:val="-2"/>
              </w:rPr>
              <w:t>l</w:t>
            </w:r>
            <w:r w:rsidRPr="00077F9A">
              <w:rPr>
                <w:spacing w:val="-2"/>
              </w:rPr>
              <w:t>la.</w:t>
            </w:r>
          </w:p>
        </w:tc>
      </w:tr>
      <w:tr w:rsidR="00606FAD" w:rsidRPr="00077F9A" w:rsidTr="00606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1" w:type="dxa"/>
            <w:gridSpan w:val="2"/>
            <w:tcBorders>
              <w:top w:val="nil"/>
              <w:left w:val="nil"/>
              <w:bottom w:val="nil"/>
              <w:right w:val="nil"/>
            </w:tcBorders>
          </w:tcPr>
          <w:p w:rsidR="00606FAD" w:rsidRPr="00077F9A" w:rsidRDefault="00606FAD" w:rsidP="00606FAD">
            <w:pPr>
              <w:pStyle w:val="LagtextIndrag"/>
            </w:pPr>
          </w:p>
        </w:tc>
        <w:tc>
          <w:tcPr>
            <w:tcW w:w="3088" w:type="dxa"/>
            <w:tcBorders>
              <w:top w:val="nil"/>
              <w:left w:val="nil"/>
              <w:bottom w:val="nil"/>
              <w:right w:val="nil"/>
            </w:tcBorders>
          </w:tcPr>
          <w:p w:rsidR="00606FAD" w:rsidRPr="00077F9A" w:rsidRDefault="00606FAD" w:rsidP="00606FAD">
            <w:pPr>
              <w:pStyle w:val="LagtextIndrag"/>
              <w:rPr>
                <w:i/>
              </w:rPr>
            </w:pPr>
          </w:p>
        </w:tc>
      </w:tr>
      <w:tr w:rsidR="00606FAD" w:rsidRPr="00077F9A" w:rsidTr="00606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69" w:type="dxa"/>
            <w:gridSpan w:val="3"/>
            <w:tcBorders>
              <w:top w:val="nil"/>
              <w:left w:val="nil"/>
              <w:bottom w:val="nil"/>
              <w:right w:val="nil"/>
            </w:tcBorders>
          </w:tcPr>
          <w:p w:rsidR="00606FAD" w:rsidRPr="00077F9A" w:rsidRDefault="00606FAD" w:rsidP="00606FAD">
            <w:pPr>
              <w:pStyle w:val="LagtextIndrag"/>
              <w:jc w:val="center"/>
            </w:pPr>
            <w:r w:rsidRPr="00077F9A">
              <w:rPr>
                <w:b/>
              </w:rPr>
              <w:t>Behandlingen av EU-dokument</w:t>
            </w:r>
          </w:p>
        </w:tc>
      </w:tr>
      <w:tr w:rsidR="00606FAD" w:rsidRPr="00077F9A" w:rsidTr="00606FAD">
        <w:tc>
          <w:tcPr>
            <w:tcW w:w="3081" w:type="dxa"/>
            <w:gridSpan w:val="2"/>
          </w:tcPr>
          <w:p w:rsidR="00606FAD" w:rsidRPr="00077F9A" w:rsidRDefault="00606FAD" w:rsidP="00606FAD">
            <w:pPr>
              <w:pStyle w:val="Lagtext"/>
              <w:spacing w:before="125"/>
            </w:pPr>
            <w:r w:rsidRPr="00077F9A">
              <w:rPr>
                <w:i/>
              </w:rPr>
              <w:t>4</w:t>
            </w:r>
            <w:r w:rsidRPr="00077F9A">
              <w:t xml:space="preserve"> §</w:t>
            </w:r>
          </w:p>
        </w:tc>
        <w:tc>
          <w:tcPr>
            <w:tcW w:w="3088" w:type="dxa"/>
          </w:tcPr>
          <w:p w:rsidR="00606FAD" w:rsidRPr="00077F9A" w:rsidRDefault="00606FAD" w:rsidP="00606FAD">
            <w:pPr>
              <w:pStyle w:val="Lagtext"/>
              <w:spacing w:before="125"/>
            </w:pPr>
            <w:r w:rsidRPr="00077F9A">
              <w:rPr>
                <w:i/>
              </w:rPr>
              <w:t>5</w:t>
            </w:r>
            <w:r w:rsidRPr="00077F9A">
              <w:t xml:space="preserve"> §</w:t>
            </w:r>
          </w:p>
        </w:tc>
      </w:tr>
      <w:tr w:rsidR="00606FAD" w:rsidRPr="00077F9A" w:rsidTr="00606FAD">
        <w:tc>
          <w:tcPr>
            <w:tcW w:w="3081" w:type="dxa"/>
            <w:gridSpan w:val="2"/>
          </w:tcPr>
          <w:p w:rsidR="00606FAD" w:rsidRPr="00077F9A" w:rsidRDefault="00606FAD" w:rsidP="00606FAD">
            <w:pPr>
              <w:pStyle w:val="LagtextIndrag"/>
            </w:pPr>
            <w:r w:rsidRPr="00077F9A">
              <w:t>På det sätt som anges i denna p</w:t>
            </w:r>
            <w:r w:rsidRPr="00077F9A">
              <w:t>a</w:t>
            </w:r>
            <w:r w:rsidRPr="00077F9A">
              <w:t xml:space="preserve">ragraf </w:t>
            </w:r>
            <w:r w:rsidRPr="00077F9A">
              <w:rPr>
                <w:i/>
              </w:rPr>
              <w:t>skall</w:t>
            </w:r>
            <w:r w:rsidRPr="00077F9A">
              <w:t xml:space="preserve"> riksdagen behandla de grönböcker och vi</w:t>
            </w:r>
            <w:r w:rsidRPr="00077F9A">
              <w:t>t</w:t>
            </w:r>
            <w:r w:rsidRPr="00077F9A">
              <w:t xml:space="preserve">böcker som </w:t>
            </w:r>
            <w:r w:rsidRPr="00077F9A">
              <w:rPr>
                <w:i/>
              </w:rPr>
              <w:t>skall til</w:t>
            </w:r>
            <w:r w:rsidRPr="00077F9A">
              <w:rPr>
                <w:i/>
              </w:rPr>
              <w:t>l</w:t>
            </w:r>
            <w:r w:rsidRPr="00077F9A">
              <w:rPr>
                <w:i/>
              </w:rPr>
              <w:t>ställas</w:t>
            </w:r>
            <w:r w:rsidRPr="00077F9A">
              <w:t xml:space="preserve"> riksdagen </w:t>
            </w:r>
            <w:r w:rsidRPr="00077F9A">
              <w:rPr>
                <w:i/>
              </w:rPr>
              <w:t>enligt protokollet om de n</w:t>
            </w:r>
            <w:r w:rsidRPr="00077F9A">
              <w:rPr>
                <w:i/>
              </w:rPr>
              <w:t>a</w:t>
            </w:r>
            <w:r w:rsidRPr="00077F9A">
              <w:rPr>
                <w:i/>
              </w:rPr>
              <w:t>tionella parlamentens roll i Europeiska uni</w:t>
            </w:r>
            <w:r w:rsidRPr="00077F9A">
              <w:rPr>
                <w:i/>
              </w:rPr>
              <w:t>o</w:t>
            </w:r>
            <w:r w:rsidRPr="00077F9A">
              <w:rPr>
                <w:i/>
              </w:rPr>
              <w:t>nen</w:t>
            </w:r>
            <w:r w:rsidRPr="00077F9A">
              <w:t>. Talmannen får efter samråd med de särskilda för</w:t>
            </w:r>
            <w:r w:rsidRPr="00077F9A">
              <w:t>e</w:t>
            </w:r>
            <w:r w:rsidRPr="00077F9A">
              <w:t>trädarna för partigrupperna bestä</w:t>
            </w:r>
            <w:r w:rsidRPr="00077F9A">
              <w:t>m</w:t>
            </w:r>
            <w:r w:rsidRPr="00077F9A">
              <w:t xml:space="preserve">ma att även andra dokument från Europeiska unionen, med undantag för </w:t>
            </w:r>
            <w:r w:rsidRPr="00077F9A">
              <w:rPr>
                <w:i/>
              </w:rPr>
              <w:t>förslag från Europeiska geme</w:t>
            </w:r>
            <w:r w:rsidRPr="00077F9A">
              <w:rPr>
                <w:i/>
              </w:rPr>
              <w:t>n</w:t>
            </w:r>
            <w:r w:rsidRPr="00077F9A">
              <w:rPr>
                <w:i/>
              </w:rPr>
              <w:t>skapernas kommission, skall</w:t>
            </w:r>
            <w:r w:rsidRPr="00077F9A">
              <w:t xml:space="preserve"> behan</w:t>
            </w:r>
            <w:r w:rsidRPr="00077F9A">
              <w:t>d</w:t>
            </w:r>
            <w:r w:rsidRPr="00077F9A">
              <w:t>las på sa</w:t>
            </w:r>
            <w:r w:rsidRPr="00077F9A">
              <w:t>m</w:t>
            </w:r>
            <w:r w:rsidRPr="00077F9A">
              <w:t>ma sätt.</w:t>
            </w:r>
          </w:p>
          <w:p w:rsidR="00606FAD" w:rsidRPr="00077F9A" w:rsidRDefault="00606FAD" w:rsidP="00606FAD">
            <w:pPr>
              <w:pStyle w:val="LagtextIndrag"/>
            </w:pPr>
            <w:r w:rsidRPr="00077F9A">
              <w:t xml:space="preserve">Kammaren </w:t>
            </w:r>
            <w:r w:rsidRPr="00077F9A">
              <w:rPr>
                <w:i/>
              </w:rPr>
              <w:t>skall</w:t>
            </w:r>
            <w:r w:rsidRPr="00077F9A">
              <w:t xml:space="preserve"> med tillämpning av 4 kap. 1 och 7 §§ för granskning hänvisa ett sådant d</w:t>
            </w:r>
            <w:r w:rsidRPr="00077F9A">
              <w:t>o</w:t>
            </w:r>
            <w:r w:rsidRPr="00077F9A">
              <w:t>kument till berört utskott enligt bestämme</w:t>
            </w:r>
            <w:r w:rsidRPr="00077F9A">
              <w:t>l</w:t>
            </w:r>
            <w:r w:rsidRPr="00077F9A">
              <w:t>serna i 4 kap. 4–6 §§ med tillhörande tillägg</w:t>
            </w:r>
            <w:r w:rsidRPr="00077F9A">
              <w:t>s</w:t>
            </w:r>
            <w:r w:rsidRPr="00077F9A">
              <w:t>bestämmelser.</w:t>
            </w:r>
          </w:p>
          <w:p w:rsidR="00606FAD" w:rsidRPr="00077F9A" w:rsidRDefault="00606FAD" w:rsidP="00606FAD">
            <w:pPr>
              <w:pStyle w:val="LagtextIndrag"/>
            </w:pPr>
            <w:r w:rsidRPr="00077F9A">
              <w:t>Vid utskottets granskning av d</w:t>
            </w:r>
            <w:r w:rsidRPr="00077F9A">
              <w:t>o</w:t>
            </w:r>
            <w:r w:rsidRPr="00077F9A">
              <w:t>kumentet är 4 kap. 8 § tillämplig. U</w:t>
            </w:r>
            <w:r w:rsidRPr="00077F9A">
              <w:t>t</w:t>
            </w:r>
            <w:r w:rsidRPr="00077F9A">
              <w:t xml:space="preserve">skotten </w:t>
            </w:r>
            <w:r w:rsidRPr="00077F9A">
              <w:rPr>
                <w:i/>
              </w:rPr>
              <w:t>skall</w:t>
            </w:r>
            <w:r w:rsidRPr="00077F9A">
              <w:t xml:space="preserve"> inhämta behövliga upplysningar från r</w:t>
            </w:r>
            <w:r w:rsidRPr="00077F9A">
              <w:t>e</w:t>
            </w:r>
            <w:r w:rsidRPr="00077F9A">
              <w:t>geringen.</w:t>
            </w:r>
          </w:p>
          <w:p w:rsidR="00606FAD" w:rsidRPr="00077F9A" w:rsidRDefault="00606FAD" w:rsidP="00606FAD">
            <w:pPr>
              <w:pStyle w:val="LagtextIndrag"/>
            </w:pPr>
            <w:r w:rsidRPr="00077F9A">
              <w:t xml:space="preserve">Utskottet </w:t>
            </w:r>
            <w:r w:rsidRPr="00077F9A">
              <w:rPr>
                <w:i/>
              </w:rPr>
              <w:t>skall</w:t>
            </w:r>
            <w:r w:rsidRPr="00077F9A">
              <w:t xml:space="preserve"> red</w:t>
            </w:r>
            <w:r w:rsidRPr="00077F9A">
              <w:t>o</w:t>
            </w:r>
            <w:r w:rsidRPr="00077F9A">
              <w:t>visa sin granskning i ett utlåtande till kamm</w:t>
            </w:r>
            <w:r w:rsidRPr="00077F9A">
              <w:t>a</w:t>
            </w:r>
            <w:r w:rsidRPr="00077F9A">
              <w:t>ren. Vid beslutet om utlåtandet är 4 kap. 15 och 16 §§ tillämpliga.</w:t>
            </w:r>
          </w:p>
          <w:p w:rsidR="00606FAD" w:rsidRPr="00077F9A" w:rsidRDefault="00606FAD" w:rsidP="00606FAD">
            <w:pPr>
              <w:pStyle w:val="LagtextIndrag"/>
            </w:pPr>
          </w:p>
        </w:tc>
        <w:tc>
          <w:tcPr>
            <w:tcW w:w="3088" w:type="dxa"/>
          </w:tcPr>
          <w:p w:rsidR="00606FAD" w:rsidRPr="00077F9A" w:rsidRDefault="00606FAD" w:rsidP="00606FAD">
            <w:pPr>
              <w:pStyle w:val="LagtextIndrag"/>
            </w:pPr>
            <w:r w:rsidRPr="00077F9A">
              <w:t>På det sätt som anges i denna par</w:t>
            </w:r>
            <w:r w:rsidRPr="00077F9A">
              <w:t>a</w:t>
            </w:r>
            <w:r w:rsidRPr="00077F9A">
              <w:t xml:space="preserve">graf </w:t>
            </w:r>
            <w:r w:rsidRPr="00077F9A">
              <w:rPr>
                <w:i/>
              </w:rPr>
              <w:t>ska</w:t>
            </w:r>
            <w:r w:rsidRPr="00077F9A">
              <w:t xml:space="preserve"> riksdagen behandla de grö</w:t>
            </w:r>
            <w:r w:rsidRPr="00077F9A">
              <w:t>n</w:t>
            </w:r>
            <w:r w:rsidRPr="00077F9A">
              <w:t xml:space="preserve">böcker och vitböcker som </w:t>
            </w:r>
            <w:r w:rsidRPr="00077F9A">
              <w:rPr>
                <w:i/>
              </w:rPr>
              <w:t>överlä</w:t>
            </w:r>
            <w:r w:rsidRPr="00077F9A">
              <w:rPr>
                <w:i/>
              </w:rPr>
              <w:t>m</w:t>
            </w:r>
            <w:r w:rsidRPr="00077F9A">
              <w:rPr>
                <w:i/>
              </w:rPr>
              <w:t>nas till</w:t>
            </w:r>
            <w:r w:rsidRPr="00077F9A">
              <w:t xml:space="preserve"> riksdagen. Talma</w:t>
            </w:r>
            <w:r w:rsidRPr="00077F9A">
              <w:t>n</w:t>
            </w:r>
            <w:r w:rsidRPr="00077F9A">
              <w:t>nen får efter samråd med de särskilda för</w:t>
            </w:r>
            <w:r w:rsidRPr="00077F9A">
              <w:t>e</w:t>
            </w:r>
            <w:r w:rsidRPr="00077F9A">
              <w:t>trädarna för partigrupperna bestä</w:t>
            </w:r>
            <w:r w:rsidRPr="00077F9A">
              <w:t>m</w:t>
            </w:r>
            <w:r w:rsidRPr="00077F9A">
              <w:t>ma att även andra dokument från Europeiska uni</w:t>
            </w:r>
            <w:r w:rsidRPr="00077F9A">
              <w:t>o</w:t>
            </w:r>
            <w:r w:rsidRPr="00077F9A">
              <w:t xml:space="preserve">nen, med undantag för </w:t>
            </w:r>
            <w:r w:rsidRPr="00077F9A">
              <w:rPr>
                <w:i/>
              </w:rPr>
              <w:t>utkast till lagstiftning</w:t>
            </w:r>
            <w:r w:rsidRPr="00077F9A">
              <w:rPr>
                <w:i/>
              </w:rPr>
              <w:t>s</w:t>
            </w:r>
            <w:r w:rsidRPr="00077F9A">
              <w:rPr>
                <w:i/>
              </w:rPr>
              <w:t>akter, ska</w:t>
            </w:r>
            <w:r w:rsidRPr="00077F9A">
              <w:t xml:space="preserve"> behandlas på sa</w:t>
            </w:r>
            <w:r w:rsidRPr="00077F9A">
              <w:t>m</w:t>
            </w:r>
            <w:r w:rsidRPr="00077F9A">
              <w:t>ma sätt.</w:t>
            </w:r>
          </w:p>
          <w:p w:rsidR="00606FAD" w:rsidRPr="00077F9A" w:rsidRDefault="00606FAD" w:rsidP="00606FAD">
            <w:pPr>
              <w:pStyle w:val="LagtextIndrag"/>
            </w:pPr>
          </w:p>
          <w:p w:rsidR="00606FAD" w:rsidRPr="00077F9A" w:rsidRDefault="00606FAD" w:rsidP="00606FAD">
            <w:pPr>
              <w:pStyle w:val="LagtextIndrag"/>
            </w:pPr>
          </w:p>
          <w:p w:rsidR="00606FAD" w:rsidRPr="00077F9A" w:rsidRDefault="00606FAD" w:rsidP="00606FAD">
            <w:pPr>
              <w:pStyle w:val="LagtextIndrag"/>
            </w:pPr>
          </w:p>
          <w:p w:rsidR="00606FAD" w:rsidRPr="00077F9A" w:rsidRDefault="00606FAD" w:rsidP="00606FAD">
            <w:pPr>
              <w:pStyle w:val="LagtextIndrag"/>
            </w:pPr>
            <w:r w:rsidRPr="00077F9A">
              <w:t xml:space="preserve">Kammaren </w:t>
            </w:r>
            <w:r w:rsidRPr="00077F9A">
              <w:rPr>
                <w:i/>
              </w:rPr>
              <w:t>ska</w:t>
            </w:r>
            <w:r w:rsidRPr="00077F9A">
              <w:t xml:space="preserve"> med tillämpning av 4 kap. 1 och 7 §§ för granskning hänvisa ett sådant d</w:t>
            </w:r>
            <w:r w:rsidRPr="00077F9A">
              <w:t>o</w:t>
            </w:r>
            <w:r w:rsidRPr="00077F9A">
              <w:t>kument till berört utskott enligt bestämme</w:t>
            </w:r>
            <w:r w:rsidRPr="00077F9A">
              <w:t>l</w:t>
            </w:r>
            <w:r w:rsidRPr="00077F9A">
              <w:t>serna i 4 kap. 4–6 §§ med tillhörande tillägg</w:t>
            </w:r>
            <w:r w:rsidRPr="00077F9A">
              <w:t>s</w:t>
            </w:r>
            <w:r w:rsidRPr="00077F9A">
              <w:t>bestämmelser.</w:t>
            </w:r>
          </w:p>
          <w:p w:rsidR="00606FAD" w:rsidRPr="00077F9A" w:rsidRDefault="00606FAD" w:rsidP="00606FAD">
            <w:pPr>
              <w:pStyle w:val="LagtextIndrag"/>
            </w:pPr>
            <w:r w:rsidRPr="00077F9A">
              <w:t>Vid utskottets granskning av d</w:t>
            </w:r>
            <w:r w:rsidRPr="00077F9A">
              <w:t>o</w:t>
            </w:r>
            <w:r w:rsidRPr="00077F9A">
              <w:t xml:space="preserve">kumentet är 4 kap. 8 § tillämplig. Utskotten </w:t>
            </w:r>
            <w:r w:rsidRPr="00077F9A">
              <w:rPr>
                <w:i/>
              </w:rPr>
              <w:t>ska</w:t>
            </w:r>
            <w:r w:rsidRPr="00077F9A">
              <w:t xml:space="preserve"> inhämta behövliga upplysningar från rege</w:t>
            </w:r>
            <w:r w:rsidRPr="00077F9A">
              <w:t>r</w:t>
            </w:r>
            <w:r w:rsidRPr="00077F9A">
              <w:t>ingen.</w:t>
            </w:r>
          </w:p>
          <w:p w:rsidR="00606FAD" w:rsidRPr="00077F9A" w:rsidRDefault="00606FAD" w:rsidP="00606FAD">
            <w:pPr>
              <w:pStyle w:val="LagtextIndrag"/>
            </w:pPr>
            <w:r w:rsidRPr="00077F9A">
              <w:t xml:space="preserve">Utskottet </w:t>
            </w:r>
            <w:r w:rsidRPr="00077F9A">
              <w:rPr>
                <w:i/>
              </w:rPr>
              <w:t>ska</w:t>
            </w:r>
            <w:r w:rsidRPr="00077F9A">
              <w:t xml:space="preserve"> redovisa sin grans</w:t>
            </w:r>
            <w:r w:rsidRPr="00077F9A">
              <w:t>k</w:t>
            </w:r>
            <w:r w:rsidRPr="00077F9A">
              <w:t>ning i ett utlåtande till kammaren. Vid beslutet om utl</w:t>
            </w:r>
            <w:r w:rsidRPr="00077F9A">
              <w:t>å</w:t>
            </w:r>
            <w:r w:rsidRPr="00077F9A">
              <w:t>tandet är 4 kap. 15 och 16 §§ tillämpliga.</w:t>
            </w:r>
          </w:p>
          <w:p w:rsidR="00606FAD" w:rsidRPr="00077F9A" w:rsidRDefault="00606FAD" w:rsidP="00606FAD">
            <w:pPr>
              <w:pStyle w:val="LagtextIndrag"/>
            </w:pPr>
          </w:p>
        </w:tc>
      </w:tr>
      <w:tr w:rsidR="00606FAD" w:rsidRPr="00077F9A" w:rsidTr="00606FAD">
        <w:tc>
          <w:tcPr>
            <w:tcW w:w="6169" w:type="dxa"/>
            <w:gridSpan w:val="3"/>
          </w:tcPr>
          <w:p w:rsidR="00606FAD" w:rsidRPr="00077F9A" w:rsidRDefault="00606FAD" w:rsidP="00606FAD">
            <w:pPr>
              <w:pStyle w:val="LagtextIndrag"/>
            </w:pPr>
            <w:r w:rsidRPr="00077F9A">
              <w:t>Kammaren beslutar om utlåtandet med tilläm</w:t>
            </w:r>
            <w:r w:rsidRPr="00077F9A">
              <w:t>p</w:t>
            </w:r>
            <w:r w:rsidRPr="00077F9A">
              <w:t>ning av reglerna i 4 kap. 10 §, 5 kap. 1, 3–7 och 10 §§ med tillhörande tilläggsbestämmelser.</w:t>
            </w:r>
          </w:p>
          <w:p w:rsidR="00606FAD" w:rsidRPr="00077F9A" w:rsidRDefault="00606FAD" w:rsidP="00606FAD">
            <w:pPr>
              <w:pStyle w:val="LagtextIndrag"/>
            </w:pPr>
            <w:r w:rsidRPr="00077F9A">
              <w:t>Beträffande regeringens och andra statliga my</w:t>
            </w:r>
            <w:r w:rsidRPr="00077F9A">
              <w:t>n</w:t>
            </w:r>
            <w:r w:rsidRPr="00077F9A">
              <w:t>digheters skyldighet att lämna upplysninga</w:t>
            </w:r>
            <w:r w:rsidRPr="00077F9A">
              <w:rPr>
                <w:spacing w:val="-2"/>
              </w:rPr>
              <w:t>r i EU-frågor till utskotten finns bestämmelser i 4 kap. 11</w:t>
            </w:r>
            <w:r w:rsidRPr="00077F9A">
              <w:t xml:space="preserve"> §.</w:t>
            </w:r>
          </w:p>
        </w:tc>
      </w:tr>
      <w:tr w:rsidR="00606FAD" w:rsidRPr="00077F9A" w:rsidTr="00606FAD">
        <w:tc>
          <w:tcPr>
            <w:tcW w:w="6169" w:type="dxa"/>
            <w:gridSpan w:val="3"/>
          </w:tcPr>
          <w:p w:rsidR="00606FAD" w:rsidRPr="00077F9A" w:rsidRDefault="00606FAD" w:rsidP="00606FAD">
            <w:pPr>
              <w:pStyle w:val="LagtextIndrag"/>
            </w:pPr>
          </w:p>
        </w:tc>
      </w:tr>
      <w:tr w:rsidR="00606FAD" w:rsidRPr="00077F9A" w:rsidTr="00606FAD">
        <w:tc>
          <w:tcPr>
            <w:tcW w:w="3081" w:type="dxa"/>
            <w:gridSpan w:val="2"/>
          </w:tcPr>
          <w:p w:rsidR="00606FAD" w:rsidRPr="00077F9A" w:rsidRDefault="00606FAD" w:rsidP="00606FAD"/>
        </w:tc>
        <w:tc>
          <w:tcPr>
            <w:tcW w:w="3088" w:type="dxa"/>
          </w:tcPr>
          <w:p w:rsidR="00606FAD" w:rsidRPr="00077F9A" w:rsidRDefault="00606FAD" w:rsidP="00606FAD">
            <w:pPr>
              <w:pStyle w:val="Lagtext"/>
              <w:rPr>
                <w:b/>
                <w:i/>
              </w:rPr>
            </w:pPr>
            <w:r w:rsidRPr="00077F9A">
              <w:rPr>
                <w:b/>
                <w:i/>
              </w:rPr>
              <w:t>Subsidiaritetskontroll</w:t>
            </w:r>
          </w:p>
        </w:tc>
      </w:tr>
      <w:tr w:rsidR="00606FAD" w:rsidRPr="00077F9A" w:rsidTr="00606FAD">
        <w:tc>
          <w:tcPr>
            <w:tcW w:w="3081" w:type="dxa"/>
            <w:gridSpan w:val="2"/>
          </w:tcPr>
          <w:p w:rsidR="00606FAD" w:rsidRPr="00077F9A" w:rsidRDefault="00606FAD" w:rsidP="00606FAD">
            <w:pPr>
              <w:pStyle w:val="Lagtext"/>
            </w:pPr>
          </w:p>
        </w:tc>
        <w:tc>
          <w:tcPr>
            <w:tcW w:w="3088" w:type="dxa"/>
          </w:tcPr>
          <w:p w:rsidR="00606FAD" w:rsidRPr="00077F9A" w:rsidRDefault="00606FAD" w:rsidP="00606FAD">
            <w:pPr>
              <w:pStyle w:val="Lagtext"/>
              <w:rPr>
                <w:i/>
              </w:rPr>
            </w:pPr>
            <w:r w:rsidRPr="00077F9A">
              <w:rPr>
                <w:i/>
              </w:rPr>
              <w:t>6 §</w:t>
            </w:r>
          </w:p>
        </w:tc>
      </w:tr>
      <w:tr w:rsidR="00606FAD" w:rsidRPr="00077F9A" w:rsidTr="00606FAD">
        <w:tc>
          <w:tcPr>
            <w:tcW w:w="3081" w:type="dxa"/>
            <w:gridSpan w:val="2"/>
          </w:tcPr>
          <w:p w:rsidR="00606FAD" w:rsidRPr="00077F9A" w:rsidRDefault="00606FAD" w:rsidP="00606FAD"/>
        </w:tc>
        <w:tc>
          <w:tcPr>
            <w:tcW w:w="3088" w:type="dxa"/>
          </w:tcPr>
          <w:p w:rsidR="00606FAD" w:rsidRPr="00077F9A" w:rsidRDefault="00606FAD" w:rsidP="00606FAD">
            <w:pPr>
              <w:pStyle w:val="LagtextIndrag"/>
              <w:rPr>
                <w:i/>
              </w:rPr>
            </w:pPr>
            <w:r w:rsidRPr="00077F9A">
              <w:rPr>
                <w:i/>
              </w:rPr>
              <w:t>Riksdagen ska pröva om ett utkast till en lagstiftningsakt strider mot subsidiaritetspri</w:t>
            </w:r>
            <w:r w:rsidRPr="00077F9A">
              <w:rPr>
                <w:i/>
              </w:rPr>
              <w:t>n</w:t>
            </w:r>
            <w:r w:rsidRPr="00077F9A">
              <w:rPr>
                <w:i/>
              </w:rPr>
              <w:t xml:space="preserve">cipen. </w:t>
            </w:r>
          </w:p>
          <w:p w:rsidR="00606FAD" w:rsidRPr="00077F9A" w:rsidRDefault="00606FAD" w:rsidP="00606FAD">
            <w:pPr>
              <w:pStyle w:val="LagtextIndrag"/>
              <w:rPr>
                <w:i/>
              </w:rPr>
            </w:pPr>
            <w:r w:rsidRPr="00077F9A">
              <w:rPr>
                <w:i/>
              </w:rPr>
              <w:t>Kammaren ska med tillämpning av 4 kap. 1 och 7 §§ för prövning hänv</w:t>
            </w:r>
            <w:r w:rsidRPr="00077F9A">
              <w:rPr>
                <w:i/>
              </w:rPr>
              <w:t>i</w:t>
            </w:r>
            <w:r w:rsidRPr="00077F9A">
              <w:rPr>
                <w:i/>
              </w:rPr>
              <w:t>sa ett utkast till berört utskott enligt bestämmelserna i 4 kap. 4–6 §§ med tillhörande tilläggsb</w:t>
            </w:r>
            <w:r w:rsidRPr="00077F9A">
              <w:rPr>
                <w:i/>
              </w:rPr>
              <w:t>e</w:t>
            </w:r>
            <w:r w:rsidRPr="00077F9A">
              <w:rPr>
                <w:i/>
              </w:rPr>
              <w:t>stämmelser.</w:t>
            </w:r>
          </w:p>
          <w:p w:rsidR="00606FAD" w:rsidRPr="00077F9A" w:rsidRDefault="00606FAD" w:rsidP="00606FAD">
            <w:pPr>
              <w:pStyle w:val="LagtextIndrag"/>
              <w:rPr>
                <w:i/>
              </w:rPr>
            </w:pPr>
            <w:r w:rsidRPr="00077F9A">
              <w:rPr>
                <w:i/>
              </w:rPr>
              <w:t>Vid utskottets prö</w:t>
            </w:r>
            <w:r w:rsidRPr="00077F9A">
              <w:rPr>
                <w:i/>
              </w:rPr>
              <w:t>v</w:t>
            </w:r>
            <w:r w:rsidRPr="00077F9A">
              <w:rPr>
                <w:i/>
              </w:rPr>
              <w:t>ning är 4 kap. 8 § ti</w:t>
            </w:r>
            <w:r w:rsidRPr="00077F9A">
              <w:rPr>
                <w:i/>
              </w:rPr>
              <w:t>l</w:t>
            </w:r>
            <w:r w:rsidRPr="00077F9A">
              <w:rPr>
                <w:i/>
              </w:rPr>
              <w:t>lämplig. Regeringen ska inom två veckor från den dag då utskottet begär det informera om sin bedö</w:t>
            </w:r>
            <w:r w:rsidRPr="00077F9A">
              <w:rPr>
                <w:i/>
              </w:rPr>
              <w:t>m</w:t>
            </w:r>
            <w:r w:rsidRPr="00077F9A">
              <w:rPr>
                <w:i/>
              </w:rPr>
              <w:t>ning av tillämpningen av subsidiar</w:t>
            </w:r>
            <w:r w:rsidRPr="00077F9A">
              <w:rPr>
                <w:i/>
              </w:rPr>
              <w:t>i</w:t>
            </w:r>
            <w:r w:rsidRPr="00077F9A">
              <w:rPr>
                <w:i/>
              </w:rPr>
              <w:t>tetsprincipen i det aktuella utka</w:t>
            </w:r>
            <w:r w:rsidRPr="00077F9A">
              <w:rPr>
                <w:i/>
              </w:rPr>
              <w:t>s</w:t>
            </w:r>
            <w:r w:rsidRPr="00077F9A">
              <w:rPr>
                <w:i/>
              </w:rPr>
              <w:t>tet.</w:t>
            </w:r>
          </w:p>
          <w:p w:rsidR="00606FAD" w:rsidRPr="00077F9A" w:rsidRDefault="00606FAD" w:rsidP="00606FAD">
            <w:pPr>
              <w:pStyle w:val="LagtextIndrag"/>
              <w:rPr>
                <w:i/>
              </w:rPr>
            </w:pPr>
            <w:r w:rsidRPr="00077F9A">
              <w:rPr>
                <w:i/>
              </w:rPr>
              <w:t>Om minst fem ledamöter av utsko</w:t>
            </w:r>
            <w:r w:rsidRPr="00077F9A">
              <w:rPr>
                <w:i/>
              </w:rPr>
              <w:t>t</w:t>
            </w:r>
            <w:r w:rsidRPr="00077F9A">
              <w:rPr>
                <w:i/>
              </w:rPr>
              <w:t>tet a</w:t>
            </w:r>
            <w:r w:rsidRPr="00077F9A">
              <w:rPr>
                <w:i/>
              </w:rPr>
              <w:t>n</w:t>
            </w:r>
            <w:r w:rsidRPr="00077F9A">
              <w:rPr>
                <w:i/>
              </w:rPr>
              <w:t>ser att utkastet strider mot subsidiaritetsprinc</w:t>
            </w:r>
            <w:r w:rsidRPr="00077F9A">
              <w:rPr>
                <w:i/>
              </w:rPr>
              <w:t>i</w:t>
            </w:r>
            <w:r w:rsidRPr="00077F9A">
              <w:rPr>
                <w:i/>
              </w:rPr>
              <w:t>pen ska utskottet avge ett utlåtande till kammaren med förslag om att riksdagen ska avge ett motiverat yttrande till Europaparl</w:t>
            </w:r>
            <w:r w:rsidRPr="00077F9A">
              <w:rPr>
                <w:i/>
              </w:rPr>
              <w:t>a</w:t>
            </w:r>
            <w:r w:rsidRPr="00077F9A">
              <w:rPr>
                <w:i/>
              </w:rPr>
              <w:t>mentets, rådets och kommissi</w:t>
            </w:r>
            <w:r w:rsidRPr="00077F9A">
              <w:rPr>
                <w:i/>
              </w:rPr>
              <w:t>o</w:t>
            </w:r>
            <w:r w:rsidRPr="00077F9A">
              <w:rPr>
                <w:i/>
              </w:rPr>
              <w:t>nens ordförande. I annat fall ska utskottet anmäla genom prot</w:t>
            </w:r>
            <w:r w:rsidRPr="00077F9A">
              <w:rPr>
                <w:i/>
              </w:rPr>
              <w:t>o</w:t>
            </w:r>
            <w:r w:rsidRPr="00077F9A">
              <w:rPr>
                <w:i/>
              </w:rPr>
              <w:t>kollsutdrag till kamm</w:t>
            </w:r>
            <w:r w:rsidRPr="00077F9A">
              <w:rPr>
                <w:i/>
              </w:rPr>
              <w:t>a</w:t>
            </w:r>
            <w:r w:rsidRPr="00077F9A">
              <w:rPr>
                <w:i/>
              </w:rPr>
              <w:t>ren att utkastet inte strider mot subsidiar</w:t>
            </w:r>
            <w:r w:rsidRPr="00077F9A">
              <w:rPr>
                <w:i/>
              </w:rPr>
              <w:t>i</w:t>
            </w:r>
            <w:r w:rsidRPr="00077F9A">
              <w:rPr>
                <w:i/>
              </w:rPr>
              <w:t>tetsprincipen.</w:t>
            </w:r>
          </w:p>
          <w:p w:rsidR="00606FAD" w:rsidRPr="00077F9A" w:rsidRDefault="00606FAD" w:rsidP="00606FAD">
            <w:pPr>
              <w:pStyle w:val="LagtextIndrag"/>
              <w:rPr>
                <w:i/>
              </w:rPr>
            </w:pPr>
            <w:r w:rsidRPr="00077F9A">
              <w:rPr>
                <w:i/>
              </w:rPr>
              <w:t>Vid utskottets beslut om utlåtande är 4 kap. 15 och 16 §§ tillämpl</w:t>
            </w:r>
            <w:r w:rsidRPr="00077F9A">
              <w:rPr>
                <w:i/>
              </w:rPr>
              <w:t>i</w:t>
            </w:r>
            <w:r w:rsidRPr="00077F9A">
              <w:rPr>
                <w:i/>
              </w:rPr>
              <w:t>ga.</w:t>
            </w:r>
          </w:p>
          <w:p w:rsidR="00606FAD" w:rsidRPr="00077F9A" w:rsidRDefault="00606FAD" w:rsidP="00606FAD">
            <w:pPr>
              <w:pStyle w:val="LagtextIndrag"/>
              <w:rPr>
                <w:i/>
              </w:rPr>
            </w:pPr>
            <w:r w:rsidRPr="00077F9A">
              <w:rPr>
                <w:i/>
              </w:rPr>
              <w:t>Kammaren beslutar om utlåtandet med tillämpning av reglerna i 4 kap. 10 §, 5 kap. 1, 3–7 och 10 §§ med tillhörande tilläggsb</w:t>
            </w:r>
            <w:r w:rsidRPr="00077F9A">
              <w:rPr>
                <w:i/>
              </w:rPr>
              <w:t>e</w:t>
            </w:r>
            <w:r w:rsidRPr="00077F9A">
              <w:rPr>
                <w:i/>
              </w:rPr>
              <w:t>stämmelser.</w:t>
            </w:r>
          </w:p>
          <w:p w:rsidR="00606FAD" w:rsidRPr="00077F9A" w:rsidRDefault="00606FAD" w:rsidP="00606FAD">
            <w:pPr>
              <w:pStyle w:val="LagtextIndrag"/>
              <w:rPr>
                <w:i/>
              </w:rPr>
            </w:pPr>
            <w:r w:rsidRPr="00077F9A">
              <w:rPr>
                <w:i/>
              </w:rPr>
              <w:t>Konstitutionsutskottet ska följa ti</w:t>
            </w:r>
            <w:r w:rsidRPr="00077F9A">
              <w:rPr>
                <w:i/>
              </w:rPr>
              <w:t>l</w:t>
            </w:r>
            <w:r w:rsidRPr="00077F9A">
              <w:rPr>
                <w:i/>
              </w:rPr>
              <w:t>lämpningen av subsidiaritetsprinc</w:t>
            </w:r>
            <w:r w:rsidRPr="00077F9A">
              <w:rPr>
                <w:i/>
              </w:rPr>
              <w:t>i</w:t>
            </w:r>
            <w:r w:rsidRPr="00077F9A">
              <w:rPr>
                <w:i/>
              </w:rPr>
              <w:t>pen och en gång om året meddela kammaren sina iakttage</w:t>
            </w:r>
            <w:r w:rsidRPr="00077F9A">
              <w:rPr>
                <w:i/>
              </w:rPr>
              <w:t>l</w:t>
            </w:r>
            <w:r w:rsidRPr="00077F9A">
              <w:rPr>
                <w:i/>
              </w:rPr>
              <w:t>ser.</w:t>
            </w:r>
          </w:p>
        </w:tc>
      </w:tr>
      <w:tr w:rsidR="00606FAD" w:rsidRPr="00077F9A" w:rsidTr="00606FAD">
        <w:tc>
          <w:tcPr>
            <w:tcW w:w="3081" w:type="dxa"/>
            <w:gridSpan w:val="2"/>
          </w:tcPr>
          <w:p w:rsidR="00606FAD" w:rsidRPr="00077F9A" w:rsidRDefault="00606FAD" w:rsidP="00606FAD">
            <w:pPr>
              <w:pStyle w:val="Lagtext"/>
            </w:pPr>
          </w:p>
        </w:tc>
        <w:tc>
          <w:tcPr>
            <w:tcW w:w="3088" w:type="dxa"/>
          </w:tcPr>
          <w:p w:rsidR="00606FAD" w:rsidRPr="00077F9A" w:rsidRDefault="00606FAD" w:rsidP="00606FAD">
            <w:pPr>
              <w:pStyle w:val="Lagtext"/>
              <w:rPr>
                <w:i/>
                <w:iCs/>
              </w:rPr>
            </w:pPr>
          </w:p>
        </w:tc>
      </w:tr>
      <w:tr w:rsidR="00606FAD" w:rsidRPr="00077F9A" w:rsidTr="00606FAD">
        <w:tc>
          <w:tcPr>
            <w:tcW w:w="3081" w:type="dxa"/>
            <w:gridSpan w:val="2"/>
          </w:tcPr>
          <w:p w:rsidR="00606FAD" w:rsidRPr="00077F9A" w:rsidRDefault="00606FAD" w:rsidP="00606FAD"/>
        </w:tc>
        <w:tc>
          <w:tcPr>
            <w:tcW w:w="3088" w:type="dxa"/>
          </w:tcPr>
          <w:p w:rsidR="00606FAD" w:rsidRPr="00077F9A" w:rsidRDefault="00606FAD" w:rsidP="00606FAD">
            <w:pPr>
              <w:pStyle w:val="Lagtext"/>
              <w:rPr>
                <w:b/>
                <w:bCs/>
                <w:i/>
                <w:iCs/>
              </w:rPr>
            </w:pPr>
            <w:r w:rsidRPr="00077F9A">
              <w:rPr>
                <w:b/>
                <w:bCs/>
                <w:i/>
                <w:iCs/>
              </w:rPr>
              <w:t>Ledamöter i konvent för fördrag</w:t>
            </w:r>
            <w:r w:rsidRPr="00077F9A">
              <w:rPr>
                <w:b/>
                <w:bCs/>
                <w:i/>
                <w:iCs/>
              </w:rPr>
              <w:t>s</w:t>
            </w:r>
            <w:r w:rsidRPr="00077F9A">
              <w:rPr>
                <w:b/>
                <w:bCs/>
                <w:i/>
                <w:iCs/>
              </w:rPr>
              <w:t>ändringar inom Europeiska uni</w:t>
            </w:r>
            <w:r w:rsidRPr="00077F9A">
              <w:rPr>
                <w:b/>
                <w:bCs/>
                <w:i/>
                <w:iCs/>
              </w:rPr>
              <w:t>o</w:t>
            </w:r>
            <w:r w:rsidRPr="00077F9A">
              <w:rPr>
                <w:b/>
                <w:bCs/>
                <w:i/>
                <w:iCs/>
              </w:rPr>
              <w:t>nen</w:t>
            </w:r>
          </w:p>
        </w:tc>
      </w:tr>
      <w:tr w:rsidR="00606FAD" w:rsidRPr="00077F9A" w:rsidTr="00606FAD">
        <w:tc>
          <w:tcPr>
            <w:tcW w:w="3081" w:type="dxa"/>
            <w:gridSpan w:val="2"/>
          </w:tcPr>
          <w:p w:rsidR="00606FAD" w:rsidRPr="00077F9A" w:rsidRDefault="00606FAD" w:rsidP="00606FAD">
            <w:pPr>
              <w:pStyle w:val="Lagtext"/>
            </w:pPr>
          </w:p>
        </w:tc>
        <w:tc>
          <w:tcPr>
            <w:tcW w:w="3088" w:type="dxa"/>
          </w:tcPr>
          <w:p w:rsidR="00606FAD" w:rsidRPr="00077F9A" w:rsidRDefault="00606FAD" w:rsidP="00606FAD">
            <w:pPr>
              <w:pStyle w:val="Lagtext"/>
              <w:spacing w:before="125"/>
              <w:rPr>
                <w:i/>
                <w:iCs/>
              </w:rPr>
            </w:pPr>
            <w:r w:rsidRPr="00077F9A">
              <w:rPr>
                <w:i/>
              </w:rPr>
              <w:t>7 §</w:t>
            </w:r>
          </w:p>
        </w:tc>
      </w:tr>
      <w:tr w:rsidR="00606FAD" w:rsidRPr="00077F9A" w:rsidTr="00606FAD">
        <w:tc>
          <w:tcPr>
            <w:tcW w:w="3081" w:type="dxa"/>
            <w:gridSpan w:val="2"/>
          </w:tcPr>
          <w:p w:rsidR="00606FAD" w:rsidRPr="00077F9A" w:rsidRDefault="00606FAD" w:rsidP="00606FAD"/>
        </w:tc>
        <w:tc>
          <w:tcPr>
            <w:tcW w:w="3088" w:type="dxa"/>
          </w:tcPr>
          <w:p w:rsidR="00606FAD" w:rsidRPr="00077F9A" w:rsidRDefault="00606FAD" w:rsidP="00606FAD">
            <w:pPr>
              <w:pStyle w:val="LagtextIndrag"/>
              <w:rPr>
                <w:i/>
              </w:rPr>
            </w:pPr>
            <w:r w:rsidRPr="00077F9A">
              <w:rPr>
                <w:i/>
              </w:rPr>
              <w:t>Kammaren ska inom sig välja l</w:t>
            </w:r>
            <w:r w:rsidRPr="00077F9A">
              <w:rPr>
                <w:i/>
              </w:rPr>
              <w:t>e</w:t>
            </w:r>
            <w:r w:rsidRPr="00077F9A">
              <w:rPr>
                <w:i/>
              </w:rPr>
              <w:t>damöter och suppleanter för dessa led</w:t>
            </w:r>
            <w:r w:rsidRPr="00077F9A">
              <w:rPr>
                <w:i/>
              </w:rPr>
              <w:t>a</w:t>
            </w:r>
            <w:r w:rsidRPr="00077F9A">
              <w:rPr>
                <w:i/>
              </w:rPr>
              <w:t>möter i konvent som inrättas för att förbereda fördragsän</w:t>
            </w:r>
            <w:r w:rsidRPr="00077F9A">
              <w:rPr>
                <w:i/>
              </w:rPr>
              <w:t>d</w:t>
            </w:r>
            <w:r w:rsidRPr="00077F9A">
              <w:rPr>
                <w:i/>
              </w:rPr>
              <w:t>ringar inom Europeiska unionen. Om ett rik</w:t>
            </w:r>
            <w:r w:rsidRPr="00077F9A">
              <w:rPr>
                <w:i/>
              </w:rPr>
              <w:t>s</w:t>
            </w:r>
            <w:r w:rsidRPr="00077F9A">
              <w:rPr>
                <w:i/>
              </w:rPr>
              <w:t>dagsval äger rum under tiden som ett konvent arbetar ska riksd</w:t>
            </w:r>
            <w:r w:rsidRPr="00077F9A">
              <w:rPr>
                <w:i/>
              </w:rPr>
              <w:t>a</w:t>
            </w:r>
            <w:r w:rsidRPr="00077F9A">
              <w:rPr>
                <w:i/>
              </w:rPr>
              <w:t>gen efter riksdag</w:t>
            </w:r>
            <w:r w:rsidRPr="00077F9A">
              <w:rPr>
                <w:i/>
              </w:rPr>
              <w:t>s</w:t>
            </w:r>
            <w:r w:rsidRPr="00077F9A">
              <w:rPr>
                <w:i/>
              </w:rPr>
              <w:t>valet förrätta ett nytt val av ledamöter och supplea</w:t>
            </w:r>
            <w:r w:rsidRPr="00077F9A">
              <w:rPr>
                <w:i/>
              </w:rPr>
              <w:t>n</w:t>
            </w:r>
            <w:r w:rsidRPr="00077F9A">
              <w:rPr>
                <w:i/>
              </w:rPr>
              <w:t>ter i konve</w:t>
            </w:r>
            <w:r w:rsidRPr="00077F9A">
              <w:rPr>
                <w:i/>
              </w:rPr>
              <w:t>n</w:t>
            </w:r>
            <w:r w:rsidRPr="00077F9A">
              <w:rPr>
                <w:i/>
              </w:rPr>
              <w:t>tet. Vid valet tillämpas i övrigt bestämme</w:t>
            </w:r>
            <w:r w:rsidRPr="00077F9A">
              <w:rPr>
                <w:i/>
              </w:rPr>
              <w:t>l</w:t>
            </w:r>
            <w:r w:rsidRPr="00077F9A">
              <w:rPr>
                <w:i/>
              </w:rPr>
              <w:t>serna i 7 kap. 2–5 och 7 §§ samt för suppleanternas tjäns</w:t>
            </w:r>
            <w:r w:rsidRPr="00077F9A">
              <w:rPr>
                <w:i/>
              </w:rPr>
              <w:t>t</w:t>
            </w:r>
            <w:r w:rsidRPr="00077F9A">
              <w:rPr>
                <w:i/>
              </w:rPr>
              <w:t>göring 7 kap. 9 §.</w:t>
            </w:r>
          </w:p>
          <w:p w:rsidR="00606FAD" w:rsidRPr="00077F9A" w:rsidRDefault="00606FAD" w:rsidP="00606FAD">
            <w:pPr>
              <w:pStyle w:val="LagtextIndrag"/>
              <w:rPr>
                <w:i/>
              </w:rPr>
            </w:pPr>
            <w:r w:rsidRPr="00077F9A">
              <w:rPr>
                <w:i/>
              </w:rPr>
              <w:t>Konventsledamöter kan lämna i</w:t>
            </w:r>
            <w:r w:rsidRPr="00077F9A">
              <w:rPr>
                <w:i/>
              </w:rPr>
              <w:t>n</w:t>
            </w:r>
            <w:r w:rsidRPr="00077F9A">
              <w:rPr>
                <w:i/>
              </w:rPr>
              <w:t>form</w:t>
            </w:r>
            <w:r w:rsidRPr="00077F9A">
              <w:rPr>
                <w:i/>
              </w:rPr>
              <w:t>a</w:t>
            </w:r>
            <w:r w:rsidRPr="00077F9A">
              <w:rPr>
                <w:i/>
              </w:rPr>
              <w:t>tion om konventets arbete vid sammantr</w:t>
            </w:r>
            <w:r w:rsidRPr="00077F9A">
              <w:rPr>
                <w:i/>
              </w:rPr>
              <w:t>ä</w:t>
            </w:r>
            <w:r w:rsidRPr="00077F9A">
              <w:rPr>
                <w:i/>
              </w:rPr>
              <w:t xml:space="preserve">den med kammaren. </w:t>
            </w:r>
          </w:p>
        </w:tc>
      </w:tr>
      <w:tr w:rsidR="00606FAD" w:rsidRPr="00077F9A" w:rsidTr="00606FAD">
        <w:tc>
          <w:tcPr>
            <w:tcW w:w="3081" w:type="dxa"/>
            <w:gridSpan w:val="2"/>
          </w:tcPr>
          <w:p w:rsidR="00606FAD" w:rsidRPr="00077F9A" w:rsidRDefault="00606FAD" w:rsidP="00606FAD">
            <w:pPr>
              <w:pStyle w:val="Lagtext"/>
            </w:pPr>
          </w:p>
        </w:tc>
        <w:tc>
          <w:tcPr>
            <w:tcW w:w="3088" w:type="dxa"/>
          </w:tcPr>
          <w:p w:rsidR="00606FAD" w:rsidRPr="00077F9A" w:rsidRDefault="00606FAD" w:rsidP="00606FAD">
            <w:pPr>
              <w:pStyle w:val="Lagtext"/>
              <w:rPr>
                <w:i/>
                <w:iCs/>
              </w:rPr>
            </w:pPr>
          </w:p>
        </w:tc>
      </w:tr>
      <w:tr w:rsidR="00606FAD" w:rsidRPr="00077F9A" w:rsidTr="00606FAD">
        <w:tc>
          <w:tcPr>
            <w:tcW w:w="3081" w:type="dxa"/>
            <w:gridSpan w:val="2"/>
          </w:tcPr>
          <w:p w:rsidR="00606FAD" w:rsidRPr="00077F9A" w:rsidRDefault="00606FAD" w:rsidP="00606FAD"/>
        </w:tc>
        <w:tc>
          <w:tcPr>
            <w:tcW w:w="3088" w:type="dxa"/>
          </w:tcPr>
          <w:p w:rsidR="00606FAD" w:rsidRPr="00077F9A" w:rsidRDefault="00606FAD" w:rsidP="00606FAD">
            <w:pPr>
              <w:pStyle w:val="Lagtext"/>
              <w:rPr>
                <w:b/>
                <w:bCs/>
                <w:i/>
                <w:iCs/>
              </w:rPr>
            </w:pPr>
            <w:r w:rsidRPr="00077F9A">
              <w:rPr>
                <w:b/>
                <w:bCs/>
                <w:i/>
                <w:iCs/>
              </w:rPr>
              <w:t>Godkännande av vissa initiativ från Europei</w:t>
            </w:r>
            <w:r w:rsidRPr="00077F9A">
              <w:rPr>
                <w:b/>
                <w:bCs/>
                <w:i/>
                <w:iCs/>
              </w:rPr>
              <w:t>s</w:t>
            </w:r>
            <w:r w:rsidRPr="00077F9A">
              <w:rPr>
                <w:b/>
                <w:bCs/>
                <w:i/>
                <w:iCs/>
              </w:rPr>
              <w:t>ka unionen</w:t>
            </w:r>
          </w:p>
        </w:tc>
      </w:tr>
      <w:tr w:rsidR="00606FAD" w:rsidRPr="00077F9A" w:rsidTr="00606FAD">
        <w:tc>
          <w:tcPr>
            <w:tcW w:w="3081" w:type="dxa"/>
            <w:gridSpan w:val="2"/>
          </w:tcPr>
          <w:p w:rsidR="00606FAD" w:rsidRPr="00077F9A" w:rsidRDefault="00606FAD" w:rsidP="00606FAD">
            <w:pPr>
              <w:pStyle w:val="Lagtext"/>
              <w:rPr>
                <w:i/>
                <w:iCs/>
              </w:rPr>
            </w:pPr>
          </w:p>
        </w:tc>
        <w:tc>
          <w:tcPr>
            <w:tcW w:w="3088" w:type="dxa"/>
          </w:tcPr>
          <w:p w:rsidR="00606FAD" w:rsidRPr="00077F9A" w:rsidRDefault="00606FAD" w:rsidP="00606FAD">
            <w:pPr>
              <w:pStyle w:val="Lagtext"/>
              <w:spacing w:before="125"/>
              <w:rPr>
                <w:i/>
                <w:iCs/>
              </w:rPr>
            </w:pPr>
            <w:r w:rsidRPr="00077F9A">
              <w:rPr>
                <w:i/>
              </w:rPr>
              <w:t>8 §</w:t>
            </w:r>
          </w:p>
        </w:tc>
      </w:tr>
      <w:tr w:rsidR="00606FAD" w:rsidRPr="00077F9A" w:rsidTr="00606FAD">
        <w:tc>
          <w:tcPr>
            <w:tcW w:w="3081" w:type="dxa"/>
            <w:gridSpan w:val="2"/>
          </w:tcPr>
          <w:p w:rsidR="00606FAD" w:rsidRPr="00077F9A" w:rsidRDefault="00606FAD" w:rsidP="00606FAD">
            <w:pPr>
              <w:pStyle w:val="Lagtext"/>
              <w:rPr>
                <w:i/>
                <w:iCs/>
              </w:rPr>
            </w:pPr>
          </w:p>
        </w:tc>
        <w:tc>
          <w:tcPr>
            <w:tcW w:w="3088" w:type="dxa"/>
          </w:tcPr>
          <w:p w:rsidR="00606FAD" w:rsidRPr="00077F9A" w:rsidRDefault="00606FAD" w:rsidP="00606FAD">
            <w:pPr>
              <w:pStyle w:val="LagtextIndrag"/>
              <w:rPr>
                <w:i/>
                <w:iCs/>
              </w:rPr>
            </w:pPr>
            <w:r w:rsidRPr="00077F9A">
              <w:rPr>
                <w:i/>
                <w:iCs/>
              </w:rPr>
              <w:t>Riksdagen ska godkänna eller av-slå ett initi</w:t>
            </w:r>
            <w:r w:rsidRPr="00077F9A">
              <w:rPr>
                <w:i/>
                <w:iCs/>
              </w:rPr>
              <w:t>a</w:t>
            </w:r>
            <w:r w:rsidRPr="00077F9A">
              <w:rPr>
                <w:i/>
                <w:iCs/>
              </w:rPr>
              <w:t>tiv från Europeiska rådet att besluta om ett bemyndigande för rådet att ändra beslutsor</w:t>
            </w:r>
            <w:r w:rsidRPr="00077F9A">
              <w:rPr>
                <w:i/>
                <w:iCs/>
              </w:rPr>
              <w:t>d</w:t>
            </w:r>
            <w:r w:rsidRPr="00077F9A">
              <w:rPr>
                <w:i/>
                <w:iCs/>
              </w:rPr>
              <w:t>ningen på ett visst o</w:t>
            </w:r>
            <w:r w:rsidRPr="00077F9A">
              <w:rPr>
                <w:i/>
                <w:iCs/>
              </w:rPr>
              <w:t>m</w:t>
            </w:r>
            <w:r w:rsidRPr="00077F9A">
              <w:rPr>
                <w:i/>
                <w:iCs/>
              </w:rPr>
              <w:t>råde eller i ett visst fall från enhällighet till kvalific</w:t>
            </w:r>
            <w:r w:rsidRPr="00077F9A">
              <w:rPr>
                <w:i/>
                <w:iCs/>
              </w:rPr>
              <w:t>e</w:t>
            </w:r>
            <w:r w:rsidRPr="00077F9A">
              <w:rPr>
                <w:i/>
                <w:iCs/>
              </w:rPr>
              <w:t>rad majoritet eller från ett särskilt la</w:t>
            </w:r>
            <w:r w:rsidRPr="00077F9A">
              <w:rPr>
                <w:i/>
                <w:iCs/>
              </w:rPr>
              <w:t>g</w:t>
            </w:r>
            <w:r w:rsidRPr="00077F9A">
              <w:rPr>
                <w:i/>
                <w:iCs/>
              </w:rPr>
              <w:t>stiftningsförfarande till det ordinarie la</w:t>
            </w:r>
            <w:r w:rsidRPr="00077F9A">
              <w:rPr>
                <w:i/>
                <w:iCs/>
              </w:rPr>
              <w:t>g</w:t>
            </w:r>
            <w:r w:rsidRPr="00077F9A">
              <w:rPr>
                <w:i/>
                <w:iCs/>
              </w:rPr>
              <w:t>stiftningsförfarandet. Riksdagen ska också godkänna eller avslå ett förslag från Europeiska kommissi</w:t>
            </w:r>
            <w:r w:rsidRPr="00077F9A">
              <w:rPr>
                <w:i/>
                <w:iCs/>
              </w:rPr>
              <w:t>o</w:t>
            </w:r>
            <w:r w:rsidRPr="00077F9A">
              <w:rPr>
                <w:i/>
                <w:iCs/>
              </w:rPr>
              <w:t>nen att ange vilka aspekter av fami</w:t>
            </w:r>
            <w:r w:rsidRPr="00077F9A">
              <w:rPr>
                <w:i/>
                <w:iCs/>
              </w:rPr>
              <w:t>l</w:t>
            </w:r>
            <w:r w:rsidRPr="00077F9A">
              <w:rPr>
                <w:i/>
                <w:iCs/>
              </w:rPr>
              <w:t>jerätten som har grän</w:t>
            </w:r>
            <w:r w:rsidRPr="00077F9A">
              <w:rPr>
                <w:i/>
                <w:iCs/>
              </w:rPr>
              <w:t>s</w:t>
            </w:r>
            <w:r w:rsidRPr="00077F9A">
              <w:rPr>
                <w:i/>
                <w:iCs/>
              </w:rPr>
              <w:t>överskridande följder och som kan bli föremål för lagstiftningsakter som antas i enli</w:t>
            </w:r>
            <w:r w:rsidRPr="00077F9A">
              <w:rPr>
                <w:i/>
                <w:iCs/>
              </w:rPr>
              <w:t>g</w:t>
            </w:r>
            <w:r w:rsidRPr="00077F9A">
              <w:rPr>
                <w:i/>
                <w:iCs/>
              </w:rPr>
              <w:t>het med det ordinarie lagstiftning</w:t>
            </w:r>
            <w:r w:rsidRPr="00077F9A">
              <w:rPr>
                <w:i/>
                <w:iCs/>
              </w:rPr>
              <w:t>s</w:t>
            </w:r>
            <w:r w:rsidRPr="00077F9A">
              <w:rPr>
                <w:i/>
                <w:iCs/>
              </w:rPr>
              <w:t xml:space="preserve">förfarandet. </w:t>
            </w:r>
          </w:p>
          <w:p w:rsidR="00606FAD" w:rsidRPr="00077F9A" w:rsidRDefault="00606FAD" w:rsidP="00606FAD">
            <w:pPr>
              <w:pStyle w:val="LagtextIndrag"/>
              <w:rPr>
                <w:i/>
                <w:iCs/>
              </w:rPr>
            </w:pPr>
            <w:r w:rsidRPr="00077F9A">
              <w:rPr>
                <w:i/>
                <w:iCs/>
              </w:rPr>
              <w:t>Kammaren ska med tillämpning av 4 kap. 1 och 7 §§ hänvisa ett initiativ till berört utskott enligt bestämme</w:t>
            </w:r>
            <w:r w:rsidRPr="00077F9A">
              <w:rPr>
                <w:i/>
                <w:iCs/>
              </w:rPr>
              <w:t>l</w:t>
            </w:r>
            <w:r w:rsidRPr="00077F9A">
              <w:rPr>
                <w:i/>
                <w:iCs/>
              </w:rPr>
              <w:t>serna i 4 kap. 4–6 §§ med tillh</w:t>
            </w:r>
            <w:r w:rsidRPr="00077F9A">
              <w:rPr>
                <w:i/>
                <w:iCs/>
              </w:rPr>
              <w:t>ö</w:t>
            </w:r>
            <w:r w:rsidRPr="00077F9A">
              <w:rPr>
                <w:i/>
                <w:iCs/>
              </w:rPr>
              <w:t>rande tilläggsb</w:t>
            </w:r>
            <w:r w:rsidRPr="00077F9A">
              <w:rPr>
                <w:i/>
                <w:iCs/>
              </w:rPr>
              <w:t>e</w:t>
            </w:r>
            <w:r w:rsidRPr="00077F9A">
              <w:rPr>
                <w:i/>
                <w:iCs/>
              </w:rPr>
              <w:t>stämmelser.</w:t>
            </w:r>
          </w:p>
          <w:p w:rsidR="00606FAD" w:rsidRPr="00077F9A" w:rsidRDefault="00606FAD" w:rsidP="00606FAD">
            <w:pPr>
              <w:pStyle w:val="LagtextIndrag"/>
              <w:rPr>
                <w:i/>
                <w:iCs/>
              </w:rPr>
            </w:pPr>
            <w:r w:rsidRPr="00077F9A">
              <w:rPr>
                <w:i/>
                <w:iCs/>
              </w:rPr>
              <w:t>Vid utskottets b</w:t>
            </w:r>
            <w:r w:rsidRPr="00077F9A">
              <w:rPr>
                <w:i/>
                <w:iCs/>
              </w:rPr>
              <w:t>e</w:t>
            </w:r>
            <w:r w:rsidRPr="00077F9A">
              <w:rPr>
                <w:i/>
                <w:iCs/>
              </w:rPr>
              <w:t>handling är 4 kap. 8 § tillämplig. Utskotten ska inhämta behövliga upplysningar från rege</w:t>
            </w:r>
            <w:r w:rsidRPr="00077F9A">
              <w:rPr>
                <w:i/>
                <w:iCs/>
              </w:rPr>
              <w:t>r</w:t>
            </w:r>
            <w:r w:rsidRPr="00077F9A">
              <w:rPr>
                <w:i/>
                <w:iCs/>
              </w:rPr>
              <w:t>ingen.</w:t>
            </w:r>
          </w:p>
          <w:p w:rsidR="00606FAD" w:rsidRPr="00077F9A" w:rsidRDefault="00606FAD" w:rsidP="00606FAD">
            <w:pPr>
              <w:pStyle w:val="LagtextIndrag"/>
              <w:rPr>
                <w:i/>
                <w:iCs/>
              </w:rPr>
            </w:pPr>
            <w:r w:rsidRPr="00077F9A">
              <w:rPr>
                <w:i/>
                <w:iCs/>
              </w:rPr>
              <w:t>Utskottet ska redov</w:t>
            </w:r>
            <w:r w:rsidRPr="00077F9A">
              <w:rPr>
                <w:i/>
                <w:iCs/>
              </w:rPr>
              <w:t>i</w:t>
            </w:r>
            <w:r w:rsidRPr="00077F9A">
              <w:rPr>
                <w:i/>
                <w:iCs/>
              </w:rPr>
              <w:t>sa sitt förslag till beslut i ett utlåtande till kamm</w:t>
            </w:r>
            <w:r w:rsidRPr="00077F9A">
              <w:rPr>
                <w:i/>
                <w:iCs/>
              </w:rPr>
              <w:t>a</w:t>
            </w:r>
            <w:r w:rsidRPr="00077F9A">
              <w:rPr>
                <w:i/>
                <w:iCs/>
              </w:rPr>
              <w:t>ren. Vid beslutet om utlåtandet är 4 kap. 15 och 16 §§ tillämpliga.</w:t>
            </w:r>
          </w:p>
          <w:p w:rsidR="00606FAD" w:rsidRPr="00077F9A" w:rsidRDefault="00606FAD" w:rsidP="00606FAD">
            <w:pPr>
              <w:pStyle w:val="LagtextIndrag"/>
              <w:rPr>
                <w:i/>
                <w:iCs/>
              </w:rPr>
            </w:pPr>
            <w:r w:rsidRPr="00077F9A">
              <w:rPr>
                <w:i/>
                <w:iCs/>
              </w:rPr>
              <w:t>Kammaren beslutar om utlåtandet med tillämpning av reglerna i 4 kap. 10 §, 5 kap. 1, 3–7 och 10 §§ med tillhörande tilläggsb</w:t>
            </w:r>
            <w:r w:rsidRPr="00077F9A">
              <w:rPr>
                <w:i/>
                <w:iCs/>
              </w:rPr>
              <w:t>e</w:t>
            </w:r>
            <w:r w:rsidRPr="00077F9A">
              <w:rPr>
                <w:i/>
                <w:iCs/>
              </w:rPr>
              <w:t>stämmelser.</w:t>
            </w:r>
          </w:p>
          <w:p w:rsidR="00606FAD" w:rsidRPr="00077F9A" w:rsidRDefault="00606FAD" w:rsidP="00606FAD">
            <w:pPr>
              <w:pStyle w:val="Lagtext"/>
              <w:rPr>
                <w:i/>
                <w:iCs/>
              </w:rPr>
            </w:pPr>
          </w:p>
        </w:tc>
      </w:tr>
    </w:tbl>
    <w:p w:rsidR="00606FAD" w:rsidRPr="00077F9A" w:rsidRDefault="00606FAD" w:rsidP="00606FAD">
      <w:r w:rsidRPr="00077F9A">
        <w:t>____________</w:t>
      </w:r>
    </w:p>
    <w:p w:rsidR="00606FAD" w:rsidRPr="00077F9A" w:rsidRDefault="00606FAD" w:rsidP="00606FAD">
      <w:pPr>
        <w:pStyle w:val="Lagtext"/>
      </w:pPr>
      <w:r w:rsidRPr="00077F9A">
        <w:t>Denna lag träder i kraft den dag regeringen bestämmer.</w:t>
      </w:r>
    </w:p>
    <w:p w:rsidR="00606FAD" w:rsidRPr="00077F9A" w:rsidRDefault="00606FAD" w:rsidP="00606FAD">
      <w:bookmarkStart w:id="214" w:name="_Toc223952213"/>
      <w:bookmarkStart w:id="215" w:name="_Toc227660646"/>
      <w:bookmarkStart w:id="216" w:name="_Toc227662111"/>
      <w:bookmarkStart w:id="217" w:name="_Toc227994102"/>
    </w:p>
    <w:p w:rsidR="00606FAD" w:rsidRPr="00077F9A" w:rsidRDefault="00606FAD" w:rsidP="00606FAD"/>
    <w:p w:rsidR="00606FAD" w:rsidRPr="00077F9A" w:rsidRDefault="00606FAD" w:rsidP="00606FAD"/>
    <w:p w:rsidR="00606FAD" w:rsidRPr="00077F9A" w:rsidRDefault="00606FAD" w:rsidP="00606FAD">
      <w:pPr>
        <w:sectPr w:rsidR="00606FAD" w:rsidRPr="00077F9A" w:rsidSect="00606FAD">
          <w:headerReference w:type="even" r:id="rId77"/>
          <w:headerReference w:type="default" r:id="rId78"/>
          <w:footerReference w:type="even" r:id="rId79"/>
          <w:footerReference w:type="default" r:id="rId80"/>
          <w:headerReference w:type="first" r:id="rId81"/>
          <w:footerReference w:type="first" r:id="rId82"/>
          <w:footnotePr>
            <w:numRestart w:val="eachSect"/>
          </w:footnotePr>
          <w:pgSz w:w="11906" w:h="16838" w:code="9"/>
          <w:pgMar w:top="907" w:right="4649" w:bottom="4508" w:left="1304" w:header="340" w:footer="227" w:gutter="0"/>
          <w:cols w:space="720"/>
          <w:titlePg/>
        </w:sectPr>
      </w:pPr>
    </w:p>
    <w:p w:rsidR="00606FAD" w:rsidRPr="00077F9A" w:rsidRDefault="00606FAD" w:rsidP="00606FAD">
      <w:pPr>
        <w:pStyle w:val="Bilaga"/>
      </w:pPr>
      <w:r w:rsidRPr="00077F9A">
        <w:fldChar w:fldCharType="begin" w:fldLock="1"/>
      </w:r>
      <w:r w:rsidRPr="00077F9A">
        <w:instrText xml:space="preserve"> QUOTE "Bilaga 2" \* MERGEFORMAT </w:instrText>
      </w:r>
      <w:r w:rsidRPr="00077F9A">
        <w:fldChar w:fldCharType="separate"/>
      </w:r>
      <w:r w:rsidR="00AF0A69" w:rsidRPr="00077F9A">
        <w:t>Bilaga 2</w:t>
      </w:r>
      <w:r w:rsidRPr="00077F9A">
        <w:fldChar w:fldCharType="end"/>
      </w:r>
    </w:p>
    <w:p w:rsidR="00606FAD" w:rsidRPr="00077F9A" w:rsidRDefault="00606FAD" w:rsidP="00606FAD">
      <w:pPr>
        <w:pStyle w:val="Rubrik1"/>
        <w:rPr>
          <w:noProof w:val="0"/>
        </w:rPr>
      </w:pPr>
      <w:bookmarkStart w:id="218" w:name="_Toc230676888"/>
      <w:bookmarkStart w:id="219" w:name="_Toc230677061"/>
      <w:bookmarkStart w:id="220" w:name="_Toc230708117"/>
      <w:r w:rsidRPr="00077F9A">
        <w:rPr>
          <w:noProof w:val="0"/>
        </w:rPr>
        <w:t>Information från EU:s institutioner m.m. till de nationella parlamenten</w:t>
      </w:r>
      <w:bookmarkEnd w:id="214"/>
      <w:bookmarkEnd w:id="215"/>
      <w:bookmarkEnd w:id="216"/>
      <w:bookmarkEnd w:id="217"/>
      <w:bookmarkEnd w:id="218"/>
      <w:bookmarkEnd w:id="219"/>
      <w:bookmarkEnd w:id="220"/>
    </w:p>
    <w:p w:rsidR="00606FAD" w:rsidRPr="00077F9A" w:rsidRDefault="00606FAD" w:rsidP="00606FAD">
      <w:pPr>
        <w:spacing w:before="0"/>
      </w:pPr>
      <w:r w:rsidRPr="00077F9A">
        <w:rPr>
          <w:spacing w:val="-4"/>
        </w:rPr>
        <w:t>Här följer en sammanställning av den inform</w:t>
      </w:r>
      <w:r w:rsidRPr="00077F9A">
        <w:rPr>
          <w:spacing w:val="-4"/>
        </w:rPr>
        <w:t>a</w:t>
      </w:r>
      <w:r w:rsidRPr="00077F9A">
        <w:rPr>
          <w:spacing w:val="-4"/>
        </w:rPr>
        <w:t>tion som EU:s institutioner och medlemsstaterna är skyldiga att lämna de nationella parlamenten enligt fö</w:t>
      </w:r>
      <w:r w:rsidRPr="00077F9A">
        <w:rPr>
          <w:spacing w:val="-4"/>
        </w:rPr>
        <w:t>r</w:t>
      </w:r>
      <w:r w:rsidRPr="00077F9A">
        <w:rPr>
          <w:spacing w:val="-4"/>
        </w:rPr>
        <w:t>dragen.</w:t>
      </w:r>
      <w:r w:rsidRPr="00077F9A">
        <w:t xml:space="preserve"> Från Europaparlamentet </w:t>
      </w:r>
    </w:p>
    <w:p w:rsidR="00606FAD" w:rsidRPr="00077F9A" w:rsidRDefault="00606FAD" w:rsidP="00606FAD">
      <w:pPr>
        <w:pStyle w:val="PunktlistaStreck"/>
        <w:numPr>
          <w:ilvl w:val="0"/>
          <w:numId w:val="12"/>
        </w:numPr>
        <w:tabs>
          <w:tab w:val="clear" w:pos="227"/>
        </w:tabs>
        <w:spacing w:before="0"/>
      </w:pPr>
      <w:r w:rsidRPr="00077F9A">
        <w:rPr>
          <w:spacing w:val="-2"/>
        </w:rPr>
        <w:t>utk</w:t>
      </w:r>
      <w:r w:rsidRPr="00077F9A">
        <w:t>ast och ändrade utkast till lagstiftningsakter (prot. 1 art. 2, prot. 2 art. 4),</w:t>
      </w:r>
    </w:p>
    <w:p w:rsidR="00606FAD" w:rsidRPr="00077F9A" w:rsidRDefault="00606FAD" w:rsidP="00606FAD">
      <w:pPr>
        <w:pStyle w:val="PunktlistaStreck"/>
        <w:numPr>
          <w:ilvl w:val="0"/>
          <w:numId w:val="12"/>
        </w:numPr>
        <w:tabs>
          <w:tab w:val="clear" w:pos="227"/>
        </w:tabs>
        <w:spacing w:before="0"/>
      </w:pPr>
      <w:r w:rsidRPr="00077F9A">
        <w:t xml:space="preserve">lagstiftningsresolutioner (prot. 2 art. 4). </w:t>
      </w:r>
    </w:p>
    <w:p w:rsidR="00606FAD" w:rsidRPr="00077F9A" w:rsidRDefault="00606FAD" w:rsidP="00606FAD">
      <w:pPr>
        <w:spacing w:before="187"/>
      </w:pPr>
      <w:r w:rsidRPr="00077F9A">
        <w:t>Från Europeiska rådet</w:t>
      </w:r>
    </w:p>
    <w:p w:rsidR="00606FAD" w:rsidRPr="00077F9A" w:rsidRDefault="00606FAD" w:rsidP="00606FAD">
      <w:pPr>
        <w:pStyle w:val="PunktlistaStreck"/>
        <w:numPr>
          <w:ilvl w:val="0"/>
          <w:numId w:val="12"/>
        </w:numPr>
        <w:tabs>
          <w:tab w:val="clear" w:pos="227"/>
        </w:tabs>
        <w:spacing w:before="0"/>
        <w:rPr>
          <w:spacing w:val="-2"/>
        </w:rPr>
      </w:pPr>
      <w:r w:rsidRPr="00077F9A">
        <w:t>initiativ</w:t>
      </w:r>
      <w:r w:rsidRPr="00077F9A">
        <w:rPr>
          <w:spacing w:val="-2"/>
        </w:rPr>
        <w:t xml:space="preserve"> till förenklade förändringsfö</w:t>
      </w:r>
      <w:r w:rsidRPr="00077F9A">
        <w:rPr>
          <w:spacing w:val="-2"/>
        </w:rPr>
        <w:t>r</w:t>
      </w:r>
      <w:r w:rsidRPr="00077F9A">
        <w:rPr>
          <w:spacing w:val="-2"/>
        </w:rPr>
        <w:t>faranden (FEU art. 48.7, prot. 1 art. 6).</w:t>
      </w:r>
    </w:p>
    <w:p w:rsidR="00606FAD" w:rsidRPr="00077F9A" w:rsidRDefault="00606FAD" w:rsidP="00606FAD">
      <w:pPr>
        <w:spacing w:before="187"/>
      </w:pPr>
      <w:r w:rsidRPr="00077F9A">
        <w:t xml:space="preserve">Från rådet </w:t>
      </w:r>
    </w:p>
    <w:p w:rsidR="00606FAD" w:rsidRPr="00077F9A" w:rsidRDefault="00606FAD" w:rsidP="00606FAD">
      <w:pPr>
        <w:pStyle w:val="PunktlistaStreck"/>
        <w:numPr>
          <w:ilvl w:val="0"/>
          <w:numId w:val="12"/>
        </w:numPr>
        <w:tabs>
          <w:tab w:val="clear" w:pos="227"/>
        </w:tabs>
        <w:spacing w:before="60"/>
      </w:pPr>
      <w:r w:rsidRPr="00077F9A">
        <w:t>utkast och ändrade utkast till lagstiftningsakter som kommer från en grupp medlemsstater, domstolen, Europeiska centralbanken eller Europeiska inv</w:t>
      </w:r>
      <w:r w:rsidRPr="00077F9A">
        <w:t>e</w:t>
      </w:r>
      <w:r w:rsidRPr="00077F9A">
        <w:t>steringsbanken (prot. 1 art. 2, prot. 2 art. 4),</w:t>
      </w:r>
    </w:p>
    <w:p w:rsidR="00606FAD" w:rsidRPr="00077F9A" w:rsidRDefault="00606FAD" w:rsidP="00606FAD">
      <w:pPr>
        <w:pStyle w:val="PunktlistaStreck"/>
        <w:numPr>
          <w:ilvl w:val="0"/>
          <w:numId w:val="12"/>
        </w:numPr>
        <w:tabs>
          <w:tab w:val="clear" w:pos="227"/>
        </w:tabs>
        <w:spacing w:before="0"/>
      </w:pPr>
      <w:r w:rsidRPr="00077F9A">
        <w:t>dago</w:t>
      </w:r>
      <w:r w:rsidRPr="00077F9A">
        <w:rPr>
          <w:spacing w:val="-4"/>
        </w:rPr>
        <w:t>rdn</w:t>
      </w:r>
      <w:r w:rsidRPr="00077F9A">
        <w:t>ingarna för och resultaten av rådets möten, inklusive protoko</w:t>
      </w:r>
      <w:r w:rsidRPr="00077F9A">
        <w:t>l</w:t>
      </w:r>
      <w:r w:rsidRPr="00077F9A">
        <w:t>len f</w:t>
      </w:r>
      <w:r w:rsidRPr="00077F9A">
        <w:rPr>
          <w:spacing w:val="-2"/>
        </w:rPr>
        <w:t>rån de möten då rådet diskuterar utkast till lagstiftningsakter (prot. 1 art. 5),</w:t>
      </w:r>
    </w:p>
    <w:p w:rsidR="00606FAD" w:rsidRPr="00077F9A" w:rsidRDefault="00606FAD" w:rsidP="00606FAD">
      <w:pPr>
        <w:pStyle w:val="PunktlistaStreck"/>
        <w:numPr>
          <w:ilvl w:val="0"/>
          <w:numId w:val="12"/>
        </w:numPr>
        <w:tabs>
          <w:tab w:val="clear" w:pos="227"/>
        </w:tabs>
        <w:spacing w:before="0"/>
      </w:pPr>
      <w:r w:rsidRPr="00077F9A">
        <w:t>ståndpunkter i lagstiftningsförfarandet (prot. 2 art. 4),</w:t>
      </w:r>
    </w:p>
    <w:p w:rsidR="00606FAD" w:rsidRPr="00077F9A" w:rsidRDefault="00606FAD" w:rsidP="00606FAD">
      <w:pPr>
        <w:pStyle w:val="PunktlistaStreck"/>
        <w:numPr>
          <w:ilvl w:val="0"/>
          <w:numId w:val="12"/>
        </w:numPr>
        <w:tabs>
          <w:tab w:val="clear" w:pos="227"/>
        </w:tabs>
        <w:spacing w:before="0"/>
      </w:pPr>
      <w:r w:rsidRPr="00077F9A">
        <w:t>information om det operativa samarbetet i frågor som rör den inre säkerh</w:t>
      </w:r>
      <w:r w:rsidRPr="00077F9A">
        <w:t>e</w:t>
      </w:r>
      <w:r w:rsidRPr="00077F9A">
        <w:t>ten (FEUF art. 71),</w:t>
      </w:r>
    </w:p>
    <w:p w:rsidR="00606FAD" w:rsidRPr="00077F9A" w:rsidRDefault="00606FAD" w:rsidP="00606FAD">
      <w:pPr>
        <w:pStyle w:val="PunktlistaStreck"/>
        <w:numPr>
          <w:ilvl w:val="0"/>
          <w:numId w:val="12"/>
        </w:numPr>
        <w:tabs>
          <w:tab w:val="clear" w:pos="227"/>
        </w:tabs>
        <w:spacing w:before="0"/>
      </w:pPr>
      <w:r w:rsidRPr="00077F9A">
        <w:t>utkast till fördragsändringar (FEU art. 48.2),</w:t>
      </w:r>
    </w:p>
    <w:p w:rsidR="00606FAD" w:rsidRPr="00077F9A" w:rsidRDefault="00606FAD" w:rsidP="00606FAD">
      <w:pPr>
        <w:pStyle w:val="PunktlistaStreck"/>
        <w:numPr>
          <w:ilvl w:val="0"/>
          <w:numId w:val="12"/>
        </w:numPr>
        <w:tabs>
          <w:tab w:val="clear" w:pos="227"/>
        </w:tabs>
        <w:spacing w:before="0"/>
      </w:pPr>
      <w:r w:rsidRPr="00077F9A">
        <w:t>ansökningar om anslutning till unionen (FEU art. 49).</w:t>
      </w:r>
    </w:p>
    <w:p w:rsidR="00606FAD" w:rsidRPr="00077F9A" w:rsidRDefault="00606FAD" w:rsidP="00606FAD">
      <w:pPr>
        <w:spacing w:before="187"/>
      </w:pPr>
      <w:r w:rsidRPr="00077F9A">
        <w:t xml:space="preserve">Från kommissionen </w:t>
      </w:r>
    </w:p>
    <w:p w:rsidR="00606FAD" w:rsidRPr="00077F9A" w:rsidRDefault="00606FAD" w:rsidP="00606FAD">
      <w:pPr>
        <w:pStyle w:val="PunktlistaStreck"/>
        <w:numPr>
          <w:ilvl w:val="0"/>
          <w:numId w:val="12"/>
        </w:numPr>
        <w:tabs>
          <w:tab w:val="clear" w:pos="227"/>
        </w:tabs>
        <w:spacing w:before="60"/>
        <w:rPr>
          <w:spacing w:val="-2"/>
        </w:rPr>
      </w:pPr>
      <w:r w:rsidRPr="00077F9A">
        <w:rPr>
          <w:spacing w:val="-2"/>
        </w:rPr>
        <w:t>samrådsdokument (grönböcker, vitböcker och meddela</w:t>
      </w:r>
      <w:r w:rsidRPr="00077F9A">
        <w:rPr>
          <w:spacing w:val="-2"/>
        </w:rPr>
        <w:t>n</w:t>
      </w:r>
      <w:r w:rsidRPr="00077F9A">
        <w:rPr>
          <w:spacing w:val="-2"/>
        </w:rPr>
        <w:t>den; prot. 1 art. 1),</w:t>
      </w:r>
    </w:p>
    <w:p w:rsidR="00606FAD" w:rsidRPr="00077F9A" w:rsidRDefault="00606FAD" w:rsidP="00606FAD">
      <w:pPr>
        <w:pStyle w:val="PunktlistaStreck"/>
        <w:numPr>
          <w:ilvl w:val="0"/>
          <w:numId w:val="12"/>
        </w:numPr>
        <w:tabs>
          <w:tab w:val="clear" w:pos="227"/>
        </w:tabs>
        <w:spacing w:before="0"/>
      </w:pPr>
      <w:r w:rsidRPr="00077F9A">
        <w:t>det årliga lagstiftningsprogrammet (prot. 1 art. 1),</w:t>
      </w:r>
    </w:p>
    <w:p w:rsidR="00606FAD" w:rsidRPr="00077F9A" w:rsidRDefault="00606FAD" w:rsidP="00606FAD">
      <w:pPr>
        <w:pStyle w:val="PunktlistaStreck"/>
        <w:numPr>
          <w:ilvl w:val="0"/>
          <w:numId w:val="12"/>
        </w:numPr>
        <w:tabs>
          <w:tab w:val="clear" w:pos="227"/>
        </w:tabs>
        <w:spacing w:before="0"/>
      </w:pPr>
      <w:r w:rsidRPr="00077F9A">
        <w:t>alla andra instrument för lagstiftningsprogram eller politisk strategi (prot. 1 art. 1),</w:t>
      </w:r>
    </w:p>
    <w:p w:rsidR="00606FAD" w:rsidRPr="00077F9A" w:rsidRDefault="00606FAD" w:rsidP="00606FAD">
      <w:pPr>
        <w:pStyle w:val="PunktlistaStreck"/>
        <w:numPr>
          <w:ilvl w:val="0"/>
          <w:numId w:val="12"/>
        </w:numPr>
        <w:tabs>
          <w:tab w:val="clear" w:pos="227"/>
        </w:tabs>
        <w:spacing w:before="0"/>
        <w:rPr>
          <w:spacing w:val="-2"/>
        </w:rPr>
      </w:pPr>
      <w:r w:rsidRPr="00077F9A">
        <w:rPr>
          <w:spacing w:val="-2"/>
        </w:rPr>
        <w:t>utkast och ändrade utkast till lagstif</w:t>
      </w:r>
      <w:r w:rsidRPr="00077F9A">
        <w:rPr>
          <w:spacing w:val="-2"/>
        </w:rPr>
        <w:t>t</w:t>
      </w:r>
      <w:r w:rsidRPr="00077F9A">
        <w:rPr>
          <w:spacing w:val="-2"/>
        </w:rPr>
        <w:t>ningsakter (prot. 1 art. 2, prot. 2 art. 4),</w:t>
      </w:r>
    </w:p>
    <w:p w:rsidR="00606FAD" w:rsidRPr="00077F9A" w:rsidRDefault="00606FAD" w:rsidP="00606FAD">
      <w:pPr>
        <w:pStyle w:val="PunktlistaStreck"/>
        <w:numPr>
          <w:ilvl w:val="0"/>
          <w:numId w:val="12"/>
        </w:numPr>
        <w:tabs>
          <w:tab w:val="clear" w:pos="227"/>
        </w:tabs>
        <w:spacing w:before="0"/>
      </w:pPr>
      <w:r w:rsidRPr="00077F9A">
        <w:t>rapport om tillämpningen av artikel 5 i fördraget om Europeiska uni</w:t>
      </w:r>
      <w:r w:rsidRPr="00077F9A">
        <w:t>o</w:t>
      </w:r>
      <w:r w:rsidRPr="00077F9A">
        <w:t>nen (prot. 2 art. 9),</w:t>
      </w:r>
    </w:p>
    <w:p w:rsidR="00606FAD" w:rsidRPr="00077F9A" w:rsidRDefault="00606FAD" w:rsidP="00606FAD">
      <w:pPr>
        <w:pStyle w:val="PunktlistaStreck"/>
        <w:numPr>
          <w:ilvl w:val="0"/>
          <w:numId w:val="12"/>
        </w:numPr>
        <w:tabs>
          <w:tab w:val="clear" w:pos="227"/>
        </w:tabs>
        <w:spacing w:before="0"/>
      </w:pPr>
      <w:r w:rsidRPr="00077F9A">
        <w:t>förslag som anger vilka aspekter av familjerätten som har överskrida</w:t>
      </w:r>
      <w:r w:rsidRPr="00077F9A">
        <w:t>n</w:t>
      </w:r>
      <w:r w:rsidRPr="00077F9A">
        <w:t>de följder och som kan bli föremål för akter som antas i enlighet med det ord</w:t>
      </w:r>
      <w:r w:rsidRPr="00077F9A">
        <w:t>i</w:t>
      </w:r>
      <w:r w:rsidRPr="00077F9A">
        <w:t>narie lagstiftningsförfarandet (FEUF art. 81).</w:t>
      </w:r>
    </w:p>
    <w:p w:rsidR="00606FAD" w:rsidRPr="00077F9A" w:rsidRDefault="00606FAD" w:rsidP="00606FAD">
      <w:pPr>
        <w:spacing w:before="187"/>
      </w:pPr>
      <w:r w:rsidRPr="00077F9A">
        <w:t xml:space="preserve">Från revisionsrätten </w:t>
      </w:r>
    </w:p>
    <w:p w:rsidR="00606FAD" w:rsidRPr="00077F9A" w:rsidRDefault="00606FAD" w:rsidP="00606FAD">
      <w:pPr>
        <w:pStyle w:val="PunktlistaStreck"/>
        <w:numPr>
          <w:ilvl w:val="0"/>
          <w:numId w:val="12"/>
        </w:numPr>
        <w:tabs>
          <w:tab w:val="clear" w:pos="227"/>
        </w:tabs>
        <w:spacing w:before="60"/>
      </w:pPr>
      <w:r w:rsidRPr="00077F9A">
        <w:rPr>
          <w:spacing w:val="-4"/>
        </w:rPr>
        <w:t>årsrapporten</w:t>
      </w:r>
      <w:r w:rsidRPr="00077F9A">
        <w:t xml:space="preserve"> (prot. 1 art. 7).</w:t>
      </w:r>
    </w:p>
    <w:p w:rsidR="00606FAD" w:rsidRPr="00077F9A" w:rsidRDefault="00606FAD" w:rsidP="00606FAD">
      <w:pPr>
        <w:spacing w:before="0"/>
      </w:pPr>
    </w:p>
    <w:p w:rsidR="00606FAD" w:rsidRPr="00077F9A" w:rsidRDefault="00606FAD" w:rsidP="00606FAD">
      <w:pPr>
        <w:pageBreakBefore/>
        <w:spacing w:before="0"/>
      </w:pPr>
      <w:r w:rsidRPr="00077F9A">
        <w:t>Från medlemsstaterna i samarbete med kommi</w:t>
      </w:r>
      <w:r w:rsidRPr="00077F9A">
        <w:t>s</w:t>
      </w:r>
      <w:r w:rsidRPr="00077F9A">
        <w:t>sionen</w:t>
      </w:r>
    </w:p>
    <w:p w:rsidR="00606FAD" w:rsidRPr="00077F9A" w:rsidRDefault="00606FAD" w:rsidP="00606FAD">
      <w:pPr>
        <w:pStyle w:val="PunktlistaStreck"/>
        <w:numPr>
          <w:ilvl w:val="0"/>
          <w:numId w:val="12"/>
        </w:numPr>
        <w:tabs>
          <w:tab w:val="clear" w:pos="227"/>
        </w:tabs>
        <w:spacing w:before="60"/>
      </w:pPr>
      <w:r w:rsidRPr="00077F9A">
        <w:t>innehållet i och resultatet av utvärderingen av hur medlemsstaternas my</w:t>
      </w:r>
      <w:r w:rsidRPr="00077F9A">
        <w:t>n</w:t>
      </w:r>
      <w:r w:rsidRPr="00077F9A">
        <w:t xml:space="preserve">digheter </w:t>
      </w:r>
      <w:r w:rsidRPr="00077F9A">
        <w:rPr>
          <w:spacing w:val="-4"/>
        </w:rPr>
        <w:t>genomför</w:t>
      </w:r>
      <w:r w:rsidRPr="00077F9A">
        <w:t xml:space="preserve"> unionens politik inom området med frihet, säke</w:t>
      </w:r>
      <w:r w:rsidRPr="00077F9A">
        <w:t>r</w:t>
      </w:r>
      <w:r w:rsidRPr="00077F9A">
        <w:t xml:space="preserve">het och rättvisa (FEUF art. 70). </w:t>
      </w:r>
    </w:p>
    <w:p w:rsidR="00606FAD" w:rsidRPr="00077F9A" w:rsidRDefault="00606FAD" w:rsidP="00606FAD"/>
    <w:p w:rsidR="00606FAD" w:rsidRPr="00077F9A" w:rsidRDefault="00606FAD" w:rsidP="00606FAD">
      <w:pPr>
        <w:pStyle w:val="Normaltindrag"/>
      </w:pPr>
    </w:p>
    <w:p w:rsidR="00606FAD" w:rsidRPr="00077F9A" w:rsidRDefault="00606FAD" w:rsidP="00606FAD">
      <w:pPr>
        <w:pStyle w:val="Normaltindrag"/>
      </w:pPr>
    </w:p>
    <w:p w:rsidR="00BE3FBD" w:rsidRPr="00077F9A" w:rsidRDefault="00BE3FBD" w:rsidP="00606FAD">
      <w:pPr>
        <w:pStyle w:val="Normaltindrag"/>
      </w:pPr>
    </w:p>
    <w:p w:rsidR="00BE3FBD" w:rsidRPr="00077F9A" w:rsidRDefault="00BE3FBD" w:rsidP="00BE3FBD">
      <w:pPr>
        <w:pStyle w:val="Tryckort"/>
        <w:framePr w:wrap="around"/>
        <w:jc w:val="right"/>
      </w:pPr>
      <w:r w:rsidRPr="00077F9A">
        <w:t>Elanders, Vällingby  2009</w:t>
      </w:r>
    </w:p>
    <w:p w:rsidR="00606FAD" w:rsidRPr="00077F9A" w:rsidRDefault="00606FAD" w:rsidP="00606FAD">
      <w:pPr>
        <w:pStyle w:val="Normaltindrag"/>
      </w:pPr>
    </w:p>
    <w:sectPr w:rsidR="00606FAD" w:rsidRPr="00077F9A" w:rsidSect="00224461">
      <w:headerReference w:type="even" r:id="rId83"/>
      <w:headerReference w:type="default" r:id="rId84"/>
      <w:footerReference w:type="even" r:id="rId85"/>
      <w:footerReference w:type="default" r:id="rId86"/>
      <w:headerReference w:type="first" r:id="rId87"/>
      <w:footerReference w:type="first" r:id="rId8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E0B" w:rsidRPr="00077F9A" w:rsidRDefault="00312E0B">
      <w:r w:rsidRPr="00077F9A">
        <w:separator/>
      </w:r>
    </w:p>
  </w:endnote>
  <w:endnote w:type="continuationSeparator" w:id="0">
    <w:p w:rsidR="00312E0B" w:rsidRPr="00077F9A" w:rsidRDefault="00312E0B">
      <w:r w:rsidRPr="00077F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mbo">
    <w:charset w:val="00"/>
    <w:family w:val="roman"/>
    <w:pitch w:val="variable"/>
    <w:sig w:usb0="8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PAOAF A+ T T 1811o 00">
    <w:altName w:val="T T 181 1o"/>
    <w:panose1 w:val="00000000000000000000"/>
    <w:charset w:val="00"/>
    <w:family w:val="swiss"/>
    <w:notTrueType/>
    <w:pitch w:val="default"/>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imesNew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V"/>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2</w:t>
    </w:r>
    <w:r w:rsidRPr="00077F9A">
      <w:fldChar w:fldCharType="end"/>
    </w:r>
  </w:p>
  <w:p w:rsidR="00312E0B" w:rsidRPr="00077F9A" w:rsidRDefault="00312E0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E57510">
    <w:pPr>
      <w:pStyle w:val="SidfotV"/>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12</w:t>
    </w:r>
    <w:r w:rsidRPr="00077F9A">
      <w:fldChar w:fldCharType="end"/>
    </w:r>
  </w:p>
  <w:p w:rsidR="00312E0B" w:rsidRPr="00077F9A" w:rsidRDefault="00312E0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11</w:t>
    </w:r>
    <w:r w:rsidRPr="00077F9A">
      <w:fldChar w:fldCharType="end"/>
    </w:r>
  </w:p>
  <w:p w:rsidR="00312E0B" w:rsidRPr="00077F9A" w:rsidRDefault="00312E0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AF0A69">
    <w:pPr>
      <w:pStyle w:val="SidfotV"/>
      <w:framePr w:w="8957" w:h="283" w:hRule="exact" w:hSpace="0" w:vSpace="0" w:wrap="around" w:xAlign="inside" w:y="13040" w:anchorLock="0"/>
    </w:pPr>
    <w:r w:rsidRPr="00077F9A">
      <w:fldChar w:fldCharType="begin" w:fldLock="1"/>
    </w:r>
    <w:r w:rsidRPr="00077F9A">
      <w:instrText xml:space="preserve"> if </w:instrText>
    </w:r>
    <w:r w:rsidRPr="00077F9A">
      <w:fldChar w:fldCharType="begin" w:fldLock="1"/>
    </w:r>
    <w:r w:rsidRPr="00077F9A">
      <w:instrText xml:space="preserve"> = </w:instrText>
    </w:r>
    <w:r w:rsidRPr="00077F9A">
      <w:fldChar w:fldCharType="begin" w:fldLock="1"/>
    </w:r>
    <w:r w:rsidRPr="00077F9A">
      <w:instrText xml:space="preserve"> = </w:instrText>
    </w:r>
    <w:r w:rsidRPr="00077F9A">
      <w:fldChar w:fldCharType="begin" w:fldLock="1"/>
    </w:r>
    <w:r w:rsidRPr="00077F9A">
      <w:instrText xml:space="preserve"> page</w:instrText>
    </w:r>
    <w:r w:rsidRPr="00077F9A">
      <w:fldChar w:fldCharType="separate"/>
    </w:r>
    <w:r w:rsidR="001F596B" w:rsidRPr="00077F9A">
      <w:instrText>5</w:instrText>
    </w:r>
    <w:r w:rsidRPr="00077F9A">
      <w:fldChar w:fldCharType="end"/>
    </w:r>
    <w:r w:rsidRPr="00077F9A">
      <w:instrText xml:space="preserve">/2 </w:instrText>
    </w:r>
    <w:r w:rsidRPr="00077F9A">
      <w:fldChar w:fldCharType="separate"/>
    </w:r>
    <w:r w:rsidR="001F596B" w:rsidRPr="00077F9A">
      <w:instrText>2,5</w:instrText>
    </w:r>
    <w:r w:rsidRPr="00077F9A">
      <w:fldChar w:fldCharType="end"/>
    </w:r>
    <w:r w:rsidRPr="00077F9A">
      <w:instrText xml:space="preserve"> - </w:instrText>
    </w:r>
    <w:r w:rsidRPr="00077F9A">
      <w:fldChar w:fldCharType="begin" w:fldLock="1"/>
    </w:r>
    <w:r w:rsidRPr="00077F9A">
      <w:instrText xml:space="preserve"> = int(</w:instrText>
    </w:r>
    <w:r w:rsidRPr="00077F9A">
      <w:fldChar w:fldCharType="begin" w:fldLock="1"/>
    </w:r>
    <w:r w:rsidRPr="00077F9A">
      <w:instrText xml:space="preserve"> page</w:instrText>
    </w:r>
    <w:r w:rsidRPr="00077F9A">
      <w:fldChar w:fldCharType="separate"/>
    </w:r>
    <w:r w:rsidR="001F596B" w:rsidRPr="00077F9A">
      <w:instrText>5</w:instrText>
    </w:r>
    <w:r w:rsidRPr="00077F9A">
      <w:fldChar w:fldCharType="end"/>
    </w:r>
    <w:r w:rsidRPr="00077F9A">
      <w:instrText xml:space="preserve">/2) </w:instrText>
    </w:r>
    <w:r w:rsidRPr="00077F9A">
      <w:fldChar w:fldCharType="separate"/>
    </w:r>
    <w:r w:rsidR="001F596B" w:rsidRPr="00077F9A">
      <w:instrText>2</w:instrText>
    </w:r>
    <w:r w:rsidRPr="00077F9A">
      <w:fldChar w:fldCharType="end"/>
    </w:r>
    <w:r w:rsidRPr="00077F9A">
      <w:fldChar w:fldCharType="separate"/>
    </w:r>
    <w:r w:rsidR="001F596B" w:rsidRPr="00077F9A">
      <w:instrText>0,5</w:instrText>
    </w:r>
    <w:r w:rsidRPr="00077F9A">
      <w:fldChar w:fldCharType="end"/>
    </w:r>
    <w:r w:rsidRPr="00077F9A">
      <w:instrText xml:space="preserve"> = 0 "</w:instrText>
    </w: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Pr="00077F9A">
      <w:instrText>4</w:instrText>
    </w:r>
    <w:r w:rsidRPr="00077F9A">
      <w:fldChar w:fldCharType="end"/>
    </w:r>
  </w:p>
  <w:p w:rsidR="00312E0B" w:rsidRPr="00077F9A" w:rsidRDefault="00312E0B" w:rsidP="00AF0A69">
    <w:pPr>
      <w:pStyle w:val="SidfotH"/>
      <w:framePr w:w="8957" w:h="283" w:hRule="exact" w:hSpace="0" w:vSpace="0" w:wrap="around" w:xAlign="inside" w:y="13040" w:anchorLock="0"/>
    </w:pPr>
    <w:r w:rsidRPr="00077F9A">
      <w:instrText>""</w:instrText>
    </w: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instrText>5</w:instrText>
    </w:r>
    <w:r w:rsidRPr="00077F9A">
      <w:fldChar w:fldCharType="end"/>
    </w:r>
    <w:r w:rsidRPr="00077F9A">
      <w:instrText>"</w:instrText>
    </w:r>
    <w:r w:rsidRPr="00077F9A">
      <w:fldChar w:fldCharType="separate"/>
    </w:r>
    <w:r w:rsidR="001F596B" w:rsidRPr="00077F9A">
      <w:t>5</w:t>
    </w:r>
    <w:r w:rsidRPr="00077F9A">
      <w:fldChar w:fldCharType="end"/>
    </w:r>
  </w:p>
  <w:p w:rsidR="00312E0B" w:rsidRPr="00077F9A" w:rsidRDefault="00312E0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EA620A">
    <w:pPr>
      <w:pStyle w:val="SidfotV"/>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14</w:t>
    </w:r>
    <w:r w:rsidRPr="00077F9A">
      <w:fldChar w:fldCharType="end"/>
    </w:r>
  </w:p>
  <w:p w:rsidR="00312E0B" w:rsidRPr="00077F9A" w:rsidRDefault="00312E0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15</w:t>
    </w:r>
    <w:r w:rsidRPr="00077F9A">
      <w:fldChar w:fldCharType="end"/>
    </w:r>
  </w:p>
  <w:p w:rsidR="00312E0B" w:rsidRPr="00077F9A" w:rsidRDefault="00312E0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CF1B5E">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13</w:t>
    </w:r>
    <w:r w:rsidRPr="00077F9A">
      <w:fldChar w:fldCharType="end"/>
    </w:r>
  </w:p>
  <w:p w:rsidR="00312E0B" w:rsidRPr="00077F9A" w:rsidRDefault="00312E0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V"/>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18</w:t>
    </w:r>
    <w:r w:rsidRPr="00077F9A">
      <w:fldChar w:fldCharType="end"/>
    </w:r>
  </w:p>
  <w:p w:rsidR="00312E0B" w:rsidRPr="00077F9A" w:rsidRDefault="00312E0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17</w:t>
    </w:r>
    <w:r w:rsidRPr="00077F9A">
      <w:fldChar w:fldCharType="end"/>
    </w:r>
  </w:p>
  <w:p w:rsidR="00312E0B" w:rsidRPr="00077F9A" w:rsidRDefault="00312E0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E57510">
    <w:pPr>
      <w:pStyle w:val="SidfotV"/>
      <w:framePr w:wrap="around"/>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16</w:t>
    </w:r>
    <w:r w:rsidRPr="00077F9A">
      <w:fldChar w:fldCharType="end"/>
    </w:r>
  </w:p>
  <w:p w:rsidR="00312E0B" w:rsidRPr="00077F9A" w:rsidRDefault="00312E0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V"/>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20</w:t>
    </w:r>
    <w:r w:rsidRPr="00077F9A">
      <w:fldChar w:fldCharType="end"/>
    </w:r>
  </w:p>
  <w:p w:rsidR="00312E0B" w:rsidRPr="00077F9A" w:rsidRDefault="00312E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Pr="00077F9A">
      <w:t>3</w:t>
    </w:r>
    <w:r w:rsidRPr="00077F9A">
      <w:fldChar w:fldCharType="end"/>
    </w:r>
  </w:p>
  <w:p w:rsidR="00312E0B" w:rsidRPr="00077F9A" w:rsidRDefault="00312E0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Pr="00077F9A">
      <w:t>21</w:t>
    </w:r>
    <w:r w:rsidRPr="00077F9A">
      <w:fldChar w:fldCharType="end"/>
    </w:r>
  </w:p>
  <w:p w:rsidR="00312E0B" w:rsidRPr="00077F9A" w:rsidRDefault="00312E0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4C36CA">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19</w:t>
    </w:r>
    <w:r w:rsidRPr="00077F9A">
      <w:fldChar w:fldCharType="end"/>
    </w:r>
  </w:p>
  <w:p w:rsidR="00312E0B" w:rsidRPr="00077F9A" w:rsidRDefault="00312E0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V"/>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30</w:t>
    </w:r>
    <w:r w:rsidRPr="00077F9A">
      <w:fldChar w:fldCharType="end"/>
    </w:r>
  </w:p>
  <w:p w:rsidR="00312E0B" w:rsidRPr="00077F9A" w:rsidRDefault="00312E0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31</w:t>
    </w:r>
    <w:r w:rsidRPr="00077F9A">
      <w:fldChar w:fldCharType="end"/>
    </w:r>
  </w:p>
  <w:p w:rsidR="00312E0B" w:rsidRPr="00077F9A" w:rsidRDefault="00312E0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4C36CA">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21</w:t>
    </w:r>
    <w:r w:rsidRPr="00077F9A">
      <w:fldChar w:fldCharType="end"/>
    </w:r>
  </w:p>
  <w:p w:rsidR="00312E0B" w:rsidRPr="00077F9A" w:rsidRDefault="00312E0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V"/>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46</w:t>
    </w:r>
    <w:r w:rsidRPr="00077F9A">
      <w:fldChar w:fldCharType="end"/>
    </w:r>
  </w:p>
  <w:p w:rsidR="00312E0B" w:rsidRPr="00077F9A" w:rsidRDefault="00312E0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45</w:t>
    </w:r>
    <w:r w:rsidRPr="00077F9A">
      <w:fldChar w:fldCharType="end"/>
    </w:r>
  </w:p>
  <w:p w:rsidR="00312E0B" w:rsidRPr="00077F9A" w:rsidRDefault="00312E0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CF1B5E">
    <w:pPr>
      <w:pStyle w:val="SidfotV"/>
      <w:framePr w:w="8732" w:h="284" w:hRule="exact" w:hSpace="0" w:vSpace="0" w:wrap="around" w:xAlign="inside" w:y="13042" w:anchorLock="0"/>
    </w:pPr>
    <w:r w:rsidRPr="00077F9A">
      <w:fldChar w:fldCharType="begin" w:fldLock="1"/>
    </w:r>
    <w:r w:rsidRPr="00077F9A">
      <w:instrText xml:space="preserve"> if </w:instrText>
    </w:r>
    <w:r w:rsidRPr="00077F9A">
      <w:fldChar w:fldCharType="begin" w:fldLock="1"/>
    </w:r>
    <w:r w:rsidRPr="00077F9A">
      <w:instrText xml:space="preserve"> = </w:instrText>
    </w:r>
    <w:r w:rsidRPr="00077F9A">
      <w:fldChar w:fldCharType="begin" w:fldLock="1"/>
    </w:r>
    <w:r w:rsidRPr="00077F9A">
      <w:instrText xml:space="preserve"> = </w:instrText>
    </w:r>
    <w:r w:rsidRPr="00077F9A">
      <w:fldChar w:fldCharType="begin" w:fldLock="1"/>
    </w:r>
    <w:r w:rsidRPr="00077F9A">
      <w:instrText xml:space="preserve"> page</w:instrText>
    </w:r>
    <w:r w:rsidRPr="00077F9A">
      <w:fldChar w:fldCharType="separate"/>
    </w:r>
    <w:r w:rsidR="001F596B" w:rsidRPr="00077F9A">
      <w:instrText>32</w:instrText>
    </w:r>
    <w:r w:rsidRPr="00077F9A">
      <w:fldChar w:fldCharType="end"/>
    </w:r>
    <w:r w:rsidRPr="00077F9A">
      <w:instrText xml:space="preserve">/2 </w:instrText>
    </w:r>
    <w:r w:rsidRPr="00077F9A">
      <w:fldChar w:fldCharType="separate"/>
    </w:r>
    <w:r w:rsidR="001F596B" w:rsidRPr="00077F9A">
      <w:instrText>16</w:instrText>
    </w:r>
    <w:r w:rsidRPr="00077F9A">
      <w:fldChar w:fldCharType="end"/>
    </w:r>
    <w:r w:rsidRPr="00077F9A">
      <w:instrText xml:space="preserve"> - </w:instrText>
    </w:r>
    <w:r w:rsidRPr="00077F9A">
      <w:fldChar w:fldCharType="begin" w:fldLock="1"/>
    </w:r>
    <w:r w:rsidRPr="00077F9A">
      <w:instrText xml:space="preserve"> = int(</w:instrText>
    </w:r>
    <w:r w:rsidRPr="00077F9A">
      <w:fldChar w:fldCharType="begin" w:fldLock="1"/>
    </w:r>
    <w:r w:rsidRPr="00077F9A">
      <w:instrText xml:space="preserve"> page</w:instrText>
    </w:r>
    <w:r w:rsidRPr="00077F9A">
      <w:fldChar w:fldCharType="separate"/>
    </w:r>
    <w:r w:rsidR="001F596B" w:rsidRPr="00077F9A">
      <w:instrText>32</w:instrText>
    </w:r>
    <w:r w:rsidRPr="00077F9A">
      <w:fldChar w:fldCharType="end"/>
    </w:r>
    <w:r w:rsidRPr="00077F9A">
      <w:instrText xml:space="preserve">/2) </w:instrText>
    </w:r>
    <w:r w:rsidRPr="00077F9A">
      <w:fldChar w:fldCharType="separate"/>
    </w:r>
    <w:r w:rsidR="001F596B" w:rsidRPr="00077F9A">
      <w:instrText>16</w:instrText>
    </w:r>
    <w:r w:rsidRPr="00077F9A">
      <w:fldChar w:fldCharType="end"/>
    </w:r>
    <w:r w:rsidRPr="00077F9A">
      <w:fldChar w:fldCharType="separate"/>
    </w:r>
    <w:r w:rsidR="001F596B" w:rsidRPr="00077F9A">
      <w:instrText>0</w:instrText>
    </w:r>
    <w:r w:rsidRPr="00077F9A">
      <w:fldChar w:fldCharType="end"/>
    </w:r>
    <w:r w:rsidRPr="00077F9A">
      <w:instrText xml:space="preserve"> = 0 "</w:instrText>
    </w: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instrText>32</w:instrText>
    </w:r>
    <w:r w:rsidRPr="00077F9A">
      <w:fldChar w:fldCharType="end"/>
    </w:r>
  </w:p>
  <w:p w:rsidR="001F596B" w:rsidRPr="00077F9A" w:rsidRDefault="00312E0B" w:rsidP="00CF1B5E">
    <w:pPr>
      <w:pStyle w:val="SidfotV"/>
      <w:framePr w:w="8732" w:h="284" w:hRule="exact" w:hSpace="0" w:vSpace="0" w:wrap="around" w:xAlign="inside" w:y="13042" w:anchorLock="0"/>
    </w:pPr>
    <w:r w:rsidRPr="00077F9A">
      <w:instrText>""</w:instrText>
    </w: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Pr="00077F9A">
      <w:instrText>33</w:instrText>
    </w:r>
    <w:r w:rsidRPr="00077F9A">
      <w:fldChar w:fldCharType="end"/>
    </w:r>
    <w:r w:rsidRPr="00077F9A">
      <w:instrText>"</w:instrText>
    </w:r>
    <w:r w:rsidRPr="00077F9A">
      <w:fldChar w:fldCharType="separate"/>
    </w:r>
    <w:r w:rsidR="001F596B" w:rsidRPr="00077F9A">
      <w:t>32</w:t>
    </w:r>
  </w:p>
  <w:p w:rsidR="00312E0B" w:rsidRPr="00077F9A" w:rsidRDefault="00312E0B" w:rsidP="00CF1B5E">
    <w:pPr>
      <w:pStyle w:val="SidfotH"/>
      <w:framePr w:w="8732" w:h="284" w:hRule="exact" w:hSpace="0" w:vSpace="0" w:wrap="around" w:xAlign="inside" w:y="13042" w:anchorLock="0"/>
    </w:pPr>
    <w:r w:rsidRPr="00077F9A">
      <w:fldChar w:fldCharType="end"/>
    </w:r>
  </w:p>
  <w:p w:rsidR="00312E0B" w:rsidRPr="00077F9A" w:rsidRDefault="00312E0B">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V"/>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48</w:t>
    </w:r>
    <w:r w:rsidRPr="00077F9A">
      <w:fldChar w:fldCharType="end"/>
    </w:r>
  </w:p>
  <w:p w:rsidR="00312E0B" w:rsidRPr="00077F9A" w:rsidRDefault="00312E0B">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49</w:t>
    </w:r>
    <w:r w:rsidRPr="00077F9A">
      <w:fldChar w:fldCharType="end"/>
    </w:r>
  </w:p>
  <w:p w:rsidR="00312E0B" w:rsidRPr="00077F9A" w:rsidRDefault="00312E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V"/>
      <w:framePr w:w="8732" w:h="284" w:hRule="exact" w:hSpace="0" w:vSpace="0" w:wrap="around" w:xAlign="inside" w:y="13042" w:anchorLock="0"/>
    </w:pPr>
    <w:r w:rsidRPr="00077F9A">
      <w:fldChar w:fldCharType="begin" w:fldLock="1"/>
    </w:r>
    <w:r w:rsidRPr="00077F9A">
      <w:instrText xml:space="preserve"> if </w:instrText>
    </w:r>
    <w:r w:rsidRPr="00077F9A">
      <w:fldChar w:fldCharType="begin" w:fldLock="1"/>
    </w:r>
    <w:r w:rsidRPr="00077F9A">
      <w:instrText xml:space="preserve"> = </w:instrText>
    </w:r>
    <w:r w:rsidRPr="00077F9A">
      <w:fldChar w:fldCharType="begin" w:fldLock="1"/>
    </w:r>
    <w:r w:rsidRPr="00077F9A">
      <w:instrText xml:space="preserve"> = </w:instrText>
    </w:r>
    <w:r w:rsidRPr="00077F9A">
      <w:fldChar w:fldCharType="begin" w:fldLock="1"/>
    </w:r>
    <w:r w:rsidRPr="00077F9A">
      <w:instrText xml:space="preserve"> page</w:instrText>
    </w:r>
    <w:r w:rsidRPr="00077F9A">
      <w:fldChar w:fldCharType="separate"/>
    </w:r>
    <w:r w:rsidR="00077F9A">
      <w:rPr>
        <w:noProof/>
      </w:rPr>
      <w:instrText>1</w:instrText>
    </w:r>
    <w:r w:rsidRPr="00077F9A">
      <w:fldChar w:fldCharType="end"/>
    </w:r>
    <w:r w:rsidRPr="00077F9A">
      <w:instrText xml:space="preserve">/2 </w:instrText>
    </w:r>
    <w:r w:rsidRPr="00077F9A">
      <w:fldChar w:fldCharType="separate"/>
    </w:r>
    <w:r w:rsidR="00077F9A">
      <w:rPr>
        <w:noProof/>
      </w:rPr>
      <w:instrText>0,5</w:instrText>
    </w:r>
    <w:r w:rsidRPr="00077F9A">
      <w:fldChar w:fldCharType="end"/>
    </w:r>
    <w:r w:rsidRPr="00077F9A">
      <w:instrText xml:space="preserve"> - </w:instrText>
    </w:r>
    <w:r w:rsidRPr="00077F9A">
      <w:fldChar w:fldCharType="begin" w:fldLock="1"/>
    </w:r>
    <w:r w:rsidRPr="00077F9A">
      <w:instrText xml:space="preserve"> = int(</w:instrText>
    </w:r>
    <w:r w:rsidRPr="00077F9A">
      <w:fldChar w:fldCharType="begin" w:fldLock="1"/>
    </w:r>
    <w:r w:rsidRPr="00077F9A">
      <w:instrText xml:space="preserve"> page</w:instrText>
    </w:r>
    <w:r w:rsidRPr="00077F9A">
      <w:fldChar w:fldCharType="separate"/>
    </w:r>
    <w:r w:rsidR="00077F9A">
      <w:rPr>
        <w:noProof/>
      </w:rPr>
      <w:instrText>1</w:instrText>
    </w:r>
    <w:r w:rsidRPr="00077F9A">
      <w:fldChar w:fldCharType="end"/>
    </w:r>
    <w:r w:rsidRPr="00077F9A">
      <w:instrText xml:space="preserve">/2) </w:instrText>
    </w:r>
    <w:r w:rsidRPr="00077F9A">
      <w:fldChar w:fldCharType="separate"/>
    </w:r>
    <w:r w:rsidR="00077F9A">
      <w:rPr>
        <w:noProof/>
      </w:rPr>
      <w:instrText>0</w:instrText>
    </w:r>
    <w:r w:rsidRPr="00077F9A">
      <w:fldChar w:fldCharType="end"/>
    </w:r>
    <w:r w:rsidRPr="00077F9A">
      <w:fldChar w:fldCharType="separate"/>
    </w:r>
    <w:r w:rsidR="00077F9A">
      <w:rPr>
        <w:noProof/>
      </w:rPr>
      <w:instrText>0,5</w:instrText>
    </w:r>
    <w:r w:rsidRPr="00077F9A">
      <w:fldChar w:fldCharType="end"/>
    </w:r>
    <w:r w:rsidRPr="00077F9A">
      <w:instrText xml:space="preserve"> = 0 "</w:instrText>
    </w: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Pr="00077F9A">
      <w:instrText>14</w:instrText>
    </w:r>
    <w:r w:rsidRPr="00077F9A">
      <w:fldChar w:fldCharType="end"/>
    </w:r>
  </w:p>
  <w:p w:rsidR="00312E0B" w:rsidRPr="00077F9A" w:rsidRDefault="00312E0B">
    <w:pPr>
      <w:pStyle w:val="SidfotH"/>
      <w:framePr w:w="8732" w:h="284" w:hRule="exact" w:hSpace="0" w:vSpace="0" w:wrap="around" w:xAlign="inside" w:y="13042" w:anchorLock="0"/>
    </w:pPr>
    <w:r w:rsidRPr="00077F9A">
      <w:instrText>""</w:instrText>
    </w: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077F9A">
      <w:rPr>
        <w:noProof/>
      </w:rPr>
      <w:instrText>1</w:instrText>
    </w:r>
    <w:r w:rsidRPr="00077F9A">
      <w:fldChar w:fldCharType="end"/>
    </w:r>
    <w:r w:rsidRPr="00077F9A">
      <w:instrText>"</w:instrText>
    </w:r>
    <w:r w:rsidRPr="00077F9A">
      <w:fldChar w:fldCharType="separate"/>
    </w:r>
    <w:r w:rsidR="00077F9A">
      <w:rPr>
        <w:noProof/>
      </w:rPr>
      <w:t>1</w:t>
    </w:r>
    <w:r w:rsidRPr="00077F9A">
      <w:fldChar w:fldCharType="end"/>
    </w:r>
  </w:p>
  <w:p w:rsidR="00312E0B" w:rsidRPr="00077F9A" w:rsidRDefault="00312E0B">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4C36CA">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47</w:t>
    </w:r>
    <w:r w:rsidRPr="00077F9A">
      <w:fldChar w:fldCharType="end"/>
    </w:r>
  </w:p>
  <w:p w:rsidR="00312E0B" w:rsidRPr="00077F9A" w:rsidRDefault="00312E0B">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V"/>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60</w:t>
    </w:r>
    <w:r w:rsidRPr="00077F9A">
      <w:fldChar w:fldCharType="end"/>
    </w:r>
  </w:p>
  <w:p w:rsidR="00312E0B" w:rsidRPr="00077F9A" w:rsidRDefault="00312E0B">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61</w:t>
    </w:r>
    <w:r w:rsidRPr="00077F9A">
      <w:fldChar w:fldCharType="end"/>
    </w:r>
  </w:p>
  <w:p w:rsidR="00312E0B" w:rsidRPr="00077F9A" w:rsidRDefault="00312E0B">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4C36CA">
    <w:pPr>
      <w:pStyle w:val="SidfotV"/>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50</w:t>
    </w:r>
    <w:r w:rsidRPr="00077F9A">
      <w:fldChar w:fldCharType="end"/>
    </w:r>
  </w:p>
  <w:p w:rsidR="00312E0B" w:rsidRPr="00077F9A" w:rsidRDefault="00312E0B">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V"/>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72</w:t>
    </w:r>
    <w:r w:rsidRPr="00077F9A">
      <w:fldChar w:fldCharType="end"/>
    </w:r>
  </w:p>
  <w:p w:rsidR="00312E0B" w:rsidRPr="00077F9A" w:rsidRDefault="00312E0B">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71</w:t>
    </w:r>
    <w:r w:rsidRPr="00077F9A">
      <w:fldChar w:fldCharType="end"/>
    </w:r>
  </w:p>
  <w:p w:rsidR="00312E0B" w:rsidRPr="00077F9A" w:rsidRDefault="00312E0B">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4C36CA">
    <w:pPr>
      <w:pStyle w:val="SidfotV"/>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62</w:t>
    </w:r>
    <w:r w:rsidRPr="00077F9A">
      <w:fldChar w:fldCharType="end"/>
    </w:r>
  </w:p>
  <w:p w:rsidR="00312E0B" w:rsidRPr="00077F9A" w:rsidRDefault="00312E0B">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V"/>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t>74</w:t>
    </w:r>
    <w:r w:rsidRPr="00077F9A">
      <w:fldChar w:fldCharType="end"/>
    </w:r>
  </w:p>
  <w:p w:rsidR="00312E0B" w:rsidRPr="00077F9A" w:rsidRDefault="00312E0B">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Pr="00077F9A">
      <w:t>75</w:t>
    </w:r>
    <w:r w:rsidRPr="00077F9A">
      <w:fldChar w:fldCharType="end"/>
    </w:r>
  </w:p>
  <w:p w:rsidR="00312E0B" w:rsidRPr="00077F9A" w:rsidRDefault="00312E0B">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V"/>
      <w:framePr w:w="8732" w:h="284" w:hRule="exact" w:hSpace="0" w:vSpace="0" w:wrap="around" w:xAlign="inside" w:y="13042" w:anchorLock="0"/>
    </w:pPr>
    <w:r w:rsidRPr="00077F9A">
      <w:fldChar w:fldCharType="begin" w:fldLock="1"/>
    </w:r>
    <w:r w:rsidRPr="00077F9A">
      <w:instrText xml:space="preserve"> if </w:instrText>
    </w:r>
    <w:r w:rsidRPr="00077F9A">
      <w:fldChar w:fldCharType="begin" w:fldLock="1"/>
    </w:r>
    <w:r w:rsidRPr="00077F9A">
      <w:instrText xml:space="preserve"> = </w:instrText>
    </w:r>
    <w:r w:rsidRPr="00077F9A">
      <w:fldChar w:fldCharType="begin" w:fldLock="1"/>
    </w:r>
    <w:r w:rsidRPr="00077F9A">
      <w:instrText xml:space="preserve"> = </w:instrText>
    </w:r>
    <w:r w:rsidRPr="00077F9A">
      <w:fldChar w:fldCharType="begin" w:fldLock="1"/>
    </w:r>
    <w:r w:rsidRPr="00077F9A">
      <w:instrText xml:space="preserve"> page</w:instrText>
    </w:r>
    <w:r w:rsidRPr="00077F9A">
      <w:fldChar w:fldCharType="separate"/>
    </w:r>
    <w:r w:rsidR="001F596B" w:rsidRPr="00077F9A">
      <w:instrText>73</w:instrText>
    </w:r>
    <w:r w:rsidRPr="00077F9A">
      <w:fldChar w:fldCharType="end"/>
    </w:r>
    <w:r w:rsidRPr="00077F9A">
      <w:instrText xml:space="preserve">/2 </w:instrText>
    </w:r>
    <w:r w:rsidRPr="00077F9A">
      <w:fldChar w:fldCharType="separate"/>
    </w:r>
    <w:r w:rsidR="001F596B" w:rsidRPr="00077F9A">
      <w:instrText>36,5</w:instrText>
    </w:r>
    <w:r w:rsidRPr="00077F9A">
      <w:fldChar w:fldCharType="end"/>
    </w:r>
    <w:r w:rsidRPr="00077F9A">
      <w:instrText xml:space="preserve"> - </w:instrText>
    </w:r>
    <w:r w:rsidRPr="00077F9A">
      <w:fldChar w:fldCharType="begin" w:fldLock="1"/>
    </w:r>
    <w:r w:rsidRPr="00077F9A">
      <w:instrText xml:space="preserve"> = int(</w:instrText>
    </w:r>
    <w:r w:rsidRPr="00077F9A">
      <w:fldChar w:fldCharType="begin" w:fldLock="1"/>
    </w:r>
    <w:r w:rsidRPr="00077F9A">
      <w:instrText xml:space="preserve"> page</w:instrText>
    </w:r>
    <w:r w:rsidRPr="00077F9A">
      <w:fldChar w:fldCharType="separate"/>
    </w:r>
    <w:r w:rsidR="001F596B" w:rsidRPr="00077F9A">
      <w:instrText>73</w:instrText>
    </w:r>
    <w:r w:rsidRPr="00077F9A">
      <w:fldChar w:fldCharType="end"/>
    </w:r>
    <w:r w:rsidRPr="00077F9A">
      <w:instrText xml:space="preserve">/2) </w:instrText>
    </w:r>
    <w:r w:rsidRPr="00077F9A">
      <w:fldChar w:fldCharType="separate"/>
    </w:r>
    <w:r w:rsidR="001F596B" w:rsidRPr="00077F9A">
      <w:instrText>36</w:instrText>
    </w:r>
    <w:r w:rsidRPr="00077F9A">
      <w:fldChar w:fldCharType="end"/>
    </w:r>
    <w:r w:rsidRPr="00077F9A">
      <w:fldChar w:fldCharType="separate"/>
    </w:r>
    <w:r w:rsidR="001F596B" w:rsidRPr="00077F9A">
      <w:instrText>0,5</w:instrText>
    </w:r>
    <w:r w:rsidRPr="00077F9A">
      <w:fldChar w:fldCharType="end"/>
    </w:r>
    <w:r w:rsidRPr="00077F9A">
      <w:instrText xml:space="preserve"> = 0 "</w:instrText>
    </w: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Pr="00077F9A">
      <w:instrText>74</w:instrText>
    </w:r>
    <w:r w:rsidRPr="00077F9A">
      <w:fldChar w:fldCharType="end"/>
    </w:r>
  </w:p>
  <w:p w:rsidR="00312E0B" w:rsidRPr="00077F9A" w:rsidRDefault="00312E0B">
    <w:pPr>
      <w:pStyle w:val="SidfotH"/>
      <w:framePr w:w="8732" w:h="284" w:hRule="exact" w:hSpace="0" w:vSpace="0" w:wrap="around" w:xAlign="inside" w:y="13042" w:anchorLock="0"/>
    </w:pPr>
    <w:r w:rsidRPr="00077F9A">
      <w:instrText>""</w:instrText>
    </w: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instrText>73</w:instrText>
    </w:r>
    <w:r w:rsidRPr="00077F9A">
      <w:fldChar w:fldCharType="end"/>
    </w:r>
    <w:r w:rsidRPr="00077F9A">
      <w:instrText>"</w:instrText>
    </w:r>
    <w:r w:rsidRPr="00077F9A">
      <w:fldChar w:fldCharType="separate"/>
    </w:r>
    <w:r w:rsidR="001F596B" w:rsidRPr="00077F9A">
      <w:t>73</w:t>
    </w:r>
    <w:r w:rsidRPr="00077F9A">
      <w:fldChar w:fldCharType="end"/>
    </w:r>
  </w:p>
  <w:p w:rsidR="00312E0B" w:rsidRPr="00077F9A" w:rsidRDefault="00312E0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F336A2">
    <w:pPr>
      <w:pStyle w:val="SidfotV"/>
      <w:framePr w:w="8957" w:h="283" w:hRule="exact" w:hSpace="0" w:vSpace="0" w:wrap="around" w:xAlign="inside" w:y="13040"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Pr="00077F9A">
      <w:t>4</w:t>
    </w:r>
    <w:r w:rsidRPr="00077F9A">
      <w:fldChar w:fldCharType="end"/>
    </w:r>
  </w:p>
  <w:p w:rsidR="00312E0B" w:rsidRPr="00077F9A" w:rsidRDefault="00312E0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F336A2">
    <w:pPr>
      <w:pStyle w:val="SidfotH"/>
      <w:framePr w:w="8957" w:h="283" w:hRule="exact" w:hSpace="0" w:vSpace="0" w:wrap="around" w:xAlign="inside" w:y="13040"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Pr="00077F9A">
      <w:t>5</w:t>
    </w:r>
    <w:r w:rsidRPr="00077F9A">
      <w:fldChar w:fldCharType="end"/>
    </w:r>
  </w:p>
  <w:p w:rsidR="00312E0B" w:rsidRPr="00077F9A" w:rsidRDefault="00312E0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F336A2">
    <w:pPr>
      <w:pStyle w:val="SidfotV"/>
      <w:framePr w:w="8957" w:h="283" w:hRule="exact" w:hSpace="0" w:vSpace="0" w:wrap="around" w:xAlign="inside" w:y="13040" w:anchorLock="0"/>
    </w:pPr>
    <w:r w:rsidRPr="00077F9A">
      <w:fldChar w:fldCharType="begin" w:fldLock="1"/>
    </w:r>
    <w:r w:rsidRPr="00077F9A">
      <w:instrText xml:space="preserve"> if </w:instrText>
    </w:r>
    <w:r w:rsidRPr="00077F9A">
      <w:fldChar w:fldCharType="begin" w:fldLock="1"/>
    </w:r>
    <w:r w:rsidRPr="00077F9A">
      <w:instrText xml:space="preserve"> = </w:instrText>
    </w:r>
    <w:r w:rsidRPr="00077F9A">
      <w:fldChar w:fldCharType="begin" w:fldLock="1"/>
    </w:r>
    <w:r w:rsidRPr="00077F9A">
      <w:instrText xml:space="preserve"> = </w:instrText>
    </w:r>
    <w:r w:rsidRPr="00077F9A">
      <w:fldChar w:fldCharType="begin" w:fldLock="1"/>
    </w:r>
    <w:r w:rsidRPr="00077F9A">
      <w:instrText xml:space="preserve"> page</w:instrText>
    </w:r>
    <w:r w:rsidRPr="00077F9A">
      <w:fldChar w:fldCharType="separate"/>
    </w:r>
    <w:r w:rsidR="001F596B" w:rsidRPr="00077F9A">
      <w:instrText>3</w:instrText>
    </w:r>
    <w:r w:rsidRPr="00077F9A">
      <w:fldChar w:fldCharType="end"/>
    </w:r>
    <w:r w:rsidRPr="00077F9A">
      <w:instrText xml:space="preserve">/2 </w:instrText>
    </w:r>
    <w:r w:rsidRPr="00077F9A">
      <w:fldChar w:fldCharType="separate"/>
    </w:r>
    <w:r w:rsidR="001F596B" w:rsidRPr="00077F9A">
      <w:instrText>1,5</w:instrText>
    </w:r>
    <w:r w:rsidRPr="00077F9A">
      <w:fldChar w:fldCharType="end"/>
    </w:r>
    <w:r w:rsidRPr="00077F9A">
      <w:instrText xml:space="preserve"> - </w:instrText>
    </w:r>
    <w:r w:rsidRPr="00077F9A">
      <w:fldChar w:fldCharType="begin" w:fldLock="1"/>
    </w:r>
    <w:r w:rsidRPr="00077F9A">
      <w:instrText xml:space="preserve"> = int(</w:instrText>
    </w:r>
    <w:r w:rsidRPr="00077F9A">
      <w:fldChar w:fldCharType="begin" w:fldLock="1"/>
    </w:r>
    <w:r w:rsidRPr="00077F9A">
      <w:instrText xml:space="preserve"> page</w:instrText>
    </w:r>
    <w:r w:rsidRPr="00077F9A">
      <w:fldChar w:fldCharType="separate"/>
    </w:r>
    <w:r w:rsidR="001F596B" w:rsidRPr="00077F9A">
      <w:instrText>3</w:instrText>
    </w:r>
    <w:r w:rsidRPr="00077F9A">
      <w:fldChar w:fldCharType="end"/>
    </w:r>
    <w:r w:rsidRPr="00077F9A">
      <w:instrText xml:space="preserve">/2) </w:instrText>
    </w:r>
    <w:r w:rsidRPr="00077F9A">
      <w:fldChar w:fldCharType="separate"/>
    </w:r>
    <w:r w:rsidR="001F596B" w:rsidRPr="00077F9A">
      <w:instrText>1</w:instrText>
    </w:r>
    <w:r w:rsidRPr="00077F9A">
      <w:fldChar w:fldCharType="end"/>
    </w:r>
    <w:r w:rsidRPr="00077F9A">
      <w:fldChar w:fldCharType="separate"/>
    </w:r>
    <w:r w:rsidR="001F596B" w:rsidRPr="00077F9A">
      <w:instrText>0,5</w:instrText>
    </w:r>
    <w:r w:rsidRPr="00077F9A">
      <w:fldChar w:fldCharType="end"/>
    </w:r>
    <w:r w:rsidRPr="00077F9A">
      <w:instrText xml:space="preserve"> = 0 "</w:instrText>
    </w: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Pr="00077F9A">
      <w:instrText>4</w:instrText>
    </w:r>
    <w:r w:rsidRPr="00077F9A">
      <w:fldChar w:fldCharType="end"/>
    </w:r>
  </w:p>
  <w:p w:rsidR="00312E0B" w:rsidRPr="00077F9A" w:rsidRDefault="00312E0B" w:rsidP="00F336A2">
    <w:pPr>
      <w:pStyle w:val="SidfotH"/>
      <w:framePr w:w="8957" w:h="283" w:hRule="exact" w:hSpace="0" w:vSpace="0" w:wrap="around" w:xAlign="inside" w:y="13040" w:anchorLock="0"/>
    </w:pPr>
    <w:r w:rsidRPr="00077F9A">
      <w:instrText>""</w:instrText>
    </w: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001F596B" w:rsidRPr="00077F9A">
      <w:instrText>3</w:instrText>
    </w:r>
    <w:r w:rsidRPr="00077F9A">
      <w:fldChar w:fldCharType="end"/>
    </w:r>
    <w:r w:rsidRPr="00077F9A">
      <w:instrText>"</w:instrText>
    </w:r>
    <w:r w:rsidRPr="00077F9A">
      <w:fldChar w:fldCharType="separate"/>
    </w:r>
    <w:r w:rsidR="001F596B" w:rsidRPr="00077F9A">
      <w:t>3</w:t>
    </w:r>
    <w:r w:rsidRPr="00077F9A">
      <w:fldChar w:fldCharType="end"/>
    </w:r>
  </w:p>
  <w:p w:rsidR="00312E0B" w:rsidRPr="00077F9A" w:rsidRDefault="00312E0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V"/>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Pr="00077F9A">
      <w:t>4</w:t>
    </w:r>
    <w:r w:rsidRPr="00077F9A">
      <w:fldChar w:fldCharType="end"/>
    </w:r>
  </w:p>
  <w:p w:rsidR="00312E0B" w:rsidRPr="00077F9A" w:rsidRDefault="00312E0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H"/>
      <w:framePr w:w="8732" w:h="284" w:hRule="exact" w:hSpace="0" w:vSpace="0" w:wrap="around" w:xAlign="inside" w:y="13042" w:anchorLock="0"/>
    </w:pPr>
    <w:r w:rsidRPr="00077F9A">
      <w:fldChar w:fldCharType="begin" w:fldLock="1"/>
    </w:r>
    <w:r w:rsidRPr="00077F9A">
      <w:instrText xml:space="preserve"> P</w:instrText>
    </w:r>
    <w:r w:rsidRPr="00077F9A">
      <w:instrText>A</w:instrText>
    </w:r>
    <w:r w:rsidRPr="00077F9A">
      <w:instrText xml:space="preserve">GE </w:instrText>
    </w:r>
    <w:r w:rsidRPr="00077F9A">
      <w:fldChar w:fldCharType="separate"/>
    </w:r>
    <w:r w:rsidRPr="00077F9A">
      <w:t>5</w:t>
    </w:r>
    <w:r w:rsidRPr="00077F9A">
      <w:fldChar w:fldCharType="end"/>
    </w:r>
  </w:p>
  <w:p w:rsidR="00312E0B" w:rsidRPr="00077F9A" w:rsidRDefault="00312E0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fotH"/>
      <w:framePr w:w="8732" w:h="284" w:hRule="exact" w:hSpace="0" w:vSpace="0" w:wrap="around" w:xAlign="inside" w:y="13042" w:anchorLock="0"/>
    </w:pPr>
  </w:p>
  <w:p w:rsidR="00312E0B" w:rsidRPr="00077F9A" w:rsidRDefault="00312E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E0B" w:rsidRPr="00077F9A" w:rsidRDefault="00312E0B">
      <w:r w:rsidRPr="00077F9A">
        <w:separator/>
      </w:r>
    </w:p>
  </w:footnote>
  <w:footnote w:type="continuationSeparator" w:id="0">
    <w:p w:rsidR="00312E0B" w:rsidRPr="00077F9A" w:rsidRDefault="00312E0B">
      <w:r w:rsidRPr="00077F9A">
        <w:continuationSeparator/>
      </w:r>
    </w:p>
  </w:footnote>
  <w:footnote w:id="1">
    <w:p w:rsidR="00312E0B" w:rsidRPr="00077F9A" w:rsidRDefault="00312E0B" w:rsidP="00641BC1">
      <w:pPr>
        <w:pStyle w:val="Fotnotstext"/>
      </w:pPr>
      <w:r w:rsidRPr="00077F9A">
        <w:rPr>
          <w:rStyle w:val="Fotnotsreferens"/>
        </w:rPr>
        <w:footnoteRef/>
      </w:r>
      <w:r w:rsidRPr="00077F9A">
        <w:t xml:space="preserve"> Riksdagsordningen omtryckt 2007:726.</w:t>
      </w:r>
    </w:p>
  </w:footnote>
  <w:footnote w:id="2">
    <w:p w:rsidR="00312E0B" w:rsidRPr="00077F9A" w:rsidRDefault="00312E0B" w:rsidP="00641BC1">
      <w:pPr>
        <w:pStyle w:val="Fotnotstext"/>
      </w:pPr>
      <w:r w:rsidRPr="00077F9A">
        <w:rPr>
          <w:rStyle w:val="Fotnotsreferens"/>
        </w:rPr>
        <w:footnoteRef/>
      </w:r>
      <w:r w:rsidRPr="00077F9A">
        <w:t xml:space="preserve"> Senaste lydelse 2008:757.</w:t>
      </w:r>
    </w:p>
  </w:footnote>
  <w:footnote w:id="3">
    <w:p w:rsidR="00312E0B" w:rsidRPr="00077F9A" w:rsidRDefault="00312E0B" w:rsidP="00CF1B5E">
      <w:pPr>
        <w:pStyle w:val="Fotnotstext"/>
      </w:pPr>
      <w:r w:rsidRPr="00077F9A">
        <w:rPr>
          <w:rStyle w:val="Fotnotsreferens"/>
        </w:rPr>
        <w:footnoteRef/>
      </w:r>
      <w:r w:rsidRPr="00077F9A">
        <w:t> (SOU 1994:12) Suveränitet och demokrati. Betänkande av EG-konsekvensutred</w:t>
      </w:r>
      <w:r w:rsidRPr="00077F9A">
        <w:softHyphen/>
        <w:t>ningarna: Subsidiaritet s. 115–116.</w:t>
      </w:r>
    </w:p>
  </w:footnote>
  <w:footnote w:id="4">
    <w:p w:rsidR="00312E0B" w:rsidRPr="00077F9A" w:rsidRDefault="00312E0B" w:rsidP="00CF1B5E">
      <w:pPr>
        <w:pStyle w:val="Fotnotstext"/>
      </w:pPr>
      <w:r w:rsidRPr="00077F9A">
        <w:rPr>
          <w:rStyle w:val="Fotnotsreferens"/>
        </w:rPr>
        <w:footnoteRef/>
      </w:r>
      <w:r w:rsidRPr="00077F9A">
        <w:t xml:space="preserve"> Ibid., s. 122–124.</w:t>
      </w:r>
    </w:p>
  </w:footnote>
  <w:footnote w:id="5">
    <w:p w:rsidR="00312E0B" w:rsidRPr="00077F9A" w:rsidRDefault="00312E0B" w:rsidP="00CF1B5E">
      <w:pPr>
        <w:pStyle w:val="Fotnotstext"/>
        <w:ind w:left="113" w:hanging="113"/>
      </w:pPr>
      <w:r w:rsidRPr="00077F9A">
        <w:rPr>
          <w:rStyle w:val="Fotnotsreferens"/>
        </w:rPr>
        <w:footnoteRef/>
      </w:r>
      <w:r w:rsidRPr="00077F9A">
        <w:t> Melin, Mats &amp; Schäder, Göran (2004) EU:s konstitution - Maktfördelningen mellan den europeiska unionen, medlemsstatern</w:t>
      </w:r>
      <w:r w:rsidRPr="00077F9A">
        <w:rPr>
          <w:spacing w:val="-2"/>
        </w:rPr>
        <w:t>a och medborgarna. Sjätte upplagan, s. 55. Norstedts Jur</w:t>
      </w:r>
      <w:r w:rsidRPr="00077F9A">
        <w:rPr>
          <w:spacing w:val="-2"/>
        </w:rPr>
        <w:t>i</w:t>
      </w:r>
      <w:r w:rsidRPr="00077F9A">
        <w:rPr>
          <w:spacing w:val="-2"/>
        </w:rPr>
        <w:t>dik</w:t>
      </w:r>
      <w:r w:rsidRPr="00077F9A">
        <w:t>.</w:t>
      </w:r>
    </w:p>
  </w:footnote>
  <w:footnote w:id="6">
    <w:p w:rsidR="00312E0B" w:rsidRPr="00077F9A" w:rsidRDefault="00312E0B" w:rsidP="00CF1B5E">
      <w:pPr>
        <w:pStyle w:val="Fotnotstext"/>
      </w:pPr>
      <w:r w:rsidRPr="00077F9A">
        <w:rPr>
          <w:rStyle w:val="Fotnotsreferens"/>
        </w:rPr>
        <w:footnoteRef/>
      </w:r>
      <w:r w:rsidRPr="00077F9A">
        <w:t xml:space="preserve"> Ibid., s. 55.</w:t>
      </w:r>
    </w:p>
  </w:footnote>
  <w:footnote w:id="7">
    <w:p w:rsidR="00312E0B" w:rsidRPr="00077F9A" w:rsidRDefault="00312E0B" w:rsidP="00CF1B5E">
      <w:pPr>
        <w:pStyle w:val="Fotnotstext"/>
      </w:pPr>
      <w:r w:rsidRPr="00077F9A">
        <w:rPr>
          <w:rStyle w:val="Fotnotsreferens"/>
        </w:rPr>
        <w:footnoteRef/>
      </w:r>
      <w:r w:rsidRPr="00077F9A">
        <w:t xml:space="preserve"> Ibid., s. 58.</w:t>
      </w:r>
    </w:p>
  </w:footnote>
  <w:footnote w:id="8">
    <w:p w:rsidR="00312E0B" w:rsidRPr="00077F9A" w:rsidRDefault="00312E0B" w:rsidP="00CF1B5E">
      <w:pPr>
        <w:pStyle w:val="Fotnotstext"/>
      </w:pPr>
      <w:r w:rsidRPr="00077F9A">
        <w:rPr>
          <w:rStyle w:val="Fotnotsreferens"/>
        </w:rPr>
        <w:footnoteRef/>
      </w:r>
      <w:r w:rsidRPr="00077F9A">
        <w:t xml:space="preserve"> Europafördrag (2002). Fjärde upplagan, s. 370–373. Norstedts Juridik.</w:t>
      </w:r>
    </w:p>
  </w:footnote>
  <w:footnote w:id="9">
    <w:p w:rsidR="00312E0B" w:rsidRPr="00077F9A" w:rsidRDefault="00312E0B" w:rsidP="00CF1B5E">
      <w:pPr>
        <w:pStyle w:val="Fotnotstext"/>
      </w:pPr>
      <w:r w:rsidRPr="00077F9A">
        <w:rPr>
          <w:rStyle w:val="Fotnotsreferens"/>
        </w:rPr>
        <w:footnoteRef/>
      </w:r>
      <w:r w:rsidRPr="00077F9A">
        <w:rPr>
          <w:spacing w:val="-2"/>
        </w:rPr>
        <w:t xml:space="preserve"> Punkt 4 i protokollet om de nationella parlamentens roll i Europeiska unionen. Ibid., s. 381.</w:t>
      </w:r>
    </w:p>
  </w:footnote>
  <w:footnote w:id="10">
    <w:p w:rsidR="00312E0B" w:rsidRPr="00077F9A" w:rsidRDefault="00312E0B" w:rsidP="00CF1B5E">
      <w:pPr>
        <w:pStyle w:val="Fotnotstext"/>
        <w:ind w:left="113" w:hanging="113"/>
        <w:rPr>
          <w:b/>
        </w:rPr>
      </w:pPr>
      <w:r w:rsidRPr="00077F9A">
        <w:rPr>
          <w:rStyle w:val="Fotnotsreferens"/>
        </w:rPr>
        <w:footnoteRef/>
      </w:r>
      <w:r w:rsidRPr="00077F9A">
        <w:t> KOM(2008) 586 slutlig. Rapport från kommissionen om subsidiaritet och proporti</w:t>
      </w:r>
      <w:r w:rsidRPr="00077F9A">
        <w:t>o</w:t>
      </w:r>
      <w:r w:rsidRPr="00077F9A">
        <w:t>nalitet (15:e rapporten om bättre la</w:t>
      </w:r>
      <w:r w:rsidRPr="00077F9A">
        <w:t>g</w:t>
      </w:r>
      <w:r w:rsidRPr="00077F9A">
        <w:t xml:space="preserve">stiftning, 2007), s. 4. </w:t>
      </w:r>
    </w:p>
  </w:footnote>
  <w:footnote w:id="11">
    <w:p w:rsidR="00312E0B" w:rsidRPr="00077F9A" w:rsidRDefault="00312E0B" w:rsidP="00CF1B5E">
      <w:pPr>
        <w:pStyle w:val="Fotnotstext"/>
      </w:pPr>
      <w:r w:rsidRPr="00077F9A">
        <w:rPr>
          <w:rStyle w:val="Fotnotsreferens"/>
        </w:rPr>
        <w:footnoteRef/>
      </w:r>
      <w:r w:rsidRPr="00077F9A">
        <w:t xml:space="preserve"> Melin &amp; Schäder (2004) s. 60.</w:t>
      </w:r>
    </w:p>
  </w:footnote>
  <w:footnote w:id="12">
    <w:p w:rsidR="00312E0B" w:rsidRPr="00077F9A" w:rsidRDefault="00312E0B" w:rsidP="00CF1B5E">
      <w:pPr>
        <w:pStyle w:val="Fotnotstext"/>
      </w:pPr>
      <w:r w:rsidRPr="00077F9A">
        <w:rPr>
          <w:rStyle w:val="Fotnotsreferens"/>
        </w:rPr>
        <w:footnoteRef/>
      </w:r>
      <w:r w:rsidRPr="00077F9A">
        <w:t> Hettne, Jörgen (2003) Subsidiaritetsprincipen: politisk granskning eller juridisk kontroll?, s. 26–30. Stockholm: Svenska institutet för europapolitiska st</w:t>
      </w:r>
      <w:r w:rsidRPr="00077F9A">
        <w:t>u</w:t>
      </w:r>
      <w:r w:rsidRPr="00077F9A">
        <w:t>dier (SIEPS).</w:t>
      </w:r>
    </w:p>
  </w:footnote>
  <w:footnote w:id="13">
    <w:p w:rsidR="00312E0B" w:rsidRPr="00077F9A" w:rsidRDefault="00312E0B" w:rsidP="00CF1B5E">
      <w:pPr>
        <w:pStyle w:val="Fotnotstext"/>
      </w:pPr>
      <w:r w:rsidRPr="00077F9A">
        <w:rPr>
          <w:rStyle w:val="Fotnotsreferens"/>
        </w:rPr>
        <w:footnoteRef/>
      </w:r>
      <w:r w:rsidRPr="00077F9A">
        <w:t xml:space="preserve"> Europafördrag (2002). Fjärde upplagan, s. 397. Norstedts Juridik.</w:t>
      </w:r>
    </w:p>
  </w:footnote>
  <w:footnote w:id="14">
    <w:p w:rsidR="00312E0B" w:rsidRPr="00077F9A" w:rsidRDefault="00312E0B" w:rsidP="00CF1B5E">
      <w:pPr>
        <w:pStyle w:val="Fotnotstext"/>
      </w:pPr>
      <w:r w:rsidRPr="00077F9A">
        <w:rPr>
          <w:rStyle w:val="Fotnotsreferens"/>
        </w:rPr>
        <w:footnoteRef/>
      </w:r>
      <w:r w:rsidRPr="00077F9A">
        <w:t xml:space="preserve"> Ibid., s. 380–381.</w:t>
      </w:r>
    </w:p>
  </w:footnote>
  <w:footnote w:id="15">
    <w:p w:rsidR="00312E0B" w:rsidRPr="00077F9A" w:rsidRDefault="00312E0B" w:rsidP="00CF1B5E">
      <w:pPr>
        <w:pStyle w:val="Fotnotstext"/>
      </w:pPr>
      <w:r w:rsidRPr="00077F9A">
        <w:rPr>
          <w:rStyle w:val="Fotnotsreferens"/>
        </w:rPr>
        <w:footnoteRef/>
      </w:r>
      <w:r w:rsidRPr="00077F9A">
        <w:t> Hegeland, Hans ”Nationella parlament i Europeiska unionen”. (SOU 2002:81) Riksd</w:t>
      </w:r>
      <w:r w:rsidRPr="00077F9A">
        <w:t>a</w:t>
      </w:r>
      <w:r w:rsidRPr="00077F9A">
        <w:t>gens roll i EU. Två expertrapporter till EU2004-kommittén s. 7.</w:t>
      </w:r>
    </w:p>
  </w:footnote>
  <w:footnote w:id="16">
    <w:p w:rsidR="00312E0B" w:rsidRPr="00077F9A" w:rsidRDefault="00312E0B" w:rsidP="00CF1B5E">
      <w:pPr>
        <w:pStyle w:val="Fotnotstext"/>
      </w:pPr>
      <w:r w:rsidRPr="00077F9A">
        <w:rPr>
          <w:rStyle w:val="Fotnotsreferens"/>
        </w:rPr>
        <w:footnoteRef/>
      </w:r>
      <w:r w:rsidRPr="00077F9A">
        <w:t> Corbett, Richards, Jacobs, Francis &amp; Schackleton, Michael (2005) The European Parli</w:t>
      </w:r>
      <w:r w:rsidRPr="00077F9A">
        <w:t>a</w:t>
      </w:r>
      <w:r w:rsidRPr="00077F9A">
        <w:t>ment. 6 ed. s. 283. London: John Harper.</w:t>
      </w:r>
    </w:p>
  </w:footnote>
  <w:footnote w:id="17">
    <w:p w:rsidR="00312E0B" w:rsidRPr="00077F9A" w:rsidRDefault="00312E0B" w:rsidP="00CF1B5E">
      <w:pPr>
        <w:pStyle w:val="Fotnotstext"/>
      </w:pPr>
      <w:r w:rsidRPr="00077F9A">
        <w:rPr>
          <w:rStyle w:val="Fotnotsreferens"/>
        </w:rPr>
        <w:footnoteRef/>
      </w:r>
      <w:r w:rsidRPr="00077F9A">
        <w:t> Andra länder som infört eller förberett införande av regler i samma syfte är Da</w:t>
      </w:r>
      <w:r w:rsidRPr="00077F9A">
        <w:t>n</w:t>
      </w:r>
      <w:r w:rsidRPr="00077F9A">
        <w:t>mark, Finland, Litauen och Nederlände</w:t>
      </w:r>
      <w:r w:rsidRPr="00077F9A">
        <w:t>r</w:t>
      </w:r>
      <w:r w:rsidRPr="00077F9A">
        <w:t>na.</w:t>
      </w:r>
    </w:p>
  </w:footnote>
  <w:footnote w:id="18">
    <w:p w:rsidR="00312E0B" w:rsidRPr="00077F9A" w:rsidRDefault="00312E0B" w:rsidP="00CF1B5E">
      <w:pPr>
        <w:pStyle w:val="Fotnotstext"/>
      </w:pPr>
      <w:r w:rsidRPr="00077F9A">
        <w:rPr>
          <w:rStyle w:val="Fotnotsreferens"/>
        </w:rPr>
        <w:footnoteRef/>
      </w:r>
      <w:r w:rsidRPr="00077F9A">
        <w:t xml:space="preserve"> Prop. 2007/08:168 del 2 s. 183.</w:t>
      </w:r>
    </w:p>
  </w:footnote>
  <w:footnote w:id="19">
    <w:p w:rsidR="00312E0B" w:rsidRPr="00077F9A" w:rsidRDefault="00312E0B" w:rsidP="00CF1B5E">
      <w:pPr>
        <w:pStyle w:val="Fotnotstext"/>
      </w:pPr>
      <w:r w:rsidRPr="00077F9A">
        <w:rPr>
          <w:rStyle w:val="Fotnotsreferens"/>
        </w:rPr>
        <w:footnoteRef/>
      </w:r>
      <w:r w:rsidRPr="00077F9A">
        <w:t xml:space="preserve"> Lissabonfördraget – Konsoliderad version av EU:s fördrag (2008), s. 13–286. SNS förlag.</w:t>
      </w:r>
    </w:p>
  </w:footnote>
  <w:footnote w:id="20">
    <w:p w:rsidR="00312E0B" w:rsidRPr="00077F9A" w:rsidRDefault="00312E0B" w:rsidP="00CF1B5E">
      <w:pPr>
        <w:pStyle w:val="Fotnotstext"/>
      </w:pPr>
      <w:r w:rsidRPr="00077F9A">
        <w:rPr>
          <w:rStyle w:val="Fotnotsreferens"/>
        </w:rPr>
        <w:footnoteRef/>
      </w:r>
      <w:r w:rsidRPr="00077F9A">
        <w:t xml:space="preserve"> Ibid., s. 287–304.</w:t>
      </w:r>
    </w:p>
  </w:footnote>
  <w:footnote w:id="21">
    <w:p w:rsidR="00312E0B" w:rsidRPr="00077F9A" w:rsidRDefault="00312E0B" w:rsidP="00CF1B5E">
      <w:pPr>
        <w:pStyle w:val="Fotnotstextindrag"/>
      </w:pPr>
      <w:r w:rsidRPr="00077F9A">
        <w:rPr>
          <w:rStyle w:val="Fotnotsreferens"/>
        </w:rPr>
        <w:footnoteRef/>
      </w:r>
      <w:r w:rsidRPr="00077F9A">
        <w:t xml:space="preserve"> Hettne, Jörgen (2008) </w:t>
      </w:r>
      <w:r w:rsidRPr="00077F9A">
        <w:rPr>
          <w:iCs/>
        </w:rPr>
        <w:t>Rättsprinciper som styrmedel – Allmänna rättsprinciper i EU:s do</w:t>
      </w:r>
      <w:r w:rsidRPr="00077F9A">
        <w:rPr>
          <w:iCs/>
        </w:rPr>
        <w:t>m</w:t>
      </w:r>
      <w:r w:rsidRPr="00077F9A">
        <w:rPr>
          <w:iCs/>
        </w:rPr>
        <w:t>stol</w:t>
      </w:r>
      <w:r w:rsidRPr="00077F9A">
        <w:t xml:space="preserve"> s. 266. Diss. Stockholm: Stockholms universitet.</w:t>
      </w:r>
    </w:p>
  </w:footnote>
  <w:footnote w:id="22">
    <w:p w:rsidR="00312E0B" w:rsidRPr="00077F9A" w:rsidRDefault="00312E0B" w:rsidP="00CF1B5E">
      <w:pPr>
        <w:pStyle w:val="Fotnotstext"/>
      </w:pPr>
      <w:r w:rsidRPr="00077F9A">
        <w:rPr>
          <w:rStyle w:val="Fotnotsreferens"/>
        </w:rPr>
        <w:footnoteRef/>
      </w:r>
      <w:r w:rsidRPr="00077F9A">
        <w:t> Detta är som framgår nedan ingen uttömmande beskrivning av de nationella parl</w:t>
      </w:r>
      <w:r w:rsidRPr="00077F9A">
        <w:t>a</w:t>
      </w:r>
      <w:r w:rsidRPr="00077F9A">
        <w:t>mentens roll inom detta område.</w:t>
      </w:r>
    </w:p>
  </w:footnote>
  <w:footnote w:id="23">
    <w:p w:rsidR="00312E0B" w:rsidRPr="00077F9A" w:rsidRDefault="00312E0B" w:rsidP="00CF1B5E">
      <w:pPr>
        <w:pStyle w:val="Fotnotstext"/>
      </w:pPr>
      <w:r w:rsidRPr="00077F9A">
        <w:rPr>
          <w:rStyle w:val="Fotnotsreferens"/>
        </w:rPr>
        <w:footnoteRef/>
      </w:r>
      <w:r w:rsidRPr="00077F9A">
        <w:t xml:space="preserve"> Genom Lissabonfördraget byter EG-domstolen namn till EU-domstolen.</w:t>
      </w:r>
    </w:p>
  </w:footnote>
  <w:footnote w:id="24">
    <w:p w:rsidR="00312E0B" w:rsidRPr="00077F9A" w:rsidRDefault="00312E0B" w:rsidP="00CF1B5E">
      <w:pPr>
        <w:pStyle w:val="Fotnotstext"/>
      </w:pPr>
      <w:r w:rsidRPr="00077F9A">
        <w:rPr>
          <w:rStyle w:val="Fotnotsreferens"/>
        </w:rPr>
        <w:footnoteRef/>
      </w:r>
      <w:r w:rsidRPr="00077F9A">
        <w:t xml:space="preserve"> Se t.ex. KOM(2008) 586, KOM(2007) 286, KOM(2006) 289.</w:t>
      </w:r>
    </w:p>
  </w:footnote>
  <w:footnote w:id="25">
    <w:p w:rsidR="00312E0B" w:rsidRPr="00077F9A" w:rsidRDefault="00312E0B" w:rsidP="00CF1B5E">
      <w:pPr>
        <w:pStyle w:val="Fotnotstext"/>
      </w:pPr>
      <w:r w:rsidRPr="00077F9A">
        <w:rPr>
          <w:rStyle w:val="Fotnotsreferens"/>
        </w:rPr>
        <w:footnoteRef/>
      </w:r>
      <w:r w:rsidRPr="00077F9A">
        <w:t> I Sverige skulle man inte kalla det som sker genom passerellen för en fördragsän</w:t>
      </w:r>
      <w:r w:rsidRPr="00077F9A">
        <w:t>d</w:t>
      </w:r>
      <w:r w:rsidRPr="00077F9A">
        <w:t>ring. Inget i fördraget ändras ju, utan vad som sker är att en möjlighet som redan finns i fördr</w:t>
      </w:r>
      <w:r w:rsidRPr="00077F9A">
        <w:t>a</w:t>
      </w:r>
      <w:r w:rsidRPr="00077F9A">
        <w:t>get utnyttjas genom ett bemyndigande.</w:t>
      </w:r>
    </w:p>
  </w:footnote>
  <w:footnote w:id="26">
    <w:p w:rsidR="00312E0B" w:rsidRPr="00077F9A" w:rsidRDefault="00312E0B" w:rsidP="00CF1B5E">
      <w:pPr>
        <w:pStyle w:val="Fotnotstext"/>
        <w:ind w:left="176" w:hanging="176"/>
      </w:pPr>
      <w:r w:rsidRPr="00077F9A">
        <w:rPr>
          <w:rStyle w:val="Fotnotsreferens"/>
        </w:rPr>
        <w:footnoteRef/>
      </w:r>
      <w:r w:rsidRPr="00077F9A">
        <w:t> Samma påpekande har gjorts i den finska diskussionen, se Utveckling av EU-procedurerna – Betänkande från kommissionen för översyn av EU-procedurer, sä</w:t>
      </w:r>
      <w:r w:rsidRPr="00077F9A">
        <w:t>r</w:t>
      </w:r>
      <w:r w:rsidRPr="00077F9A">
        <w:t>skilt s. 46. Riksdagens kanslis pu</w:t>
      </w:r>
      <w:r w:rsidRPr="00077F9A">
        <w:t>b</w:t>
      </w:r>
      <w:r w:rsidRPr="00077F9A">
        <w:t>likationer 3/2005.</w:t>
      </w:r>
    </w:p>
  </w:footnote>
  <w:footnote w:id="27">
    <w:p w:rsidR="00312E0B" w:rsidRPr="00077F9A" w:rsidRDefault="00312E0B" w:rsidP="00CF1B5E">
      <w:pPr>
        <w:pStyle w:val="Fotnotstext"/>
        <w:tabs>
          <w:tab w:val="left" w:pos="2470"/>
        </w:tabs>
      </w:pPr>
      <w:r w:rsidRPr="00077F9A">
        <w:rPr>
          <w:rStyle w:val="Fotnotsreferens"/>
        </w:rPr>
        <w:footnoteRef/>
      </w:r>
      <w:r w:rsidRPr="00077F9A">
        <w:t xml:space="preserve"> Se http://www.Cosac.eu/en/info/earlywarning/.</w:t>
      </w:r>
    </w:p>
  </w:footnote>
  <w:footnote w:id="28">
    <w:p w:rsidR="00312E0B" w:rsidRPr="00077F9A" w:rsidRDefault="00312E0B" w:rsidP="00CF1B5E">
      <w:pPr>
        <w:pStyle w:val="Fotnotstext"/>
        <w:ind w:left="176" w:hanging="176"/>
      </w:pPr>
      <w:r w:rsidRPr="00077F9A">
        <w:rPr>
          <w:rStyle w:val="Fotnotsreferens"/>
        </w:rPr>
        <w:footnoteRef/>
      </w:r>
      <w:r w:rsidRPr="00077F9A">
        <w:t> Riksdagen (AU) skickade in en rapport daterad den 29 september 2008, men den noteras inte alls i Cosacs slutrapport.</w:t>
      </w:r>
    </w:p>
  </w:footnote>
  <w:footnote w:id="29">
    <w:p w:rsidR="00312E0B" w:rsidRPr="00077F9A" w:rsidRDefault="00312E0B" w:rsidP="00CF1B5E">
      <w:pPr>
        <w:pStyle w:val="Fotnotstext"/>
      </w:pPr>
      <w:r w:rsidRPr="00077F9A">
        <w:rPr>
          <w:rStyle w:val="Fotnotsreferens"/>
        </w:rPr>
        <w:footnoteRef/>
      </w:r>
      <w:r w:rsidRPr="00077F9A">
        <w:t xml:space="preserve"> I pilotförsöket gällde faktapromemorian bara ett av de tre prövade förslagen.</w:t>
      </w:r>
    </w:p>
  </w:footnote>
  <w:footnote w:id="30">
    <w:p w:rsidR="00312E0B" w:rsidRPr="00077F9A" w:rsidRDefault="00312E0B" w:rsidP="00CF1B5E">
      <w:pPr>
        <w:pStyle w:val="Fotnotstext"/>
        <w:ind w:left="176" w:hanging="176"/>
      </w:pPr>
      <w:r w:rsidRPr="00077F9A">
        <w:rPr>
          <w:rStyle w:val="Fotnotsreferens"/>
        </w:rPr>
        <w:footnoteRef/>
      </w:r>
      <w:r w:rsidRPr="00077F9A">
        <w:t> Uppgifter inhämtade muntligt den 30 januari 2009 från kanslichef Monica Karlsson Doh</w:t>
      </w:r>
      <w:r w:rsidRPr="00077F9A">
        <w:t>n</w:t>
      </w:r>
      <w:r w:rsidRPr="00077F9A">
        <w:t>hammar och föredragande Kirsten Dieden.</w:t>
      </w:r>
    </w:p>
  </w:footnote>
  <w:footnote w:id="31">
    <w:p w:rsidR="00312E0B" w:rsidRPr="00077F9A" w:rsidRDefault="00312E0B" w:rsidP="00606FAD">
      <w:pPr>
        <w:pStyle w:val="Fotnotstext"/>
      </w:pPr>
      <w:r w:rsidRPr="00077F9A">
        <w:rPr>
          <w:rStyle w:val="Fotnotsreferens"/>
        </w:rPr>
        <w:footnoteRef/>
      </w:r>
      <w:r w:rsidRPr="00077F9A">
        <w:t xml:space="preserve"> Riksdagsordningen omtryckt 2007:726.</w:t>
      </w:r>
    </w:p>
  </w:footnote>
  <w:footnote w:id="32">
    <w:p w:rsidR="00312E0B" w:rsidRPr="00077F9A" w:rsidRDefault="00312E0B" w:rsidP="00606FAD">
      <w:pPr>
        <w:pStyle w:val="Fotnotstext"/>
      </w:pPr>
      <w:r w:rsidRPr="00077F9A">
        <w:rPr>
          <w:rStyle w:val="Fotnotsreferens"/>
        </w:rPr>
        <w:footnoteRef/>
      </w:r>
      <w:r w:rsidRPr="00077F9A">
        <w:t xml:space="preserve"> Senaste lydelse 2008:757.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huvudKantJmn"/>
      <w:framePr w:w="8732" w:h="567" w:hRule="exact" w:vSpace="0" w:wrap="around" w:vAnchor="page" w:y="341" w:anchorLock="0"/>
    </w:pP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00A56E21" w:rsidRPr="00077F9A">
      <w:rPr>
        <w:rStyle w:val="SidhuvudUtskott"/>
      </w:rPr>
      <w:t>2008/09</w:t>
    </w:r>
    <w:r w:rsidRPr="00077F9A">
      <w:rPr>
        <w:rStyle w:val="SidhuvudUtskott"/>
      </w:rPr>
      <w:fldChar w:fldCharType="end"/>
    </w:r>
    <w:r w:rsidRPr="00077F9A">
      <w:rPr>
        <w:rStyle w:val="SidhuvudUtskott"/>
      </w:rPr>
      <w:t>:</w:t>
    </w:r>
    <w:r w:rsidRPr="00077F9A">
      <w:rPr>
        <w:rStyle w:val="SidhuvudUtskott"/>
      </w:rPr>
      <w:fldChar w:fldCharType="begin" w:fldLock="1"/>
    </w:r>
    <w:r w:rsidRPr="00077F9A">
      <w:rPr>
        <w:rStyle w:val="SidhuvudUtskott"/>
      </w:rPr>
      <w:instrText xml:space="preserve"> DOCPROPERTY Utskott</w:instrText>
    </w:r>
    <w:r w:rsidRPr="00077F9A">
      <w:rPr>
        <w:rStyle w:val="SidhuvudUtskott"/>
      </w:rPr>
      <w:fldChar w:fldCharType="separate"/>
    </w:r>
    <w:r w:rsidR="00A56E21" w:rsidRPr="00077F9A">
      <w:rPr>
        <w:rStyle w:val="SidhuvudUtskott"/>
      </w:rPr>
      <w:t>RS</w: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BetänkandeNr</w:instrText>
    </w:r>
    <w:r w:rsidRPr="00077F9A">
      <w:rPr>
        <w:rStyle w:val="SidhuvudUtskott"/>
      </w:rPr>
      <w:fldChar w:fldCharType="separate"/>
    </w:r>
    <w:r w:rsidR="00A56E21" w:rsidRPr="00077F9A">
      <w:rPr>
        <w:rStyle w:val="SidhuvudUtskott"/>
      </w:rPr>
      <w:t>4</w:t>
    </w:r>
    <w:r w:rsidRPr="00077F9A">
      <w:rPr>
        <w:rStyle w:val="SidhuvudUtskott"/>
      </w:rPr>
      <w:fldChar w:fldCharType="end"/>
    </w:r>
    <w:r w:rsidRPr="00077F9A">
      <w:t xml:space="preserve">     </w:t>
    </w:r>
    <w:r w:rsidRPr="00077F9A">
      <w:rPr>
        <w:rStyle w:val="SidhuvudBilaga"/>
      </w:rPr>
      <w:t xml:space="preserve"> </w:t>
    </w:r>
    <w:r w:rsidRPr="00077F9A">
      <w:rPr>
        <w:rStyle w:val="SidhuvudRubrikReferens"/>
      </w:rPr>
      <w:fldChar w:fldCharType="begin" w:fldLock="1"/>
    </w:r>
    <w:r w:rsidRPr="00077F9A">
      <w:rPr>
        <w:rStyle w:val="SidhuvudRubrikReferens"/>
      </w:rPr>
      <w:instrText xml:space="preserve"> StyleREF "Rubrik 1" </w:instrText>
    </w:r>
    <w:r w:rsidRPr="00077F9A">
      <w:rPr>
        <w:rStyle w:val="SidhuvudRubrikReferens"/>
      </w:rPr>
      <w:fldChar w:fldCharType="end"/>
    </w:r>
  </w:p>
  <w:p w:rsidR="00312E0B" w:rsidRPr="00077F9A" w:rsidRDefault="00312E0B">
    <w:pPr>
      <w:pStyle w:val="SidhuvudKantJmn"/>
      <w:framePr w:w="8732" w:h="567" w:hRule="exact" w:vSpace="0" w:wrap="around" w:vAnchor="page" w:y="341" w:anchorLock="0"/>
    </w:pPr>
    <w:r w:rsidRPr="00077F9A">
      <w:rPr>
        <w:rStyle w:val="SidhuvudUtskott"/>
      </w:rPr>
      <w:fldChar w:fldCharType="begin" w:fldLock="1"/>
    </w:r>
    <w:r w:rsidRPr="00077F9A">
      <w:rPr>
        <w:rStyle w:val="SidhuvudUtskott"/>
      </w:rPr>
      <w:instrText xml:space="preserve"> DOCPROPERTY Status</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00A56E21" w:rsidRPr="00077F9A">
      <w:rPr>
        <w:rStyle w:val="SidhuvudUtskott"/>
      </w:rPr>
      <w:instrText>Nej</w:instrText>
    </w:r>
    <w:r w:rsidRPr="00077F9A">
      <w:rPr>
        <w:rStyle w:val="SidhuvudUtskott"/>
      </w:rPr>
      <w:fldChar w:fldCharType="end"/>
    </w:r>
    <w:r w:rsidRPr="00077F9A">
      <w:rPr>
        <w:rStyle w:val="SidhuvudUtskott"/>
      </w:rPr>
      <w:instrText xml:space="preserve"> = "Ja" "    </w:instrText>
    </w:r>
    <w:r w:rsidRPr="00077F9A">
      <w:rPr>
        <w:rStyle w:val="SidhuvudUtskott"/>
      </w:rPr>
      <w:fldChar w:fldCharType="begin" w:fldLock="1"/>
    </w:r>
    <w:r w:rsidRPr="00077F9A">
      <w:rPr>
        <w:rStyle w:val="SidhuvudUtskott"/>
      </w:rPr>
      <w:instrText xml:space="preserve"> PRINTDATE \@ "yyyy-MM-dd HH.mm"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p>
  <w:p w:rsidR="00312E0B" w:rsidRPr="00077F9A" w:rsidRDefault="00312E0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CF1B5E">
    <w:pPr>
      <w:pStyle w:val="SidhuvudKantJmn"/>
      <w:framePr w:w="8732" w:h="567" w:hRule="exact" w:vSpace="0" w:wrap="around" w:vAnchor="page" w:y="341" w:anchorLock="0"/>
      <w:rPr>
        <w:rStyle w:val="SidhuvudUtskott"/>
        <w:spacing w:val="8"/>
      </w:rPr>
    </w:pPr>
    <w:r w:rsidRPr="00077F9A">
      <w:rPr>
        <w:rStyle w:val="SidhuvudUtskott"/>
        <w:spacing w:val="8"/>
      </w:rPr>
      <w:t>2008/09:RS4</w:t>
    </w:r>
  </w:p>
  <w:p w:rsidR="00312E0B" w:rsidRPr="00077F9A" w:rsidRDefault="00312E0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560A90">
    <w:pPr>
      <w:pStyle w:val="SidhuvudKantUdda"/>
      <w:framePr w:wrap="around"/>
    </w:pPr>
    <w:r w:rsidRPr="00077F9A">
      <w:fldChar w:fldCharType="begin" w:fldLock="1"/>
    </w:r>
    <w:r w:rsidRPr="00077F9A">
      <w:instrText xml:space="preserve"> if </w:instrText>
    </w:r>
    <w:r w:rsidRPr="00077F9A">
      <w:fldChar w:fldCharType="begin" w:fldLock="1"/>
    </w:r>
    <w:r w:rsidRPr="00077F9A">
      <w:instrText xml:space="preserve"> page</w:instrText>
    </w:r>
    <w:r w:rsidRPr="00077F9A">
      <w:fldChar w:fldCharType="separate"/>
    </w:r>
    <w:r w:rsidR="001F596B" w:rsidRPr="00077F9A">
      <w:instrText>11</w:instrText>
    </w:r>
    <w:r w:rsidRPr="00077F9A">
      <w:fldChar w:fldCharType="end"/>
    </w:r>
    <w:r w:rsidRPr="00077F9A">
      <w:instrText xml:space="preserve"> &gt; 1 "</w:instrText>
    </w:r>
    <w:r w:rsidRPr="00077F9A">
      <w:fldChar w:fldCharType="begin" w:fldLock="1"/>
    </w:r>
    <w:r w:rsidRPr="00077F9A">
      <w:instrText xml:space="preserve"> if </w:instrText>
    </w:r>
    <w:r w:rsidRPr="00077F9A">
      <w:fldChar w:fldCharType="begin" w:fldLock="1"/>
    </w:r>
    <w:r w:rsidRPr="00077F9A">
      <w:instrText xml:space="preserve"> = </w:instrText>
    </w:r>
    <w:r w:rsidRPr="00077F9A">
      <w:fldChar w:fldCharType="begin" w:fldLock="1"/>
    </w:r>
    <w:r w:rsidRPr="00077F9A">
      <w:instrText xml:space="preserve"> = </w:instrText>
    </w:r>
    <w:r w:rsidRPr="00077F9A">
      <w:fldChar w:fldCharType="begin" w:fldLock="1"/>
    </w:r>
    <w:r w:rsidRPr="00077F9A">
      <w:instrText xml:space="preserve"> page</w:instrText>
    </w:r>
    <w:r w:rsidRPr="00077F9A">
      <w:fldChar w:fldCharType="separate"/>
    </w:r>
    <w:r w:rsidR="001F596B" w:rsidRPr="00077F9A">
      <w:instrText>11</w:instrText>
    </w:r>
    <w:r w:rsidRPr="00077F9A">
      <w:fldChar w:fldCharType="end"/>
    </w:r>
    <w:r w:rsidRPr="00077F9A">
      <w:instrText xml:space="preserve">/2 </w:instrText>
    </w:r>
    <w:r w:rsidRPr="00077F9A">
      <w:fldChar w:fldCharType="separate"/>
    </w:r>
    <w:r w:rsidR="001F596B" w:rsidRPr="00077F9A">
      <w:instrText>5,5</w:instrText>
    </w:r>
    <w:r w:rsidRPr="00077F9A">
      <w:fldChar w:fldCharType="end"/>
    </w:r>
    <w:r w:rsidRPr="00077F9A">
      <w:instrText xml:space="preserve"> - </w:instrText>
    </w:r>
    <w:r w:rsidRPr="00077F9A">
      <w:fldChar w:fldCharType="begin" w:fldLock="1"/>
    </w:r>
    <w:r w:rsidRPr="00077F9A">
      <w:instrText xml:space="preserve"> = int(</w:instrText>
    </w:r>
    <w:r w:rsidRPr="00077F9A">
      <w:fldChar w:fldCharType="begin" w:fldLock="1"/>
    </w:r>
    <w:r w:rsidRPr="00077F9A">
      <w:instrText xml:space="preserve"> page</w:instrText>
    </w:r>
    <w:r w:rsidRPr="00077F9A">
      <w:fldChar w:fldCharType="separate"/>
    </w:r>
    <w:r w:rsidR="001F596B" w:rsidRPr="00077F9A">
      <w:instrText>11</w:instrText>
    </w:r>
    <w:r w:rsidRPr="00077F9A">
      <w:fldChar w:fldCharType="end"/>
    </w:r>
    <w:r w:rsidRPr="00077F9A">
      <w:instrText xml:space="preserve">/2) </w:instrText>
    </w:r>
    <w:r w:rsidRPr="00077F9A">
      <w:fldChar w:fldCharType="separate"/>
    </w:r>
    <w:r w:rsidR="001F596B" w:rsidRPr="00077F9A">
      <w:instrText>5</w:instrText>
    </w:r>
    <w:r w:rsidRPr="00077F9A">
      <w:fldChar w:fldCharType="end"/>
    </w:r>
    <w:r w:rsidRPr="00077F9A">
      <w:fldChar w:fldCharType="separate"/>
    </w:r>
    <w:r w:rsidR="001F596B" w:rsidRPr="00077F9A">
      <w:instrText>0,5</w:instrText>
    </w:r>
    <w:r w:rsidRPr="00077F9A">
      <w:fldChar w:fldCharType="end"/>
    </w:r>
    <w:r w:rsidRPr="00077F9A">
      <w:instrText xml:space="preserve"> = 0 "</w:instrTex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Pr="00077F9A">
      <w:rPr>
        <w:rStyle w:val="SidhuvudUtskott"/>
      </w:rPr>
      <w:instrText>2008/09</w:instrText>
    </w:r>
    <w:r w:rsidRPr="00077F9A">
      <w:rPr>
        <w:rStyle w:val="SidhuvudUtskott"/>
      </w:rPr>
      <w:fldChar w:fldCharType="end"/>
    </w:r>
    <w:r w:rsidRPr="00077F9A">
      <w:rPr>
        <w:rStyle w:val="SidhuvudUtskott"/>
      </w:rPr>
      <w:instrText>:</w:instrText>
    </w:r>
    <w:r w:rsidRPr="00077F9A">
      <w:rPr>
        <w:rStyle w:val="SidhuvudUtskott"/>
      </w:rPr>
      <w:fldChar w:fldCharType="begin" w:fldLock="1"/>
    </w:r>
    <w:r w:rsidRPr="00077F9A">
      <w:rPr>
        <w:rStyle w:val="SidhuvudUtskott"/>
      </w:rPr>
      <w:instrText xml:space="preserve"> DOCPR</w:instrText>
    </w:r>
    <w:r w:rsidRPr="00077F9A">
      <w:rPr>
        <w:rStyle w:val="SidhuvudUtskott"/>
      </w:rPr>
      <w:instrText>O</w:instrText>
    </w:r>
    <w:r w:rsidRPr="00077F9A">
      <w:rPr>
        <w:rStyle w:val="SidhuvudUtskott"/>
      </w:rPr>
      <w:instrText>PERTY Utskott</w:instrText>
    </w:r>
    <w:r w:rsidRPr="00077F9A">
      <w:rPr>
        <w:rStyle w:val="SidhuvudUtskott"/>
      </w:rPr>
      <w:fldChar w:fldCharType="separate"/>
    </w:r>
    <w:r w:rsidRPr="00077F9A">
      <w:rPr>
        <w:rStyle w:val="SidhuvudUtskott"/>
      </w:rPr>
      <w:instrText>RS</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BetänkandeNr</w:instrText>
    </w:r>
    <w:r w:rsidRPr="00077F9A">
      <w:rPr>
        <w:rStyle w:val="SidhuvudUtskott"/>
      </w:rPr>
      <w:fldChar w:fldCharType="separate"/>
    </w:r>
    <w:r w:rsidRPr="00077F9A">
      <w:rPr>
        <w:rStyle w:val="SidhuvudUtskott"/>
      </w:rPr>
      <w:instrText>4</w:instrText>
    </w:r>
    <w:r w:rsidRPr="00077F9A">
      <w:rPr>
        <w:rStyle w:val="SidhuvudUtskott"/>
      </w:rPr>
      <w:fldChar w:fldCharType="end"/>
    </w:r>
    <w:r w:rsidRPr="00077F9A">
      <w:instrText xml:space="preserve">    </w:instrText>
    </w:r>
  </w:p>
  <w:p w:rsidR="00312E0B" w:rsidRPr="00077F9A" w:rsidRDefault="00312E0B" w:rsidP="00560A90">
    <w:pPr>
      <w:pStyle w:val="SidhuvudKantUdda"/>
      <w:framePr w:wrap="around"/>
    </w:pPr>
    <w:r w:rsidRPr="00077F9A">
      <w:rPr>
        <w:rStyle w:val="SidhuvudUtskott"/>
      </w:rPr>
      <w:fldChar w:fldCharType="begin" w:fldLock="1"/>
    </w:r>
    <w:r w:rsidRPr="00077F9A">
      <w:rPr>
        <w:rStyle w:val="SidhuvudUtskott"/>
      </w:rPr>
      <w:instrText xml:space="preserve"> DOCPROPERTY Status</w:instrText>
    </w:r>
    <w:r w:rsidRPr="00077F9A">
      <w:rPr>
        <w:rStyle w:val="SidhuvudUtskott"/>
      </w:rPr>
      <w:fldChar w:fldCharType="separate"/>
    </w:r>
    <w:r w:rsidRPr="00077F9A">
      <w:rPr>
        <w:rStyle w:val="SidhuvudUtskott"/>
      </w:rPr>
      <w:instrText>Utkast</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Pr="00077F9A">
      <w:rPr>
        <w:rStyle w:val="SidhuvudUtskott"/>
      </w:rPr>
      <w:instrText>Nej</w:instrText>
    </w:r>
    <w:r w:rsidRPr="00077F9A">
      <w:rPr>
        <w:rStyle w:val="SidhuvudUtskott"/>
      </w:rPr>
      <w:fldChar w:fldCharType="end"/>
    </w:r>
    <w:r w:rsidRPr="00077F9A">
      <w:rPr>
        <w:rStyle w:val="SidhuvudUtskott"/>
      </w:rPr>
      <w:instrText xml:space="preserve"> = "Ja" "    </w:instrText>
    </w:r>
    <w:r w:rsidRPr="00077F9A">
      <w:rPr>
        <w:rStyle w:val="SidhuvudUtskott"/>
      </w:rPr>
      <w:fldChar w:fldCharType="begin" w:fldLock="1"/>
    </w:r>
    <w:r w:rsidRPr="00077F9A">
      <w:rPr>
        <w:rStyle w:val="SidhuvudUtskott"/>
      </w:rPr>
      <w:instrText xml:space="preserve"> PRINTDATE \@ "yyyy-MM-dd HH.mm"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p>
  <w:p w:rsidR="00312E0B" w:rsidRPr="00077F9A" w:rsidRDefault="00312E0B" w:rsidP="00560A90">
    <w:pPr>
      <w:pStyle w:val="SidhuvudKantUdda"/>
      <w:framePr w:wrap="around"/>
    </w:pPr>
    <w:r w:rsidRPr="00077F9A">
      <w:rPr>
        <w:rStyle w:val="SidhuvudRubrikReferens"/>
        <w:smallCaps w:val="0"/>
      </w:rPr>
      <w:instrText xml:space="preserve"> </w:instrText>
    </w:r>
    <w:r w:rsidRPr="00077F9A">
      <w:instrText xml:space="preserve">"  "  </w:instrTex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00A56E21" w:rsidRPr="00077F9A">
      <w:rPr>
        <w:rStyle w:val="SidhuvudUtskott"/>
      </w:rPr>
      <w:instrText>2008/09</w:instrText>
    </w:r>
    <w:r w:rsidRPr="00077F9A">
      <w:rPr>
        <w:rStyle w:val="SidhuvudUtskott"/>
      </w:rPr>
      <w:fldChar w:fldCharType="end"/>
    </w:r>
    <w:r w:rsidRPr="00077F9A">
      <w:rPr>
        <w:rStyle w:val="SidhuvudUtskott"/>
      </w:rPr>
      <w:instrText>:</w:instrText>
    </w:r>
    <w:r w:rsidRPr="00077F9A">
      <w:rPr>
        <w:rStyle w:val="SidhuvudUtskott"/>
      </w:rPr>
      <w:fldChar w:fldCharType="begin" w:fldLock="1"/>
    </w:r>
    <w:r w:rsidRPr="00077F9A">
      <w:rPr>
        <w:rStyle w:val="SidhuvudUtskott"/>
      </w:rPr>
      <w:instrText xml:space="preserve"> DOCPROPERTY Utskott</w:instrText>
    </w:r>
    <w:r w:rsidRPr="00077F9A">
      <w:rPr>
        <w:rStyle w:val="SidhuvudUtskott"/>
      </w:rPr>
      <w:fldChar w:fldCharType="separate"/>
    </w:r>
    <w:r w:rsidR="00A56E21" w:rsidRPr="00077F9A">
      <w:rPr>
        <w:rStyle w:val="SidhuvudUtskott"/>
      </w:rPr>
      <w:instrText>RS</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BetänkandeNr</w:instrText>
    </w:r>
    <w:r w:rsidRPr="00077F9A">
      <w:rPr>
        <w:rStyle w:val="SidhuvudUtskott"/>
      </w:rPr>
      <w:fldChar w:fldCharType="separate"/>
    </w:r>
    <w:r w:rsidR="00A56E21" w:rsidRPr="00077F9A">
      <w:rPr>
        <w:rStyle w:val="SidhuvudUtskott"/>
      </w:rPr>
      <w:instrText>4</w:instrText>
    </w:r>
    <w:r w:rsidRPr="00077F9A">
      <w:rPr>
        <w:rStyle w:val="SidhuvudUtskott"/>
      </w:rPr>
      <w:fldChar w:fldCharType="end"/>
    </w:r>
  </w:p>
  <w:p w:rsidR="001F596B" w:rsidRPr="00077F9A" w:rsidRDefault="00312E0B" w:rsidP="00560A90">
    <w:pPr>
      <w:pStyle w:val="SidhuvudKantUdda"/>
      <w:framePr w:wrap="around"/>
    </w:pP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00A56E21" w:rsidRPr="00077F9A">
      <w:rPr>
        <w:rStyle w:val="SidhuvudUtskott"/>
      </w:rPr>
      <w:instrText>Nej</w:instrText>
    </w:r>
    <w:r w:rsidRPr="00077F9A">
      <w:rPr>
        <w:rStyle w:val="SidhuvudUtskott"/>
      </w:rPr>
      <w:fldChar w:fldCharType="end"/>
    </w:r>
    <w:r w:rsidRPr="00077F9A">
      <w:rPr>
        <w:rStyle w:val="SidhuvudUtskott"/>
      </w:rPr>
      <w:instrText xml:space="preserve"> = "Ja" "</w:instrText>
    </w:r>
    <w:r w:rsidRPr="00077F9A">
      <w:rPr>
        <w:rStyle w:val="SidhuvudUtskott"/>
      </w:rPr>
      <w:fldChar w:fldCharType="begin" w:fldLock="1"/>
    </w:r>
    <w:r w:rsidRPr="00077F9A">
      <w:rPr>
        <w:rStyle w:val="SidhuvudUtskott"/>
      </w:rPr>
      <w:instrText xml:space="preserve"> PRINTDATE \@ "yyyy-MM-dd HH.mm    "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w:instrText>
    </w:r>
    <w:r w:rsidRPr="00077F9A">
      <w:rPr>
        <w:rStyle w:val="SidhuvudUtskott"/>
      </w:rPr>
      <w:instrText>O</w:instrText>
    </w:r>
    <w:r w:rsidRPr="00077F9A">
      <w:rPr>
        <w:rStyle w:val="SidhuvudUtskott"/>
      </w:rPr>
      <w:instrText>PERTY Status</w:instrText>
    </w:r>
    <w:r w:rsidRPr="00077F9A">
      <w:rPr>
        <w:rStyle w:val="SidhuvudUtskott"/>
      </w:rPr>
      <w:fldChar w:fldCharType="end"/>
    </w:r>
    <w:r w:rsidRPr="00077F9A">
      <w:instrText>"</w:instrText>
    </w:r>
    <w:r w:rsidRPr="00077F9A">
      <w:fldChar w:fldCharType="separate"/>
    </w:r>
    <w:r w:rsidR="001F596B" w:rsidRPr="00077F9A">
      <w:instrText xml:space="preserve">  </w:instrText>
    </w:r>
    <w:r w:rsidR="001F596B" w:rsidRPr="00077F9A">
      <w:rPr>
        <w:rStyle w:val="SidhuvudUtskott"/>
      </w:rPr>
      <w:instrText>2008/09:RS4</w:instrText>
    </w:r>
  </w:p>
  <w:p w:rsidR="001F596B" w:rsidRPr="00077F9A" w:rsidRDefault="00312E0B" w:rsidP="00560A90">
    <w:pPr>
      <w:pStyle w:val="SidhuvudKantUdda"/>
      <w:framePr w:wrap="around"/>
    </w:pPr>
    <w:r w:rsidRPr="00077F9A">
      <w:fldChar w:fldCharType="end"/>
    </w:r>
    <w:r w:rsidRPr="00077F9A">
      <w:instrText>" " "</w:instrText>
    </w:r>
    <w:r w:rsidRPr="00077F9A">
      <w:fldChar w:fldCharType="separate"/>
    </w:r>
    <w:r w:rsidR="001F596B" w:rsidRPr="00077F9A">
      <w:t xml:space="preserve">  </w:t>
    </w:r>
    <w:r w:rsidR="001F596B" w:rsidRPr="00077F9A">
      <w:rPr>
        <w:rStyle w:val="SidhuvudUtskott"/>
      </w:rPr>
      <w:t>2008/09:RS4</w:t>
    </w:r>
  </w:p>
  <w:p w:rsidR="00312E0B" w:rsidRPr="00077F9A" w:rsidRDefault="00312E0B" w:rsidP="00560A90">
    <w:pPr>
      <w:pStyle w:val="SidhuvudKantUdda"/>
      <w:framePr w:wrap="around"/>
    </w:pPr>
    <w:r w:rsidRPr="00077F9A">
      <w:fldChar w:fldCharType="end"/>
    </w:r>
  </w:p>
  <w:p w:rsidR="00312E0B" w:rsidRPr="00077F9A" w:rsidRDefault="00312E0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huvudKantJmn"/>
      <w:framePr w:w="8732" w:h="567" w:hRule="exact" w:vSpace="0" w:wrap="around" w:vAnchor="page" w:y="341" w:anchorLock="0"/>
    </w:pPr>
    <w:r w:rsidRPr="00077F9A">
      <w:fldChar w:fldCharType="begin" w:fldLock="1"/>
    </w:r>
    <w:r w:rsidRPr="00077F9A">
      <w:instrText xml:space="preserve"> if </w:instrText>
    </w:r>
    <w:r w:rsidRPr="00077F9A">
      <w:fldChar w:fldCharType="begin" w:fldLock="1"/>
    </w:r>
    <w:r w:rsidRPr="00077F9A">
      <w:instrText xml:space="preserve"> page</w:instrText>
    </w:r>
    <w:r w:rsidRPr="00077F9A">
      <w:fldChar w:fldCharType="separate"/>
    </w:r>
    <w:r w:rsidR="001F596B" w:rsidRPr="00077F9A">
      <w:instrText>5</w:instrText>
    </w:r>
    <w:r w:rsidRPr="00077F9A">
      <w:fldChar w:fldCharType="end"/>
    </w:r>
    <w:r w:rsidRPr="00077F9A">
      <w:instrText xml:space="preserve"> &gt; 1 "</w:instrText>
    </w:r>
    <w:r w:rsidRPr="00077F9A">
      <w:fldChar w:fldCharType="begin" w:fldLock="1"/>
    </w:r>
    <w:r w:rsidRPr="00077F9A">
      <w:instrText xml:space="preserve"> if </w:instrText>
    </w:r>
    <w:r w:rsidRPr="00077F9A">
      <w:fldChar w:fldCharType="begin" w:fldLock="1"/>
    </w:r>
    <w:r w:rsidRPr="00077F9A">
      <w:instrText xml:space="preserve"> = </w:instrText>
    </w:r>
    <w:r w:rsidRPr="00077F9A">
      <w:fldChar w:fldCharType="begin" w:fldLock="1"/>
    </w:r>
    <w:r w:rsidRPr="00077F9A">
      <w:instrText xml:space="preserve"> = </w:instrText>
    </w:r>
    <w:r w:rsidRPr="00077F9A">
      <w:fldChar w:fldCharType="begin" w:fldLock="1"/>
    </w:r>
    <w:r w:rsidRPr="00077F9A">
      <w:instrText xml:space="preserve"> page</w:instrText>
    </w:r>
    <w:r w:rsidRPr="00077F9A">
      <w:fldChar w:fldCharType="separate"/>
    </w:r>
    <w:r w:rsidR="001F596B" w:rsidRPr="00077F9A">
      <w:instrText>5</w:instrText>
    </w:r>
    <w:r w:rsidRPr="00077F9A">
      <w:fldChar w:fldCharType="end"/>
    </w:r>
    <w:r w:rsidRPr="00077F9A">
      <w:instrText xml:space="preserve">/2 </w:instrText>
    </w:r>
    <w:r w:rsidRPr="00077F9A">
      <w:fldChar w:fldCharType="separate"/>
    </w:r>
    <w:r w:rsidR="001F596B" w:rsidRPr="00077F9A">
      <w:instrText>2,5</w:instrText>
    </w:r>
    <w:r w:rsidRPr="00077F9A">
      <w:fldChar w:fldCharType="end"/>
    </w:r>
    <w:r w:rsidRPr="00077F9A">
      <w:instrText xml:space="preserve"> - </w:instrText>
    </w:r>
    <w:r w:rsidRPr="00077F9A">
      <w:fldChar w:fldCharType="begin" w:fldLock="1"/>
    </w:r>
    <w:r w:rsidRPr="00077F9A">
      <w:instrText xml:space="preserve"> = int(</w:instrText>
    </w:r>
    <w:r w:rsidRPr="00077F9A">
      <w:fldChar w:fldCharType="begin" w:fldLock="1"/>
    </w:r>
    <w:r w:rsidRPr="00077F9A">
      <w:instrText xml:space="preserve"> page</w:instrText>
    </w:r>
    <w:r w:rsidRPr="00077F9A">
      <w:fldChar w:fldCharType="separate"/>
    </w:r>
    <w:r w:rsidR="001F596B" w:rsidRPr="00077F9A">
      <w:instrText>5</w:instrText>
    </w:r>
    <w:r w:rsidRPr="00077F9A">
      <w:fldChar w:fldCharType="end"/>
    </w:r>
    <w:r w:rsidRPr="00077F9A">
      <w:instrText xml:space="preserve">/2) </w:instrText>
    </w:r>
    <w:r w:rsidRPr="00077F9A">
      <w:fldChar w:fldCharType="separate"/>
    </w:r>
    <w:r w:rsidR="001F596B" w:rsidRPr="00077F9A">
      <w:instrText>2</w:instrText>
    </w:r>
    <w:r w:rsidRPr="00077F9A">
      <w:fldChar w:fldCharType="end"/>
    </w:r>
    <w:r w:rsidRPr="00077F9A">
      <w:fldChar w:fldCharType="separate"/>
    </w:r>
    <w:r w:rsidR="001F596B" w:rsidRPr="00077F9A">
      <w:instrText>0,5</w:instrText>
    </w:r>
    <w:r w:rsidRPr="00077F9A">
      <w:fldChar w:fldCharType="end"/>
    </w:r>
    <w:r w:rsidRPr="00077F9A">
      <w:instrText xml:space="preserve"> = 0 "</w:instrTex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Pr="00077F9A">
      <w:rPr>
        <w:rStyle w:val="SidhuvudUtskott"/>
      </w:rPr>
      <w:instrText>2008/09</w:instrText>
    </w:r>
    <w:r w:rsidRPr="00077F9A">
      <w:rPr>
        <w:rStyle w:val="SidhuvudUtskott"/>
      </w:rPr>
      <w:fldChar w:fldCharType="end"/>
    </w:r>
    <w:r w:rsidRPr="00077F9A">
      <w:rPr>
        <w:rStyle w:val="SidhuvudUtskott"/>
      </w:rPr>
      <w:instrText>:</w:instrText>
    </w:r>
    <w:r w:rsidRPr="00077F9A">
      <w:rPr>
        <w:rStyle w:val="SidhuvudUtskott"/>
      </w:rPr>
      <w:fldChar w:fldCharType="begin" w:fldLock="1"/>
    </w:r>
    <w:r w:rsidRPr="00077F9A">
      <w:rPr>
        <w:rStyle w:val="SidhuvudUtskott"/>
      </w:rPr>
      <w:instrText xml:space="preserve"> DOCPR</w:instrText>
    </w:r>
    <w:r w:rsidRPr="00077F9A">
      <w:rPr>
        <w:rStyle w:val="SidhuvudUtskott"/>
      </w:rPr>
      <w:instrText>O</w:instrText>
    </w:r>
    <w:r w:rsidRPr="00077F9A">
      <w:rPr>
        <w:rStyle w:val="SidhuvudUtskott"/>
      </w:rPr>
      <w:instrText>PERTY Utskott</w:instrText>
    </w:r>
    <w:r w:rsidRPr="00077F9A">
      <w:rPr>
        <w:rStyle w:val="SidhuvudUtskott"/>
      </w:rPr>
      <w:fldChar w:fldCharType="separate"/>
    </w:r>
    <w:r w:rsidRPr="00077F9A">
      <w:rPr>
        <w:rStyle w:val="SidhuvudUtskott"/>
      </w:rPr>
      <w:instrText>RS</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BetänkandeNr</w:instrText>
    </w:r>
    <w:r w:rsidRPr="00077F9A">
      <w:rPr>
        <w:rStyle w:val="SidhuvudUtskott"/>
      </w:rPr>
      <w:fldChar w:fldCharType="separate"/>
    </w:r>
    <w:r w:rsidRPr="00077F9A">
      <w:rPr>
        <w:rStyle w:val="SidhuvudUtskott"/>
      </w:rPr>
      <w:instrText>4</w:instrText>
    </w:r>
    <w:r w:rsidRPr="00077F9A">
      <w:rPr>
        <w:rStyle w:val="SidhuvudUtskott"/>
      </w:rPr>
      <w:fldChar w:fldCharType="end"/>
    </w:r>
    <w:r w:rsidRPr="00077F9A">
      <w:instrText xml:space="preserve">    </w:instrText>
    </w:r>
  </w:p>
  <w:p w:rsidR="00312E0B" w:rsidRPr="00077F9A" w:rsidRDefault="00312E0B">
    <w:pPr>
      <w:pStyle w:val="SidhuvudKantJmn"/>
      <w:framePr w:w="8732" w:h="567" w:hRule="exact" w:vSpace="0" w:wrap="around" w:vAnchor="page" w:y="341" w:anchorLock="0"/>
    </w:pPr>
    <w:r w:rsidRPr="00077F9A">
      <w:rPr>
        <w:rStyle w:val="SidhuvudUtskott"/>
      </w:rPr>
      <w:fldChar w:fldCharType="begin" w:fldLock="1"/>
    </w:r>
    <w:r w:rsidRPr="00077F9A">
      <w:rPr>
        <w:rStyle w:val="SidhuvudUtskott"/>
      </w:rPr>
      <w:instrText xml:space="preserve"> DOCPROPERTY Status</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Pr="00077F9A">
      <w:rPr>
        <w:rStyle w:val="SidhuvudUtskott"/>
      </w:rPr>
      <w:instrText>Nej</w:instrText>
    </w:r>
    <w:r w:rsidRPr="00077F9A">
      <w:rPr>
        <w:rStyle w:val="SidhuvudUtskott"/>
      </w:rPr>
      <w:fldChar w:fldCharType="end"/>
    </w:r>
    <w:r w:rsidRPr="00077F9A">
      <w:rPr>
        <w:rStyle w:val="SidhuvudUtskott"/>
      </w:rPr>
      <w:instrText xml:space="preserve"> = "Ja" "    </w:instrText>
    </w:r>
    <w:r w:rsidRPr="00077F9A">
      <w:rPr>
        <w:rStyle w:val="SidhuvudUtskott"/>
      </w:rPr>
      <w:fldChar w:fldCharType="begin" w:fldLock="1"/>
    </w:r>
    <w:r w:rsidRPr="00077F9A">
      <w:rPr>
        <w:rStyle w:val="SidhuvudUtskott"/>
      </w:rPr>
      <w:instrText xml:space="preserve"> PRINTDATE \@ "yyyy-MM-dd HH.mm"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p>
  <w:p w:rsidR="00312E0B" w:rsidRPr="00077F9A" w:rsidRDefault="00312E0B">
    <w:pPr>
      <w:pStyle w:val="SidhuvudKantUdda"/>
      <w:framePr w:w="8732" w:h="567" w:hRule="exact" w:vSpace="0" w:wrap="around" w:vAnchor="page" w:y="341" w:anchorLock="0"/>
    </w:pPr>
    <w:r w:rsidRPr="00077F9A">
      <w:rPr>
        <w:rStyle w:val="SidhuvudRubrikReferens"/>
        <w:smallCaps w:val="0"/>
      </w:rPr>
      <w:instrText xml:space="preserve"> </w:instrText>
    </w:r>
    <w:r w:rsidRPr="00077F9A">
      <w:instrText xml:space="preserve">"  "  </w:instrTex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00A56E21" w:rsidRPr="00077F9A">
      <w:rPr>
        <w:rStyle w:val="SidhuvudUtskott"/>
      </w:rPr>
      <w:instrText>2008/09</w:instrText>
    </w:r>
    <w:r w:rsidRPr="00077F9A">
      <w:rPr>
        <w:rStyle w:val="SidhuvudUtskott"/>
      </w:rPr>
      <w:fldChar w:fldCharType="end"/>
    </w:r>
    <w:r w:rsidRPr="00077F9A">
      <w:rPr>
        <w:rStyle w:val="SidhuvudUtskott"/>
      </w:rPr>
      <w:instrText>:</w:instrText>
    </w:r>
    <w:r w:rsidRPr="00077F9A">
      <w:rPr>
        <w:rStyle w:val="SidhuvudUtskott"/>
      </w:rPr>
      <w:fldChar w:fldCharType="begin" w:fldLock="1"/>
    </w:r>
    <w:r w:rsidRPr="00077F9A">
      <w:rPr>
        <w:rStyle w:val="SidhuvudUtskott"/>
      </w:rPr>
      <w:instrText xml:space="preserve"> DOCPROPERTY Utskott</w:instrText>
    </w:r>
    <w:r w:rsidRPr="00077F9A">
      <w:rPr>
        <w:rStyle w:val="SidhuvudUtskott"/>
      </w:rPr>
      <w:fldChar w:fldCharType="separate"/>
    </w:r>
    <w:r w:rsidR="00A56E21" w:rsidRPr="00077F9A">
      <w:rPr>
        <w:rStyle w:val="SidhuvudUtskott"/>
      </w:rPr>
      <w:instrText>RS</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BetänkandeNr</w:instrText>
    </w:r>
    <w:r w:rsidRPr="00077F9A">
      <w:rPr>
        <w:rStyle w:val="SidhuvudUtskott"/>
      </w:rPr>
      <w:fldChar w:fldCharType="separate"/>
    </w:r>
    <w:r w:rsidR="00A56E21" w:rsidRPr="00077F9A">
      <w:rPr>
        <w:rStyle w:val="SidhuvudUtskott"/>
      </w:rPr>
      <w:instrText>4</w:instrText>
    </w:r>
    <w:r w:rsidRPr="00077F9A">
      <w:rPr>
        <w:rStyle w:val="SidhuvudUtskott"/>
      </w:rPr>
      <w:fldChar w:fldCharType="end"/>
    </w:r>
  </w:p>
  <w:p w:rsidR="001F596B" w:rsidRPr="00077F9A" w:rsidRDefault="00312E0B">
    <w:pPr>
      <w:pStyle w:val="SidhuvudKantUdda"/>
      <w:framePr w:w="8732" w:h="567" w:hRule="exact" w:vSpace="0" w:wrap="around" w:vAnchor="page" w:y="341" w:anchorLock="0"/>
    </w:pP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00A56E21" w:rsidRPr="00077F9A">
      <w:rPr>
        <w:rStyle w:val="SidhuvudUtskott"/>
      </w:rPr>
      <w:instrText>Nej</w:instrText>
    </w:r>
    <w:r w:rsidRPr="00077F9A">
      <w:rPr>
        <w:rStyle w:val="SidhuvudUtskott"/>
      </w:rPr>
      <w:fldChar w:fldCharType="end"/>
    </w:r>
    <w:r w:rsidRPr="00077F9A">
      <w:rPr>
        <w:rStyle w:val="SidhuvudUtskott"/>
      </w:rPr>
      <w:instrText xml:space="preserve"> = "Ja" "</w:instrText>
    </w:r>
    <w:r w:rsidRPr="00077F9A">
      <w:rPr>
        <w:rStyle w:val="SidhuvudUtskott"/>
      </w:rPr>
      <w:fldChar w:fldCharType="begin" w:fldLock="1"/>
    </w:r>
    <w:r w:rsidRPr="00077F9A">
      <w:rPr>
        <w:rStyle w:val="SidhuvudUtskott"/>
      </w:rPr>
      <w:instrText xml:space="preserve"> PRINTDATE \@ "yyyy-MM-dd HH.mm    "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w:instrText>
    </w:r>
    <w:r w:rsidRPr="00077F9A">
      <w:rPr>
        <w:rStyle w:val="SidhuvudUtskott"/>
      </w:rPr>
      <w:instrText>O</w:instrText>
    </w:r>
    <w:r w:rsidRPr="00077F9A">
      <w:rPr>
        <w:rStyle w:val="SidhuvudUtskott"/>
      </w:rPr>
      <w:instrText>PERTY Status</w:instrText>
    </w:r>
    <w:r w:rsidRPr="00077F9A">
      <w:rPr>
        <w:rStyle w:val="SidhuvudUtskott"/>
      </w:rPr>
      <w:fldChar w:fldCharType="end"/>
    </w:r>
    <w:r w:rsidRPr="00077F9A">
      <w:instrText>"</w:instrText>
    </w:r>
    <w:r w:rsidRPr="00077F9A">
      <w:fldChar w:fldCharType="separate"/>
    </w:r>
    <w:r w:rsidR="001F596B" w:rsidRPr="00077F9A">
      <w:instrText xml:space="preserve">  </w:instrText>
    </w:r>
    <w:r w:rsidR="001F596B" w:rsidRPr="00077F9A">
      <w:rPr>
        <w:rStyle w:val="SidhuvudUtskott"/>
      </w:rPr>
      <w:instrText>2008/09:RS4</w:instrText>
    </w:r>
  </w:p>
  <w:p w:rsidR="001F596B" w:rsidRPr="00077F9A" w:rsidRDefault="00312E0B">
    <w:pPr>
      <w:pStyle w:val="SidhuvudKantUdda"/>
      <w:framePr w:w="8732" w:h="567" w:hRule="exact" w:vSpace="0" w:wrap="around" w:vAnchor="page" w:y="341" w:anchorLock="0"/>
    </w:pPr>
    <w:r w:rsidRPr="00077F9A">
      <w:fldChar w:fldCharType="end"/>
    </w:r>
    <w:r w:rsidRPr="00077F9A">
      <w:instrText>" " "</w:instrText>
    </w:r>
    <w:r w:rsidRPr="00077F9A">
      <w:fldChar w:fldCharType="separate"/>
    </w:r>
    <w:r w:rsidR="001F596B" w:rsidRPr="00077F9A">
      <w:t xml:space="preserve">  </w:t>
    </w:r>
    <w:r w:rsidR="001F596B" w:rsidRPr="00077F9A">
      <w:rPr>
        <w:rStyle w:val="SidhuvudUtskott"/>
      </w:rPr>
      <w:t>2008/09:RS4</w:t>
    </w:r>
  </w:p>
  <w:p w:rsidR="00312E0B" w:rsidRPr="00077F9A" w:rsidRDefault="00312E0B">
    <w:pPr>
      <w:pStyle w:val="SidhuvudKantUdda"/>
      <w:framePr w:w="8732" w:h="567" w:hRule="exact" w:vSpace="0" w:wrap="around" w:vAnchor="page" w:y="341" w:anchorLock="0"/>
    </w:pPr>
    <w:r w:rsidRPr="00077F9A">
      <w:fldChar w:fldCharType="end"/>
    </w:r>
  </w:p>
  <w:p w:rsidR="00312E0B" w:rsidRPr="00077F9A" w:rsidRDefault="00312E0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CF1B5E">
    <w:pPr>
      <w:pStyle w:val="SidhuvudKantJmn"/>
      <w:framePr w:w="8732" w:h="567" w:hRule="exact" w:vSpace="0" w:wrap="around" w:vAnchor="page" w:y="341" w:anchorLock="0"/>
      <w:rPr>
        <w:rStyle w:val="SidhuvudUtskott"/>
        <w:spacing w:val="8"/>
      </w:rPr>
    </w:pPr>
    <w:r w:rsidRPr="00077F9A">
      <w:rPr>
        <w:rStyle w:val="SidhuvudUtskott"/>
        <w:spacing w:val="8"/>
      </w:rPr>
      <w:t xml:space="preserve">2008/09:RS4    </w:t>
    </w:r>
    <w:r w:rsidRPr="00077F9A">
      <w:rPr>
        <w:rStyle w:val="SidhuvudUtskott"/>
        <w:smallCaps/>
        <w:spacing w:val="8"/>
      </w:rPr>
      <w:t>BILAGA</w:t>
    </w:r>
  </w:p>
  <w:p w:rsidR="00312E0B" w:rsidRPr="00077F9A" w:rsidRDefault="00312E0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Udda"/>
      <w:framePr w:wrap="around"/>
      <w:rPr>
        <w:rStyle w:val="SidhuvudBilaga"/>
      </w:rPr>
    </w:pPr>
    <w:r w:rsidRPr="00077F9A">
      <w:rPr>
        <w:rStyle w:val="SidhuvudBilaga"/>
      </w:rPr>
      <w:t>BILAGA</w: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15</w:instrText>
    </w:r>
    <w:r w:rsidRPr="00077F9A">
      <w:rPr>
        <w:rStyle w:val="SidhuvudBilaga"/>
      </w:rPr>
      <w:fldChar w:fldCharType="end"/>
    </w:r>
    <w:r w:rsidRPr="00077F9A">
      <w:rPr>
        <w:rStyle w:val="SidhuvudBilaga"/>
      </w:rPr>
      <w:instrText xml:space="preserve"> &gt; 1 "</w:instrTex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15</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7,5</w:instrText>
    </w:r>
    <w:r w:rsidRPr="00077F9A">
      <w:rPr>
        <w:rStyle w:val="SidhuvudBilaga"/>
      </w:rPr>
      <w:fldChar w:fldCharType="end"/>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int(</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15</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7</w:instrText>
    </w:r>
    <w:r w:rsidRPr="00077F9A">
      <w:rPr>
        <w:rStyle w:val="SidhuvudBilaga"/>
      </w:rPr>
      <w:fldChar w:fldCharType="end"/>
    </w:r>
    <w:r w:rsidRPr="00077F9A">
      <w:rPr>
        <w:rStyle w:val="SidhuvudBilaga"/>
      </w:rPr>
      <w:fldChar w:fldCharType="separate"/>
    </w:r>
    <w:r w:rsidR="001F596B" w:rsidRPr="00077F9A">
      <w:rPr>
        <w:rStyle w:val="SidhuvudBilaga"/>
      </w:rPr>
      <w:instrText>0,5</w:instrText>
    </w:r>
    <w:r w:rsidRPr="00077F9A">
      <w:rPr>
        <w:rStyle w:val="SidhuvudBilaga"/>
      </w:rPr>
      <w:fldChar w:fldCharType="end"/>
    </w:r>
    <w:r w:rsidRPr="00077F9A">
      <w:rPr>
        <w:rStyle w:val="SidhuvudBilaga"/>
      </w:rPr>
      <w:instrText xml:space="preserve"> = 0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Pr="00077F9A">
      <w:rPr>
        <w:rStyle w:val="SidhuvudBilaga"/>
      </w:rPr>
      <w:instrText>4</w:instrText>
    </w:r>
    <w:r w:rsidRPr="00077F9A">
      <w:rPr>
        <w:rStyle w:val="SidhuvudBilaga"/>
      </w:rPr>
      <w:fldChar w:fldCharType="end"/>
    </w:r>
    <w:r w:rsidRPr="00077F9A">
      <w:rPr>
        <w:rStyle w:val="SidhuvudBilaga"/>
      </w:rPr>
      <w:instrText xml:space="preserve">    </w:instrText>
    </w:r>
  </w:p>
  <w:p w:rsidR="00312E0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separate"/>
    </w:r>
    <w:r w:rsidRPr="00077F9A">
      <w:rPr>
        <w:rStyle w:val="SidhuvudBilaga"/>
      </w:rPr>
      <w:instrText>Utkast</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Pr="00077F9A">
      <w:rPr>
        <w:rStyle w:val="SidhuvudBilaga"/>
      </w:rPr>
      <w:instrText>Nej</w:instrText>
    </w:r>
    <w:r w:rsidRPr="00077F9A">
      <w:rPr>
        <w:rStyle w:val="SidhuvudBilaga"/>
      </w:rPr>
      <w:fldChar w:fldCharType="end"/>
    </w:r>
    <w:r w:rsidRPr="00077F9A">
      <w:rPr>
        <w:rStyle w:val="SidhuvudBilaga"/>
      </w:rPr>
      <w:instrText xml:space="preserve"> = "Ja" "    </w:instrText>
    </w:r>
    <w:r w:rsidRPr="00077F9A">
      <w:rPr>
        <w:rStyle w:val="SidhuvudBilaga"/>
      </w:rPr>
      <w:fldChar w:fldCharType="begin" w:fldLock="1"/>
    </w:r>
    <w:r w:rsidRPr="00077F9A">
      <w:rPr>
        <w:rStyle w:val="SidhuvudBilaga"/>
      </w:rPr>
      <w:instrText xml:space="preserve"> PRINTDATE \@ "yyyy-MM-dd HH.mm"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p>
  <w:p w:rsidR="00312E0B" w:rsidRPr="00077F9A" w:rsidRDefault="00312E0B" w:rsidP="0023616C">
    <w:pPr>
      <w:pStyle w:val="SidhuvudKantUdda"/>
      <w:framePr w:wrap="around"/>
      <w:rPr>
        <w:rStyle w:val="SidhuvudBilaga"/>
      </w:rPr>
    </w:pPr>
    <w:r w:rsidRPr="00077F9A">
      <w:rPr>
        <w:rStyle w:val="SidhuvudBilaga"/>
      </w:rPr>
      <w:instrText xml:space="preserve"> "  "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00A56E21"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00A56E21"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00A56E21" w:rsidRPr="00077F9A">
      <w:rPr>
        <w:rStyle w:val="SidhuvudBilaga"/>
      </w:rPr>
      <w:instrText>4</w:instrText>
    </w:r>
    <w:r w:rsidRPr="00077F9A">
      <w:rPr>
        <w:rStyle w:val="SidhuvudBilaga"/>
      </w:rPr>
      <w:fldChar w:fldCharType="end"/>
    </w:r>
  </w:p>
  <w:p w:rsidR="001F596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00A56E21" w:rsidRPr="00077F9A">
      <w:rPr>
        <w:rStyle w:val="SidhuvudBilaga"/>
      </w:rPr>
      <w:instrText>Nej</w:instrText>
    </w:r>
    <w:r w:rsidRPr="00077F9A">
      <w:rPr>
        <w:rStyle w:val="SidhuvudBilaga"/>
      </w:rPr>
      <w:fldChar w:fldCharType="end"/>
    </w:r>
    <w:r w:rsidRPr="00077F9A">
      <w:rPr>
        <w:rStyle w:val="SidhuvudBilaga"/>
      </w:rPr>
      <w:instrText xml:space="preserve"> = "Ja" "</w:instrText>
    </w:r>
    <w:r w:rsidRPr="00077F9A">
      <w:rPr>
        <w:rStyle w:val="SidhuvudBilaga"/>
      </w:rPr>
      <w:fldChar w:fldCharType="begin" w:fldLock="1"/>
    </w:r>
    <w:r w:rsidRPr="00077F9A">
      <w:rPr>
        <w:rStyle w:val="SidhuvudBilaga"/>
      </w:rPr>
      <w:instrText xml:space="preserve"> PRINTDATE \@ "yyyy-MM-dd HH.mm    "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end"/>
    </w:r>
    <w:r w:rsidRPr="00077F9A">
      <w:rPr>
        <w:rStyle w:val="SidhuvudBilaga"/>
      </w:rPr>
      <w:instrText>"</w:instrText>
    </w:r>
    <w:r w:rsidRPr="00077F9A">
      <w:rPr>
        <w:rStyle w:val="SidhuvudBilaga"/>
      </w:rPr>
      <w:fldChar w:fldCharType="separate"/>
    </w:r>
    <w:r w:rsidR="001F596B" w:rsidRPr="00077F9A">
      <w:rPr>
        <w:rStyle w:val="SidhuvudBilaga"/>
      </w:rPr>
      <w:instrText xml:space="preserve">  2008/09:RS4</w:instrText>
    </w:r>
  </w:p>
  <w:p w:rsidR="001F596B" w:rsidRPr="00077F9A" w:rsidRDefault="00312E0B" w:rsidP="0023616C">
    <w:pPr>
      <w:pStyle w:val="SidhuvudKantUdda"/>
      <w:framePr w:wrap="around"/>
      <w:rPr>
        <w:rStyle w:val="SidhuvudBilaga"/>
      </w:rPr>
    </w:pPr>
    <w:r w:rsidRPr="00077F9A">
      <w:rPr>
        <w:rStyle w:val="SidhuvudBilaga"/>
      </w:rPr>
      <w:fldChar w:fldCharType="end"/>
    </w:r>
    <w:r w:rsidRPr="00077F9A">
      <w:rPr>
        <w:rStyle w:val="SidhuvudBilaga"/>
      </w:rPr>
      <w:instrText>" " "</w:instrText>
    </w:r>
    <w:r w:rsidRPr="00077F9A">
      <w:rPr>
        <w:rStyle w:val="SidhuvudBilaga"/>
      </w:rPr>
      <w:fldChar w:fldCharType="separate"/>
    </w:r>
    <w:r w:rsidR="001F596B" w:rsidRPr="00077F9A">
      <w:rPr>
        <w:rStyle w:val="SidhuvudBilaga"/>
      </w:rPr>
      <w:t xml:space="preserve">  2008/09:RS4</w:t>
    </w:r>
  </w:p>
  <w:p w:rsidR="00312E0B" w:rsidRPr="00077F9A" w:rsidRDefault="00312E0B" w:rsidP="0023616C">
    <w:pPr>
      <w:pStyle w:val="SidhuvudKantUdda"/>
      <w:framePr w:wrap="around"/>
      <w:rPr>
        <w:rStyle w:val="SidhuvudBilaga"/>
      </w:rPr>
    </w:pPr>
    <w:r w:rsidRPr="00077F9A">
      <w:rPr>
        <w:rStyle w:val="SidhuvudBilaga"/>
      </w:rPr>
      <w:fldChar w:fldCharType="end"/>
    </w:r>
  </w:p>
  <w:p w:rsidR="00312E0B" w:rsidRPr="00077F9A" w:rsidRDefault="00312E0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E57510">
    <w:pPr>
      <w:pStyle w:val="SidhuvudKantUdda"/>
      <w:framePr w:wrap="around"/>
    </w:pPr>
    <w:r w:rsidRPr="00077F9A">
      <w:rPr>
        <w:rStyle w:val="SidhuvudUtskott"/>
        <w:smallCaps/>
        <w:spacing w:val="8"/>
      </w:rPr>
      <w:t>BILAGA</w:t>
    </w:r>
    <w:r w:rsidRPr="00077F9A">
      <w:t xml:space="preserve"> </w:t>
    </w:r>
    <w:r w:rsidRPr="00077F9A">
      <w:fldChar w:fldCharType="begin" w:fldLock="1"/>
    </w:r>
    <w:r w:rsidRPr="00077F9A">
      <w:instrText xml:space="preserve"> if </w:instrText>
    </w:r>
    <w:r w:rsidRPr="00077F9A">
      <w:fldChar w:fldCharType="begin" w:fldLock="1"/>
    </w:r>
    <w:r w:rsidRPr="00077F9A">
      <w:instrText xml:space="preserve"> page</w:instrText>
    </w:r>
    <w:r w:rsidRPr="00077F9A">
      <w:fldChar w:fldCharType="separate"/>
    </w:r>
    <w:r w:rsidR="001F596B" w:rsidRPr="00077F9A">
      <w:instrText>13</w:instrText>
    </w:r>
    <w:r w:rsidRPr="00077F9A">
      <w:fldChar w:fldCharType="end"/>
    </w:r>
    <w:r w:rsidRPr="00077F9A">
      <w:instrText xml:space="preserve"> &gt; 1 "</w:instrText>
    </w:r>
    <w:r w:rsidRPr="00077F9A">
      <w:fldChar w:fldCharType="begin" w:fldLock="1"/>
    </w:r>
    <w:r w:rsidRPr="00077F9A">
      <w:instrText xml:space="preserve"> if </w:instrText>
    </w:r>
    <w:r w:rsidRPr="00077F9A">
      <w:fldChar w:fldCharType="begin" w:fldLock="1"/>
    </w:r>
    <w:r w:rsidRPr="00077F9A">
      <w:instrText xml:space="preserve"> = </w:instrText>
    </w:r>
    <w:r w:rsidRPr="00077F9A">
      <w:fldChar w:fldCharType="begin" w:fldLock="1"/>
    </w:r>
    <w:r w:rsidRPr="00077F9A">
      <w:instrText xml:space="preserve"> = </w:instrText>
    </w:r>
    <w:r w:rsidRPr="00077F9A">
      <w:fldChar w:fldCharType="begin" w:fldLock="1"/>
    </w:r>
    <w:r w:rsidRPr="00077F9A">
      <w:instrText xml:space="preserve"> page</w:instrText>
    </w:r>
    <w:r w:rsidRPr="00077F9A">
      <w:fldChar w:fldCharType="separate"/>
    </w:r>
    <w:r w:rsidR="001F596B" w:rsidRPr="00077F9A">
      <w:instrText>13</w:instrText>
    </w:r>
    <w:r w:rsidRPr="00077F9A">
      <w:fldChar w:fldCharType="end"/>
    </w:r>
    <w:r w:rsidRPr="00077F9A">
      <w:instrText xml:space="preserve">/2 </w:instrText>
    </w:r>
    <w:r w:rsidRPr="00077F9A">
      <w:fldChar w:fldCharType="separate"/>
    </w:r>
    <w:r w:rsidR="001F596B" w:rsidRPr="00077F9A">
      <w:instrText>6,5</w:instrText>
    </w:r>
    <w:r w:rsidRPr="00077F9A">
      <w:fldChar w:fldCharType="end"/>
    </w:r>
    <w:r w:rsidRPr="00077F9A">
      <w:instrText xml:space="preserve"> - </w:instrText>
    </w:r>
    <w:r w:rsidRPr="00077F9A">
      <w:fldChar w:fldCharType="begin" w:fldLock="1"/>
    </w:r>
    <w:r w:rsidRPr="00077F9A">
      <w:instrText xml:space="preserve"> = int(</w:instrText>
    </w:r>
    <w:r w:rsidRPr="00077F9A">
      <w:fldChar w:fldCharType="begin" w:fldLock="1"/>
    </w:r>
    <w:r w:rsidRPr="00077F9A">
      <w:instrText xml:space="preserve"> page</w:instrText>
    </w:r>
    <w:r w:rsidRPr="00077F9A">
      <w:fldChar w:fldCharType="separate"/>
    </w:r>
    <w:r w:rsidR="001F596B" w:rsidRPr="00077F9A">
      <w:instrText>13</w:instrText>
    </w:r>
    <w:r w:rsidRPr="00077F9A">
      <w:fldChar w:fldCharType="end"/>
    </w:r>
    <w:r w:rsidRPr="00077F9A">
      <w:instrText xml:space="preserve">/2) </w:instrText>
    </w:r>
    <w:r w:rsidRPr="00077F9A">
      <w:fldChar w:fldCharType="separate"/>
    </w:r>
    <w:r w:rsidR="001F596B" w:rsidRPr="00077F9A">
      <w:instrText>6</w:instrText>
    </w:r>
    <w:r w:rsidRPr="00077F9A">
      <w:fldChar w:fldCharType="end"/>
    </w:r>
    <w:r w:rsidRPr="00077F9A">
      <w:fldChar w:fldCharType="separate"/>
    </w:r>
    <w:r w:rsidR="001F596B" w:rsidRPr="00077F9A">
      <w:instrText>0,5</w:instrText>
    </w:r>
    <w:r w:rsidRPr="00077F9A">
      <w:fldChar w:fldCharType="end"/>
    </w:r>
    <w:r w:rsidRPr="00077F9A">
      <w:instrText xml:space="preserve"> = 0 "</w:instrTex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Pr="00077F9A">
      <w:rPr>
        <w:rStyle w:val="SidhuvudUtskott"/>
      </w:rPr>
      <w:instrText>2008/09</w:instrText>
    </w:r>
    <w:r w:rsidRPr="00077F9A">
      <w:rPr>
        <w:rStyle w:val="SidhuvudUtskott"/>
      </w:rPr>
      <w:fldChar w:fldCharType="end"/>
    </w:r>
    <w:r w:rsidRPr="00077F9A">
      <w:rPr>
        <w:rStyle w:val="SidhuvudUtskott"/>
      </w:rPr>
      <w:instrText>:</w:instrText>
    </w:r>
    <w:r w:rsidRPr="00077F9A">
      <w:rPr>
        <w:rStyle w:val="SidhuvudUtskott"/>
      </w:rPr>
      <w:fldChar w:fldCharType="begin" w:fldLock="1"/>
    </w:r>
    <w:r w:rsidRPr="00077F9A">
      <w:rPr>
        <w:rStyle w:val="SidhuvudUtskott"/>
      </w:rPr>
      <w:instrText xml:space="preserve"> DOCPR</w:instrText>
    </w:r>
    <w:r w:rsidRPr="00077F9A">
      <w:rPr>
        <w:rStyle w:val="SidhuvudUtskott"/>
      </w:rPr>
      <w:instrText>O</w:instrText>
    </w:r>
    <w:r w:rsidRPr="00077F9A">
      <w:rPr>
        <w:rStyle w:val="SidhuvudUtskott"/>
      </w:rPr>
      <w:instrText>PERTY Utskott</w:instrText>
    </w:r>
    <w:r w:rsidRPr="00077F9A">
      <w:rPr>
        <w:rStyle w:val="SidhuvudUtskott"/>
      </w:rPr>
      <w:fldChar w:fldCharType="separate"/>
    </w:r>
    <w:r w:rsidRPr="00077F9A">
      <w:rPr>
        <w:rStyle w:val="SidhuvudUtskott"/>
      </w:rPr>
      <w:instrText>RS</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BetänkandeNr</w:instrText>
    </w:r>
    <w:r w:rsidRPr="00077F9A">
      <w:rPr>
        <w:rStyle w:val="SidhuvudUtskott"/>
      </w:rPr>
      <w:fldChar w:fldCharType="separate"/>
    </w:r>
    <w:r w:rsidRPr="00077F9A">
      <w:rPr>
        <w:rStyle w:val="SidhuvudUtskott"/>
      </w:rPr>
      <w:instrText>4</w:instrText>
    </w:r>
    <w:r w:rsidRPr="00077F9A">
      <w:rPr>
        <w:rStyle w:val="SidhuvudUtskott"/>
      </w:rPr>
      <w:fldChar w:fldCharType="end"/>
    </w:r>
    <w:r w:rsidRPr="00077F9A">
      <w:instrText xml:space="preserve">    </w:instrText>
    </w:r>
  </w:p>
  <w:p w:rsidR="00312E0B" w:rsidRPr="00077F9A" w:rsidRDefault="00312E0B" w:rsidP="00E57510">
    <w:pPr>
      <w:pStyle w:val="SidhuvudKantUdda"/>
      <w:framePr w:wrap="around"/>
    </w:pPr>
    <w:r w:rsidRPr="00077F9A">
      <w:rPr>
        <w:rStyle w:val="SidhuvudUtskott"/>
      </w:rPr>
      <w:fldChar w:fldCharType="begin" w:fldLock="1"/>
    </w:r>
    <w:r w:rsidRPr="00077F9A">
      <w:rPr>
        <w:rStyle w:val="SidhuvudUtskott"/>
      </w:rPr>
      <w:instrText xml:space="preserve"> DOCPROPERTY Status</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Pr="00077F9A">
      <w:rPr>
        <w:rStyle w:val="SidhuvudUtskott"/>
      </w:rPr>
      <w:instrText>Nej</w:instrText>
    </w:r>
    <w:r w:rsidRPr="00077F9A">
      <w:rPr>
        <w:rStyle w:val="SidhuvudUtskott"/>
      </w:rPr>
      <w:fldChar w:fldCharType="end"/>
    </w:r>
    <w:r w:rsidRPr="00077F9A">
      <w:rPr>
        <w:rStyle w:val="SidhuvudUtskott"/>
      </w:rPr>
      <w:instrText xml:space="preserve"> = "Ja" "    </w:instrText>
    </w:r>
    <w:r w:rsidRPr="00077F9A">
      <w:rPr>
        <w:rStyle w:val="SidhuvudUtskott"/>
      </w:rPr>
      <w:fldChar w:fldCharType="begin" w:fldLock="1"/>
    </w:r>
    <w:r w:rsidRPr="00077F9A">
      <w:rPr>
        <w:rStyle w:val="SidhuvudUtskott"/>
      </w:rPr>
      <w:instrText xml:space="preserve"> PRINTDATE \@ "yyyy-MM-dd HH.mm"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p>
  <w:p w:rsidR="00312E0B" w:rsidRPr="00077F9A" w:rsidRDefault="00312E0B" w:rsidP="00E57510">
    <w:pPr>
      <w:pStyle w:val="SidhuvudKantUdda"/>
      <w:framePr w:wrap="around"/>
    </w:pPr>
    <w:r w:rsidRPr="00077F9A">
      <w:rPr>
        <w:rStyle w:val="SidhuvudRubrikReferens"/>
        <w:smallCaps w:val="0"/>
      </w:rPr>
      <w:instrText xml:space="preserve"> </w:instrText>
    </w:r>
    <w:r w:rsidRPr="00077F9A">
      <w:instrText xml:space="preserve">"  "  </w:instrTex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00A56E21" w:rsidRPr="00077F9A">
      <w:rPr>
        <w:rStyle w:val="SidhuvudUtskott"/>
      </w:rPr>
      <w:instrText>2008/09</w:instrText>
    </w:r>
    <w:r w:rsidRPr="00077F9A">
      <w:rPr>
        <w:rStyle w:val="SidhuvudUtskott"/>
      </w:rPr>
      <w:fldChar w:fldCharType="end"/>
    </w:r>
    <w:r w:rsidRPr="00077F9A">
      <w:rPr>
        <w:rStyle w:val="SidhuvudUtskott"/>
      </w:rPr>
      <w:instrText>:</w:instrText>
    </w:r>
    <w:r w:rsidRPr="00077F9A">
      <w:rPr>
        <w:rStyle w:val="SidhuvudUtskott"/>
      </w:rPr>
      <w:fldChar w:fldCharType="begin" w:fldLock="1"/>
    </w:r>
    <w:r w:rsidRPr="00077F9A">
      <w:rPr>
        <w:rStyle w:val="SidhuvudUtskott"/>
      </w:rPr>
      <w:instrText xml:space="preserve"> DOCPROPERTY Utskott</w:instrText>
    </w:r>
    <w:r w:rsidRPr="00077F9A">
      <w:rPr>
        <w:rStyle w:val="SidhuvudUtskott"/>
      </w:rPr>
      <w:fldChar w:fldCharType="separate"/>
    </w:r>
    <w:r w:rsidR="00A56E21" w:rsidRPr="00077F9A">
      <w:rPr>
        <w:rStyle w:val="SidhuvudUtskott"/>
      </w:rPr>
      <w:instrText>RS</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BetänkandeNr</w:instrText>
    </w:r>
    <w:r w:rsidRPr="00077F9A">
      <w:rPr>
        <w:rStyle w:val="SidhuvudUtskott"/>
      </w:rPr>
      <w:fldChar w:fldCharType="separate"/>
    </w:r>
    <w:r w:rsidR="00A56E21" w:rsidRPr="00077F9A">
      <w:rPr>
        <w:rStyle w:val="SidhuvudUtskott"/>
      </w:rPr>
      <w:instrText>4</w:instrText>
    </w:r>
    <w:r w:rsidRPr="00077F9A">
      <w:rPr>
        <w:rStyle w:val="SidhuvudUtskott"/>
      </w:rPr>
      <w:fldChar w:fldCharType="end"/>
    </w:r>
  </w:p>
  <w:p w:rsidR="001F596B" w:rsidRPr="00077F9A" w:rsidRDefault="00312E0B" w:rsidP="00E57510">
    <w:pPr>
      <w:pStyle w:val="SidhuvudKantUdda"/>
      <w:framePr w:wrap="around"/>
    </w:pP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00A56E21" w:rsidRPr="00077F9A">
      <w:rPr>
        <w:rStyle w:val="SidhuvudUtskott"/>
      </w:rPr>
      <w:instrText>Nej</w:instrText>
    </w:r>
    <w:r w:rsidRPr="00077F9A">
      <w:rPr>
        <w:rStyle w:val="SidhuvudUtskott"/>
      </w:rPr>
      <w:fldChar w:fldCharType="end"/>
    </w:r>
    <w:r w:rsidRPr="00077F9A">
      <w:rPr>
        <w:rStyle w:val="SidhuvudUtskott"/>
      </w:rPr>
      <w:instrText xml:space="preserve"> = "Ja" "</w:instrText>
    </w:r>
    <w:r w:rsidRPr="00077F9A">
      <w:rPr>
        <w:rStyle w:val="SidhuvudUtskott"/>
      </w:rPr>
      <w:fldChar w:fldCharType="begin" w:fldLock="1"/>
    </w:r>
    <w:r w:rsidRPr="00077F9A">
      <w:rPr>
        <w:rStyle w:val="SidhuvudUtskott"/>
      </w:rPr>
      <w:instrText xml:space="preserve"> PRINTDATE \@ "yyyy-MM-dd HH.mm    "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w:instrText>
    </w:r>
    <w:r w:rsidRPr="00077F9A">
      <w:rPr>
        <w:rStyle w:val="SidhuvudUtskott"/>
      </w:rPr>
      <w:instrText>R</w:instrText>
    </w:r>
    <w:r w:rsidRPr="00077F9A">
      <w:rPr>
        <w:rStyle w:val="SidhuvudUtskott"/>
      </w:rPr>
      <w:instrText>TY Status</w:instrText>
    </w:r>
    <w:r w:rsidRPr="00077F9A">
      <w:rPr>
        <w:rStyle w:val="SidhuvudUtskott"/>
      </w:rPr>
      <w:fldChar w:fldCharType="end"/>
    </w:r>
    <w:r w:rsidRPr="00077F9A">
      <w:instrText>"</w:instrText>
    </w:r>
    <w:r w:rsidRPr="00077F9A">
      <w:fldChar w:fldCharType="separate"/>
    </w:r>
    <w:r w:rsidR="001F596B" w:rsidRPr="00077F9A">
      <w:instrText xml:space="preserve">  </w:instrText>
    </w:r>
    <w:r w:rsidR="001F596B" w:rsidRPr="00077F9A">
      <w:rPr>
        <w:rStyle w:val="SidhuvudUtskott"/>
      </w:rPr>
      <w:instrText>2008/09:RS4</w:instrText>
    </w:r>
  </w:p>
  <w:p w:rsidR="001F596B" w:rsidRPr="00077F9A" w:rsidRDefault="00312E0B" w:rsidP="00E57510">
    <w:pPr>
      <w:pStyle w:val="SidhuvudKantUdda"/>
      <w:framePr w:wrap="around"/>
    </w:pPr>
    <w:r w:rsidRPr="00077F9A">
      <w:fldChar w:fldCharType="end"/>
    </w:r>
    <w:r w:rsidRPr="00077F9A">
      <w:instrText>" " "</w:instrText>
    </w:r>
    <w:r w:rsidRPr="00077F9A">
      <w:fldChar w:fldCharType="separate"/>
    </w:r>
    <w:r w:rsidR="001F596B" w:rsidRPr="00077F9A">
      <w:t xml:space="preserve">  </w:t>
    </w:r>
    <w:r w:rsidR="001F596B" w:rsidRPr="00077F9A">
      <w:rPr>
        <w:rStyle w:val="SidhuvudUtskott"/>
      </w:rPr>
      <w:t>2008/09:RS4</w:t>
    </w:r>
  </w:p>
  <w:p w:rsidR="00312E0B" w:rsidRPr="00077F9A" w:rsidRDefault="00312E0B" w:rsidP="00E57510">
    <w:pPr>
      <w:pStyle w:val="SidhuvudKantUdda"/>
      <w:framePr w:wrap="around"/>
    </w:pPr>
    <w:r w:rsidRPr="00077F9A">
      <w:fldChar w:fldCharType="end"/>
    </w:r>
  </w:p>
  <w:p w:rsidR="00312E0B" w:rsidRPr="00077F9A" w:rsidRDefault="00312E0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Jmn"/>
      <w:framePr w:w="8732" w:h="567" w:hRule="exact" w:vSpace="0" w:wrap="around" w:vAnchor="page" w:y="341" w:anchorLock="0"/>
      <w:rPr>
        <w:rStyle w:val="SidhuvudUtskott"/>
        <w:spacing w:val="8"/>
      </w:rPr>
    </w:pPr>
    <w:r w:rsidRPr="00077F9A">
      <w:rPr>
        <w:rStyle w:val="SidhuvudUtskott"/>
        <w:spacing w:val="8"/>
      </w:rPr>
      <w:t xml:space="preserve">2008/09:RS4    </w:t>
    </w:r>
    <w:r w:rsidRPr="00077F9A">
      <w:rPr>
        <w:rStyle w:val="SidhuvudUtskott"/>
        <w:smallCaps/>
        <w:spacing w:val="8"/>
      </w:rPr>
      <w:t>BILAGA</w:t>
    </w:r>
  </w:p>
  <w:p w:rsidR="00312E0B" w:rsidRPr="00077F9A" w:rsidRDefault="00312E0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Udda"/>
      <w:framePr w:wrap="around"/>
      <w:rPr>
        <w:rStyle w:val="SidhuvudBilaga"/>
      </w:rPr>
    </w:pPr>
    <w:r w:rsidRPr="00077F9A">
      <w:rPr>
        <w:rStyle w:val="SidhuvudBilaga"/>
      </w:rPr>
      <w:t>BILAGA</w: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17</w:instrText>
    </w:r>
    <w:r w:rsidRPr="00077F9A">
      <w:rPr>
        <w:rStyle w:val="SidhuvudBilaga"/>
      </w:rPr>
      <w:fldChar w:fldCharType="end"/>
    </w:r>
    <w:r w:rsidRPr="00077F9A">
      <w:rPr>
        <w:rStyle w:val="SidhuvudBilaga"/>
      </w:rPr>
      <w:instrText xml:space="preserve"> &gt; 1 "</w:instrTex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17</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8,5</w:instrText>
    </w:r>
    <w:r w:rsidRPr="00077F9A">
      <w:rPr>
        <w:rStyle w:val="SidhuvudBilaga"/>
      </w:rPr>
      <w:fldChar w:fldCharType="end"/>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int(</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17</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8</w:instrText>
    </w:r>
    <w:r w:rsidRPr="00077F9A">
      <w:rPr>
        <w:rStyle w:val="SidhuvudBilaga"/>
      </w:rPr>
      <w:fldChar w:fldCharType="end"/>
    </w:r>
    <w:r w:rsidRPr="00077F9A">
      <w:rPr>
        <w:rStyle w:val="SidhuvudBilaga"/>
      </w:rPr>
      <w:fldChar w:fldCharType="separate"/>
    </w:r>
    <w:r w:rsidR="001F596B" w:rsidRPr="00077F9A">
      <w:rPr>
        <w:rStyle w:val="SidhuvudBilaga"/>
      </w:rPr>
      <w:instrText>0,5</w:instrText>
    </w:r>
    <w:r w:rsidRPr="00077F9A">
      <w:rPr>
        <w:rStyle w:val="SidhuvudBilaga"/>
      </w:rPr>
      <w:fldChar w:fldCharType="end"/>
    </w:r>
    <w:r w:rsidRPr="00077F9A">
      <w:rPr>
        <w:rStyle w:val="SidhuvudBilaga"/>
      </w:rPr>
      <w:instrText xml:space="preserve"> = 0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Pr="00077F9A">
      <w:rPr>
        <w:rStyle w:val="SidhuvudBilaga"/>
      </w:rPr>
      <w:instrText>4</w:instrText>
    </w:r>
    <w:r w:rsidRPr="00077F9A">
      <w:rPr>
        <w:rStyle w:val="SidhuvudBilaga"/>
      </w:rPr>
      <w:fldChar w:fldCharType="end"/>
    </w:r>
    <w:r w:rsidRPr="00077F9A">
      <w:rPr>
        <w:rStyle w:val="SidhuvudBilaga"/>
      </w:rPr>
      <w:instrText xml:space="preserve">    </w:instrText>
    </w:r>
  </w:p>
  <w:p w:rsidR="00312E0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separate"/>
    </w:r>
    <w:r w:rsidRPr="00077F9A">
      <w:rPr>
        <w:rStyle w:val="SidhuvudBilaga"/>
      </w:rPr>
      <w:instrText>Utkast</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Pr="00077F9A">
      <w:rPr>
        <w:rStyle w:val="SidhuvudBilaga"/>
      </w:rPr>
      <w:instrText>Nej</w:instrText>
    </w:r>
    <w:r w:rsidRPr="00077F9A">
      <w:rPr>
        <w:rStyle w:val="SidhuvudBilaga"/>
      </w:rPr>
      <w:fldChar w:fldCharType="end"/>
    </w:r>
    <w:r w:rsidRPr="00077F9A">
      <w:rPr>
        <w:rStyle w:val="SidhuvudBilaga"/>
      </w:rPr>
      <w:instrText xml:space="preserve"> = "Ja" "    </w:instrText>
    </w:r>
    <w:r w:rsidRPr="00077F9A">
      <w:rPr>
        <w:rStyle w:val="SidhuvudBilaga"/>
      </w:rPr>
      <w:fldChar w:fldCharType="begin" w:fldLock="1"/>
    </w:r>
    <w:r w:rsidRPr="00077F9A">
      <w:rPr>
        <w:rStyle w:val="SidhuvudBilaga"/>
      </w:rPr>
      <w:instrText xml:space="preserve"> PRINTDATE \@ "yyyy-MM-dd HH.mm"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p>
  <w:p w:rsidR="00312E0B" w:rsidRPr="00077F9A" w:rsidRDefault="00312E0B" w:rsidP="0023616C">
    <w:pPr>
      <w:pStyle w:val="SidhuvudKantUdda"/>
      <w:framePr w:wrap="around"/>
      <w:rPr>
        <w:rStyle w:val="SidhuvudBilaga"/>
      </w:rPr>
    </w:pPr>
    <w:r w:rsidRPr="00077F9A">
      <w:rPr>
        <w:rStyle w:val="SidhuvudBilaga"/>
      </w:rPr>
      <w:instrText xml:space="preserve"> "  "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00A56E21"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00A56E21"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00A56E21" w:rsidRPr="00077F9A">
      <w:rPr>
        <w:rStyle w:val="SidhuvudBilaga"/>
      </w:rPr>
      <w:instrText>4</w:instrText>
    </w:r>
    <w:r w:rsidRPr="00077F9A">
      <w:rPr>
        <w:rStyle w:val="SidhuvudBilaga"/>
      </w:rPr>
      <w:fldChar w:fldCharType="end"/>
    </w:r>
  </w:p>
  <w:p w:rsidR="001F596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00A56E21" w:rsidRPr="00077F9A">
      <w:rPr>
        <w:rStyle w:val="SidhuvudBilaga"/>
      </w:rPr>
      <w:instrText>Nej</w:instrText>
    </w:r>
    <w:r w:rsidRPr="00077F9A">
      <w:rPr>
        <w:rStyle w:val="SidhuvudBilaga"/>
      </w:rPr>
      <w:fldChar w:fldCharType="end"/>
    </w:r>
    <w:r w:rsidRPr="00077F9A">
      <w:rPr>
        <w:rStyle w:val="SidhuvudBilaga"/>
      </w:rPr>
      <w:instrText xml:space="preserve"> = "Ja" "</w:instrText>
    </w:r>
    <w:r w:rsidRPr="00077F9A">
      <w:rPr>
        <w:rStyle w:val="SidhuvudBilaga"/>
      </w:rPr>
      <w:fldChar w:fldCharType="begin" w:fldLock="1"/>
    </w:r>
    <w:r w:rsidRPr="00077F9A">
      <w:rPr>
        <w:rStyle w:val="SidhuvudBilaga"/>
      </w:rPr>
      <w:instrText xml:space="preserve"> PRINTDATE \@ "yyyy-MM-dd HH.mm    "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end"/>
    </w:r>
    <w:r w:rsidRPr="00077F9A">
      <w:rPr>
        <w:rStyle w:val="SidhuvudBilaga"/>
      </w:rPr>
      <w:instrText>"</w:instrText>
    </w:r>
    <w:r w:rsidRPr="00077F9A">
      <w:rPr>
        <w:rStyle w:val="SidhuvudBilaga"/>
      </w:rPr>
      <w:fldChar w:fldCharType="separate"/>
    </w:r>
    <w:r w:rsidR="001F596B" w:rsidRPr="00077F9A">
      <w:rPr>
        <w:rStyle w:val="SidhuvudBilaga"/>
      </w:rPr>
      <w:instrText xml:space="preserve">  2008/09:RS4</w:instrText>
    </w:r>
  </w:p>
  <w:p w:rsidR="001F596B" w:rsidRPr="00077F9A" w:rsidRDefault="00312E0B" w:rsidP="0023616C">
    <w:pPr>
      <w:pStyle w:val="SidhuvudKantUdda"/>
      <w:framePr w:wrap="around"/>
      <w:rPr>
        <w:rStyle w:val="SidhuvudBilaga"/>
      </w:rPr>
    </w:pPr>
    <w:r w:rsidRPr="00077F9A">
      <w:rPr>
        <w:rStyle w:val="SidhuvudBilaga"/>
      </w:rPr>
      <w:fldChar w:fldCharType="end"/>
    </w:r>
    <w:r w:rsidRPr="00077F9A">
      <w:rPr>
        <w:rStyle w:val="SidhuvudBilaga"/>
      </w:rPr>
      <w:instrText>" " "</w:instrText>
    </w:r>
    <w:r w:rsidRPr="00077F9A">
      <w:rPr>
        <w:rStyle w:val="SidhuvudBilaga"/>
      </w:rPr>
      <w:fldChar w:fldCharType="separate"/>
    </w:r>
    <w:r w:rsidR="001F596B" w:rsidRPr="00077F9A">
      <w:rPr>
        <w:rStyle w:val="SidhuvudBilaga"/>
      </w:rPr>
      <w:t xml:space="preserve">  2008/09:RS4</w:t>
    </w:r>
  </w:p>
  <w:p w:rsidR="00312E0B" w:rsidRPr="00077F9A" w:rsidRDefault="00312E0B" w:rsidP="0023616C">
    <w:pPr>
      <w:pStyle w:val="SidhuvudKantUdda"/>
      <w:framePr w:wrap="around"/>
      <w:rPr>
        <w:rStyle w:val="SidhuvudBilaga"/>
      </w:rPr>
    </w:pPr>
    <w:r w:rsidRPr="00077F9A">
      <w:rPr>
        <w:rStyle w:val="SidhuvudBilaga"/>
      </w:rPr>
      <w:fldChar w:fldCharType="end"/>
    </w:r>
  </w:p>
  <w:p w:rsidR="00312E0B" w:rsidRPr="00077F9A" w:rsidRDefault="00312E0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Jmn"/>
      <w:framePr w:w="8732" w:h="567" w:hRule="exact" w:vSpace="0" w:wrap="around" w:vAnchor="page" w:y="341" w:anchorLock="0"/>
      <w:rPr>
        <w:rStyle w:val="SidhuvudUtskott"/>
        <w:spacing w:val="8"/>
      </w:rPr>
    </w:pPr>
    <w:r w:rsidRPr="00077F9A">
      <w:rPr>
        <w:rStyle w:val="SidhuvudUtskott"/>
        <w:spacing w:val="8"/>
      </w:rPr>
      <w:t xml:space="preserve">2008/09:RS4    </w:t>
    </w:r>
    <w:r w:rsidRPr="00077F9A">
      <w:rPr>
        <w:rStyle w:val="SidhuvudUtskott"/>
        <w:smallCaps/>
        <w:spacing w:val="8"/>
      </w:rPr>
      <w:t>BILAGA</w:t>
    </w:r>
  </w:p>
  <w:p w:rsidR="00312E0B" w:rsidRPr="00077F9A" w:rsidRDefault="00312E0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Jmn"/>
      <w:framePr w:w="8732" w:h="567" w:hRule="exact" w:vSpace="0" w:wrap="around" w:vAnchor="page" w:y="341" w:anchorLock="0"/>
      <w:rPr>
        <w:rStyle w:val="SidhuvudUtskott"/>
        <w:spacing w:val="8"/>
      </w:rPr>
    </w:pPr>
    <w:r w:rsidRPr="00077F9A">
      <w:rPr>
        <w:rStyle w:val="SidhuvudUtskott"/>
        <w:spacing w:val="8"/>
      </w:rPr>
      <w:t xml:space="preserve">2008/09:RS4    </w:t>
    </w:r>
    <w:r w:rsidRPr="00077F9A">
      <w:rPr>
        <w:rStyle w:val="SidhuvudUtskott"/>
        <w:smallCaps/>
        <w:spacing w:val="8"/>
      </w:rPr>
      <w:t>BILAGA</w:t>
    </w:r>
  </w:p>
  <w:p w:rsidR="00312E0B" w:rsidRPr="00077F9A" w:rsidRDefault="00312E0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huvudKantUdda"/>
      <w:framePr w:w="8732" w:h="567" w:hRule="exact" w:vSpace="0" w:wrap="around" w:vAnchor="page" w:y="341" w:anchorLock="0"/>
    </w:pPr>
    <w:r w:rsidRPr="00077F9A">
      <w:rPr>
        <w:rStyle w:val="SidhuvudRubrikReferens"/>
      </w:rPr>
      <w:fldChar w:fldCharType="begin" w:fldLock="1"/>
    </w:r>
    <w:r w:rsidRPr="00077F9A">
      <w:rPr>
        <w:rStyle w:val="SidhuvudRubrikReferens"/>
      </w:rPr>
      <w:instrText xml:space="preserve"> StyleREF "Rubrik 1" </w:instrText>
    </w:r>
    <w:r w:rsidRPr="00077F9A">
      <w:rPr>
        <w:rStyle w:val="SidhuvudRubrikReferens"/>
      </w:rPr>
      <w:fldChar w:fldCharType="end"/>
    </w:r>
    <w:r w:rsidRPr="00077F9A">
      <w:rPr>
        <w:rStyle w:val="SidhuvudBilaga"/>
      </w:rPr>
      <w:t xml:space="preserve"> </w:t>
    </w:r>
    <w:r w:rsidRPr="00077F9A">
      <w:t xml:space="preserve">     </w: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00A56E21" w:rsidRPr="00077F9A">
      <w:rPr>
        <w:rStyle w:val="SidhuvudUtskott"/>
      </w:rPr>
      <w:t>2008/09</w:t>
    </w:r>
    <w:r w:rsidRPr="00077F9A">
      <w:rPr>
        <w:rStyle w:val="SidhuvudUtskott"/>
      </w:rPr>
      <w:fldChar w:fldCharType="end"/>
    </w:r>
    <w:r w:rsidRPr="00077F9A">
      <w:rPr>
        <w:rStyle w:val="SidhuvudUtskott"/>
      </w:rPr>
      <w:t>:</w:t>
    </w:r>
    <w:r w:rsidRPr="00077F9A">
      <w:rPr>
        <w:rStyle w:val="SidhuvudUtskott"/>
      </w:rPr>
      <w:fldChar w:fldCharType="begin" w:fldLock="1"/>
    </w:r>
    <w:r w:rsidRPr="00077F9A">
      <w:rPr>
        <w:rStyle w:val="SidhuvudUtskott"/>
      </w:rPr>
      <w:instrText xml:space="preserve"> DOCPROPERTY</w:instrText>
    </w:r>
    <w:r w:rsidRPr="00077F9A">
      <w:instrText xml:space="preserve"> </w:instrText>
    </w:r>
    <w:r w:rsidRPr="00077F9A">
      <w:rPr>
        <w:rStyle w:val="SidhuvudUtskott"/>
      </w:rPr>
      <w:instrText>Utskott</w:instrText>
    </w:r>
    <w:r w:rsidRPr="00077F9A">
      <w:rPr>
        <w:rStyle w:val="SidhuvudUtskott"/>
      </w:rPr>
      <w:fldChar w:fldCharType="separate"/>
    </w:r>
    <w:r w:rsidR="00A56E21" w:rsidRPr="00077F9A">
      <w:rPr>
        <w:rStyle w:val="SidhuvudUtskott"/>
      </w:rPr>
      <w:t>RS</w: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w:instrText>
    </w:r>
    <w:r w:rsidRPr="00077F9A">
      <w:rPr>
        <w:rStyle w:val="SidhuvudUtskott"/>
      </w:rPr>
      <w:instrText>n</w:instrText>
    </w:r>
    <w:r w:rsidRPr="00077F9A">
      <w:rPr>
        <w:rStyle w:val="SidhuvudUtskott"/>
      </w:rPr>
      <w:instrText>kandeNr</w:instrText>
    </w:r>
    <w:r w:rsidRPr="00077F9A">
      <w:rPr>
        <w:rStyle w:val="SidhuvudUtskott"/>
      </w:rPr>
      <w:fldChar w:fldCharType="separate"/>
    </w:r>
    <w:r w:rsidR="00A56E21" w:rsidRPr="00077F9A">
      <w:rPr>
        <w:rStyle w:val="SidhuvudUtskott"/>
      </w:rPr>
      <w:t>4</w:t>
    </w:r>
    <w:r w:rsidRPr="00077F9A">
      <w:rPr>
        <w:rStyle w:val="SidhuvudUtskott"/>
      </w:rPr>
      <w:fldChar w:fldCharType="end"/>
    </w:r>
  </w:p>
  <w:p w:rsidR="00312E0B" w:rsidRPr="00077F9A" w:rsidRDefault="00312E0B">
    <w:pPr>
      <w:pStyle w:val="SidhuvudKantUdda"/>
      <w:framePr w:w="8732" w:h="567" w:hRule="exact" w:vSpace="0" w:wrap="around" w:vAnchor="page" w:y="341" w:anchorLock="0"/>
    </w:pP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00A56E21" w:rsidRPr="00077F9A">
      <w:rPr>
        <w:rStyle w:val="SidhuvudUtskott"/>
      </w:rPr>
      <w:instrText>Nej</w:instrText>
    </w:r>
    <w:r w:rsidRPr="00077F9A">
      <w:rPr>
        <w:rStyle w:val="SidhuvudUtskott"/>
      </w:rPr>
      <w:fldChar w:fldCharType="end"/>
    </w:r>
    <w:r w:rsidRPr="00077F9A">
      <w:rPr>
        <w:rStyle w:val="SidhuvudUtskott"/>
      </w:rPr>
      <w:instrText xml:space="preserve"> = "Ja" "</w:instrText>
    </w:r>
    <w:r w:rsidRPr="00077F9A">
      <w:rPr>
        <w:rStyle w:val="SidhuvudUtskott"/>
      </w:rPr>
      <w:fldChar w:fldCharType="begin" w:fldLock="1"/>
    </w:r>
    <w:r w:rsidRPr="00077F9A">
      <w:rPr>
        <w:rStyle w:val="SidhuvudUtskott"/>
      </w:rPr>
      <w:instrText xml:space="preserve"> PRINTDATE \@ "yyyy-MM-dd HH.mm    "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w:instrText>
    </w:r>
    <w:r w:rsidRPr="00077F9A">
      <w:rPr>
        <w:rStyle w:val="SidhuvudUtskott"/>
      </w:rPr>
      <w:instrText>O</w:instrText>
    </w:r>
    <w:r w:rsidRPr="00077F9A">
      <w:rPr>
        <w:rStyle w:val="SidhuvudUtskott"/>
      </w:rPr>
      <w:instrText>PERTY Status</w:instrText>
    </w:r>
    <w:r w:rsidRPr="00077F9A">
      <w:rPr>
        <w:rStyle w:val="SidhuvudUtskott"/>
      </w:rPr>
      <w:fldChar w:fldCharType="end"/>
    </w:r>
  </w:p>
  <w:p w:rsidR="00312E0B" w:rsidRPr="00077F9A" w:rsidRDefault="00312E0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huvudKantUdda"/>
      <w:framePr w:w="8732" w:h="567" w:hRule="exact" w:vSpace="0" w:wrap="around" w:vAnchor="page" w:y="341" w:anchorLock="0"/>
    </w:pPr>
    <w:r w:rsidRPr="00077F9A">
      <w:rPr>
        <w:rStyle w:val="SidhuvudRubrikReferens"/>
        <w:spacing w:val="8"/>
      </w:rPr>
      <w:fldChar w:fldCharType="begin" w:fldLock="1"/>
    </w:r>
    <w:r w:rsidRPr="00077F9A">
      <w:rPr>
        <w:rStyle w:val="SidhuvudRubrikReferens"/>
        <w:spacing w:val="8"/>
      </w:rPr>
      <w:instrText xml:space="preserve"> StyleREF "Rubrik 1" </w:instrText>
    </w:r>
    <w:r w:rsidRPr="00077F9A">
      <w:rPr>
        <w:rStyle w:val="SidhuvudRubrikReferens"/>
        <w:spacing w:val="8"/>
      </w:rPr>
      <w:fldChar w:fldCharType="end"/>
    </w:r>
    <w:r w:rsidRPr="00077F9A">
      <w:rPr>
        <w:rStyle w:val="SidhuvudBilaga"/>
      </w:rPr>
      <w:t xml:space="preserve">    </w:t>
    </w:r>
    <w:r w:rsidRPr="00077F9A">
      <w:t xml:space="preserve">     </w: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00A56E21" w:rsidRPr="00077F9A">
      <w:rPr>
        <w:rStyle w:val="SidhuvudUtskott"/>
      </w:rPr>
      <w:t>2008/09</w:t>
    </w:r>
    <w:r w:rsidRPr="00077F9A">
      <w:rPr>
        <w:rStyle w:val="SidhuvudUtskott"/>
      </w:rPr>
      <w:fldChar w:fldCharType="end"/>
    </w:r>
    <w:r w:rsidRPr="00077F9A">
      <w:rPr>
        <w:rStyle w:val="SidhuvudUtskott"/>
      </w:rPr>
      <w:t>:</w:t>
    </w:r>
    <w:r w:rsidRPr="00077F9A">
      <w:rPr>
        <w:rStyle w:val="SidhuvudUtskott"/>
      </w:rPr>
      <w:fldChar w:fldCharType="begin" w:fldLock="1"/>
    </w:r>
    <w:r w:rsidRPr="00077F9A">
      <w:rPr>
        <w:rStyle w:val="SidhuvudUtskott"/>
      </w:rPr>
      <w:instrText xml:space="preserve"> DOCPROPERTY</w:instrText>
    </w:r>
    <w:r w:rsidRPr="00077F9A">
      <w:instrText xml:space="preserve"> </w:instrText>
    </w:r>
    <w:r w:rsidRPr="00077F9A">
      <w:rPr>
        <w:rStyle w:val="SidhuvudUtskott"/>
      </w:rPr>
      <w:instrText>Utskott</w:instrText>
    </w:r>
    <w:r w:rsidRPr="00077F9A">
      <w:rPr>
        <w:rStyle w:val="SidhuvudUtskott"/>
      </w:rPr>
      <w:fldChar w:fldCharType="separate"/>
    </w:r>
    <w:r w:rsidR="00A56E21" w:rsidRPr="00077F9A">
      <w:rPr>
        <w:rStyle w:val="SidhuvudUtskott"/>
      </w:rPr>
      <w:t>RS</w:t>
    </w:r>
    <w:r w:rsidRPr="00077F9A">
      <w:rPr>
        <w:rStyle w:val="SidhuvudUtskott"/>
      </w:rPr>
      <w:fldChar w:fldCharType="end"/>
    </w:r>
    <w:r w:rsidRPr="00077F9A">
      <w:rPr>
        <w:rStyle w:val="SidhuvudUtskott"/>
      </w:rPr>
      <w:fldChar w:fldCharType="begin" w:fldLock="1"/>
    </w:r>
    <w:r w:rsidRPr="00077F9A">
      <w:rPr>
        <w:rStyle w:val="SidhuvudUtskott"/>
      </w:rPr>
      <w:instrText xml:space="preserve"> DO</w:instrText>
    </w:r>
    <w:r w:rsidRPr="00077F9A">
      <w:rPr>
        <w:rStyle w:val="SidhuvudUtskott"/>
      </w:rPr>
      <w:instrText>C</w:instrText>
    </w:r>
    <w:r w:rsidRPr="00077F9A">
      <w:rPr>
        <w:rStyle w:val="SidhuvudUtskott"/>
      </w:rPr>
      <w:instrText>PROPERTY Betä</w:instrText>
    </w:r>
    <w:r w:rsidRPr="00077F9A">
      <w:rPr>
        <w:rStyle w:val="SidhuvudUtskott"/>
      </w:rPr>
      <w:instrText>n</w:instrText>
    </w:r>
    <w:r w:rsidRPr="00077F9A">
      <w:rPr>
        <w:rStyle w:val="SidhuvudUtskott"/>
      </w:rPr>
      <w:instrText>kandeNr</w:instrText>
    </w:r>
    <w:r w:rsidRPr="00077F9A">
      <w:rPr>
        <w:rStyle w:val="SidhuvudUtskott"/>
      </w:rPr>
      <w:fldChar w:fldCharType="separate"/>
    </w:r>
    <w:r w:rsidR="00A56E21" w:rsidRPr="00077F9A">
      <w:rPr>
        <w:rStyle w:val="SidhuvudUtskott"/>
      </w:rPr>
      <w:t>4</w:t>
    </w:r>
    <w:r w:rsidRPr="00077F9A">
      <w:rPr>
        <w:rStyle w:val="SidhuvudUtskott"/>
      </w:rPr>
      <w:fldChar w:fldCharType="end"/>
    </w:r>
  </w:p>
  <w:p w:rsidR="00312E0B" w:rsidRPr="00077F9A" w:rsidRDefault="00312E0B">
    <w:pPr>
      <w:pStyle w:val="SidhuvudKantUdda"/>
      <w:framePr w:w="8732" w:h="567" w:hRule="exact" w:vSpace="0" w:wrap="around" w:vAnchor="page" w:y="341" w:anchorLock="0"/>
    </w:pP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00A56E21" w:rsidRPr="00077F9A">
      <w:rPr>
        <w:rStyle w:val="SidhuvudUtskott"/>
      </w:rPr>
      <w:instrText>Nej</w:instrText>
    </w:r>
    <w:r w:rsidRPr="00077F9A">
      <w:rPr>
        <w:rStyle w:val="SidhuvudUtskott"/>
      </w:rPr>
      <w:fldChar w:fldCharType="end"/>
    </w:r>
    <w:r w:rsidRPr="00077F9A">
      <w:rPr>
        <w:rStyle w:val="SidhuvudUtskott"/>
      </w:rPr>
      <w:instrText xml:space="preserve"> = "Ja" "</w:instrText>
    </w:r>
    <w:r w:rsidRPr="00077F9A">
      <w:rPr>
        <w:rStyle w:val="SidhuvudUtskott"/>
      </w:rPr>
      <w:fldChar w:fldCharType="begin" w:fldLock="1"/>
    </w:r>
    <w:r w:rsidRPr="00077F9A">
      <w:rPr>
        <w:rStyle w:val="SidhuvudUtskott"/>
      </w:rPr>
      <w:instrText xml:space="preserve"> PRINTDATE \@ "yyyy-MM-dd HH.mm    "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w:instrText>
    </w:r>
    <w:r w:rsidRPr="00077F9A">
      <w:rPr>
        <w:rStyle w:val="SidhuvudUtskott"/>
      </w:rPr>
      <w:instrText>O</w:instrText>
    </w:r>
    <w:r w:rsidRPr="00077F9A">
      <w:rPr>
        <w:rStyle w:val="SidhuvudUtskott"/>
      </w:rPr>
      <w:instrText>PERTY Status</w:instrText>
    </w:r>
    <w:r w:rsidRPr="00077F9A">
      <w:rPr>
        <w:rStyle w:val="SidhuvudUtskott"/>
      </w:rPr>
      <w:fldChar w:fldCharType="end"/>
    </w:r>
  </w:p>
  <w:p w:rsidR="00312E0B" w:rsidRPr="00077F9A" w:rsidRDefault="00312E0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Udda"/>
      <w:framePr w:wrap="around"/>
      <w:rPr>
        <w:rStyle w:val="SidhuvudBilaga"/>
      </w:rPr>
    </w:pPr>
    <w:r w:rsidRPr="00077F9A">
      <w:rPr>
        <w:rStyle w:val="SidhuvudBilaga"/>
      </w:rPr>
      <w:t>BILAGA</w: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19</w:instrText>
    </w:r>
    <w:r w:rsidRPr="00077F9A">
      <w:rPr>
        <w:rStyle w:val="SidhuvudBilaga"/>
      </w:rPr>
      <w:fldChar w:fldCharType="end"/>
    </w:r>
    <w:r w:rsidRPr="00077F9A">
      <w:rPr>
        <w:rStyle w:val="SidhuvudBilaga"/>
      </w:rPr>
      <w:instrText xml:space="preserve"> &gt; 1 "</w:instrTex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19</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9,5</w:instrText>
    </w:r>
    <w:r w:rsidRPr="00077F9A">
      <w:rPr>
        <w:rStyle w:val="SidhuvudBilaga"/>
      </w:rPr>
      <w:fldChar w:fldCharType="end"/>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int(</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19</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9</w:instrText>
    </w:r>
    <w:r w:rsidRPr="00077F9A">
      <w:rPr>
        <w:rStyle w:val="SidhuvudBilaga"/>
      </w:rPr>
      <w:fldChar w:fldCharType="end"/>
    </w:r>
    <w:r w:rsidRPr="00077F9A">
      <w:rPr>
        <w:rStyle w:val="SidhuvudBilaga"/>
      </w:rPr>
      <w:fldChar w:fldCharType="separate"/>
    </w:r>
    <w:r w:rsidR="001F596B" w:rsidRPr="00077F9A">
      <w:rPr>
        <w:rStyle w:val="SidhuvudBilaga"/>
      </w:rPr>
      <w:instrText>0,5</w:instrText>
    </w:r>
    <w:r w:rsidRPr="00077F9A">
      <w:rPr>
        <w:rStyle w:val="SidhuvudBilaga"/>
      </w:rPr>
      <w:fldChar w:fldCharType="end"/>
    </w:r>
    <w:r w:rsidRPr="00077F9A">
      <w:rPr>
        <w:rStyle w:val="SidhuvudBilaga"/>
      </w:rPr>
      <w:instrText xml:space="preserve"> = 0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Pr="00077F9A">
      <w:rPr>
        <w:rStyle w:val="SidhuvudBilaga"/>
      </w:rPr>
      <w:instrText>4</w:instrText>
    </w:r>
    <w:r w:rsidRPr="00077F9A">
      <w:rPr>
        <w:rStyle w:val="SidhuvudBilaga"/>
      </w:rPr>
      <w:fldChar w:fldCharType="end"/>
    </w:r>
    <w:r w:rsidRPr="00077F9A">
      <w:rPr>
        <w:rStyle w:val="SidhuvudBilaga"/>
      </w:rPr>
      <w:instrText xml:space="preserve">    </w:instrText>
    </w:r>
  </w:p>
  <w:p w:rsidR="00312E0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separate"/>
    </w:r>
    <w:r w:rsidRPr="00077F9A">
      <w:rPr>
        <w:rStyle w:val="SidhuvudBilaga"/>
      </w:rPr>
      <w:instrText>Utkast</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Pr="00077F9A">
      <w:rPr>
        <w:rStyle w:val="SidhuvudBilaga"/>
      </w:rPr>
      <w:instrText>Nej</w:instrText>
    </w:r>
    <w:r w:rsidRPr="00077F9A">
      <w:rPr>
        <w:rStyle w:val="SidhuvudBilaga"/>
      </w:rPr>
      <w:fldChar w:fldCharType="end"/>
    </w:r>
    <w:r w:rsidRPr="00077F9A">
      <w:rPr>
        <w:rStyle w:val="SidhuvudBilaga"/>
      </w:rPr>
      <w:instrText xml:space="preserve"> = "Ja" "    </w:instrText>
    </w:r>
    <w:r w:rsidRPr="00077F9A">
      <w:rPr>
        <w:rStyle w:val="SidhuvudBilaga"/>
      </w:rPr>
      <w:fldChar w:fldCharType="begin" w:fldLock="1"/>
    </w:r>
    <w:r w:rsidRPr="00077F9A">
      <w:rPr>
        <w:rStyle w:val="SidhuvudBilaga"/>
      </w:rPr>
      <w:instrText xml:space="preserve"> PRINTDATE \@ "yyyy-MM-dd HH.mm"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p>
  <w:p w:rsidR="00312E0B" w:rsidRPr="00077F9A" w:rsidRDefault="00312E0B" w:rsidP="0023616C">
    <w:pPr>
      <w:pStyle w:val="SidhuvudKantUdda"/>
      <w:framePr w:wrap="around"/>
      <w:rPr>
        <w:rStyle w:val="SidhuvudBilaga"/>
      </w:rPr>
    </w:pPr>
    <w:r w:rsidRPr="00077F9A">
      <w:rPr>
        <w:rStyle w:val="SidhuvudBilaga"/>
      </w:rPr>
      <w:instrText xml:space="preserve"> "  "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00A56E21"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00A56E21"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00A56E21" w:rsidRPr="00077F9A">
      <w:rPr>
        <w:rStyle w:val="SidhuvudBilaga"/>
      </w:rPr>
      <w:instrText>4</w:instrText>
    </w:r>
    <w:r w:rsidRPr="00077F9A">
      <w:rPr>
        <w:rStyle w:val="SidhuvudBilaga"/>
      </w:rPr>
      <w:fldChar w:fldCharType="end"/>
    </w:r>
  </w:p>
  <w:p w:rsidR="001F596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00A56E21" w:rsidRPr="00077F9A">
      <w:rPr>
        <w:rStyle w:val="SidhuvudBilaga"/>
      </w:rPr>
      <w:instrText>Nej</w:instrText>
    </w:r>
    <w:r w:rsidRPr="00077F9A">
      <w:rPr>
        <w:rStyle w:val="SidhuvudBilaga"/>
      </w:rPr>
      <w:fldChar w:fldCharType="end"/>
    </w:r>
    <w:r w:rsidRPr="00077F9A">
      <w:rPr>
        <w:rStyle w:val="SidhuvudBilaga"/>
      </w:rPr>
      <w:instrText xml:space="preserve"> = "Ja" "</w:instrText>
    </w:r>
    <w:r w:rsidRPr="00077F9A">
      <w:rPr>
        <w:rStyle w:val="SidhuvudBilaga"/>
      </w:rPr>
      <w:fldChar w:fldCharType="begin" w:fldLock="1"/>
    </w:r>
    <w:r w:rsidRPr="00077F9A">
      <w:rPr>
        <w:rStyle w:val="SidhuvudBilaga"/>
      </w:rPr>
      <w:instrText xml:space="preserve"> PRINTDATE \@ "yyyy-MM-dd HH.mm    "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end"/>
    </w:r>
    <w:r w:rsidRPr="00077F9A">
      <w:rPr>
        <w:rStyle w:val="SidhuvudBilaga"/>
      </w:rPr>
      <w:instrText>"</w:instrText>
    </w:r>
    <w:r w:rsidRPr="00077F9A">
      <w:rPr>
        <w:rStyle w:val="SidhuvudBilaga"/>
      </w:rPr>
      <w:fldChar w:fldCharType="separate"/>
    </w:r>
    <w:r w:rsidR="001F596B" w:rsidRPr="00077F9A">
      <w:rPr>
        <w:rStyle w:val="SidhuvudBilaga"/>
      </w:rPr>
      <w:instrText xml:space="preserve">  2008/09:RS4</w:instrText>
    </w:r>
  </w:p>
  <w:p w:rsidR="001F596B" w:rsidRPr="00077F9A" w:rsidRDefault="00312E0B" w:rsidP="0023616C">
    <w:pPr>
      <w:pStyle w:val="SidhuvudKantUdda"/>
      <w:framePr w:wrap="around"/>
      <w:rPr>
        <w:rStyle w:val="SidhuvudBilaga"/>
      </w:rPr>
    </w:pPr>
    <w:r w:rsidRPr="00077F9A">
      <w:rPr>
        <w:rStyle w:val="SidhuvudBilaga"/>
      </w:rPr>
      <w:fldChar w:fldCharType="end"/>
    </w:r>
    <w:r w:rsidRPr="00077F9A">
      <w:rPr>
        <w:rStyle w:val="SidhuvudBilaga"/>
      </w:rPr>
      <w:instrText>" " "</w:instrText>
    </w:r>
    <w:r w:rsidRPr="00077F9A">
      <w:rPr>
        <w:rStyle w:val="SidhuvudBilaga"/>
      </w:rPr>
      <w:fldChar w:fldCharType="separate"/>
    </w:r>
    <w:r w:rsidR="001F596B" w:rsidRPr="00077F9A">
      <w:rPr>
        <w:rStyle w:val="SidhuvudBilaga"/>
      </w:rPr>
      <w:t xml:space="preserve">  2008/09:RS4</w:t>
    </w:r>
  </w:p>
  <w:p w:rsidR="00312E0B" w:rsidRPr="00077F9A" w:rsidRDefault="00312E0B" w:rsidP="0023616C">
    <w:pPr>
      <w:pStyle w:val="SidhuvudKantUdda"/>
      <w:framePr w:wrap="around"/>
      <w:rPr>
        <w:rStyle w:val="SidhuvudBilaga"/>
      </w:rPr>
    </w:pPr>
    <w:r w:rsidRPr="00077F9A">
      <w:rPr>
        <w:rStyle w:val="SidhuvudBilaga"/>
      </w:rPr>
      <w:fldChar w:fldCharType="end"/>
    </w:r>
  </w:p>
  <w:p w:rsidR="00312E0B" w:rsidRPr="00077F9A" w:rsidRDefault="00312E0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Jmn"/>
      <w:framePr w:w="8732" w:h="567" w:hRule="exact" w:vSpace="0" w:wrap="around" w:vAnchor="page" w:y="341" w:anchorLock="0"/>
      <w:rPr>
        <w:rStyle w:val="SidhuvudUtskott"/>
        <w:spacing w:val="8"/>
      </w:rPr>
    </w:pPr>
    <w:r w:rsidRPr="00077F9A">
      <w:rPr>
        <w:rStyle w:val="SidhuvudUtskott"/>
        <w:spacing w:val="8"/>
      </w:rPr>
      <w:t xml:space="preserve">2008/09:RS4    </w:t>
    </w:r>
    <w:r w:rsidRPr="00077F9A">
      <w:rPr>
        <w:rStyle w:val="SidhuvudUtskott"/>
        <w:smallCaps/>
        <w:spacing w:val="8"/>
      </w:rPr>
      <w:t>BILAGA</w:t>
    </w:r>
  </w:p>
  <w:p w:rsidR="00312E0B" w:rsidRPr="00077F9A" w:rsidRDefault="00312E0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Udda"/>
      <w:framePr w:wrap="around"/>
      <w:rPr>
        <w:rStyle w:val="SidhuvudBilaga"/>
      </w:rPr>
    </w:pPr>
    <w:r w:rsidRPr="00077F9A">
      <w:rPr>
        <w:rStyle w:val="SidhuvudBilaga"/>
      </w:rPr>
      <w:t>BILAGA</w: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31</w:instrText>
    </w:r>
    <w:r w:rsidRPr="00077F9A">
      <w:rPr>
        <w:rStyle w:val="SidhuvudBilaga"/>
      </w:rPr>
      <w:fldChar w:fldCharType="end"/>
    </w:r>
    <w:r w:rsidRPr="00077F9A">
      <w:rPr>
        <w:rStyle w:val="SidhuvudBilaga"/>
      </w:rPr>
      <w:instrText xml:space="preserve"> &gt; 1 "</w:instrTex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31</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15,5</w:instrText>
    </w:r>
    <w:r w:rsidRPr="00077F9A">
      <w:rPr>
        <w:rStyle w:val="SidhuvudBilaga"/>
      </w:rPr>
      <w:fldChar w:fldCharType="end"/>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int(</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31</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15</w:instrText>
    </w:r>
    <w:r w:rsidRPr="00077F9A">
      <w:rPr>
        <w:rStyle w:val="SidhuvudBilaga"/>
      </w:rPr>
      <w:fldChar w:fldCharType="end"/>
    </w:r>
    <w:r w:rsidRPr="00077F9A">
      <w:rPr>
        <w:rStyle w:val="SidhuvudBilaga"/>
      </w:rPr>
      <w:fldChar w:fldCharType="separate"/>
    </w:r>
    <w:r w:rsidR="001F596B" w:rsidRPr="00077F9A">
      <w:rPr>
        <w:rStyle w:val="SidhuvudBilaga"/>
      </w:rPr>
      <w:instrText>0,5</w:instrText>
    </w:r>
    <w:r w:rsidRPr="00077F9A">
      <w:rPr>
        <w:rStyle w:val="SidhuvudBilaga"/>
      </w:rPr>
      <w:fldChar w:fldCharType="end"/>
    </w:r>
    <w:r w:rsidRPr="00077F9A">
      <w:rPr>
        <w:rStyle w:val="SidhuvudBilaga"/>
      </w:rPr>
      <w:instrText xml:space="preserve"> = 0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Pr="00077F9A">
      <w:rPr>
        <w:rStyle w:val="SidhuvudBilaga"/>
      </w:rPr>
      <w:instrText>4</w:instrText>
    </w:r>
    <w:r w:rsidRPr="00077F9A">
      <w:rPr>
        <w:rStyle w:val="SidhuvudBilaga"/>
      </w:rPr>
      <w:fldChar w:fldCharType="end"/>
    </w:r>
    <w:r w:rsidRPr="00077F9A">
      <w:rPr>
        <w:rStyle w:val="SidhuvudBilaga"/>
      </w:rPr>
      <w:instrText xml:space="preserve">    </w:instrText>
    </w:r>
  </w:p>
  <w:p w:rsidR="00312E0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separate"/>
    </w:r>
    <w:r w:rsidRPr="00077F9A">
      <w:rPr>
        <w:rStyle w:val="SidhuvudBilaga"/>
      </w:rPr>
      <w:instrText>Utkast</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Pr="00077F9A">
      <w:rPr>
        <w:rStyle w:val="SidhuvudBilaga"/>
      </w:rPr>
      <w:instrText>Nej</w:instrText>
    </w:r>
    <w:r w:rsidRPr="00077F9A">
      <w:rPr>
        <w:rStyle w:val="SidhuvudBilaga"/>
      </w:rPr>
      <w:fldChar w:fldCharType="end"/>
    </w:r>
    <w:r w:rsidRPr="00077F9A">
      <w:rPr>
        <w:rStyle w:val="SidhuvudBilaga"/>
      </w:rPr>
      <w:instrText xml:space="preserve"> = "Ja" "    </w:instrText>
    </w:r>
    <w:r w:rsidRPr="00077F9A">
      <w:rPr>
        <w:rStyle w:val="SidhuvudBilaga"/>
      </w:rPr>
      <w:fldChar w:fldCharType="begin" w:fldLock="1"/>
    </w:r>
    <w:r w:rsidRPr="00077F9A">
      <w:rPr>
        <w:rStyle w:val="SidhuvudBilaga"/>
      </w:rPr>
      <w:instrText xml:space="preserve"> PRINTDATE \@ "yyyy-MM-dd HH.mm"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p>
  <w:p w:rsidR="00312E0B" w:rsidRPr="00077F9A" w:rsidRDefault="00312E0B" w:rsidP="0023616C">
    <w:pPr>
      <w:pStyle w:val="SidhuvudKantUdda"/>
      <w:framePr w:wrap="around"/>
      <w:rPr>
        <w:rStyle w:val="SidhuvudBilaga"/>
      </w:rPr>
    </w:pPr>
    <w:r w:rsidRPr="00077F9A">
      <w:rPr>
        <w:rStyle w:val="SidhuvudBilaga"/>
      </w:rPr>
      <w:instrText xml:space="preserve"> "  "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00A56E21"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00A56E21"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00A56E21" w:rsidRPr="00077F9A">
      <w:rPr>
        <w:rStyle w:val="SidhuvudBilaga"/>
      </w:rPr>
      <w:instrText>4</w:instrText>
    </w:r>
    <w:r w:rsidRPr="00077F9A">
      <w:rPr>
        <w:rStyle w:val="SidhuvudBilaga"/>
      </w:rPr>
      <w:fldChar w:fldCharType="end"/>
    </w:r>
  </w:p>
  <w:p w:rsidR="001F596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00A56E21" w:rsidRPr="00077F9A">
      <w:rPr>
        <w:rStyle w:val="SidhuvudBilaga"/>
      </w:rPr>
      <w:instrText>Nej</w:instrText>
    </w:r>
    <w:r w:rsidRPr="00077F9A">
      <w:rPr>
        <w:rStyle w:val="SidhuvudBilaga"/>
      </w:rPr>
      <w:fldChar w:fldCharType="end"/>
    </w:r>
    <w:r w:rsidRPr="00077F9A">
      <w:rPr>
        <w:rStyle w:val="SidhuvudBilaga"/>
      </w:rPr>
      <w:instrText xml:space="preserve"> = "Ja" "</w:instrText>
    </w:r>
    <w:r w:rsidRPr="00077F9A">
      <w:rPr>
        <w:rStyle w:val="SidhuvudBilaga"/>
      </w:rPr>
      <w:fldChar w:fldCharType="begin" w:fldLock="1"/>
    </w:r>
    <w:r w:rsidRPr="00077F9A">
      <w:rPr>
        <w:rStyle w:val="SidhuvudBilaga"/>
      </w:rPr>
      <w:instrText xml:space="preserve"> PRINTDATE \@ "yyyy-MM-dd HH.mm    "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end"/>
    </w:r>
    <w:r w:rsidRPr="00077F9A">
      <w:rPr>
        <w:rStyle w:val="SidhuvudBilaga"/>
      </w:rPr>
      <w:instrText>"</w:instrText>
    </w:r>
    <w:r w:rsidRPr="00077F9A">
      <w:rPr>
        <w:rStyle w:val="SidhuvudBilaga"/>
      </w:rPr>
      <w:fldChar w:fldCharType="separate"/>
    </w:r>
    <w:r w:rsidR="001F596B" w:rsidRPr="00077F9A">
      <w:rPr>
        <w:rStyle w:val="SidhuvudBilaga"/>
      </w:rPr>
      <w:instrText xml:space="preserve">  2008/09:RS4</w:instrText>
    </w:r>
  </w:p>
  <w:p w:rsidR="001F596B" w:rsidRPr="00077F9A" w:rsidRDefault="00312E0B" w:rsidP="0023616C">
    <w:pPr>
      <w:pStyle w:val="SidhuvudKantUdda"/>
      <w:framePr w:wrap="around"/>
      <w:rPr>
        <w:rStyle w:val="SidhuvudBilaga"/>
      </w:rPr>
    </w:pPr>
    <w:r w:rsidRPr="00077F9A">
      <w:rPr>
        <w:rStyle w:val="SidhuvudBilaga"/>
      </w:rPr>
      <w:fldChar w:fldCharType="end"/>
    </w:r>
    <w:r w:rsidRPr="00077F9A">
      <w:rPr>
        <w:rStyle w:val="SidhuvudBilaga"/>
      </w:rPr>
      <w:instrText>" " "</w:instrText>
    </w:r>
    <w:r w:rsidRPr="00077F9A">
      <w:rPr>
        <w:rStyle w:val="SidhuvudBilaga"/>
      </w:rPr>
      <w:fldChar w:fldCharType="separate"/>
    </w:r>
    <w:r w:rsidR="001F596B" w:rsidRPr="00077F9A">
      <w:rPr>
        <w:rStyle w:val="SidhuvudBilaga"/>
      </w:rPr>
      <w:t xml:space="preserve">  2008/09:RS4</w:t>
    </w:r>
  </w:p>
  <w:p w:rsidR="00312E0B" w:rsidRPr="00077F9A" w:rsidRDefault="00312E0B" w:rsidP="0023616C">
    <w:pPr>
      <w:pStyle w:val="SidhuvudKantUdda"/>
      <w:framePr w:wrap="around"/>
      <w:rPr>
        <w:rStyle w:val="SidhuvudBilaga"/>
      </w:rPr>
    </w:pPr>
    <w:r w:rsidRPr="00077F9A">
      <w:rPr>
        <w:rStyle w:val="SidhuvudBilaga"/>
      </w:rPr>
      <w:fldChar w:fldCharType="end"/>
    </w:r>
  </w:p>
  <w:p w:rsidR="00312E0B" w:rsidRPr="00077F9A" w:rsidRDefault="00312E0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Udda"/>
      <w:framePr w:wrap="around"/>
      <w:rPr>
        <w:rStyle w:val="SidhuvudBilaga"/>
      </w:rPr>
    </w:pPr>
    <w:r w:rsidRPr="00077F9A">
      <w:rPr>
        <w:rStyle w:val="SidhuvudBilaga"/>
      </w:rPr>
      <w:t>BILAGA</w: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21</w:instrText>
    </w:r>
    <w:r w:rsidRPr="00077F9A">
      <w:rPr>
        <w:rStyle w:val="SidhuvudBilaga"/>
      </w:rPr>
      <w:fldChar w:fldCharType="end"/>
    </w:r>
    <w:r w:rsidRPr="00077F9A">
      <w:rPr>
        <w:rStyle w:val="SidhuvudBilaga"/>
      </w:rPr>
      <w:instrText xml:space="preserve"> &gt; 1 "</w:instrTex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21</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10,5</w:instrText>
    </w:r>
    <w:r w:rsidRPr="00077F9A">
      <w:rPr>
        <w:rStyle w:val="SidhuvudBilaga"/>
      </w:rPr>
      <w:fldChar w:fldCharType="end"/>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int(</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21</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10</w:instrText>
    </w:r>
    <w:r w:rsidRPr="00077F9A">
      <w:rPr>
        <w:rStyle w:val="SidhuvudBilaga"/>
      </w:rPr>
      <w:fldChar w:fldCharType="end"/>
    </w:r>
    <w:r w:rsidRPr="00077F9A">
      <w:rPr>
        <w:rStyle w:val="SidhuvudBilaga"/>
      </w:rPr>
      <w:fldChar w:fldCharType="separate"/>
    </w:r>
    <w:r w:rsidR="001F596B" w:rsidRPr="00077F9A">
      <w:rPr>
        <w:rStyle w:val="SidhuvudBilaga"/>
      </w:rPr>
      <w:instrText>0,5</w:instrText>
    </w:r>
    <w:r w:rsidRPr="00077F9A">
      <w:rPr>
        <w:rStyle w:val="SidhuvudBilaga"/>
      </w:rPr>
      <w:fldChar w:fldCharType="end"/>
    </w:r>
    <w:r w:rsidRPr="00077F9A">
      <w:rPr>
        <w:rStyle w:val="SidhuvudBilaga"/>
      </w:rPr>
      <w:instrText xml:space="preserve"> = 0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Pr="00077F9A">
      <w:rPr>
        <w:rStyle w:val="SidhuvudBilaga"/>
      </w:rPr>
      <w:instrText>4</w:instrText>
    </w:r>
    <w:r w:rsidRPr="00077F9A">
      <w:rPr>
        <w:rStyle w:val="SidhuvudBilaga"/>
      </w:rPr>
      <w:fldChar w:fldCharType="end"/>
    </w:r>
    <w:r w:rsidRPr="00077F9A">
      <w:rPr>
        <w:rStyle w:val="SidhuvudBilaga"/>
      </w:rPr>
      <w:instrText xml:space="preserve">    </w:instrText>
    </w:r>
  </w:p>
  <w:p w:rsidR="00312E0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separate"/>
    </w:r>
    <w:r w:rsidRPr="00077F9A">
      <w:rPr>
        <w:rStyle w:val="SidhuvudBilaga"/>
      </w:rPr>
      <w:instrText>Utkast</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Pr="00077F9A">
      <w:rPr>
        <w:rStyle w:val="SidhuvudBilaga"/>
      </w:rPr>
      <w:instrText>Nej</w:instrText>
    </w:r>
    <w:r w:rsidRPr="00077F9A">
      <w:rPr>
        <w:rStyle w:val="SidhuvudBilaga"/>
      </w:rPr>
      <w:fldChar w:fldCharType="end"/>
    </w:r>
    <w:r w:rsidRPr="00077F9A">
      <w:rPr>
        <w:rStyle w:val="SidhuvudBilaga"/>
      </w:rPr>
      <w:instrText xml:space="preserve"> = "Ja" "    </w:instrText>
    </w:r>
    <w:r w:rsidRPr="00077F9A">
      <w:rPr>
        <w:rStyle w:val="SidhuvudBilaga"/>
      </w:rPr>
      <w:fldChar w:fldCharType="begin" w:fldLock="1"/>
    </w:r>
    <w:r w:rsidRPr="00077F9A">
      <w:rPr>
        <w:rStyle w:val="SidhuvudBilaga"/>
      </w:rPr>
      <w:instrText xml:space="preserve"> PRINTDATE \@ "yyyy-MM-dd HH.mm"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p>
  <w:p w:rsidR="00312E0B" w:rsidRPr="00077F9A" w:rsidRDefault="00312E0B" w:rsidP="0023616C">
    <w:pPr>
      <w:pStyle w:val="SidhuvudKantUdda"/>
      <w:framePr w:wrap="around"/>
      <w:rPr>
        <w:rStyle w:val="SidhuvudBilaga"/>
      </w:rPr>
    </w:pPr>
    <w:r w:rsidRPr="00077F9A">
      <w:rPr>
        <w:rStyle w:val="SidhuvudBilaga"/>
      </w:rPr>
      <w:instrText xml:space="preserve"> "  "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00A56E21"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00A56E21"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00A56E21" w:rsidRPr="00077F9A">
      <w:rPr>
        <w:rStyle w:val="SidhuvudBilaga"/>
      </w:rPr>
      <w:instrText>4</w:instrText>
    </w:r>
    <w:r w:rsidRPr="00077F9A">
      <w:rPr>
        <w:rStyle w:val="SidhuvudBilaga"/>
      </w:rPr>
      <w:fldChar w:fldCharType="end"/>
    </w:r>
  </w:p>
  <w:p w:rsidR="001F596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00A56E21" w:rsidRPr="00077F9A">
      <w:rPr>
        <w:rStyle w:val="SidhuvudBilaga"/>
      </w:rPr>
      <w:instrText>Nej</w:instrText>
    </w:r>
    <w:r w:rsidRPr="00077F9A">
      <w:rPr>
        <w:rStyle w:val="SidhuvudBilaga"/>
      </w:rPr>
      <w:fldChar w:fldCharType="end"/>
    </w:r>
    <w:r w:rsidRPr="00077F9A">
      <w:rPr>
        <w:rStyle w:val="SidhuvudBilaga"/>
      </w:rPr>
      <w:instrText xml:space="preserve"> = "Ja" "</w:instrText>
    </w:r>
    <w:r w:rsidRPr="00077F9A">
      <w:rPr>
        <w:rStyle w:val="SidhuvudBilaga"/>
      </w:rPr>
      <w:fldChar w:fldCharType="begin" w:fldLock="1"/>
    </w:r>
    <w:r w:rsidRPr="00077F9A">
      <w:rPr>
        <w:rStyle w:val="SidhuvudBilaga"/>
      </w:rPr>
      <w:instrText xml:space="preserve"> PRINTDATE \@ "yyyy-MM-dd HH.mm    "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end"/>
    </w:r>
    <w:r w:rsidRPr="00077F9A">
      <w:rPr>
        <w:rStyle w:val="SidhuvudBilaga"/>
      </w:rPr>
      <w:instrText>"</w:instrText>
    </w:r>
    <w:r w:rsidRPr="00077F9A">
      <w:rPr>
        <w:rStyle w:val="SidhuvudBilaga"/>
      </w:rPr>
      <w:fldChar w:fldCharType="separate"/>
    </w:r>
    <w:r w:rsidR="001F596B" w:rsidRPr="00077F9A">
      <w:rPr>
        <w:rStyle w:val="SidhuvudBilaga"/>
      </w:rPr>
      <w:instrText xml:space="preserve">  2008/09:RS4</w:instrText>
    </w:r>
  </w:p>
  <w:p w:rsidR="001F596B" w:rsidRPr="00077F9A" w:rsidRDefault="00312E0B" w:rsidP="0023616C">
    <w:pPr>
      <w:pStyle w:val="SidhuvudKantUdda"/>
      <w:framePr w:wrap="around"/>
      <w:rPr>
        <w:rStyle w:val="SidhuvudBilaga"/>
      </w:rPr>
    </w:pPr>
    <w:r w:rsidRPr="00077F9A">
      <w:rPr>
        <w:rStyle w:val="SidhuvudBilaga"/>
      </w:rPr>
      <w:fldChar w:fldCharType="end"/>
    </w:r>
    <w:r w:rsidRPr="00077F9A">
      <w:rPr>
        <w:rStyle w:val="SidhuvudBilaga"/>
      </w:rPr>
      <w:instrText>" " "</w:instrText>
    </w:r>
    <w:r w:rsidRPr="00077F9A">
      <w:rPr>
        <w:rStyle w:val="SidhuvudBilaga"/>
      </w:rPr>
      <w:fldChar w:fldCharType="separate"/>
    </w:r>
    <w:r w:rsidR="001F596B" w:rsidRPr="00077F9A">
      <w:rPr>
        <w:rStyle w:val="SidhuvudBilaga"/>
      </w:rPr>
      <w:t xml:space="preserve">  2008/09:RS4</w:t>
    </w:r>
  </w:p>
  <w:p w:rsidR="00312E0B" w:rsidRPr="00077F9A" w:rsidRDefault="00312E0B" w:rsidP="0023616C">
    <w:pPr>
      <w:pStyle w:val="SidhuvudKantUdda"/>
      <w:framePr w:wrap="around"/>
      <w:rPr>
        <w:rStyle w:val="SidhuvudBilaga"/>
      </w:rPr>
    </w:pPr>
    <w:r w:rsidRPr="00077F9A">
      <w:rPr>
        <w:rStyle w:val="SidhuvudBilaga"/>
      </w:rPr>
      <w:fldChar w:fldCharType="end"/>
    </w:r>
  </w:p>
  <w:p w:rsidR="00312E0B" w:rsidRPr="00077F9A" w:rsidRDefault="00312E0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Jmn"/>
      <w:framePr w:w="8732" w:h="567" w:hRule="exact" w:vSpace="0" w:wrap="around" w:vAnchor="page" w:y="341" w:anchorLock="0"/>
      <w:rPr>
        <w:rStyle w:val="SidhuvudUtskott"/>
        <w:spacing w:val="8"/>
      </w:rPr>
    </w:pPr>
    <w:r w:rsidRPr="00077F9A">
      <w:rPr>
        <w:rStyle w:val="SidhuvudUtskott"/>
        <w:spacing w:val="8"/>
      </w:rPr>
      <w:t xml:space="preserve">2008/09:RS4    </w:t>
    </w:r>
    <w:r w:rsidRPr="00077F9A">
      <w:rPr>
        <w:rStyle w:val="SidhuvudUtskott"/>
        <w:smallCaps/>
        <w:spacing w:val="8"/>
      </w:rPr>
      <w:t>BILAGA</w:t>
    </w:r>
  </w:p>
  <w:p w:rsidR="00312E0B" w:rsidRPr="00077F9A" w:rsidRDefault="00312E0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Udda"/>
      <w:framePr w:wrap="around"/>
      <w:rPr>
        <w:rStyle w:val="SidhuvudBilaga"/>
      </w:rPr>
    </w:pPr>
    <w:r w:rsidRPr="00077F9A">
      <w:rPr>
        <w:rStyle w:val="SidhuvudBilaga"/>
      </w:rPr>
      <w:t>BILAGA</w: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45</w:instrText>
    </w:r>
    <w:r w:rsidRPr="00077F9A">
      <w:rPr>
        <w:rStyle w:val="SidhuvudBilaga"/>
      </w:rPr>
      <w:fldChar w:fldCharType="end"/>
    </w:r>
    <w:r w:rsidRPr="00077F9A">
      <w:rPr>
        <w:rStyle w:val="SidhuvudBilaga"/>
      </w:rPr>
      <w:instrText xml:space="preserve"> &gt; 1 "</w:instrTex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45</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22,5</w:instrText>
    </w:r>
    <w:r w:rsidRPr="00077F9A">
      <w:rPr>
        <w:rStyle w:val="SidhuvudBilaga"/>
      </w:rPr>
      <w:fldChar w:fldCharType="end"/>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int(</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45</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22</w:instrText>
    </w:r>
    <w:r w:rsidRPr="00077F9A">
      <w:rPr>
        <w:rStyle w:val="SidhuvudBilaga"/>
      </w:rPr>
      <w:fldChar w:fldCharType="end"/>
    </w:r>
    <w:r w:rsidRPr="00077F9A">
      <w:rPr>
        <w:rStyle w:val="SidhuvudBilaga"/>
      </w:rPr>
      <w:fldChar w:fldCharType="separate"/>
    </w:r>
    <w:r w:rsidR="001F596B" w:rsidRPr="00077F9A">
      <w:rPr>
        <w:rStyle w:val="SidhuvudBilaga"/>
      </w:rPr>
      <w:instrText>0,5</w:instrText>
    </w:r>
    <w:r w:rsidRPr="00077F9A">
      <w:rPr>
        <w:rStyle w:val="SidhuvudBilaga"/>
      </w:rPr>
      <w:fldChar w:fldCharType="end"/>
    </w:r>
    <w:r w:rsidRPr="00077F9A">
      <w:rPr>
        <w:rStyle w:val="SidhuvudBilaga"/>
      </w:rPr>
      <w:instrText xml:space="preserve"> = 0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Pr="00077F9A">
      <w:rPr>
        <w:rStyle w:val="SidhuvudBilaga"/>
      </w:rPr>
      <w:instrText>4</w:instrText>
    </w:r>
    <w:r w:rsidRPr="00077F9A">
      <w:rPr>
        <w:rStyle w:val="SidhuvudBilaga"/>
      </w:rPr>
      <w:fldChar w:fldCharType="end"/>
    </w:r>
    <w:r w:rsidRPr="00077F9A">
      <w:rPr>
        <w:rStyle w:val="SidhuvudBilaga"/>
      </w:rPr>
      <w:instrText xml:space="preserve">    </w:instrText>
    </w:r>
  </w:p>
  <w:p w:rsidR="00312E0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separate"/>
    </w:r>
    <w:r w:rsidRPr="00077F9A">
      <w:rPr>
        <w:rStyle w:val="SidhuvudBilaga"/>
      </w:rPr>
      <w:instrText>Utkast</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Pr="00077F9A">
      <w:rPr>
        <w:rStyle w:val="SidhuvudBilaga"/>
      </w:rPr>
      <w:instrText>Nej</w:instrText>
    </w:r>
    <w:r w:rsidRPr="00077F9A">
      <w:rPr>
        <w:rStyle w:val="SidhuvudBilaga"/>
      </w:rPr>
      <w:fldChar w:fldCharType="end"/>
    </w:r>
    <w:r w:rsidRPr="00077F9A">
      <w:rPr>
        <w:rStyle w:val="SidhuvudBilaga"/>
      </w:rPr>
      <w:instrText xml:space="preserve"> = "Ja" "    </w:instrText>
    </w:r>
    <w:r w:rsidRPr="00077F9A">
      <w:rPr>
        <w:rStyle w:val="SidhuvudBilaga"/>
      </w:rPr>
      <w:fldChar w:fldCharType="begin" w:fldLock="1"/>
    </w:r>
    <w:r w:rsidRPr="00077F9A">
      <w:rPr>
        <w:rStyle w:val="SidhuvudBilaga"/>
      </w:rPr>
      <w:instrText xml:space="preserve"> PRINTDATE \@ "yyyy-MM-dd HH.mm"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p>
  <w:p w:rsidR="00312E0B" w:rsidRPr="00077F9A" w:rsidRDefault="00312E0B" w:rsidP="0023616C">
    <w:pPr>
      <w:pStyle w:val="SidhuvudKantUdda"/>
      <w:framePr w:wrap="around"/>
      <w:rPr>
        <w:rStyle w:val="SidhuvudBilaga"/>
      </w:rPr>
    </w:pPr>
    <w:r w:rsidRPr="00077F9A">
      <w:rPr>
        <w:rStyle w:val="SidhuvudBilaga"/>
      </w:rPr>
      <w:instrText xml:space="preserve"> "  "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00A56E21"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00A56E21"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00A56E21" w:rsidRPr="00077F9A">
      <w:rPr>
        <w:rStyle w:val="SidhuvudBilaga"/>
      </w:rPr>
      <w:instrText>4</w:instrText>
    </w:r>
    <w:r w:rsidRPr="00077F9A">
      <w:rPr>
        <w:rStyle w:val="SidhuvudBilaga"/>
      </w:rPr>
      <w:fldChar w:fldCharType="end"/>
    </w:r>
  </w:p>
  <w:p w:rsidR="001F596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00A56E21" w:rsidRPr="00077F9A">
      <w:rPr>
        <w:rStyle w:val="SidhuvudBilaga"/>
      </w:rPr>
      <w:instrText>Nej</w:instrText>
    </w:r>
    <w:r w:rsidRPr="00077F9A">
      <w:rPr>
        <w:rStyle w:val="SidhuvudBilaga"/>
      </w:rPr>
      <w:fldChar w:fldCharType="end"/>
    </w:r>
    <w:r w:rsidRPr="00077F9A">
      <w:rPr>
        <w:rStyle w:val="SidhuvudBilaga"/>
      </w:rPr>
      <w:instrText xml:space="preserve"> = "Ja" "</w:instrText>
    </w:r>
    <w:r w:rsidRPr="00077F9A">
      <w:rPr>
        <w:rStyle w:val="SidhuvudBilaga"/>
      </w:rPr>
      <w:fldChar w:fldCharType="begin" w:fldLock="1"/>
    </w:r>
    <w:r w:rsidRPr="00077F9A">
      <w:rPr>
        <w:rStyle w:val="SidhuvudBilaga"/>
      </w:rPr>
      <w:instrText xml:space="preserve"> PRINTDATE \@ "yyyy-MM-dd HH.mm    "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end"/>
    </w:r>
    <w:r w:rsidRPr="00077F9A">
      <w:rPr>
        <w:rStyle w:val="SidhuvudBilaga"/>
      </w:rPr>
      <w:instrText>"</w:instrText>
    </w:r>
    <w:r w:rsidRPr="00077F9A">
      <w:rPr>
        <w:rStyle w:val="SidhuvudBilaga"/>
      </w:rPr>
      <w:fldChar w:fldCharType="separate"/>
    </w:r>
    <w:r w:rsidR="001F596B" w:rsidRPr="00077F9A">
      <w:rPr>
        <w:rStyle w:val="SidhuvudBilaga"/>
      </w:rPr>
      <w:instrText xml:space="preserve">  2008/09:RS4</w:instrText>
    </w:r>
  </w:p>
  <w:p w:rsidR="001F596B" w:rsidRPr="00077F9A" w:rsidRDefault="00312E0B" w:rsidP="0023616C">
    <w:pPr>
      <w:pStyle w:val="SidhuvudKantUdda"/>
      <w:framePr w:wrap="around"/>
      <w:rPr>
        <w:rStyle w:val="SidhuvudBilaga"/>
      </w:rPr>
    </w:pPr>
    <w:r w:rsidRPr="00077F9A">
      <w:rPr>
        <w:rStyle w:val="SidhuvudBilaga"/>
      </w:rPr>
      <w:fldChar w:fldCharType="end"/>
    </w:r>
    <w:r w:rsidRPr="00077F9A">
      <w:rPr>
        <w:rStyle w:val="SidhuvudBilaga"/>
      </w:rPr>
      <w:instrText>" " "</w:instrText>
    </w:r>
    <w:r w:rsidRPr="00077F9A">
      <w:rPr>
        <w:rStyle w:val="SidhuvudBilaga"/>
      </w:rPr>
      <w:fldChar w:fldCharType="separate"/>
    </w:r>
    <w:r w:rsidR="001F596B" w:rsidRPr="00077F9A">
      <w:rPr>
        <w:rStyle w:val="SidhuvudBilaga"/>
      </w:rPr>
      <w:t xml:space="preserve">  2008/09:RS4</w:t>
    </w:r>
  </w:p>
  <w:p w:rsidR="00312E0B" w:rsidRPr="00077F9A" w:rsidRDefault="00312E0B" w:rsidP="0023616C">
    <w:pPr>
      <w:pStyle w:val="SidhuvudKantUdda"/>
      <w:framePr w:wrap="around"/>
      <w:rPr>
        <w:rStyle w:val="SidhuvudBilaga"/>
      </w:rPr>
    </w:pPr>
    <w:r w:rsidRPr="00077F9A">
      <w:rPr>
        <w:rStyle w:val="SidhuvudBilaga"/>
      </w:rPr>
      <w:fldChar w:fldCharType="end"/>
    </w:r>
  </w:p>
  <w:p w:rsidR="00312E0B" w:rsidRPr="00077F9A" w:rsidRDefault="00312E0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Jmn"/>
      <w:framePr w:w="8732" w:h="567" w:hRule="exact" w:vSpace="0" w:wrap="around" w:vAnchor="page" w:y="341" w:anchorLock="0"/>
      <w:rPr>
        <w:rStyle w:val="SidhuvudUtskott"/>
        <w:spacing w:val="8"/>
      </w:rPr>
    </w:pPr>
    <w:r w:rsidRPr="00077F9A">
      <w:rPr>
        <w:rStyle w:val="SidhuvudUtskott"/>
        <w:spacing w:val="8"/>
      </w:rPr>
      <w:t xml:space="preserve">2008/09:RS4    </w:t>
    </w:r>
    <w:r w:rsidRPr="00077F9A">
      <w:rPr>
        <w:rStyle w:val="SidhuvudUtskott"/>
        <w:smallCaps/>
        <w:spacing w:val="8"/>
      </w:rPr>
      <w:t>BILAGA</w:t>
    </w:r>
  </w:p>
  <w:p w:rsidR="00312E0B" w:rsidRPr="00077F9A" w:rsidRDefault="00312E0B">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Jmn"/>
      <w:framePr w:w="8732" w:h="567" w:hRule="exact" w:vSpace="0" w:wrap="around" w:vAnchor="page" w:y="341" w:anchorLock="0"/>
      <w:rPr>
        <w:rStyle w:val="SidhuvudUtskott"/>
        <w:spacing w:val="8"/>
      </w:rPr>
    </w:pPr>
    <w:r w:rsidRPr="00077F9A">
      <w:rPr>
        <w:rStyle w:val="SidhuvudUtskott"/>
        <w:spacing w:val="8"/>
      </w:rPr>
      <w:t xml:space="preserve">2008/09:RS4    </w:t>
    </w:r>
    <w:r w:rsidRPr="00077F9A">
      <w:rPr>
        <w:rStyle w:val="SidhuvudUtskott"/>
        <w:smallCaps/>
        <w:spacing w:val="8"/>
      </w:rPr>
      <w:t>BILAGA</w:t>
    </w:r>
  </w:p>
  <w:p w:rsidR="00312E0B" w:rsidRPr="00077F9A" w:rsidRDefault="00312E0B">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Udda"/>
      <w:framePr w:wrap="around"/>
      <w:rPr>
        <w:rStyle w:val="SidhuvudBilaga"/>
      </w:rPr>
    </w:pPr>
    <w:r w:rsidRPr="00077F9A">
      <w:rPr>
        <w:rStyle w:val="SidhuvudBilaga"/>
      </w:rPr>
      <w:t>BILAGA</w: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49</w:instrText>
    </w:r>
    <w:r w:rsidRPr="00077F9A">
      <w:rPr>
        <w:rStyle w:val="SidhuvudBilaga"/>
      </w:rPr>
      <w:fldChar w:fldCharType="end"/>
    </w:r>
    <w:r w:rsidRPr="00077F9A">
      <w:rPr>
        <w:rStyle w:val="SidhuvudBilaga"/>
      </w:rPr>
      <w:instrText xml:space="preserve"> &gt; 1 "</w:instrTex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49</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24,5</w:instrText>
    </w:r>
    <w:r w:rsidRPr="00077F9A">
      <w:rPr>
        <w:rStyle w:val="SidhuvudBilaga"/>
      </w:rPr>
      <w:fldChar w:fldCharType="end"/>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int(</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49</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24</w:instrText>
    </w:r>
    <w:r w:rsidRPr="00077F9A">
      <w:rPr>
        <w:rStyle w:val="SidhuvudBilaga"/>
      </w:rPr>
      <w:fldChar w:fldCharType="end"/>
    </w:r>
    <w:r w:rsidRPr="00077F9A">
      <w:rPr>
        <w:rStyle w:val="SidhuvudBilaga"/>
      </w:rPr>
      <w:fldChar w:fldCharType="separate"/>
    </w:r>
    <w:r w:rsidR="001F596B" w:rsidRPr="00077F9A">
      <w:rPr>
        <w:rStyle w:val="SidhuvudBilaga"/>
      </w:rPr>
      <w:instrText>0,5</w:instrText>
    </w:r>
    <w:r w:rsidRPr="00077F9A">
      <w:rPr>
        <w:rStyle w:val="SidhuvudBilaga"/>
      </w:rPr>
      <w:fldChar w:fldCharType="end"/>
    </w:r>
    <w:r w:rsidRPr="00077F9A">
      <w:rPr>
        <w:rStyle w:val="SidhuvudBilaga"/>
      </w:rPr>
      <w:instrText xml:space="preserve"> = 0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Pr="00077F9A">
      <w:rPr>
        <w:rStyle w:val="SidhuvudBilaga"/>
      </w:rPr>
      <w:instrText>4</w:instrText>
    </w:r>
    <w:r w:rsidRPr="00077F9A">
      <w:rPr>
        <w:rStyle w:val="SidhuvudBilaga"/>
      </w:rPr>
      <w:fldChar w:fldCharType="end"/>
    </w:r>
    <w:r w:rsidRPr="00077F9A">
      <w:rPr>
        <w:rStyle w:val="SidhuvudBilaga"/>
      </w:rPr>
      <w:instrText xml:space="preserve">    </w:instrText>
    </w:r>
  </w:p>
  <w:p w:rsidR="00312E0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separate"/>
    </w:r>
    <w:r w:rsidRPr="00077F9A">
      <w:rPr>
        <w:rStyle w:val="SidhuvudBilaga"/>
      </w:rPr>
      <w:instrText>Utkast</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Pr="00077F9A">
      <w:rPr>
        <w:rStyle w:val="SidhuvudBilaga"/>
      </w:rPr>
      <w:instrText>Nej</w:instrText>
    </w:r>
    <w:r w:rsidRPr="00077F9A">
      <w:rPr>
        <w:rStyle w:val="SidhuvudBilaga"/>
      </w:rPr>
      <w:fldChar w:fldCharType="end"/>
    </w:r>
    <w:r w:rsidRPr="00077F9A">
      <w:rPr>
        <w:rStyle w:val="SidhuvudBilaga"/>
      </w:rPr>
      <w:instrText xml:space="preserve"> = "Ja" "    </w:instrText>
    </w:r>
    <w:r w:rsidRPr="00077F9A">
      <w:rPr>
        <w:rStyle w:val="SidhuvudBilaga"/>
      </w:rPr>
      <w:fldChar w:fldCharType="begin" w:fldLock="1"/>
    </w:r>
    <w:r w:rsidRPr="00077F9A">
      <w:rPr>
        <w:rStyle w:val="SidhuvudBilaga"/>
      </w:rPr>
      <w:instrText xml:space="preserve"> PRINTDATE \@ "yyyy-MM-dd HH.mm"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p>
  <w:p w:rsidR="00312E0B" w:rsidRPr="00077F9A" w:rsidRDefault="00312E0B" w:rsidP="0023616C">
    <w:pPr>
      <w:pStyle w:val="SidhuvudKantUdda"/>
      <w:framePr w:wrap="around"/>
      <w:rPr>
        <w:rStyle w:val="SidhuvudBilaga"/>
      </w:rPr>
    </w:pPr>
    <w:r w:rsidRPr="00077F9A">
      <w:rPr>
        <w:rStyle w:val="SidhuvudBilaga"/>
      </w:rPr>
      <w:instrText xml:space="preserve"> "  "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00A56E21"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00A56E21"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00A56E21" w:rsidRPr="00077F9A">
      <w:rPr>
        <w:rStyle w:val="SidhuvudBilaga"/>
      </w:rPr>
      <w:instrText>4</w:instrText>
    </w:r>
    <w:r w:rsidRPr="00077F9A">
      <w:rPr>
        <w:rStyle w:val="SidhuvudBilaga"/>
      </w:rPr>
      <w:fldChar w:fldCharType="end"/>
    </w:r>
  </w:p>
  <w:p w:rsidR="001F596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00A56E21" w:rsidRPr="00077F9A">
      <w:rPr>
        <w:rStyle w:val="SidhuvudBilaga"/>
      </w:rPr>
      <w:instrText>Nej</w:instrText>
    </w:r>
    <w:r w:rsidRPr="00077F9A">
      <w:rPr>
        <w:rStyle w:val="SidhuvudBilaga"/>
      </w:rPr>
      <w:fldChar w:fldCharType="end"/>
    </w:r>
    <w:r w:rsidRPr="00077F9A">
      <w:rPr>
        <w:rStyle w:val="SidhuvudBilaga"/>
      </w:rPr>
      <w:instrText xml:space="preserve"> = "Ja" "</w:instrText>
    </w:r>
    <w:r w:rsidRPr="00077F9A">
      <w:rPr>
        <w:rStyle w:val="SidhuvudBilaga"/>
      </w:rPr>
      <w:fldChar w:fldCharType="begin" w:fldLock="1"/>
    </w:r>
    <w:r w:rsidRPr="00077F9A">
      <w:rPr>
        <w:rStyle w:val="SidhuvudBilaga"/>
      </w:rPr>
      <w:instrText xml:space="preserve"> PRINTDATE \@ "yyyy-MM-dd HH.mm    "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end"/>
    </w:r>
    <w:r w:rsidRPr="00077F9A">
      <w:rPr>
        <w:rStyle w:val="SidhuvudBilaga"/>
      </w:rPr>
      <w:instrText>"</w:instrText>
    </w:r>
    <w:r w:rsidRPr="00077F9A">
      <w:rPr>
        <w:rStyle w:val="SidhuvudBilaga"/>
      </w:rPr>
      <w:fldChar w:fldCharType="separate"/>
    </w:r>
    <w:r w:rsidR="001F596B" w:rsidRPr="00077F9A">
      <w:rPr>
        <w:rStyle w:val="SidhuvudBilaga"/>
      </w:rPr>
      <w:instrText xml:space="preserve">  2008/09:RS4</w:instrText>
    </w:r>
  </w:p>
  <w:p w:rsidR="001F596B" w:rsidRPr="00077F9A" w:rsidRDefault="00312E0B" w:rsidP="0023616C">
    <w:pPr>
      <w:pStyle w:val="SidhuvudKantUdda"/>
      <w:framePr w:wrap="around"/>
      <w:rPr>
        <w:rStyle w:val="SidhuvudBilaga"/>
      </w:rPr>
    </w:pPr>
    <w:r w:rsidRPr="00077F9A">
      <w:rPr>
        <w:rStyle w:val="SidhuvudBilaga"/>
      </w:rPr>
      <w:fldChar w:fldCharType="end"/>
    </w:r>
    <w:r w:rsidRPr="00077F9A">
      <w:rPr>
        <w:rStyle w:val="SidhuvudBilaga"/>
      </w:rPr>
      <w:instrText>" " "</w:instrText>
    </w:r>
    <w:r w:rsidRPr="00077F9A">
      <w:rPr>
        <w:rStyle w:val="SidhuvudBilaga"/>
      </w:rPr>
      <w:fldChar w:fldCharType="separate"/>
    </w:r>
    <w:r w:rsidR="001F596B" w:rsidRPr="00077F9A">
      <w:rPr>
        <w:rStyle w:val="SidhuvudBilaga"/>
      </w:rPr>
      <w:t xml:space="preserve">  2008/09:RS4</w:t>
    </w:r>
  </w:p>
  <w:p w:rsidR="00312E0B" w:rsidRPr="00077F9A" w:rsidRDefault="00312E0B" w:rsidP="0023616C">
    <w:pPr>
      <w:pStyle w:val="SidhuvudKantUdda"/>
      <w:framePr w:wrap="around"/>
      <w:rPr>
        <w:rStyle w:val="SidhuvudBilaga"/>
      </w:rPr>
    </w:pPr>
    <w:r w:rsidRPr="00077F9A">
      <w:rPr>
        <w:rStyle w:val="SidhuvudBilaga"/>
      </w:rPr>
      <w:fldChar w:fldCharType="end"/>
    </w:r>
  </w:p>
  <w:p w:rsidR="00312E0B" w:rsidRPr="00077F9A" w:rsidRDefault="00312E0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huvudKantJmn"/>
      <w:framePr w:w="8732" w:h="567" w:hRule="exact" w:vSpace="0" w:wrap="around" w:vAnchor="page" w:y="341" w:anchorLock="0"/>
    </w:pPr>
    <w:r w:rsidRPr="00077F9A">
      <w:fldChar w:fldCharType="begin" w:fldLock="1"/>
    </w:r>
    <w:r w:rsidRPr="00077F9A">
      <w:instrText xml:space="preserve"> if </w:instrText>
    </w:r>
    <w:r w:rsidRPr="00077F9A">
      <w:fldChar w:fldCharType="begin" w:fldLock="1"/>
    </w:r>
    <w:r w:rsidRPr="00077F9A">
      <w:instrText xml:space="preserve"> page</w:instrText>
    </w:r>
    <w:r w:rsidRPr="00077F9A">
      <w:fldChar w:fldCharType="separate"/>
    </w:r>
    <w:r w:rsidR="00077F9A">
      <w:rPr>
        <w:noProof/>
      </w:rPr>
      <w:instrText>1</w:instrText>
    </w:r>
    <w:r w:rsidRPr="00077F9A">
      <w:fldChar w:fldCharType="end"/>
    </w:r>
    <w:r w:rsidRPr="00077F9A">
      <w:instrText xml:space="preserve"> &gt; 1 "</w:instrText>
    </w:r>
    <w:r w:rsidRPr="00077F9A">
      <w:fldChar w:fldCharType="begin" w:fldLock="1"/>
    </w:r>
    <w:r w:rsidRPr="00077F9A">
      <w:instrText xml:space="preserve"> if </w:instrText>
    </w:r>
    <w:r w:rsidRPr="00077F9A">
      <w:fldChar w:fldCharType="begin" w:fldLock="1"/>
    </w:r>
    <w:r w:rsidRPr="00077F9A">
      <w:instrText xml:space="preserve"> = </w:instrText>
    </w:r>
    <w:r w:rsidRPr="00077F9A">
      <w:fldChar w:fldCharType="begin" w:fldLock="1"/>
    </w:r>
    <w:r w:rsidRPr="00077F9A">
      <w:instrText xml:space="preserve"> = </w:instrText>
    </w:r>
    <w:r w:rsidRPr="00077F9A">
      <w:fldChar w:fldCharType="begin" w:fldLock="1"/>
    </w:r>
    <w:r w:rsidRPr="00077F9A">
      <w:instrText xml:space="preserve"> page</w:instrText>
    </w:r>
    <w:r w:rsidRPr="00077F9A">
      <w:fldChar w:fldCharType="separate"/>
    </w:r>
    <w:r w:rsidRPr="00077F9A">
      <w:instrText>17</w:instrText>
    </w:r>
    <w:r w:rsidRPr="00077F9A">
      <w:fldChar w:fldCharType="end"/>
    </w:r>
    <w:r w:rsidRPr="00077F9A">
      <w:instrText xml:space="preserve">/2 </w:instrText>
    </w:r>
    <w:r w:rsidRPr="00077F9A">
      <w:fldChar w:fldCharType="separate"/>
    </w:r>
    <w:r w:rsidRPr="00077F9A">
      <w:instrText>8,5</w:instrText>
    </w:r>
    <w:r w:rsidRPr="00077F9A">
      <w:fldChar w:fldCharType="end"/>
    </w:r>
    <w:r w:rsidRPr="00077F9A">
      <w:instrText xml:space="preserve"> - </w:instrText>
    </w:r>
    <w:r w:rsidRPr="00077F9A">
      <w:fldChar w:fldCharType="begin" w:fldLock="1"/>
    </w:r>
    <w:r w:rsidRPr="00077F9A">
      <w:instrText xml:space="preserve"> = int(</w:instrText>
    </w:r>
    <w:r w:rsidRPr="00077F9A">
      <w:fldChar w:fldCharType="begin" w:fldLock="1"/>
    </w:r>
    <w:r w:rsidRPr="00077F9A">
      <w:instrText xml:space="preserve"> page</w:instrText>
    </w:r>
    <w:r w:rsidRPr="00077F9A">
      <w:fldChar w:fldCharType="separate"/>
    </w:r>
    <w:r w:rsidRPr="00077F9A">
      <w:instrText>17</w:instrText>
    </w:r>
    <w:r w:rsidRPr="00077F9A">
      <w:fldChar w:fldCharType="end"/>
    </w:r>
    <w:r w:rsidRPr="00077F9A">
      <w:instrText xml:space="preserve">/2) </w:instrText>
    </w:r>
    <w:r w:rsidRPr="00077F9A">
      <w:fldChar w:fldCharType="separate"/>
    </w:r>
    <w:r w:rsidRPr="00077F9A">
      <w:instrText>8</w:instrText>
    </w:r>
    <w:r w:rsidRPr="00077F9A">
      <w:fldChar w:fldCharType="end"/>
    </w:r>
    <w:r w:rsidRPr="00077F9A">
      <w:fldChar w:fldCharType="separate"/>
    </w:r>
    <w:r w:rsidRPr="00077F9A">
      <w:instrText>0,5</w:instrText>
    </w:r>
    <w:r w:rsidRPr="00077F9A">
      <w:fldChar w:fldCharType="end"/>
    </w:r>
    <w:r w:rsidRPr="00077F9A">
      <w:instrText xml:space="preserve"> = 0 "</w:instrTex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Pr="00077F9A">
      <w:rPr>
        <w:rStyle w:val="SidhuvudUtskott"/>
      </w:rPr>
      <w:instrText>1999/2000</w:instrText>
    </w:r>
    <w:r w:rsidRPr="00077F9A">
      <w:rPr>
        <w:rStyle w:val="SidhuvudUtskott"/>
      </w:rPr>
      <w:fldChar w:fldCharType="end"/>
    </w:r>
    <w:r w:rsidRPr="00077F9A">
      <w:rPr>
        <w:rStyle w:val="SidhuvudUtskott"/>
      </w:rPr>
      <w:instrText>:</w:instrText>
    </w:r>
    <w:r w:rsidRPr="00077F9A">
      <w:rPr>
        <w:rStyle w:val="SidhuvudUtskott"/>
      </w:rPr>
      <w:fldChar w:fldCharType="begin" w:fldLock="1"/>
    </w:r>
    <w:r w:rsidRPr="00077F9A">
      <w:rPr>
        <w:rStyle w:val="SidhuvudUtskott"/>
      </w:rPr>
      <w:instrText xml:space="preserve"> DOCPR</w:instrText>
    </w:r>
    <w:r w:rsidRPr="00077F9A">
      <w:rPr>
        <w:rStyle w:val="SidhuvudUtskott"/>
      </w:rPr>
      <w:instrText>O</w:instrText>
    </w:r>
    <w:r w:rsidRPr="00077F9A">
      <w:rPr>
        <w:rStyle w:val="SidhuvudUtskott"/>
      </w:rPr>
      <w:instrText>PERTY Utskott</w:instrText>
    </w:r>
    <w:r w:rsidRPr="00077F9A">
      <w:rPr>
        <w:rStyle w:val="SidhuvudUtskott"/>
      </w:rPr>
      <w:fldChar w:fldCharType="separate"/>
    </w:r>
    <w:r w:rsidRPr="00077F9A">
      <w:rPr>
        <w:rStyle w:val="SidhuvudUtskott"/>
      </w:rPr>
      <w:instrText>BoU</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BetänkandeNr</w:instrText>
    </w:r>
    <w:r w:rsidRPr="00077F9A">
      <w:rPr>
        <w:rStyle w:val="SidhuvudUtskott"/>
      </w:rPr>
      <w:fldChar w:fldCharType="separate"/>
    </w:r>
    <w:r w:rsidRPr="00077F9A">
      <w:rPr>
        <w:rStyle w:val="SidhuvudUtskott"/>
      </w:rPr>
      <w:instrText>6678</w:instrText>
    </w:r>
    <w:r w:rsidRPr="00077F9A">
      <w:rPr>
        <w:rStyle w:val="SidhuvudUtskott"/>
      </w:rPr>
      <w:fldChar w:fldCharType="end"/>
    </w:r>
    <w:r w:rsidRPr="00077F9A">
      <w:instrText xml:space="preserve">    </w:instrText>
    </w:r>
  </w:p>
  <w:p w:rsidR="00312E0B" w:rsidRPr="00077F9A" w:rsidRDefault="00312E0B">
    <w:pPr>
      <w:pStyle w:val="SidhuvudKantJmn"/>
      <w:framePr w:w="8732" w:h="567" w:hRule="exact" w:vSpace="0" w:wrap="around" w:vAnchor="page" w:y="341" w:anchorLock="0"/>
    </w:pPr>
    <w:r w:rsidRPr="00077F9A">
      <w:rPr>
        <w:rStyle w:val="SidhuvudUtskott"/>
      </w:rPr>
      <w:fldChar w:fldCharType="begin" w:fldLock="1"/>
    </w:r>
    <w:r w:rsidRPr="00077F9A">
      <w:rPr>
        <w:rStyle w:val="SidhuvudUtskott"/>
      </w:rPr>
      <w:instrText xml:space="preserve"> DOCPROPERTY Status</w:instrText>
    </w:r>
    <w:r w:rsidRPr="00077F9A">
      <w:rPr>
        <w:rStyle w:val="SidhuvudUtskott"/>
      </w:rPr>
      <w:fldChar w:fldCharType="separate"/>
    </w:r>
    <w:r w:rsidRPr="00077F9A">
      <w:rPr>
        <w:rStyle w:val="SidhuvudUtskott"/>
      </w:rPr>
      <w:instrText>Utkast</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Pr="00077F9A">
      <w:rPr>
        <w:rStyle w:val="SidhuvudUtskott"/>
      </w:rPr>
      <w:instrText>Nej</w:instrText>
    </w:r>
    <w:r w:rsidRPr="00077F9A">
      <w:rPr>
        <w:rStyle w:val="SidhuvudUtskott"/>
      </w:rPr>
      <w:fldChar w:fldCharType="end"/>
    </w:r>
    <w:r w:rsidRPr="00077F9A">
      <w:rPr>
        <w:rStyle w:val="SidhuvudUtskott"/>
      </w:rPr>
      <w:instrText xml:space="preserve"> = "Ja" "    </w:instrText>
    </w:r>
    <w:r w:rsidRPr="00077F9A">
      <w:rPr>
        <w:rStyle w:val="SidhuvudUtskott"/>
      </w:rPr>
      <w:fldChar w:fldCharType="begin" w:fldLock="1"/>
    </w:r>
    <w:r w:rsidRPr="00077F9A">
      <w:rPr>
        <w:rStyle w:val="SidhuvudUtskott"/>
      </w:rPr>
      <w:instrText xml:space="preserve"> PRINTDATE \@ "yyyy-MM-dd HH.mm"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separate"/>
    </w:r>
    <w:r w:rsidRPr="00077F9A">
      <w:rPr>
        <w:rStyle w:val="SidhuvudUtskott"/>
      </w:rPr>
      <w:fldChar w:fldCharType="end"/>
    </w:r>
  </w:p>
  <w:p w:rsidR="00312E0B" w:rsidRPr="00077F9A" w:rsidRDefault="00312E0B">
    <w:pPr>
      <w:pStyle w:val="SidhuvudKantUdda"/>
      <w:framePr w:w="8732" w:h="567" w:hRule="exact" w:vSpace="0" w:wrap="around" w:vAnchor="page" w:y="341" w:anchorLock="0"/>
    </w:pPr>
    <w:r w:rsidRPr="00077F9A">
      <w:rPr>
        <w:rStyle w:val="SidhuvudRubrikReferens"/>
        <w:smallCaps w:val="0"/>
      </w:rPr>
      <w:instrText xml:space="preserve"> </w:instrText>
    </w:r>
    <w:r w:rsidRPr="00077F9A">
      <w:instrText xml:space="preserve">"  "  </w:instrTex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Pr="00077F9A">
      <w:rPr>
        <w:rStyle w:val="SidhuvudUtskott"/>
      </w:rPr>
      <w:instrText>1999/2000</w:instrText>
    </w:r>
    <w:r w:rsidRPr="00077F9A">
      <w:rPr>
        <w:rStyle w:val="SidhuvudUtskott"/>
      </w:rPr>
      <w:fldChar w:fldCharType="end"/>
    </w:r>
    <w:r w:rsidRPr="00077F9A">
      <w:rPr>
        <w:rStyle w:val="SidhuvudUtskott"/>
      </w:rPr>
      <w:instrText>:</w:instrText>
    </w:r>
    <w:r w:rsidRPr="00077F9A">
      <w:rPr>
        <w:rStyle w:val="SidhuvudUtskott"/>
      </w:rPr>
      <w:fldChar w:fldCharType="begin" w:fldLock="1"/>
    </w:r>
    <w:r w:rsidRPr="00077F9A">
      <w:rPr>
        <w:rStyle w:val="SidhuvudUtskott"/>
      </w:rPr>
      <w:instrText xml:space="preserve"> DOCPROPERTY Utskott</w:instrText>
    </w:r>
    <w:r w:rsidRPr="00077F9A">
      <w:rPr>
        <w:rStyle w:val="SidhuvudUtskott"/>
      </w:rPr>
      <w:fldChar w:fldCharType="separate"/>
    </w:r>
    <w:r w:rsidRPr="00077F9A">
      <w:rPr>
        <w:rStyle w:val="SidhuvudUtskott"/>
      </w:rPr>
      <w:instrText>BoU</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BetänkandeNr</w:instrText>
    </w:r>
    <w:r w:rsidRPr="00077F9A">
      <w:rPr>
        <w:rStyle w:val="SidhuvudUtskott"/>
      </w:rPr>
      <w:fldChar w:fldCharType="separate"/>
    </w:r>
    <w:r w:rsidRPr="00077F9A">
      <w:rPr>
        <w:rStyle w:val="SidhuvudUtskott"/>
      </w:rPr>
      <w:instrText>6678</w:instrText>
    </w:r>
    <w:r w:rsidRPr="00077F9A">
      <w:rPr>
        <w:rStyle w:val="SidhuvudUtskott"/>
      </w:rPr>
      <w:fldChar w:fldCharType="end"/>
    </w:r>
  </w:p>
  <w:p w:rsidR="00312E0B" w:rsidRPr="00077F9A" w:rsidRDefault="00312E0B">
    <w:pPr>
      <w:pStyle w:val="SidhuvudKantUdda"/>
      <w:framePr w:w="8732" w:h="567" w:hRule="exact" w:vSpace="0" w:wrap="around" w:vAnchor="page" w:y="341" w:anchorLock="0"/>
    </w:pP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Pr="00077F9A">
      <w:rPr>
        <w:rStyle w:val="SidhuvudUtskott"/>
      </w:rPr>
      <w:instrText>Nej</w:instrText>
    </w:r>
    <w:r w:rsidRPr="00077F9A">
      <w:rPr>
        <w:rStyle w:val="SidhuvudUtskott"/>
      </w:rPr>
      <w:fldChar w:fldCharType="end"/>
    </w:r>
    <w:r w:rsidRPr="00077F9A">
      <w:rPr>
        <w:rStyle w:val="SidhuvudUtskott"/>
      </w:rPr>
      <w:instrText xml:space="preserve"> = "Ja" "</w:instrText>
    </w:r>
    <w:r w:rsidRPr="00077F9A">
      <w:rPr>
        <w:rStyle w:val="SidhuvudUtskott"/>
      </w:rPr>
      <w:fldChar w:fldCharType="begin" w:fldLock="1"/>
    </w:r>
    <w:r w:rsidRPr="00077F9A">
      <w:rPr>
        <w:rStyle w:val="SidhuvudUtskott"/>
      </w:rPr>
      <w:instrText xml:space="preserve"> PRINTDATE \@ "yyyy-MM-dd HH.mm    "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separate"/>
    </w:r>
    <w:r w:rsidRPr="00077F9A">
      <w:rPr>
        <w:rStyle w:val="SidhuvudUtskott"/>
      </w:rPr>
      <w:fldChar w:fldCharType="end"/>
    </w:r>
    <w:r w:rsidRPr="00077F9A">
      <w:rPr>
        <w:rStyle w:val="SidhuvudUtskott"/>
      </w:rPr>
      <w:fldChar w:fldCharType="begin" w:fldLock="1"/>
    </w:r>
    <w:r w:rsidRPr="00077F9A">
      <w:rPr>
        <w:rStyle w:val="SidhuvudUtskott"/>
      </w:rPr>
      <w:instrText xml:space="preserve"> DOCPR</w:instrText>
    </w:r>
    <w:r w:rsidRPr="00077F9A">
      <w:rPr>
        <w:rStyle w:val="SidhuvudUtskott"/>
      </w:rPr>
      <w:instrText>O</w:instrText>
    </w:r>
    <w:r w:rsidRPr="00077F9A">
      <w:rPr>
        <w:rStyle w:val="SidhuvudUtskott"/>
      </w:rPr>
      <w:instrText>PERTY Status</w:instrText>
    </w:r>
    <w:r w:rsidRPr="00077F9A">
      <w:rPr>
        <w:rStyle w:val="SidhuvudUtskott"/>
      </w:rPr>
      <w:fldChar w:fldCharType="separate"/>
    </w:r>
    <w:r w:rsidRPr="00077F9A">
      <w:rPr>
        <w:rStyle w:val="SidhuvudUtskott"/>
      </w:rPr>
      <w:instrText>Utkast 2</w:instrText>
    </w:r>
    <w:r w:rsidRPr="00077F9A">
      <w:rPr>
        <w:rStyle w:val="SidhuvudUtskott"/>
      </w:rPr>
      <w:fldChar w:fldCharType="end"/>
    </w:r>
    <w:r w:rsidRPr="00077F9A">
      <w:instrText>"</w:instrText>
    </w:r>
    <w:r w:rsidRPr="00077F9A">
      <w:fldChar w:fldCharType="separate"/>
    </w:r>
    <w:r w:rsidRPr="00077F9A">
      <w:rPr>
        <w:position w:val="4"/>
        <w:sz w:val="28"/>
      </w:rPr>
      <w:instrText>|</w:instrText>
    </w:r>
    <w:r w:rsidRPr="00077F9A">
      <w:instrText xml:space="preserve">  </w:instrTex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Pr="00077F9A">
      <w:rPr>
        <w:rStyle w:val="SidhuvudUtskott"/>
      </w:rPr>
      <w:instrText>1999/2000</w:instrText>
    </w:r>
    <w:r w:rsidRPr="00077F9A">
      <w:rPr>
        <w:rStyle w:val="SidhuvudUtskott"/>
      </w:rPr>
      <w:fldChar w:fldCharType="end"/>
    </w:r>
    <w:r w:rsidRPr="00077F9A">
      <w:rPr>
        <w:rStyle w:val="SidhuvudUtskott"/>
      </w:rPr>
      <w:instrText>:</w:instrText>
    </w:r>
    <w:r w:rsidRPr="00077F9A">
      <w:rPr>
        <w:rStyle w:val="SidhuvudUtskott"/>
      </w:rPr>
      <w:fldChar w:fldCharType="begin" w:fldLock="1"/>
    </w:r>
    <w:r w:rsidRPr="00077F9A">
      <w:rPr>
        <w:rStyle w:val="SidhuvudUtskott"/>
      </w:rPr>
      <w:instrText xml:space="preserve"> DOCPROPERTY Utskott</w:instrText>
    </w:r>
    <w:r w:rsidRPr="00077F9A">
      <w:rPr>
        <w:rStyle w:val="SidhuvudUtskott"/>
      </w:rPr>
      <w:fldChar w:fldCharType="separate"/>
    </w:r>
    <w:r w:rsidRPr="00077F9A">
      <w:rPr>
        <w:rStyle w:val="SidhuvudUtskott"/>
      </w:rPr>
      <w:instrText>BoU</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BetänkandeNr</w:instrText>
    </w:r>
    <w:r w:rsidRPr="00077F9A">
      <w:rPr>
        <w:rStyle w:val="SidhuvudUtskott"/>
      </w:rPr>
      <w:fldChar w:fldCharType="separate"/>
    </w:r>
    <w:r w:rsidRPr="00077F9A">
      <w:rPr>
        <w:rStyle w:val="SidhuvudUtskott"/>
      </w:rPr>
      <w:instrText>6678</w:instrText>
    </w:r>
    <w:r w:rsidRPr="00077F9A">
      <w:rPr>
        <w:rStyle w:val="SidhuvudUtskott"/>
      </w:rPr>
      <w:fldChar w:fldCharType="end"/>
    </w:r>
  </w:p>
  <w:p w:rsidR="00312E0B" w:rsidRPr="00077F9A" w:rsidRDefault="00312E0B">
    <w:pPr>
      <w:pStyle w:val="SidhuvudKantUdda"/>
      <w:framePr w:w="8732" w:h="567" w:hRule="exact" w:vSpace="0" w:wrap="around" w:vAnchor="page" w:y="341" w:anchorLock="0"/>
    </w:pPr>
    <w:r w:rsidRPr="00077F9A">
      <w:rPr>
        <w:rStyle w:val="SidhuvudUtskott"/>
      </w:rPr>
      <w:fldChar w:fldCharType="begin" w:fldLock="1"/>
    </w:r>
    <w:r w:rsidRPr="00077F9A">
      <w:rPr>
        <w:rStyle w:val="SidhuvudUtskott"/>
      </w:rPr>
      <w:instrText xml:space="preserve"> DOCPROPERTY Status</w:instrText>
    </w:r>
    <w:r w:rsidRPr="00077F9A">
      <w:rPr>
        <w:rStyle w:val="SidhuvudUtskott"/>
      </w:rPr>
      <w:fldChar w:fldCharType="separate"/>
    </w:r>
    <w:r w:rsidRPr="00077F9A">
      <w:rPr>
        <w:rStyle w:val="SidhuvudUtskott"/>
      </w:rPr>
      <w:instrText>Utkast 2</w:instrText>
    </w:r>
    <w:r w:rsidRPr="00077F9A">
      <w:rPr>
        <w:rStyle w:val="SidhuvudUtskott"/>
      </w:rPr>
      <w:fldChar w:fldCharType="end"/>
    </w:r>
    <w:r w:rsidRPr="00077F9A">
      <w:fldChar w:fldCharType="end"/>
    </w:r>
    <w:r w:rsidRPr="00077F9A">
      <w:instrText>" " "</w:instrText>
    </w:r>
    <w:r w:rsidRPr="00077F9A">
      <w:fldChar w:fldCharType="separate"/>
    </w:r>
    <w:r w:rsidR="00077F9A" w:rsidRPr="00077F9A">
      <w:rPr>
        <w:noProof/>
      </w:rPr>
      <w:t xml:space="preserve"> </w:t>
    </w:r>
    <w:r w:rsidRPr="00077F9A">
      <w:fldChar w:fldCharType="end"/>
    </w:r>
  </w:p>
  <w:p w:rsidR="00312E0B" w:rsidRPr="00077F9A" w:rsidRDefault="00312E0B">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Udda"/>
      <w:framePr w:wrap="around"/>
      <w:rPr>
        <w:rStyle w:val="SidhuvudBilaga"/>
      </w:rPr>
    </w:pPr>
    <w:r w:rsidRPr="00077F9A">
      <w:rPr>
        <w:rStyle w:val="SidhuvudBilaga"/>
      </w:rPr>
      <w:t>BILAGA</w: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47</w:instrText>
    </w:r>
    <w:r w:rsidRPr="00077F9A">
      <w:rPr>
        <w:rStyle w:val="SidhuvudBilaga"/>
      </w:rPr>
      <w:fldChar w:fldCharType="end"/>
    </w:r>
    <w:r w:rsidRPr="00077F9A">
      <w:rPr>
        <w:rStyle w:val="SidhuvudBilaga"/>
      </w:rPr>
      <w:instrText xml:space="preserve"> &gt; 1 "</w:instrTex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47</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23,5</w:instrText>
    </w:r>
    <w:r w:rsidRPr="00077F9A">
      <w:rPr>
        <w:rStyle w:val="SidhuvudBilaga"/>
      </w:rPr>
      <w:fldChar w:fldCharType="end"/>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int(</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47</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23</w:instrText>
    </w:r>
    <w:r w:rsidRPr="00077F9A">
      <w:rPr>
        <w:rStyle w:val="SidhuvudBilaga"/>
      </w:rPr>
      <w:fldChar w:fldCharType="end"/>
    </w:r>
    <w:r w:rsidRPr="00077F9A">
      <w:rPr>
        <w:rStyle w:val="SidhuvudBilaga"/>
      </w:rPr>
      <w:fldChar w:fldCharType="separate"/>
    </w:r>
    <w:r w:rsidR="001F596B" w:rsidRPr="00077F9A">
      <w:rPr>
        <w:rStyle w:val="SidhuvudBilaga"/>
      </w:rPr>
      <w:instrText>0,5</w:instrText>
    </w:r>
    <w:r w:rsidRPr="00077F9A">
      <w:rPr>
        <w:rStyle w:val="SidhuvudBilaga"/>
      </w:rPr>
      <w:fldChar w:fldCharType="end"/>
    </w:r>
    <w:r w:rsidRPr="00077F9A">
      <w:rPr>
        <w:rStyle w:val="SidhuvudBilaga"/>
      </w:rPr>
      <w:instrText xml:space="preserve"> = 0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Pr="00077F9A">
      <w:rPr>
        <w:rStyle w:val="SidhuvudBilaga"/>
      </w:rPr>
      <w:instrText>4</w:instrText>
    </w:r>
    <w:r w:rsidRPr="00077F9A">
      <w:rPr>
        <w:rStyle w:val="SidhuvudBilaga"/>
      </w:rPr>
      <w:fldChar w:fldCharType="end"/>
    </w:r>
    <w:r w:rsidRPr="00077F9A">
      <w:rPr>
        <w:rStyle w:val="SidhuvudBilaga"/>
      </w:rPr>
      <w:instrText xml:space="preserve">    </w:instrText>
    </w:r>
  </w:p>
  <w:p w:rsidR="00312E0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separate"/>
    </w:r>
    <w:r w:rsidRPr="00077F9A">
      <w:rPr>
        <w:rStyle w:val="SidhuvudBilaga"/>
      </w:rPr>
      <w:instrText>Utkast</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Pr="00077F9A">
      <w:rPr>
        <w:rStyle w:val="SidhuvudBilaga"/>
      </w:rPr>
      <w:instrText>Nej</w:instrText>
    </w:r>
    <w:r w:rsidRPr="00077F9A">
      <w:rPr>
        <w:rStyle w:val="SidhuvudBilaga"/>
      </w:rPr>
      <w:fldChar w:fldCharType="end"/>
    </w:r>
    <w:r w:rsidRPr="00077F9A">
      <w:rPr>
        <w:rStyle w:val="SidhuvudBilaga"/>
      </w:rPr>
      <w:instrText xml:space="preserve"> = "Ja" "    </w:instrText>
    </w:r>
    <w:r w:rsidRPr="00077F9A">
      <w:rPr>
        <w:rStyle w:val="SidhuvudBilaga"/>
      </w:rPr>
      <w:fldChar w:fldCharType="begin" w:fldLock="1"/>
    </w:r>
    <w:r w:rsidRPr="00077F9A">
      <w:rPr>
        <w:rStyle w:val="SidhuvudBilaga"/>
      </w:rPr>
      <w:instrText xml:space="preserve"> PRINTDATE \@ "yyyy-MM-dd HH.mm"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p>
  <w:p w:rsidR="00312E0B" w:rsidRPr="00077F9A" w:rsidRDefault="00312E0B" w:rsidP="0023616C">
    <w:pPr>
      <w:pStyle w:val="SidhuvudKantUdda"/>
      <w:framePr w:wrap="around"/>
      <w:rPr>
        <w:rStyle w:val="SidhuvudBilaga"/>
      </w:rPr>
    </w:pPr>
    <w:r w:rsidRPr="00077F9A">
      <w:rPr>
        <w:rStyle w:val="SidhuvudBilaga"/>
      </w:rPr>
      <w:instrText xml:space="preserve"> "  "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00A56E21"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00A56E21"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00A56E21" w:rsidRPr="00077F9A">
      <w:rPr>
        <w:rStyle w:val="SidhuvudBilaga"/>
      </w:rPr>
      <w:instrText>4</w:instrText>
    </w:r>
    <w:r w:rsidRPr="00077F9A">
      <w:rPr>
        <w:rStyle w:val="SidhuvudBilaga"/>
      </w:rPr>
      <w:fldChar w:fldCharType="end"/>
    </w:r>
  </w:p>
  <w:p w:rsidR="001F596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00A56E21" w:rsidRPr="00077F9A">
      <w:rPr>
        <w:rStyle w:val="SidhuvudBilaga"/>
      </w:rPr>
      <w:instrText>Nej</w:instrText>
    </w:r>
    <w:r w:rsidRPr="00077F9A">
      <w:rPr>
        <w:rStyle w:val="SidhuvudBilaga"/>
      </w:rPr>
      <w:fldChar w:fldCharType="end"/>
    </w:r>
    <w:r w:rsidRPr="00077F9A">
      <w:rPr>
        <w:rStyle w:val="SidhuvudBilaga"/>
      </w:rPr>
      <w:instrText xml:space="preserve"> = "Ja" "</w:instrText>
    </w:r>
    <w:r w:rsidRPr="00077F9A">
      <w:rPr>
        <w:rStyle w:val="SidhuvudBilaga"/>
      </w:rPr>
      <w:fldChar w:fldCharType="begin" w:fldLock="1"/>
    </w:r>
    <w:r w:rsidRPr="00077F9A">
      <w:rPr>
        <w:rStyle w:val="SidhuvudBilaga"/>
      </w:rPr>
      <w:instrText xml:space="preserve"> PRINTDATE \@ "yyyy-MM-dd HH.mm    "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end"/>
    </w:r>
    <w:r w:rsidRPr="00077F9A">
      <w:rPr>
        <w:rStyle w:val="SidhuvudBilaga"/>
      </w:rPr>
      <w:instrText>"</w:instrText>
    </w:r>
    <w:r w:rsidRPr="00077F9A">
      <w:rPr>
        <w:rStyle w:val="SidhuvudBilaga"/>
      </w:rPr>
      <w:fldChar w:fldCharType="separate"/>
    </w:r>
    <w:r w:rsidR="001F596B" w:rsidRPr="00077F9A">
      <w:rPr>
        <w:rStyle w:val="SidhuvudBilaga"/>
      </w:rPr>
      <w:instrText xml:space="preserve">  2008/09:RS4</w:instrText>
    </w:r>
  </w:p>
  <w:p w:rsidR="001F596B" w:rsidRPr="00077F9A" w:rsidRDefault="00312E0B" w:rsidP="0023616C">
    <w:pPr>
      <w:pStyle w:val="SidhuvudKantUdda"/>
      <w:framePr w:wrap="around"/>
      <w:rPr>
        <w:rStyle w:val="SidhuvudBilaga"/>
      </w:rPr>
    </w:pPr>
    <w:r w:rsidRPr="00077F9A">
      <w:rPr>
        <w:rStyle w:val="SidhuvudBilaga"/>
      </w:rPr>
      <w:fldChar w:fldCharType="end"/>
    </w:r>
    <w:r w:rsidRPr="00077F9A">
      <w:rPr>
        <w:rStyle w:val="SidhuvudBilaga"/>
      </w:rPr>
      <w:instrText>" " "</w:instrText>
    </w:r>
    <w:r w:rsidRPr="00077F9A">
      <w:rPr>
        <w:rStyle w:val="SidhuvudBilaga"/>
      </w:rPr>
      <w:fldChar w:fldCharType="separate"/>
    </w:r>
    <w:r w:rsidR="001F596B" w:rsidRPr="00077F9A">
      <w:rPr>
        <w:rStyle w:val="SidhuvudBilaga"/>
      </w:rPr>
      <w:t xml:space="preserve">  2008/09:RS4</w:t>
    </w:r>
  </w:p>
  <w:p w:rsidR="00312E0B" w:rsidRPr="00077F9A" w:rsidRDefault="00312E0B" w:rsidP="0023616C">
    <w:pPr>
      <w:pStyle w:val="SidhuvudKantUdda"/>
      <w:framePr w:wrap="around"/>
      <w:rPr>
        <w:rStyle w:val="SidhuvudBilaga"/>
      </w:rPr>
    </w:pPr>
    <w:r w:rsidRPr="00077F9A">
      <w:rPr>
        <w:rStyle w:val="SidhuvudBilaga"/>
      </w:rPr>
      <w:fldChar w:fldCharType="end"/>
    </w:r>
  </w:p>
  <w:p w:rsidR="00312E0B" w:rsidRPr="00077F9A" w:rsidRDefault="00312E0B">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Jmn"/>
      <w:framePr w:w="8732" w:h="567" w:hRule="exact" w:vSpace="0" w:wrap="around" w:vAnchor="page" w:y="341" w:anchorLock="0"/>
      <w:rPr>
        <w:rStyle w:val="SidhuvudUtskott"/>
        <w:spacing w:val="8"/>
      </w:rPr>
    </w:pPr>
    <w:r w:rsidRPr="00077F9A">
      <w:rPr>
        <w:rStyle w:val="SidhuvudUtskott"/>
        <w:spacing w:val="8"/>
      </w:rPr>
      <w:t xml:space="preserve">2008/09:RS4    </w:t>
    </w:r>
    <w:r w:rsidRPr="00077F9A">
      <w:rPr>
        <w:rStyle w:val="SidhuvudUtskott"/>
        <w:smallCaps/>
        <w:spacing w:val="8"/>
      </w:rPr>
      <w:t>BILAGA</w:t>
    </w:r>
  </w:p>
  <w:p w:rsidR="00312E0B" w:rsidRPr="00077F9A" w:rsidRDefault="00312E0B">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Udda"/>
      <w:framePr w:wrap="around"/>
      <w:rPr>
        <w:rStyle w:val="SidhuvudBilaga"/>
      </w:rPr>
    </w:pPr>
    <w:r w:rsidRPr="00077F9A">
      <w:rPr>
        <w:rStyle w:val="SidhuvudBilaga"/>
      </w:rPr>
      <w:t>BILAGA</w: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61</w:instrText>
    </w:r>
    <w:r w:rsidRPr="00077F9A">
      <w:rPr>
        <w:rStyle w:val="SidhuvudBilaga"/>
      </w:rPr>
      <w:fldChar w:fldCharType="end"/>
    </w:r>
    <w:r w:rsidRPr="00077F9A">
      <w:rPr>
        <w:rStyle w:val="SidhuvudBilaga"/>
      </w:rPr>
      <w:instrText xml:space="preserve"> &gt; 1 "</w:instrTex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61</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30,5</w:instrText>
    </w:r>
    <w:r w:rsidRPr="00077F9A">
      <w:rPr>
        <w:rStyle w:val="SidhuvudBilaga"/>
      </w:rPr>
      <w:fldChar w:fldCharType="end"/>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int(</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61</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30</w:instrText>
    </w:r>
    <w:r w:rsidRPr="00077F9A">
      <w:rPr>
        <w:rStyle w:val="SidhuvudBilaga"/>
      </w:rPr>
      <w:fldChar w:fldCharType="end"/>
    </w:r>
    <w:r w:rsidRPr="00077F9A">
      <w:rPr>
        <w:rStyle w:val="SidhuvudBilaga"/>
      </w:rPr>
      <w:fldChar w:fldCharType="separate"/>
    </w:r>
    <w:r w:rsidR="001F596B" w:rsidRPr="00077F9A">
      <w:rPr>
        <w:rStyle w:val="SidhuvudBilaga"/>
      </w:rPr>
      <w:instrText>0,5</w:instrText>
    </w:r>
    <w:r w:rsidRPr="00077F9A">
      <w:rPr>
        <w:rStyle w:val="SidhuvudBilaga"/>
      </w:rPr>
      <w:fldChar w:fldCharType="end"/>
    </w:r>
    <w:r w:rsidRPr="00077F9A">
      <w:rPr>
        <w:rStyle w:val="SidhuvudBilaga"/>
      </w:rPr>
      <w:instrText xml:space="preserve"> = 0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Pr="00077F9A">
      <w:rPr>
        <w:rStyle w:val="SidhuvudBilaga"/>
      </w:rPr>
      <w:instrText>4</w:instrText>
    </w:r>
    <w:r w:rsidRPr="00077F9A">
      <w:rPr>
        <w:rStyle w:val="SidhuvudBilaga"/>
      </w:rPr>
      <w:fldChar w:fldCharType="end"/>
    </w:r>
    <w:r w:rsidRPr="00077F9A">
      <w:rPr>
        <w:rStyle w:val="SidhuvudBilaga"/>
      </w:rPr>
      <w:instrText xml:space="preserve">    </w:instrText>
    </w:r>
  </w:p>
  <w:p w:rsidR="00312E0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separate"/>
    </w:r>
    <w:r w:rsidRPr="00077F9A">
      <w:rPr>
        <w:rStyle w:val="SidhuvudBilaga"/>
      </w:rPr>
      <w:instrText>Utkast</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Pr="00077F9A">
      <w:rPr>
        <w:rStyle w:val="SidhuvudBilaga"/>
      </w:rPr>
      <w:instrText>Nej</w:instrText>
    </w:r>
    <w:r w:rsidRPr="00077F9A">
      <w:rPr>
        <w:rStyle w:val="SidhuvudBilaga"/>
      </w:rPr>
      <w:fldChar w:fldCharType="end"/>
    </w:r>
    <w:r w:rsidRPr="00077F9A">
      <w:rPr>
        <w:rStyle w:val="SidhuvudBilaga"/>
      </w:rPr>
      <w:instrText xml:space="preserve"> = "Ja" "    </w:instrText>
    </w:r>
    <w:r w:rsidRPr="00077F9A">
      <w:rPr>
        <w:rStyle w:val="SidhuvudBilaga"/>
      </w:rPr>
      <w:fldChar w:fldCharType="begin" w:fldLock="1"/>
    </w:r>
    <w:r w:rsidRPr="00077F9A">
      <w:rPr>
        <w:rStyle w:val="SidhuvudBilaga"/>
      </w:rPr>
      <w:instrText xml:space="preserve"> PRINTDATE \@ "yyyy-MM-dd HH.mm"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p>
  <w:p w:rsidR="00312E0B" w:rsidRPr="00077F9A" w:rsidRDefault="00312E0B" w:rsidP="0023616C">
    <w:pPr>
      <w:pStyle w:val="SidhuvudKantUdda"/>
      <w:framePr w:wrap="around"/>
      <w:rPr>
        <w:rStyle w:val="SidhuvudBilaga"/>
      </w:rPr>
    </w:pPr>
    <w:r w:rsidRPr="00077F9A">
      <w:rPr>
        <w:rStyle w:val="SidhuvudBilaga"/>
      </w:rPr>
      <w:instrText xml:space="preserve"> "  "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00A56E21"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00A56E21"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00A56E21" w:rsidRPr="00077F9A">
      <w:rPr>
        <w:rStyle w:val="SidhuvudBilaga"/>
      </w:rPr>
      <w:instrText>4</w:instrText>
    </w:r>
    <w:r w:rsidRPr="00077F9A">
      <w:rPr>
        <w:rStyle w:val="SidhuvudBilaga"/>
      </w:rPr>
      <w:fldChar w:fldCharType="end"/>
    </w:r>
  </w:p>
  <w:p w:rsidR="001F596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00A56E21" w:rsidRPr="00077F9A">
      <w:rPr>
        <w:rStyle w:val="SidhuvudBilaga"/>
      </w:rPr>
      <w:instrText>Nej</w:instrText>
    </w:r>
    <w:r w:rsidRPr="00077F9A">
      <w:rPr>
        <w:rStyle w:val="SidhuvudBilaga"/>
      </w:rPr>
      <w:fldChar w:fldCharType="end"/>
    </w:r>
    <w:r w:rsidRPr="00077F9A">
      <w:rPr>
        <w:rStyle w:val="SidhuvudBilaga"/>
      </w:rPr>
      <w:instrText xml:space="preserve"> = "Ja" "</w:instrText>
    </w:r>
    <w:r w:rsidRPr="00077F9A">
      <w:rPr>
        <w:rStyle w:val="SidhuvudBilaga"/>
      </w:rPr>
      <w:fldChar w:fldCharType="begin" w:fldLock="1"/>
    </w:r>
    <w:r w:rsidRPr="00077F9A">
      <w:rPr>
        <w:rStyle w:val="SidhuvudBilaga"/>
      </w:rPr>
      <w:instrText xml:space="preserve"> PRINTDATE \@ "yyyy-MM-dd HH.mm    "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end"/>
    </w:r>
    <w:r w:rsidRPr="00077F9A">
      <w:rPr>
        <w:rStyle w:val="SidhuvudBilaga"/>
      </w:rPr>
      <w:instrText>"</w:instrText>
    </w:r>
    <w:r w:rsidRPr="00077F9A">
      <w:rPr>
        <w:rStyle w:val="SidhuvudBilaga"/>
      </w:rPr>
      <w:fldChar w:fldCharType="separate"/>
    </w:r>
    <w:r w:rsidR="001F596B" w:rsidRPr="00077F9A">
      <w:rPr>
        <w:rStyle w:val="SidhuvudBilaga"/>
      </w:rPr>
      <w:instrText xml:space="preserve">  2008/09:RS4</w:instrText>
    </w:r>
  </w:p>
  <w:p w:rsidR="001F596B" w:rsidRPr="00077F9A" w:rsidRDefault="00312E0B" w:rsidP="0023616C">
    <w:pPr>
      <w:pStyle w:val="SidhuvudKantUdda"/>
      <w:framePr w:wrap="around"/>
      <w:rPr>
        <w:rStyle w:val="SidhuvudBilaga"/>
      </w:rPr>
    </w:pPr>
    <w:r w:rsidRPr="00077F9A">
      <w:rPr>
        <w:rStyle w:val="SidhuvudBilaga"/>
      </w:rPr>
      <w:fldChar w:fldCharType="end"/>
    </w:r>
    <w:r w:rsidRPr="00077F9A">
      <w:rPr>
        <w:rStyle w:val="SidhuvudBilaga"/>
      </w:rPr>
      <w:instrText>" " "</w:instrText>
    </w:r>
    <w:r w:rsidRPr="00077F9A">
      <w:rPr>
        <w:rStyle w:val="SidhuvudBilaga"/>
      </w:rPr>
      <w:fldChar w:fldCharType="separate"/>
    </w:r>
    <w:r w:rsidR="001F596B" w:rsidRPr="00077F9A">
      <w:rPr>
        <w:rStyle w:val="SidhuvudBilaga"/>
      </w:rPr>
      <w:t xml:space="preserve">  2008/09:RS4</w:t>
    </w:r>
  </w:p>
  <w:p w:rsidR="00312E0B" w:rsidRPr="00077F9A" w:rsidRDefault="00312E0B" w:rsidP="0023616C">
    <w:pPr>
      <w:pStyle w:val="SidhuvudKantUdda"/>
      <w:framePr w:wrap="around"/>
      <w:rPr>
        <w:rStyle w:val="SidhuvudBilaga"/>
      </w:rPr>
    </w:pPr>
    <w:r w:rsidRPr="00077F9A">
      <w:rPr>
        <w:rStyle w:val="SidhuvudBilaga"/>
      </w:rPr>
      <w:fldChar w:fldCharType="end"/>
    </w:r>
  </w:p>
  <w:p w:rsidR="00312E0B" w:rsidRPr="00077F9A" w:rsidRDefault="00312E0B">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Jmn"/>
      <w:framePr w:w="8732" w:h="567" w:hRule="exact" w:vSpace="0" w:wrap="around" w:vAnchor="page" w:y="341" w:anchorLock="0"/>
      <w:rPr>
        <w:rStyle w:val="SidhuvudUtskott"/>
        <w:spacing w:val="8"/>
      </w:rPr>
    </w:pPr>
    <w:r w:rsidRPr="00077F9A">
      <w:rPr>
        <w:rStyle w:val="SidhuvudUtskott"/>
        <w:spacing w:val="8"/>
      </w:rPr>
      <w:t xml:space="preserve">2008/09:RS4    </w:t>
    </w:r>
    <w:r w:rsidRPr="00077F9A">
      <w:rPr>
        <w:rStyle w:val="SidhuvudUtskott"/>
        <w:smallCaps/>
        <w:spacing w:val="8"/>
      </w:rPr>
      <w:t>BILAGA</w:t>
    </w:r>
  </w:p>
  <w:p w:rsidR="00312E0B" w:rsidRPr="00077F9A" w:rsidRDefault="00312E0B">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Jmn"/>
      <w:framePr w:w="8732" w:h="567" w:hRule="exact" w:vSpace="0" w:wrap="around" w:vAnchor="page" w:y="341" w:anchorLock="0"/>
      <w:rPr>
        <w:rStyle w:val="SidhuvudUtskott"/>
        <w:spacing w:val="8"/>
      </w:rPr>
    </w:pPr>
    <w:r w:rsidRPr="00077F9A">
      <w:rPr>
        <w:rStyle w:val="SidhuvudUtskott"/>
        <w:spacing w:val="8"/>
      </w:rPr>
      <w:t xml:space="preserve">2008/09:RS4    </w:t>
    </w:r>
    <w:r w:rsidRPr="00077F9A">
      <w:rPr>
        <w:rStyle w:val="SidhuvudUtskott"/>
        <w:smallCaps/>
        <w:spacing w:val="8"/>
      </w:rPr>
      <w:t>BILAGA</w:t>
    </w:r>
  </w:p>
  <w:p w:rsidR="00312E0B" w:rsidRPr="00077F9A" w:rsidRDefault="00312E0B">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Udda"/>
      <w:framePr w:wrap="around"/>
      <w:rPr>
        <w:rStyle w:val="SidhuvudBilaga"/>
      </w:rPr>
    </w:pPr>
    <w:r w:rsidRPr="00077F9A">
      <w:rPr>
        <w:rStyle w:val="SidhuvudBilaga"/>
      </w:rPr>
      <w:t>BILAGA</w: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71</w:instrText>
    </w:r>
    <w:r w:rsidRPr="00077F9A">
      <w:rPr>
        <w:rStyle w:val="SidhuvudBilaga"/>
      </w:rPr>
      <w:fldChar w:fldCharType="end"/>
    </w:r>
    <w:r w:rsidRPr="00077F9A">
      <w:rPr>
        <w:rStyle w:val="SidhuvudBilaga"/>
      </w:rPr>
      <w:instrText xml:space="preserve"> &gt; 1 "</w:instrTex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71</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35,5</w:instrText>
    </w:r>
    <w:r w:rsidRPr="00077F9A">
      <w:rPr>
        <w:rStyle w:val="SidhuvudBilaga"/>
      </w:rPr>
      <w:fldChar w:fldCharType="end"/>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int(</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71</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35</w:instrText>
    </w:r>
    <w:r w:rsidRPr="00077F9A">
      <w:rPr>
        <w:rStyle w:val="SidhuvudBilaga"/>
      </w:rPr>
      <w:fldChar w:fldCharType="end"/>
    </w:r>
    <w:r w:rsidRPr="00077F9A">
      <w:rPr>
        <w:rStyle w:val="SidhuvudBilaga"/>
      </w:rPr>
      <w:fldChar w:fldCharType="separate"/>
    </w:r>
    <w:r w:rsidR="001F596B" w:rsidRPr="00077F9A">
      <w:rPr>
        <w:rStyle w:val="SidhuvudBilaga"/>
      </w:rPr>
      <w:instrText>0,5</w:instrText>
    </w:r>
    <w:r w:rsidRPr="00077F9A">
      <w:rPr>
        <w:rStyle w:val="SidhuvudBilaga"/>
      </w:rPr>
      <w:fldChar w:fldCharType="end"/>
    </w:r>
    <w:r w:rsidRPr="00077F9A">
      <w:rPr>
        <w:rStyle w:val="SidhuvudBilaga"/>
      </w:rPr>
      <w:instrText xml:space="preserve"> = 0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Pr="00077F9A">
      <w:rPr>
        <w:rStyle w:val="SidhuvudBilaga"/>
      </w:rPr>
      <w:instrText>4</w:instrText>
    </w:r>
    <w:r w:rsidRPr="00077F9A">
      <w:rPr>
        <w:rStyle w:val="SidhuvudBilaga"/>
      </w:rPr>
      <w:fldChar w:fldCharType="end"/>
    </w:r>
    <w:r w:rsidRPr="00077F9A">
      <w:rPr>
        <w:rStyle w:val="SidhuvudBilaga"/>
      </w:rPr>
      <w:instrText xml:space="preserve">    </w:instrText>
    </w:r>
  </w:p>
  <w:p w:rsidR="00312E0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separate"/>
    </w:r>
    <w:r w:rsidRPr="00077F9A">
      <w:rPr>
        <w:rStyle w:val="SidhuvudBilaga"/>
      </w:rPr>
      <w:instrText>Utkast</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Pr="00077F9A">
      <w:rPr>
        <w:rStyle w:val="SidhuvudBilaga"/>
      </w:rPr>
      <w:instrText>Nej</w:instrText>
    </w:r>
    <w:r w:rsidRPr="00077F9A">
      <w:rPr>
        <w:rStyle w:val="SidhuvudBilaga"/>
      </w:rPr>
      <w:fldChar w:fldCharType="end"/>
    </w:r>
    <w:r w:rsidRPr="00077F9A">
      <w:rPr>
        <w:rStyle w:val="SidhuvudBilaga"/>
      </w:rPr>
      <w:instrText xml:space="preserve"> = "Ja" "    </w:instrText>
    </w:r>
    <w:r w:rsidRPr="00077F9A">
      <w:rPr>
        <w:rStyle w:val="SidhuvudBilaga"/>
      </w:rPr>
      <w:fldChar w:fldCharType="begin" w:fldLock="1"/>
    </w:r>
    <w:r w:rsidRPr="00077F9A">
      <w:rPr>
        <w:rStyle w:val="SidhuvudBilaga"/>
      </w:rPr>
      <w:instrText xml:space="preserve"> PRINTDATE \@ "yyyy-MM-dd HH.mm"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p>
  <w:p w:rsidR="00312E0B" w:rsidRPr="00077F9A" w:rsidRDefault="00312E0B" w:rsidP="0023616C">
    <w:pPr>
      <w:pStyle w:val="SidhuvudKantUdda"/>
      <w:framePr w:wrap="around"/>
      <w:rPr>
        <w:rStyle w:val="SidhuvudBilaga"/>
      </w:rPr>
    </w:pPr>
    <w:r w:rsidRPr="00077F9A">
      <w:rPr>
        <w:rStyle w:val="SidhuvudBilaga"/>
      </w:rPr>
      <w:instrText xml:space="preserve"> "  "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00A56E21"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00A56E21"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00A56E21" w:rsidRPr="00077F9A">
      <w:rPr>
        <w:rStyle w:val="SidhuvudBilaga"/>
      </w:rPr>
      <w:instrText>4</w:instrText>
    </w:r>
    <w:r w:rsidRPr="00077F9A">
      <w:rPr>
        <w:rStyle w:val="SidhuvudBilaga"/>
      </w:rPr>
      <w:fldChar w:fldCharType="end"/>
    </w:r>
  </w:p>
  <w:p w:rsidR="001F596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00A56E21" w:rsidRPr="00077F9A">
      <w:rPr>
        <w:rStyle w:val="SidhuvudBilaga"/>
      </w:rPr>
      <w:instrText>Nej</w:instrText>
    </w:r>
    <w:r w:rsidRPr="00077F9A">
      <w:rPr>
        <w:rStyle w:val="SidhuvudBilaga"/>
      </w:rPr>
      <w:fldChar w:fldCharType="end"/>
    </w:r>
    <w:r w:rsidRPr="00077F9A">
      <w:rPr>
        <w:rStyle w:val="SidhuvudBilaga"/>
      </w:rPr>
      <w:instrText xml:space="preserve"> = "Ja" "</w:instrText>
    </w:r>
    <w:r w:rsidRPr="00077F9A">
      <w:rPr>
        <w:rStyle w:val="SidhuvudBilaga"/>
      </w:rPr>
      <w:fldChar w:fldCharType="begin" w:fldLock="1"/>
    </w:r>
    <w:r w:rsidRPr="00077F9A">
      <w:rPr>
        <w:rStyle w:val="SidhuvudBilaga"/>
      </w:rPr>
      <w:instrText xml:space="preserve"> PRINTDATE \@ "yyyy-MM-dd HH.mm    "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end"/>
    </w:r>
    <w:r w:rsidRPr="00077F9A">
      <w:rPr>
        <w:rStyle w:val="SidhuvudBilaga"/>
      </w:rPr>
      <w:instrText>"</w:instrText>
    </w:r>
    <w:r w:rsidRPr="00077F9A">
      <w:rPr>
        <w:rStyle w:val="SidhuvudBilaga"/>
      </w:rPr>
      <w:fldChar w:fldCharType="separate"/>
    </w:r>
    <w:r w:rsidR="001F596B" w:rsidRPr="00077F9A">
      <w:rPr>
        <w:rStyle w:val="SidhuvudBilaga"/>
      </w:rPr>
      <w:instrText xml:space="preserve">  2008/09:RS4</w:instrText>
    </w:r>
  </w:p>
  <w:p w:rsidR="001F596B" w:rsidRPr="00077F9A" w:rsidRDefault="00312E0B" w:rsidP="0023616C">
    <w:pPr>
      <w:pStyle w:val="SidhuvudKantUdda"/>
      <w:framePr w:wrap="around"/>
      <w:rPr>
        <w:rStyle w:val="SidhuvudBilaga"/>
      </w:rPr>
    </w:pPr>
    <w:r w:rsidRPr="00077F9A">
      <w:rPr>
        <w:rStyle w:val="SidhuvudBilaga"/>
      </w:rPr>
      <w:fldChar w:fldCharType="end"/>
    </w:r>
    <w:r w:rsidRPr="00077F9A">
      <w:rPr>
        <w:rStyle w:val="SidhuvudBilaga"/>
      </w:rPr>
      <w:instrText>" " "</w:instrText>
    </w:r>
    <w:r w:rsidRPr="00077F9A">
      <w:rPr>
        <w:rStyle w:val="SidhuvudBilaga"/>
      </w:rPr>
      <w:fldChar w:fldCharType="separate"/>
    </w:r>
    <w:r w:rsidR="001F596B" w:rsidRPr="00077F9A">
      <w:rPr>
        <w:rStyle w:val="SidhuvudBilaga"/>
      </w:rPr>
      <w:t xml:space="preserve">  2008/09:RS4</w:t>
    </w:r>
  </w:p>
  <w:p w:rsidR="00312E0B" w:rsidRPr="00077F9A" w:rsidRDefault="00312E0B" w:rsidP="0023616C">
    <w:pPr>
      <w:pStyle w:val="SidhuvudKantUdda"/>
      <w:framePr w:wrap="around"/>
      <w:rPr>
        <w:rStyle w:val="SidhuvudBilaga"/>
      </w:rPr>
    </w:pPr>
    <w:r w:rsidRPr="00077F9A">
      <w:rPr>
        <w:rStyle w:val="SidhuvudBilaga"/>
      </w:rPr>
      <w:fldChar w:fldCharType="end"/>
    </w:r>
  </w:p>
  <w:p w:rsidR="00312E0B" w:rsidRPr="00077F9A" w:rsidRDefault="00312E0B">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Jmn"/>
      <w:framePr w:w="8732" w:h="567" w:hRule="exact" w:vSpace="0" w:wrap="around" w:vAnchor="page" w:y="341" w:anchorLock="0"/>
      <w:rPr>
        <w:rStyle w:val="SidhuvudUtskott"/>
        <w:spacing w:val="8"/>
      </w:rPr>
    </w:pPr>
    <w:r w:rsidRPr="00077F9A">
      <w:rPr>
        <w:rStyle w:val="SidhuvudUtskott"/>
        <w:spacing w:val="8"/>
      </w:rPr>
      <w:t xml:space="preserve">2008/09:RS4    </w:t>
    </w:r>
    <w:r w:rsidRPr="00077F9A">
      <w:rPr>
        <w:rStyle w:val="SidhuvudUtskott"/>
        <w:smallCaps/>
        <w:spacing w:val="8"/>
      </w:rPr>
      <w:t>BILAGA</w:t>
    </w:r>
  </w:p>
  <w:p w:rsidR="00312E0B" w:rsidRPr="00077F9A" w:rsidRDefault="00312E0B">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Jmn"/>
      <w:framePr w:w="8732" w:h="567" w:hRule="exact" w:vSpace="0" w:wrap="around" w:vAnchor="page" w:y="341" w:anchorLock="0"/>
      <w:rPr>
        <w:rStyle w:val="SidhuvudUtskott"/>
        <w:spacing w:val="8"/>
      </w:rPr>
    </w:pPr>
    <w:r w:rsidRPr="00077F9A">
      <w:rPr>
        <w:rStyle w:val="SidhuvudUtskott"/>
        <w:spacing w:val="8"/>
      </w:rPr>
      <w:t xml:space="preserve">2008/09:RS4    </w:t>
    </w:r>
    <w:r w:rsidRPr="00077F9A">
      <w:rPr>
        <w:rStyle w:val="SidhuvudUtskott"/>
        <w:smallCaps/>
        <w:spacing w:val="8"/>
      </w:rPr>
      <w:t>BILAGA</w:t>
    </w:r>
  </w:p>
  <w:p w:rsidR="00312E0B" w:rsidRPr="00077F9A" w:rsidRDefault="00312E0B">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huvudKantUdda"/>
      <w:framePr w:w="8732" w:h="567" w:hRule="exact" w:vSpace="0" w:wrap="around" w:vAnchor="page" w:y="341" w:anchorLock="0"/>
    </w:pPr>
    <w:r w:rsidRPr="00077F9A">
      <w:rPr>
        <w:rStyle w:val="SidhuvudRubrikReferens"/>
      </w:rPr>
      <w:fldChar w:fldCharType="begin" w:fldLock="1"/>
    </w:r>
    <w:r w:rsidRPr="00077F9A">
      <w:rPr>
        <w:rStyle w:val="SidhuvudRubrikReferens"/>
      </w:rPr>
      <w:instrText xml:space="preserve"> StyleREF "Rubrik 1" </w:instrText>
    </w:r>
    <w:r w:rsidRPr="00077F9A">
      <w:rPr>
        <w:rStyle w:val="SidhuvudRubrikReferens"/>
      </w:rPr>
      <w:fldChar w:fldCharType="separate"/>
    </w:r>
    <w:r w:rsidR="00A56E21" w:rsidRPr="00077F9A">
      <w:rPr>
        <w:rStyle w:val="SidhuvudRubrikReferens"/>
      </w:rPr>
      <w:t>Förslag till lag om ändring i riksdagsordningen</w:t>
    </w:r>
    <w:r w:rsidRPr="00077F9A">
      <w:rPr>
        <w:rStyle w:val="SidhuvudRubrikReferens"/>
      </w:rPr>
      <w:fldChar w:fldCharType="end"/>
    </w:r>
    <w:r w:rsidRPr="00077F9A">
      <w:rPr>
        <w:rStyle w:val="SidhuvudBilaga"/>
      </w:rPr>
      <w:t xml:space="preserve"> </w:t>
    </w:r>
    <w:r w:rsidRPr="00077F9A">
      <w:t xml:space="preserve">     </w: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00A56E21" w:rsidRPr="00077F9A">
      <w:rPr>
        <w:rStyle w:val="SidhuvudUtskott"/>
      </w:rPr>
      <w:t>2008/09</w:t>
    </w:r>
    <w:r w:rsidRPr="00077F9A">
      <w:rPr>
        <w:rStyle w:val="SidhuvudUtskott"/>
      </w:rPr>
      <w:fldChar w:fldCharType="end"/>
    </w:r>
    <w:r w:rsidRPr="00077F9A">
      <w:rPr>
        <w:rStyle w:val="SidhuvudUtskott"/>
      </w:rPr>
      <w:t>:</w:t>
    </w:r>
    <w:r w:rsidRPr="00077F9A">
      <w:rPr>
        <w:rStyle w:val="SidhuvudUtskott"/>
      </w:rPr>
      <w:fldChar w:fldCharType="begin" w:fldLock="1"/>
    </w:r>
    <w:r w:rsidRPr="00077F9A">
      <w:rPr>
        <w:rStyle w:val="SidhuvudUtskott"/>
      </w:rPr>
      <w:instrText xml:space="preserve"> DOCPROPERTY</w:instrText>
    </w:r>
    <w:r w:rsidRPr="00077F9A">
      <w:instrText xml:space="preserve"> </w:instrText>
    </w:r>
    <w:r w:rsidRPr="00077F9A">
      <w:rPr>
        <w:rStyle w:val="SidhuvudUtskott"/>
      </w:rPr>
      <w:instrText>Utskott</w:instrText>
    </w:r>
    <w:r w:rsidRPr="00077F9A">
      <w:rPr>
        <w:rStyle w:val="SidhuvudUtskott"/>
      </w:rPr>
      <w:fldChar w:fldCharType="separate"/>
    </w:r>
    <w:r w:rsidR="00A56E21" w:rsidRPr="00077F9A">
      <w:rPr>
        <w:rStyle w:val="SidhuvudUtskott"/>
      </w:rPr>
      <w:t>RS</w: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w:instrText>
    </w:r>
    <w:r w:rsidRPr="00077F9A">
      <w:rPr>
        <w:rStyle w:val="SidhuvudUtskott"/>
      </w:rPr>
      <w:instrText>n</w:instrText>
    </w:r>
    <w:r w:rsidRPr="00077F9A">
      <w:rPr>
        <w:rStyle w:val="SidhuvudUtskott"/>
      </w:rPr>
      <w:instrText>kandeNr</w:instrText>
    </w:r>
    <w:r w:rsidRPr="00077F9A">
      <w:rPr>
        <w:rStyle w:val="SidhuvudUtskott"/>
      </w:rPr>
      <w:fldChar w:fldCharType="separate"/>
    </w:r>
    <w:r w:rsidR="00A56E21" w:rsidRPr="00077F9A">
      <w:rPr>
        <w:rStyle w:val="SidhuvudUtskott"/>
      </w:rPr>
      <w:t>4</w:t>
    </w:r>
    <w:r w:rsidRPr="00077F9A">
      <w:rPr>
        <w:rStyle w:val="SidhuvudUtskott"/>
      </w:rPr>
      <w:fldChar w:fldCharType="end"/>
    </w:r>
  </w:p>
  <w:p w:rsidR="00312E0B" w:rsidRPr="00077F9A" w:rsidRDefault="00312E0B">
    <w:pPr>
      <w:pStyle w:val="SidhuvudKantUdda"/>
      <w:framePr w:w="8732" w:h="567" w:hRule="exact" w:vSpace="0" w:wrap="around" w:vAnchor="page" w:y="341" w:anchorLock="0"/>
    </w:pP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00A56E21" w:rsidRPr="00077F9A">
      <w:rPr>
        <w:rStyle w:val="SidhuvudUtskott"/>
      </w:rPr>
      <w:instrText>Nej</w:instrText>
    </w:r>
    <w:r w:rsidRPr="00077F9A">
      <w:rPr>
        <w:rStyle w:val="SidhuvudUtskott"/>
      </w:rPr>
      <w:fldChar w:fldCharType="end"/>
    </w:r>
    <w:r w:rsidRPr="00077F9A">
      <w:rPr>
        <w:rStyle w:val="SidhuvudUtskott"/>
      </w:rPr>
      <w:instrText xml:space="preserve"> = "Ja" "</w:instrText>
    </w:r>
    <w:r w:rsidRPr="00077F9A">
      <w:rPr>
        <w:rStyle w:val="SidhuvudUtskott"/>
      </w:rPr>
      <w:fldChar w:fldCharType="begin" w:fldLock="1"/>
    </w:r>
    <w:r w:rsidRPr="00077F9A">
      <w:rPr>
        <w:rStyle w:val="SidhuvudUtskott"/>
      </w:rPr>
      <w:instrText xml:space="preserve"> PRINTDATE \@ "yyyy-MM-dd HH.mm    "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w:instrText>
    </w:r>
    <w:r w:rsidRPr="00077F9A">
      <w:rPr>
        <w:rStyle w:val="SidhuvudUtskott"/>
      </w:rPr>
      <w:instrText>O</w:instrText>
    </w:r>
    <w:r w:rsidRPr="00077F9A">
      <w:rPr>
        <w:rStyle w:val="SidhuvudUtskott"/>
      </w:rPr>
      <w:instrText>PERTY Status</w:instrText>
    </w:r>
    <w:r w:rsidRPr="00077F9A">
      <w:rPr>
        <w:rStyle w:val="SidhuvudUtskott"/>
      </w:rPr>
      <w:fldChar w:fldCharType="end"/>
    </w:r>
  </w:p>
  <w:p w:rsidR="00312E0B" w:rsidRPr="00077F9A" w:rsidRDefault="00312E0B">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23616C">
    <w:pPr>
      <w:pStyle w:val="SidhuvudKantUdda"/>
      <w:framePr w:wrap="around"/>
      <w:rPr>
        <w:rStyle w:val="SidhuvudBilaga"/>
      </w:rPr>
    </w:pPr>
    <w:r w:rsidRPr="00077F9A">
      <w:rPr>
        <w:rStyle w:val="SidhuvudBilaga"/>
      </w:rPr>
      <w:t>BILAGA</w: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73</w:instrText>
    </w:r>
    <w:r w:rsidRPr="00077F9A">
      <w:rPr>
        <w:rStyle w:val="SidhuvudBilaga"/>
      </w:rPr>
      <w:fldChar w:fldCharType="end"/>
    </w:r>
    <w:r w:rsidRPr="00077F9A">
      <w:rPr>
        <w:rStyle w:val="SidhuvudBilaga"/>
      </w:rPr>
      <w:instrText xml:space="preserve"> &gt; 1 "</w:instrText>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73</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36,5</w:instrText>
    </w:r>
    <w:r w:rsidRPr="00077F9A">
      <w:rPr>
        <w:rStyle w:val="SidhuvudBilaga"/>
      </w:rPr>
      <w:fldChar w:fldCharType="end"/>
    </w:r>
    <w:r w:rsidRPr="00077F9A">
      <w:rPr>
        <w:rStyle w:val="SidhuvudBilaga"/>
      </w:rPr>
      <w:instrText xml:space="preserve"> - </w:instrText>
    </w:r>
    <w:r w:rsidRPr="00077F9A">
      <w:rPr>
        <w:rStyle w:val="SidhuvudBilaga"/>
      </w:rPr>
      <w:fldChar w:fldCharType="begin" w:fldLock="1"/>
    </w:r>
    <w:r w:rsidRPr="00077F9A">
      <w:rPr>
        <w:rStyle w:val="SidhuvudBilaga"/>
      </w:rPr>
      <w:instrText xml:space="preserve"> = int(</w:instrText>
    </w:r>
    <w:r w:rsidRPr="00077F9A">
      <w:rPr>
        <w:rStyle w:val="SidhuvudBilaga"/>
      </w:rPr>
      <w:fldChar w:fldCharType="begin" w:fldLock="1"/>
    </w:r>
    <w:r w:rsidRPr="00077F9A">
      <w:rPr>
        <w:rStyle w:val="SidhuvudBilaga"/>
      </w:rPr>
      <w:instrText xml:space="preserve"> page</w:instrText>
    </w:r>
    <w:r w:rsidRPr="00077F9A">
      <w:rPr>
        <w:rStyle w:val="SidhuvudBilaga"/>
      </w:rPr>
      <w:fldChar w:fldCharType="separate"/>
    </w:r>
    <w:r w:rsidR="001F596B" w:rsidRPr="00077F9A">
      <w:rPr>
        <w:rStyle w:val="SidhuvudBilaga"/>
      </w:rPr>
      <w:instrText>73</w:instrText>
    </w:r>
    <w:r w:rsidRPr="00077F9A">
      <w:rPr>
        <w:rStyle w:val="SidhuvudBilaga"/>
      </w:rPr>
      <w:fldChar w:fldCharType="end"/>
    </w:r>
    <w:r w:rsidRPr="00077F9A">
      <w:rPr>
        <w:rStyle w:val="SidhuvudBilaga"/>
      </w:rPr>
      <w:instrText xml:space="preserve">/2) </w:instrText>
    </w:r>
    <w:r w:rsidRPr="00077F9A">
      <w:rPr>
        <w:rStyle w:val="SidhuvudBilaga"/>
      </w:rPr>
      <w:fldChar w:fldCharType="separate"/>
    </w:r>
    <w:r w:rsidR="001F596B" w:rsidRPr="00077F9A">
      <w:rPr>
        <w:rStyle w:val="SidhuvudBilaga"/>
      </w:rPr>
      <w:instrText>36</w:instrText>
    </w:r>
    <w:r w:rsidRPr="00077F9A">
      <w:rPr>
        <w:rStyle w:val="SidhuvudBilaga"/>
      </w:rPr>
      <w:fldChar w:fldCharType="end"/>
    </w:r>
    <w:r w:rsidRPr="00077F9A">
      <w:rPr>
        <w:rStyle w:val="SidhuvudBilaga"/>
      </w:rPr>
      <w:fldChar w:fldCharType="separate"/>
    </w:r>
    <w:r w:rsidR="001F596B" w:rsidRPr="00077F9A">
      <w:rPr>
        <w:rStyle w:val="SidhuvudBilaga"/>
      </w:rPr>
      <w:instrText>0,5</w:instrText>
    </w:r>
    <w:r w:rsidRPr="00077F9A">
      <w:rPr>
        <w:rStyle w:val="SidhuvudBilaga"/>
      </w:rPr>
      <w:fldChar w:fldCharType="end"/>
    </w:r>
    <w:r w:rsidRPr="00077F9A">
      <w:rPr>
        <w:rStyle w:val="SidhuvudBilaga"/>
      </w:rPr>
      <w:instrText xml:space="preserve"> = 0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Pr="00077F9A">
      <w:rPr>
        <w:rStyle w:val="SidhuvudBilaga"/>
      </w:rPr>
      <w:instrText>4</w:instrText>
    </w:r>
    <w:r w:rsidRPr="00077F9A">
      <w:rPr>
        <w:rStyle w:val="SidhuvudBilaga"/>
      </w:rPr>
      <w:fldChar w:fldCharType="end"/>
    </w:r>
    <w:r w:rsidRPr="00077F9A">
      <w:rPr>
        <w:rStyle w:val="SidhuvudBilaga"/>
      </w:rPr>
      <w:instrText xml:space="preserve">    </w:instrText>
    </w:r>
  </w:p>
  <w:p w:rsidR="00312E0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separate"/>
    </w:r>
    <w:r w:rsidRPr="00077F9A">
      <w:rPr>
        <w:rStyle w:val="SidhuvudBilaga"/>
      </w:rPr>
      <w:instrText>Utkast</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Pr="00077F9A">
      <w:rPr>
        <w:rStyle w:val="SidhuvudBilaga"/>
      </w:rPr>
      <w:instrText>Nej</w:instrText>
    </w:r>
    <w:r w:rsidRPr="00077F9A">
      <w:rPr>
        <w:rStyle w:val="SidhuvudBilaga"/>
      </w:rPr>
      <w:fldChar w:fldCharType="end"/>
    </w:r>
    <w:r w:rsidRPr="00077F9A">
      <w:rPr>
        <w:rStyle w:val="SidhuvudBilaga"/>
      </w:rPr>
      <w:instrText xml:space="preserve"> = "Ja" "    </w:instrText>
    </w:r>
    <w:r w:rsidRPr="00077F9A">
      <w:rPr>
        <w:rStyle w:val="SidhuvudBilaga"/>
      </w:rPr>
      <w:fldChar w:fldCharType="begin" w:fldLock="1"/>
    </w:r>
    <w:r w:rsidRPr="00077F9A">
      <w:rPr>
        <w:rStyle w:val="SidhuvudBilaga"/>
      </w:rPr>
      <w:instrText xml:space="preserve"> PRINTDATE \@ "yyyy-MM-dd HH.mm"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p>
  <w:p w:rsidR="00312E0B" w:rsidRPr="00077F9A" w:rsidRDefault="00312E0B" w:rsidP="0023616C">
    <w:pPr>
      <w:pStyle w:val="SidhuvudKantUdda"/>
      <w:framePr w:wrap="around"/>
      <w:rPr>
        <w:rStyle w:val="SidhuvudBilaga"/>
      </w:rPr>
    </w:pPr>
    <w:r w:rsidRPr="00077F9A">
      <w:rPr>
        <w:rStyle w:val="SidhuvudBilaga"/>
      </w:rPr>
      <w:instrText xml:space="preserve"> "  "  </w:instrText>
    </w:r>
    <w:r w:rsidRPr="00077F9A">
      <w:rPr>
        <w:rStyle w:val="SidhuvudBilaga"/>
      </w:rPr>
      <w:fldChar w:fldCharType="begin" w:fldLock="1"/>
    </w:r>
    <w:r w:rsidRPr="00077F9A">
      <w:rPr>
        <w:rStyle w:val="SidhuvudBilaga"/>
      </w:rPr>
      <w:instrText xml:space="preserve"> DOCPROPERTY BetänkandeÅr</w:instrText>
    </w:r>
    <w:r w:rsidRPr="00077F9A">
      <w:rPr>
        <w:rStyle w:val="SidhuvudBilaga"/>
      </w:rPr>
      <w:fldChar w:fldCharType="separate"/>
    </w:r>
    <w:r w:rsidR="00A56E21" w:rsidRPr="00077F9A">
      <w:rPr>
        <w:rStyle w:val="SidhuvudBilaga"/>
      </w:rPr>
      <w:instrText>2008/09</w:instrText>
    </w:r>
    <w:r w:rsidRPr="00077F9A">
      <w:rPr>
        <w:rStyle w:val="SidhuvudBilaga"/>
      </w:rPr>
      <w:fldChar w:fldCharType="end"/>
    </w:r>
    <w:r w:rsidRPr="00077F9A">
      <w:rPr>
        <w:rStyle w:val="SidhuvudBilaga"/>
      </w:rPr>
      <w:instrText>:</w:instrText>
    </w:r>
    <w:r w:rsidRPr="00077F9A">
      <w:rPr>
        <w:rStyle w:val="SidhuvudBilaga"/>
      </w:rPr>
      <w:fldChar w:fldCharType="begin" w:fldLock="1"/>
    </w:r>
    <w:r w:rsidRPr="00077F9A">
      <w:rPr>
        <w:rStyle w:val="SidhuvudBilaga"/>
      </w:rPr>
      <w:instrText xml:space="preserve"> DOCPROPERTY Utskott</w:instrText>
    </w:r>
    <w:r w:rsidRPr="00077F9A">
      <w:rPr>
        <w:rStyle w:val="SidhuvudBilaga"/>
      </w:rPr>
      <w:fldChar w:fldCharType="separate"/>
    </w:r>
    <w:r w:rsidR="00A56E21" w:rsidRPr="00077F9A">
      <w:rPr>
        <w:rStyle w:val="SidhuvudBilaga"/>
      </w:rPr>
      <w:instrText>RS</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BetänkandeNr</w:instrText>
    </w:r>
    <w:r w:rsidRPr="00077F9A">
      <w:rPr>
        <w:rStyle w:val="SidhuvudBilaga"/>
      </w:rPr>
      <w:fldChar w:fldCharType="separate"/>
    </w:r>
    <w:r w:rsidR="00A56E21" w:rsidRPr="00077F9A">
      <w:rPr>
        <w:rStyle w:val="SidhuvudBilaga"/>
      </w:rPr>
      <w:instrText>4</w:instrText>
    </w:r>
    <w:r w:rsidRPr="00077F9A">
      <w:rPr>
        <w:rStyle w:val="SidhuvudBilaga"/>
      </w:rPr>
      <w:fldChar w:fldCharType="end"/>
    </w:r>
  </w:p>
  <w:p w:rsidR="001F596B" w:rsidRPr="00077F9A" w:rsidRDefault="00312E0B" w:rsidP="0023616C">
    <w:pPr>
      <w:pStyle w:val="SidhuvudKantUdda"/>
      <w:framePr w:wrap="around"/>
      <w:rPr>
        <w:rStyle w:val="SidhuvudBilaga"/>
      </w:rPr>
    </w:pPr>
    <w:r w:rsidRPr="00077F9A">
      <w:rPr>
        <w:rStyle w:val="SidhuvudBilaga"/>
      </w:rPr>
      <w:fldChar w:fldCharType="begin" w:fldLock="1"/>
    </w:r>
    <w:r w:rsidRPr="00077F9A">
      <w:rPr>
        <w:rStyle w:val="SidhuvudBilaga"/>
      </w:rPr>
      <w:instrText xml:space="preserve"> if </w:instrText>
    </w:r>
    <w:r w:rsidRPr="00077F9A">
      <w:rPr>
        <w:rStyle w:val="SidhuvudBilaga"/>
      </w:rPr>
      <w:fldChar w:fldCharType="begin" w:fldLock="1"/>
    </w:r>
    <w:r w:rsidRPr="00077F9A">
      <w:rPr>
        <w:rStyle w:val="SidhuvudBilaga"/>
      </w:rPr>
      <w:instrText xml:space="preserve"> DOCPROPERTY "UtkastDatum"</w:instrText>
    </w:r>
    <w:r w:rsidRPr="00077F9A">
      <w:rPr>
        <w:rStyle w:val="SidhuvudBilaga"/>
      </w:rPr>
      <w:fldChar w:fldCharType="separate"/>
    </w:r>
    <w:r w:rsidR="00A56E21" w:rsidRPr="00077F9A">
      <w:rPr>
        <w:rStyle w:val="SidhuvudBilaga"/>
      </w:rPr>
      <w:instrText>Nej</w:instrText>
    </w:r>
    <w:r w:rsidRPr="00077F9A">
      <w:rPr>
        <w:rStyle w:val="SidhuvudBilaga"/>
      </w:rPr>
      <w:fldChar w:fldCharType="end"/>
    </w:r>
    <w:r w:rsidRPr="00077F9A">
      <w:rPr>
        <w:rStyle w:val="SidhuvudBilaga"/>
      </w:rPr>
      <w:instrText xml:space="preserve"> = "Ja" "</w:instrText>
    </w:r>
    <w:r w:rsidRPr="00077F9A">
      <w:rPr>
        <w:rStyle w:val="SidhuvudBilaga"/>
      </w:rPr>
      <w:fldChar w:fldCharType="begin" w:fldLock="1"/>
    </w:r>
    <w:r w:rsidRPr="00077F9A">
      <w:rPr>
        <w:rStyle w:val="SidhuvudBilaga"/>
      </w:rPr>
      <w:instrText xml:space="preserve"> PRINTDATE \@ "yyyy-MM-dd HH.mm    " </w:instrText>
    </w:r>
    <w:r w:rsidRPr="00077F9A">
      <w:rPr>
        <w:rStyle w:val="SidhuvudBilaga"/>
      </w:rPr>
      <w:fldChar w:fldCharType="separate"/>
    </w:r>
    <w:r w:rsidRPr="00077F9A">
      <w:rPr>
        <w:rStyle w:val="SidhuvudBilaga"/>
      </w:rPr>
      <w:instrText>2000-08-11 16.42</w:instrText>
    </w:r>
    <w:r w:rsidRPr="00077F9A">
      <w:rPr>
        <w:rStyle w:val="SidhuvudBilaga"/>
      </w:rPr>
      <w:fldChar w:fldCharType="end"/>
    </w:r>
    <w:r w:rsidRPr="00077F9A">
      <w:rPr>
        <w:rStyle w:val="SidhuvudBilaga"/>
      </w:rPr>
      <w:instrText xml:space="preserve">" </w:instrText>
    </w:r>
    <w:r w:rsidRPr="00077F9A">
      <w:rPr>
        <w:rStyle w:val="SidhuvudBilaga"/>
      </w:rPr>
      <w:fldChar w:fldCharType="end"/>
    </w:r>
    <w:r w:rsidRPr="00077F9A">
      <w:rPr>
        <w:rStyle w:val="SidhuvudBilaga"/>
      </w:rPr>
      <w:fldChar w:fldCharType="begin" w:fldLock="1"/>
    </w:r>
    <w:r w:rsidRPr="00077F9A">
      <w:rPr>
        <w:rStyle w:val="SidhuvudBilaga"/>
      </w:rPr>
      <w:instrText xml:space="preserve"> DOCPROPERTY Status</w:instrText>
    </w:r>
    <w:r w:rsidRPr="00077F9A">
      <w:rPr>
        <w:rStyle w:val="SidhuvudBilaga"/>
      </w:rPr>
      <w:fldChar w:fldCharType="end"/>
    </w:r>
    <w:r w:rsidRPr="00077F9A">
      <w:rPr>
        <w:rStyle w:val="SidhuvudBilaga"/>
      </w:rPr>
      <w:instrText>"</w:instrText>
    </w:r>
    <w:r w:rsidRPr="00077F9A">
      <w:rPr>
        <w:rStyle w:val="SidhuvudBilaga"/>
      </w:rPr>
      <w:fldChar w:fldCharType="separate"/>
    </w:r>
    <w:r w:rsidR="001F596B" w:rsidRPr="00077F9A">
      <w:rPr>
        <w:rStyle w:val="SidhuvudBilaga"/>
      </w:rPr>
      <w:instrText xml:space="preserve">  2008/09:RS4</w:instrText>
    </w:r>
  </w:p>
  <w:p w:rsidR="001F596B" w:rsidRPr="00077F9A" w:rsidRDefault="00312E0B" w:rsidP="0023616C">
    <w:pPr>
      <w:pStyle w:val="SidhuvudKantUdda"/>
      <w:framePr w:wrap="around"/>
      <w:rPr>
        <w:rStyle w:val="SidhuvudBilaga"/>
      </w:rPr>
    </w:pPr>
    <w:r w:rsidRPr="00077F9A">
      <w:rPr>
        <w:rStyle w:val="SidhuvudBilaga"/>
      </w:rPr>
      <w:fldChar w:fldCharType="end"/>
    </w:r>
    <w:r w:rsidRPr="00077F9A">
      <w:rPr>
        <w:rStyle w:val="SidhuvudBilaga"/>
      </w:rPr>
      <w:instrText>" " "</w:instrText>
    </w:r>
    <w:r w:rsidRPr="00077F9A">
      <w:rPr>
        <w:rStyle w:val="SidhuvudBilaga"/>
      </w:rPr>
      <w:fldChar w:fldCharType="separate"/>
    </w:r>
    <w:r w:rsidR="001F596B" w:rsidRPr="00077F9A">
      <w:rPr>
        <w:rStyle w:val="SidhuvudBilaga"/>
      </w:rPr>
      <w:t xml:space="preserve">  2008/09:RS4</w:t>
    </w:r>
  </w:p>
  <w:p w:rsidR="00312E0B" w:rsidRPr="00077F9A" w:rsidRDefault="00312E0B" w:rsidP="0023616C">
    <w:pPr>
      <w:pStyle w:val="SidhuvudKantUdda"/>
      <w:framePr w:wrap="around"/>
      <w:rPr>
        <w:rStyle w:val="SidhuvudBilaga"/>
      </w:rPr>
    </w:pPr>
    <w:r w:rsidRPr="00077F9A">
      <w:rPr>
        <w:rStyle w:val="SidhuvudBilaga"/>
      </w:rPr>
      <w:fldChar w:fldCharType="end"/>
    </w:r>
  </w:p>
  <w:p w:rsidR="00312E0B" w:rsidRPr="00077F9A" w:rsidRDefault="00312E0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F336A2">
    <w:pPr>
      <w:pStyle w:val="SidhuvudKantJmn"/>
      <w:framePr w:w="8731" w:h="567" w:hRule="exact" w:vSpace="0" w:wrap="around" w:vAnchor="page" w:y="341" w:anchorLock="0"/>
    </w:pP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00A56E21" w:rsidRPr="00077F9A">
      <w:rPr>
        <w:rStyle w:val="SidhuvudUtskott"/>
      </w:rPr>
      <w:t>2008/09</w:t>
    </w:r>
    <w:r w:rsidRPr="00077F9A">
      <w:rPr>
        <w:rStyle w:val="SidhuvudUtskott"/>
      </w:rPr>
      <w:fldChar w:fldCharType="end"/>
    </w:r>
    <w:r w:rsidRPr="00077F9A">
      <w:rPr>
        <w:rStyle w:val="SidhuvudUtskott"/>
      </w:rPr>
      <w:t>:</w:t>
    </w:r>
    <w:r w:rsidRPr="00077F9A">
      <w:rPr>
        <w:rStyle w:val="SidhuvudUtskott"/>
      </w:rPr>
      <w:fldChar w:fldCharType="begin" w:fldLock="1"/>
    </w:r>
    <w:r w:rsidRPr="00077F9A">
      <w:rPr>
        <w:rStyle w:val="SidhuvudUtskott"/>
      </w:rPr>
      <w:instrText xml:space="preserve"> DOCPROPERTY Utskott</w:instrText>
    </w:r>
    <w:r w:rsidRPr="00077F9A">
      <w:rPr>
        <w:rStyle w:val="SidhuvudUtskott"/>
      </w:rPr>
      <w:fldChar w:fldCharType="separate"/>
    </w:r>
    <w:r w:rsidR="00A56E21" w:rsidRPr="00077F9A">
      <w:rPr>
        <w:rStyle w:val="SidhuvudUtskott"/>
      </w:rPr>
      <w:t>RS</w: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BetänkandeNr</w:instrText>
    </w:r>
    <w:r w:rsidRPr="00077F9A">
      <w:rPr>
        <w:rStyle w:val="SidhuvudUtskott"/>
      </w:rPr>
      <w:fldChar w:fldCharType="separate"/>
    </w:r>
    <w:r w:rsidR="00A56E21" w:rsidRPr="00077F9A">
      <w:rPr>
        <w:rStyle w:val="SidhuvudUtskott"/>
      </w:rPr>
      <w:t>4</w:t>
    </w:r>
    <w:r w:rsidRPr="00077F9A">
      <w:rPr>
        <w:rStyle w:val="SidhuvudUtskott"/>
      </w:rPr>
      <w:fldChar w:fldCharType="end"/>
    </w:r>
    <w:r w:rsidRPr="00077F9A">
      <w:t xml:space="preserve">     </w:t>
    </w:r>
    <w:r w:rsidRPr="00077F9A">
      <w:rPr>
        <w:rStyle w:val="SidhuvudBilaga"/>
      </w:rPr>
      <w:t xml:space="preserve"> </w:t>
    </w:r>
    <w:r w:rsidRPr="00077F9A">
      <w:rPr>
        <w:rStyle w:val="SidhuvudRubrikReferens"/>
      </w:rPr>
      <w:fldChar w:fldCharType="begin" w:fldLock="1"/>
    </w:r>
    <w:r w:rsidRPr="00077F9A">
      <w:rPr>
        <w:rStyle w:val="SidhuvudRubrikReferens"/>
      </w:rPr>
      <w:instrText xml:space="preserve"> StyleREF "Rubrik 1" </w:instrText>
    </w:r>
    <w:r w:rsidRPr="00077F9A">
      <w:rPr>
        <w:rStyle w:val="SidhuvudRubrikReferens"/>
      </w:rPr>
      <w:fldChar w:fldCharType="end"/>
    </w:r>
  </w:p>
  <w:p w:rsidR="00312E0B" w:rsidRPr="00077F9A" w:rsidRDefault="00312E0B" w:rsidP="00F336A2">
    <w:pPr>
      <w:pStyle w:val="SidhuvudKantJmn"/>
      <w:framePr w:w="8731" w:h="567" w:hRule="exact" w:vSpace="0" w:wrap="around" w:vAnchor="page" w:y="341" w:anchorLock="0"/>
    </w:pPr>
    <w:r w:rsidRPr="00077F9A">
      <w:rPr>
        <w:rStyle w:val="SidhuvudUtskott"/>
      </w:rPr>
      <w:fldChar w:fldCharType="begin" w:fldLock="1"/>
    </w:r>
    <w:r w:rsidRPr="00077F9A">
      <w:rPr>
        <w:rStyle w:val="SidhuvudUtskott"/>
      </w:rPr>
      <w:instrText xml:space="preserve"> DOCPROPERTY Status</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00A56E21" w:rsidRPr="00077F9A">
      <w:rPr>
        <w:rStyle w:val="SidhuvudUtskott"/>
      </w:rPr>
      <w:instrText>Nej</w:instrText>
    </w:r>
    <w:r w:rsidRPr="00077F9A">
      <w:rPr>
        <w:rStyle w:val="SidhuvudUtskott"/>
      </w:rPr>
      <w:fldChar w:fldCharType="end"/>
    </w:r>
    <w:r w:rsidRPr="00077F9A">
      <w:rPr>
        <w:rStyle w:val="SidhuvudUtskott"/>
      </w:rPr>
      <w:instrText xml:space="preserve"> = "Ja" "    </w:instrText>
    </w:r>
    <w:r w:rsidRPr="00077F9A">
      <w:rPr>
        <w:rStyle w:val="SidhuvudUtskott"/>
      </w:rPr>
      <w:fldChar w:fldCharType="begin" w:fldLock="1"/>
    </w:r>
    <w:r w:rsidRPr="00077F9A">
      <w:rPr>
        <w:rStyle w:val="SidhuvudUtskott"/>
      </w:rPr>
      <w:instrText xml:space="preserve"> PRINTDATE \@ "yyyy-MM-dd HH.mm"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p>
  <w:p w:rsidR="00312E0B" w:rsidRPr="00077F9A" w:rsidRDefault="00312E0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F336A2">
    <w:pPr>
      <w:pStyle w:val="SidhuvudKantUdda"/>
      <w:framePr w:w="8731" w:h="567" w:hRule="exact" w:vSpace="0" w:wrap="around" w:vAnchor="page" w:y="341" w:anchorLock="0"/>
    </w:pPr>
    <w:r w:rsidRPr="00077F9A">
      <w:rPr>
        <w:rStyle w:val="SidhuvudRubrikReferens"/>
      </w:rPr>
      <w:fldChar w:fldCharType="begin" w:fldLock="1"/>
    </w:r>
    <w:r w:rsidRPr="00077F9A">
      <w:rPr>
        <w:rStyle w:val="SidhuvudRubrikReferens"/>
      </w:rPr>
      <w:instrText xml:space="preserve"> StyleREF "Rubrik 1" </w:instrText>
    </w:r>
    <w:r w:rsidRPr="00077F9A">
      <w:rPr>
        <w:rStyle w:val="SidhuvudRubrikReferens"/>
      </w:rPr>
      <w:fldChar w:fldCharType="end"/>
    </w:r>
    <w:r w:rsidRPr="00077F9A">
      <w:rPr>
        <w:rStyle w:val="SidhuvudBilaga"/>
      </w:rPr>
      <w:t xml:space="preserve"> </w:t>
    </w:r>
    <w:r w:rsidRPr="00077F9A">
      <w:t xml:space="preserve">     </w: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00A56E21" w:rsidRPr="00077F9A">
      <w:rPr>
        <w:rStyle w:val="SidhuvudUtskott"/>
      </w:rPr>
      <w:t>2008/09</w:t>
    </w:r>
    <w:r w:rsidRPr="00077F9A">
      <w:rPr>
        <w:rStyle w:val="SidhuvudUtskott"/>
      </w:rPr>
      <w:fldChar w:fldCharType="end"/>
    </w:r>
    <w:r w:rsidRPr="00077F9A">
      <w:rPr>
        <w:rStyle w:val="SidhuvudUtskott"/>
      </w:rPr>
      <w:t>:</w:t>
    </w:r>
    <w:r w:rsidRPr="00077F9A">
      <w:rPr>
        <w:rStyle w:val="SidhuvudUtskott"/>
      </w:rPr>
      <w:fldChar w:fldCharType="begin" w:fldLock="1"/>
    </w:r>
    <w:r w:rsidRPr="00077F9A">
      <w:rPr>
        <w:rStyle w:val="SidhuvudUtskott"/>
      </w:rPr>
      <w:instrText xml:space="preserve"> DOCPROPERTY</w:instrText>
    </w:r>
    <w:r w:rsidRPr="00077F9A">
      <w:instrText xml:space="preserve"> </w:instrText>
    </w:r>
    <w:r w:rsidRPr="00077F9A">
      <w:rPr>
        <w:rStyle w:val="SidhuvudUtskott"/>
      </w:rPr>
      <w:instrText>Utskott</w:instrText>
    </w:r>
    <w:r w:rsidRPr="00077F9A">
      <w:rPr>
        <w:rStyle w:val="SidhuvudUtskott"/>
      </w:rPr>
      <w:fldChar w:fldCharType="separate"/>
    </w:r>
    <w:r w:rsidR="00A56E21" w:rsidRPr="00077F9A">
      <w:rPr>
        <w:rStyle w:val="SidhuvudUtskott"/>
      </w:rPr>
      <w:t>RS</w: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w:instrText>
    </w:r>
    <w:r w:rsidRPr="00077F9A">
      <w:rPr>
        <w:rStyle w:val="SidhuvudUtskott"/>
      </w:rPr>
      <w:instrText>n</w:instrText>
    </w:r>
    <w:r w:rsidRPr="00077F9A">
      <w:rPr>
        <w:rStyle w:val="SidhuvudUtskott"/>
      </w:rPr>
      <w:instrText>kandeNr</w:instrText>
    </w:r>
    <w:r w:rsidRPr="00077F9A">
      <w:rPr>
        <w:rStyle w:val="SidhuvudUtskott"/>
      </w:rPr>
      <w:fldChar w:fldCharType="separate"/>
    </w:r>
    <w:r w:rsidR="00A56E21" w:rsidRPr="00077F9A">
      <w:rPr>
        <w:rStyle w:val="SidhuvudUtskott"/>
      </w:rPr>
      <w:t>4</w:t>
    </w:r>
    <w:r w:rsidRPr="00077F9A">
      <w:rPr>
        <w:rStyle w:val="SidhuvudUtskott"/>
      </w:rPr>
      <w:fldChar w:fldCharType="end"/>
    </w:r>
  </w:p>
  <w:p w:rsidR="00312E0B" w:rsidRPr="00077F9A" w:rsidRDefault="00312E0B" w:rsidP="00F336A2">
    <w:pPr>
      <w:pStyle w:val="SidhuvudKantUdda"/>
      <w:framePr w:w="8731" w:h="567" w:hRule="exact" w:vSpace="0" w:wrap="around" w:vAnchor="page" w:y="341" w:anchorLock="0"/>
    </w:pP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00A56E21" w:rsidRPr="00077F9A">
      <w:rPr>
        <w:rStyle w:val="SidhuvudUtskott"/>
      </w:rPr>
      <w:instrText>Nej</w:instrText>
    </w:r>
    <w:r w:rsidRPr="00077F9A">
      <w:rPr>
        <w:rStyle w:val="SidhuvudUtskott"/>
      </w:rPr>
      <w:fldChar w:fldCharType="end"/>
    </w:r>
    <w:r w:rsidRPr="00077F9A">
      <w:rPr>
        <w:rStyle w:val="SidhuvudUtskott"/>
      </w:rPr>
      <w:instrText xml:space="preserve"> = "Ja" "</w:instrText>
    </w:r>
    <w:r w:rsidRPr="00077F9A">
      <w:rPr>
        <w:rStyle w:val="SidhuvudUtskott"/>
      </w:rPr>
      <w:fldChar w:fldCharType="begin" w:fldLock="1"/>
    </w:r>
    <w:r w:rsidRPr="00077F9A">
      <w:rPr>
        <w:rStyle w:val="SidhuvudUtskott"/>
      </w:rPr>
      <w:instrText xml:space="preserve"> PRINTDATE \@ "yyyy-MM-dd HH.mm    "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w:instrText>
    </w:r>
    <w:r w:rsidRPr="00077F9A">
      <w:rPr>
        <w:rStyle w:val="SidhuvudUtskott"/>
      </w:rPr>
      <w:instrText>O</w:instrText>
    </w:r>
    <w:r w:rsidRPr="00077F9A">
      <w:rPr>
        <w:rStyle w:val="SidhuvudUtskott"/>
      </w:rPr>
      <w:instrText>PERTY Status</w:instrText>
    </w:r>
    <w:r w:rsidRPr="00077F9A">
      <w:rPr>
        <w:rStyle w:val="SidhuvudUtskott"/>
      </w:rPr>
      <w:fldChar w:fldCharType="end"/>
    </w:r>
  </w:p>
  <w:p w:rsidR="00312E0B" w:rsidRPr="00077F9A" w:rsidRDefault="00312E0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rsidP="00F336A2">
    <w:pPr>
      <w:pStyle w:val="SidhuvudKantJmn"/>
      <w:framePr w:w="8731" w:h="567" w:hRule="exact" w:vSpace="0" w:wrap="around" w:vAnchor="page" w:y="341" w:anchorLock="0"/>
    </w:pPr>
    <w:r w:rsidRPr="00077F9A">
      <w:fldChar w:fldCharType="begin" w:fldLock="1"/>
    </w:r>
    <w:r w:rsidRPr="00077F9A">
      <w:instrText xml:space="preserve"> if </w:instrText>
    </w:r>
    <w:r w:rsidRPr="00077F9A">
      <w:fldChar w:fldCharType="begin" w:fldLock="1"/>
    </w:r>
    <w:r w:rsidRPr="00077F9A">
      <w:instrText xml:space="preserve"> page</w:instrText>
    </w:r>
    <w:r w:rsidRPr="00077F9A">
      <w:fldChar w:fldCharType="separate"/>
    </w:r>
    <w:r w:rsidR="001F596B" w:rsidRPr="00077F9A">
      <w:instrText>3</w:instrText>
    </w:r>
    <w:r w:rsidRPr="00077F9A">
      <w:fldChar w:fldCharType="end"/>
    </w:r>
    <w:r w:rsidRPr="00077F9A">
      <w:instrText xml:space="preserve"> &gt; 1 "</w:instrText>
    </w:r>
    <w:r w:rsidRPr="00077F9A">
      <w:fldChar w:fldCharType="begin" w:fldLock="1"/>
    </w:r>
    <w:r w:rsidRPr="00077F9A">
      <w:instrText xml:space="preserve"> if </w:instrText>
    </w:r>
    <w:r w:rsidRPr="00077F9A">
      <w:fldChar w:fldCharType="begin" w:fldLock="1"/>
    </w:r>
    <w:r w:rsidRPr="00077F9A">
      <w:instrText xml:space="preserve"> = </w:instrText>
    </w:r>
    <w:r w:rsidRPr="00077F9A">
      <w:fldChar w:fldCharType="begin" w:fldLock="1"/>
    </w:r>
    <w:r w:rsidRPr="00077F9A">
      <w:instrText xml:space="preserve"> = </w:instrText>
    </w:r>
    <w:r w:rsidRPr="00077F9A">
      <w:fldChar w:fldCharType="begin" w:fldLock="1"/>
    </w:r>
    <w:r w:rsidRPr="00077F9A">
      <w:instrText xml:space="preserve"> page</w:instrText>
    </w:r>
    <w:r w:rsidRPr="00077F9A">
      <w:fldChar w:fldCharType="separate"/>
    </w:r>
    <w:r w:rsidR="001F596B" w:rsidRPr="00077F9A">
      <w:instrText>3</w:instrText>
    </w:r>
    <w:r w:rsidRPr="00077F9A">
      <w:fldChar w:fldCharType="end"/>
    </w:r>
    <w:r w:rsidRPr="00077F9A">
      <w:instrText xml:space="preserve">/2 </w:instrText>
    </w:r>
    <w:r w:rsidRPr="00077F9A">
      <w:fldChar w:fldCharType="separate"/>
    </w:r>
    <w:r w:rsidR="001F596B" w:rsidRPr="00077F9A">
      <w:instrText>1,5</w:instrText>
    </w:r>
    <w:r w:rsidRPr="00077F9A">
      <w:fldChar w:fldCharType="end"/>
    </w:r>
    <w:r w:rsidRPr="00077F9A">
      <w:instrText xml:space="preserve"> - </w:instrText>
    </w:r>
    <w:r w:rsidRPr="00077F9A">
      <w:fldChar w:fldCharType="begin" w:fldLock="1"/>
    </w:r>
    <w:r w:rsidRPr="00077F9A">
      <w:instrText xml:space="preserve"> = int(</w:instrText>
    </w:r>
    <w:r w:rsidRPr="00077F9A">
      <w:fldChar w:fldCharType="begin" w:fldLock="1"/>
    </w:r>
    <w:r w:rsidRPr="00077F9A">
      <w:instrText xml:space="preserve"> page</w:instrText>
    </w:r>
    <w:r w:rsidRPr="00077F9A">
      <w:fldChar w:fldCharType="separate"/>
    </w:r>
    <w:r w:rsidR="001F596B" w:rsidRPr="00077F9A">
      <w:instrText>3</w:instrText>
    </w:r>
    <w:r w:rsidRPr="00077F9A">
      <w:fldChar w:fldCharType="end"/>
    </w:r>
    <w:r w:rsidRPr="00077F9A">
      <w:instrText xml:space="preserve">/2) </w:instrText>
    </w:r>
    <w:r w:rsidRPr="00077F9A">
      <w:fldChar w:fldCharType="separate"/>
    </w:r>
    <w:r w:rsidR="001F596B" w:rsidRPr="00077F9A">
      <w:instrText>1</w:instrText>
    </w:r>
    <w:r w:rsidRPr="00077F9A">
      <w:fldChar w:fldCharType="end"/>
    </w:r>
    <w:r w:rsidRPr="00077F9A">
      <w:fldChar w:fldCharType="separate"/>
    </w:r>
    <w:r w:rsidR="001F596B" w:rsidRPr="00077F9A">
      <w:instrText>0,5</w:instrText>
    </w:r>
    <w:r w:rsidRPr="00077F9A">
      <w:fldChar w:fldCharType="end"/>
    </w:r>
    <w:r w:rsidRPr="00077F9A">
      <w:instrText xml:space="preserve"> = 0 "</w:instrTex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Pr="00077F9A">
      <w:rPr>
        <w:rStyle w:val="SidhuvudUtskott"/>
      </w:rPr>
      <w:instrText>1999/2000</w:instrText>
    </w:r>
    <w:r w:rsidRPr="00077F9A">
      <w:rPr>
        <w:rStyle w:val="SidhuvudUtskott"/>
      </w:rPr>
      <w:fldChar w:fldCharType="end"/>
    </w:r>
    <w:r w:rsidRPr="00077F9A">
      <w:rPr>
        <w:rStyle w:val="SidhuvudUtskott"/>
      </w:rPr>
      <w:instrText>:</w:instrText>
    </w:r>
    <w:r w:rsidRPr="00077F9A">
      <w:rPr>
        <w:rStyle w:val="SidhuvudUtskott"/>
      </w:rPr>
      <w:fldChar w:fldCharType="begin" w:fldLock="1"/>
    </w:r>
    <w:r w:rsidRPr="00077F9A">
      <w:rPr>
        <w:rStyle w:val="SidhuvudUtskott"/>
      </w:rPr>
      <w:instrText xml:space="preserve"> DOCPR</w:instrText>
    </w:r>
    <w:r w:rsidRPr="00077F9A">
      <w:rPr>
        <w:rStyle w:val="SidhuvudUtskott"/>
      </w:rPr>
      <w:instrText>O</w:instrText>
    </w:r>
    <w:r w:rsidRPr="00077F9A">
      <w:rPr>
        <w:rStyle w:val="SidhuvudUtskott"/>
      </w:rPr>
      <w:instrText>PERTY Utskott</w:instrText>
    </w:r>
    <w:r w:rsidRPr="00077F9A">
      <w:rPr>
        <w:rStyle w:val="SidhuvudUtskott"/>
      </w:rPr>
      <w:fldChar w:fldCharType="separate"/>
    </w:r>
    <w:r w:rsidRPr="00077F9A">
      <w:rPr>
        <w:rStyle w:val="SidhuvudUtskott"/>
      </w:rPr>
      <w:instrText>BoU</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BetänkandeNr</w:instrText>
    </w:r>
    <w:r w:rsidRPr="00077F9A">
      <w:rPr>
        <w:rStyle w:val="SidhuvudUtskott"/>
      </w:rPr>
      <w:fldChar w:fldCharType="separate"/>
    </w:r>
    <w:r w:rsidRPr="00077F9A">
      <w:rPr>
        <w:rStyle w:val="SidhuvudUtskott"/>
      </w:rPr>
      <w:instrText>6678</w:instrText>
    </w:r>
    <w:r w:rsidRPr="00077F9A">
      <w:rPr>
        <w:rStyle w:val="SidhuvudUtskott"/>
      </w:rPr>
      <w:fldChar w:fldCharType="end"/>
    </w:r>
    <w:r w:rsidRPr="00077F9A">
      <w:instrText xml:space="preserve">    </w:instrText>
    </w:r>
  </w:p>
  <w:p w:rsidR="00312E0B" w:rsidRPr="00077F9A" w:rsidRDefault="00312E0B" w:rsidP="00F336A2">
    <w:pPr>
      <w:pStyle w:val="SidhuvudKantJmn"/>
      <w:framePr w:w="8731" w:h="567" w:hRule="exact" w:vSpace="0" w:wrap="around" w:vAnchor="page" w:y="341" w:anchorLock="0"/>
    </w:pPr>
    <w:r w:rsidRPr="00077F9A">
      <w:rPr>
        <w:rStyle w:val="SidhuvudUtskott"/>
      </w:rPr>
      <w:fldChar w:fldCharType="begin" w:fldLock="1"/>
    </w:r>
    <w:r w:rsidRPr="00077F9A">
      <w:rPr>
        <w:rStyle w:val="SidhuvudUtskott"/>
      </w:rPr>
      <w:instrText xml:space="preserve"> DOCPROPERTY Status</w:instrText>
    </w:r>
    <w:r w:rsidRPr="00077F9A">
      <w:rPr>
        <w:rStyle w:val="SidhuvudUtskott"/>
      </w:rPr>
      <w:fldChar w:fldCharType="separate"/>
    </w:r>
    <w:r w:rsidRPr="00077F9A">
      <w:rPr>
        <w:rStyle w:val="SidhuvudUtskott"/>
      </w:rPr>
      <w:instrText>Utkast</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Pr="00077F9A">
      <w:rPr>
        <w:rStyle w:val="SidhuvudUtskott"/>
      </w:rPr>
      <w:instrText>Nej</w:instrText>
    </w:r>
    <w:r w:rsidRPr="00077F9A">
      <w:rPr>
        <w:rStyle w:val="SidhuvudUtskott"/>
      </w:rPr>
      <w:fldChar w:fldCharType="end"/>
    </w:r>
    <w:r w:rsidRPr="00077F9A">
      <w:rPr>
        <w:rStyle w:val="SidhuvudUtskott"/>
      </w:rPr>
      <w:instrText xml:space="preserve"> = "Ja" "    </w:instrText>
    </w:r>
    <w:r w:rsidRPr="00077F9A">
      <w:rPr>
        <w:rStyle w:val="SidhuvudUtskott"/>
      </w:rPr>
      <w:fldChar w:fldCharType="begin" w:fldLock="1"/>
    </w:r>
    <w:r w:rsidRPr="00077F9A">
      <w:rPr>
        <w:rStyle w:val="SidhuvudUtskott"/>
      </w:rPr>
      <w:instrText xml:space="preserve"> PRINTDATE \@ "yyyy-MM-dd HH.mm"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p>
  <w:p w:rsidR="00312E0B" w:rsidRPr="00077F9A" w:rsidRDefault="00312E0B" w:rsidP="00F336A2">
    <w:pPr>
      <w:pStyle w:val="SidhuvudKantUdda"/>
      <w:framePr w:w="8731" w:h="567" w:hRule="exact" w:vSpace="0" w:wrap="around" w:vAnchor="page" w:y="341" w:anchorLock="0"/>
    </w:pPr>
    <w:r w:rsidRPr="00077F9A">
      <w:rPr>
        <w:rStyle w:val="SidhuvudRubrikReferens"/>
        <w:smallCaps w:val="0"/>
      </w:rPr>
      <w:instrText xml:space="preserve"> </w:instrText>
    </w:r>
    <w:r w:rsidRPr="00077F9A">
      <w:instrText xml:space="preserve">"  "  </w:instrTex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00A56E21" w:rsidRPr="00077F9A">
      <w:rPr>
        <w:rStyle w:val="SidhuvudUtskott"/>
      </w:rPr>
      <w:instrText>2008/09</w:instrText>
    </w:r>
    <w:r w:rsidRPr="00077F9A">
      <w:rPr>
        <w:rStyle w:val="SidhuvudUtskott"/>
      </w:rPr>
      <w:fldChar w:fldCharType="end"/>
    </w:r>
    <w:r w:rsidRPr="00077F9A">
      <w:rPr>
        <w:rStyle w:val="SidhuvudUtskott"/>
      </w:rPr>
      <w:instrText>:</w:instrText>
    </w:r>
    <w:r w:rsidRPr="00077F9A">
      <w:rPr>
        <w:rStyle w:val="SidhuvudUtskott"/>
      </w:rPr>
      <w:fldChar w:fldCharType="begin" w:fldLock="1"/>
    </w:r>
    <w:r w:rsidRPr="00077F9A">
      <w:rPr>
        <w:rStyle w:val="SidhuvudUtskott"/>
      </w:rPr>
      <w:instrText xml:space="preserve"> DOCPROPERTY Utskott</w:instrText>
    </w:r>
    <w:r w:rsidRPr="00077F9A">
      <w:rPr>
        <w:rStyle w:val="SidhuvudUtskott"/>
      </w:rPr>
      <w:fldChar w:fldCharType="separate"/>
    </w:r>
    <w:r w:rsidR="00A56E21" w:rsidRPr="00077F9A">
      <w:rPr>
        <w:rStyle w:val="SidhuvudUtskott"/>
      </w:rPr>
      <w:instrText>RS</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BetänkandeNr</w:instrText>
    </w:r>
    <w:r w:rsidRPr="00077F9A">
      <w:rPr>
        <w:rStyle w:val="SidhuvudUtskott"/>
      </w:rPr>
      <w:fldChar w:fldCharType="separate"/>
    </w:r>
    <w:r w:rsidR="00A56E21" w:rsidRPr="00077F9A">
      <w:rPr>
        <w:rStyle w:val="SidhuvudUtskott"/>
      </w:rPr>
      <w:instrText>4</w:instrText>
    </w:r>
    <w:r w:rsidRPr="00077F9A">
      <w:rPr>
        <w:rStyle w:val="SidhuvudUtskott"/>
      </w:rPr>
      <w:fldChar w:fldCharType="end"/>
    </w:r>
  </w:p>
  <w:p w:rsidR="001F596B" w:rsidRPr="00077F9A" w:rsidRDefault="00312E0B" w:rsidP="00F336A2">
    <w:pPr>
      <w:pStyle w:val="SidhuvudKantUdda"/>
      <w:framePr w:w="8731" w:h="567" w:hRule="exact" w:vSpace="0" w:wrap="around" w:vAnchor="page" w:y="341" w:anchorLock="0"/>
    </w:pP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00A56E21" w:rsidRPr="00077F9A">
      <w:rPr>
        <w:rStyle w:val="SidhuvudUtskott"/>
      </w:rPr>
      <w:instrText>Nej</w:instrText>
    </w:r>
    <w:r w:rsidRPr="00077F9A">
      <w:rPr>
        <w:rStyle w:val="SidhuvudUtskott"/>
      </w:rPr>
      <w:fldChar w:fldCharType="end"/>
    </w:r>
    <w:r w:rsidRPr="00077F9A">
      <w:rPr>
        <w:rStyle w:val="SidhuvudUtskott"/>
      </w:rPr>
      <w:instrText xml:space="preserve"> = "Ja" "</w:instrText>
    </w:r>
    <w:r w:rsidRPr="00077F9A">
      <w:rPr>
        <w:rStyle w:val="SidhuvudUtskott"/>
      </w:rPr>
      <w:fldChar w:fldCharType="begin" w:fldLock="1"/>
    </w:r>
    <w:r w:rsidRPr="00077F9A">
      <w:rPr>
        <w:rStyle w:val="SidhuvudUtskott"/>
      </w:rPr>
      <w:instrText xml:space="preserve"> PRINTDATE \@ "yyyy-MM-dd HH.mm    "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w:instrText>
    </w:r>
    <w:r w:rsidRPr="00077F9A">
      <w:rPr>
        <w:rStyle w:val="SidhuvudUtskott"/>
      </w:rPr>
      <w:instrText>O</w:instrText>
    </w:r>
    <w:r w:rsidRPr="00077F9A">
      <w:rPr>
        <w:rStyle w:val="SidhuvudUtskott"/>
      </w:rPr>
      <w:instrText>PERTY Status</w:instrText>
    </w:r>
    <w:r w:rsidRPr="00077F9A">
      <w:rPr>
        <w:rStyle w:val="SidhuvudUtskott"/>
      </w:rPr>
      <w:fldChar w:fldCharType="end"/>
    </w:r>
    <w:r w:rsidRPr="00077F9A">
      <w:instrText>"</w:instrText>
    </w:r>
    <w:r w:rsidRPr="00077F9A">
      <w:fldChar w:fldCharType="separate"/>
    </w:r>
    <w:r w:rsidR="001F596B" w:rsidRPr="00077F9A">
      <w:instrText xml:space="preserve">  </w:instrText>
    </w:r>
    <w:r w:rsidR="001F596B" w:rsidRPr="00077F9A">
      <w:rPr>
        <w:rStyle w:val="SidhuvudUtskott"/>
      </w:rPr>
      <w:instrText>2008/09:RS4</w:instrText>
    </w:r>
  </w:p>
  <w:p w:rsidR="001F596B" w:rsidRPr="00077F9A" w:rsidRDefault="00312E0B" w:rsidP="00F336A2">
    <w:pPr>
      <w:pStyle w:val="SidhuvudKantUdda"/>
      <w:framePr w:w="8731" w:h="567" w:hRule="exact" w:vSpace="0" w:wrap="around" w:vAnchor="page" w:y="341" w:anchorLock="0"/>
    </w:pPr>
    <w:r w:rsidRPr="00077F9A">
      <w:fldChar w:fldCharType="end"/>
    </w:r>
    <w:r w:rsidRPr="00077F9A">
      <w:instrText>" " "</w:instrText>
    </w:r>
    <w:r w:rsidRPr="00077F9A">
      <w:fldChar w:fldCharType="separate"/>
    </w:r>
    <w:r w:rsidR="001F596B" w:rsidRPr="00077F9A">
      <w:t xml:space="preserve">  </w:t>
    </w:r>
    <w:r w:rsidR="001F596B" w:rsidRPr="00077F9A">
      <w:rPr>
        <w:rStyle w:val="SidhuvudUtskott"/>
      </w:rPr>
      <w:t>2008/09:RS4</w:t>
    </w:r>
  </w:p>
  <w:p w:rsidR="00312E0B" w:rsidRPr="00077F9A" w:rsidRDefault="00312E0B" w:rsidP="00F336A2">
    <w:pPr>
      <w:pStyle w:val="SidhuvudKantUdda"/>
      <w:framePr w:w="8731" w:h="567" w:hRule="exact" w:vSpace="0" w:wrap="around" w:vAnchor="page" w:y="341" w:anchorLock="0"/>
    </w:pPr>
    <w:r w:rsidRPr="00077F9A">
      <w:fldChar w:fldCharType="end"/>
    </w:r>
  </w:p>
  <w:p w:rsidR="00312E0B" w:rsidRPr="00077F9A" w:rsidRDefault="00312E0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huvudKantJmn"/>
      <w:framePr w:w="8732" w:h="567" w:hRule="exact" w:vSpace="0" w:wrap="around" w:vAnchor="page" w:y="341" w:anchorLock="0"/>
    </w:pP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00A56E21" w:rsidRPr="00077F9A">
      <w:rPr>
        <w:rStyle w:val="SidhuvudUtskott"/>
      </w:rPr>
      <w:t>2008/09</w:t>
    </w:r>
    <w:r w:rsidRPr="00077F9A">
      <w:rPr>
        <w:rStyle w:val="SidhuvudUtskott"/>
      </w:rPr>
      <w:fldChar w:fldCharType="end"/>
    </w:r>
    <w:r w:rsidRPr="00077F9A">
      <w:rPr>
        <w:rStyle w:val="SidhuvudUtskott"/>
      </w:rPr>
      <w:t>:</w:t>
    </w:r>
    <w:r w:rsidRPr="00077F9A">
      <w:rPr>
        <w:rStyle w:val="SidhuvudUtskott"/>
      </w:rPr>
      <w:fldChar w:fldCharType="begin" w:fldLock="1"/>
    </w:r>
    <w:r w:rsidRPr="00077F9A">
      <w:rPr>
        <w:rStyle w:val="SidhuvudUtskott"/>
      </w:rPr>
      <w:instrText xml:space="preserve"> DOCPROPERTY Utskott</w:instrText>
    </w:r>
    <w:r w:rsidRPr="00077F9A">
      <w:rPr>
        <w:rStyle w:val="SidhuvudUtskott"/>
      </w:rPr>
      <w:fldChar w:fldCharType="separate"/>
    </w:r>
    <w:r w:rsidR="00A56E21" w:rsidRPr="00077F9A">
      <w:rPr>
        <w:rStyle w:val="SidhuvudUtskott"/>
      </w:rPr>
      <w:t>RS</w: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BetänkandeNr</w:instrText>
    </w:r>
    <w:r w:rsidRPr="00077F9A">
      <w:rPr>
        <w:rStyle w:val="SidhuvudUtskott"/>
      </w:rPr>
      <w:fldChar w:fldCharType="separate"/>
    </w:r>
    <w:r w:rsidR="00A56E21" w:rsidRPr="00077F9A">
      <w:rPr>
        <w:rStyle w:val="SidhuvudUtskott"/>
      </w:rPr>
      <w:t>4</w:t>
    </w:r>
    <w:r w:rsidRPr="00077F9A">
      <w:rPr>
        <w:rStyle w:val="SidhuvudUtskott"/>
      </w:rPr>
      <w:fldChar w:fldCharType="end"/>
    </w:r>
    <w:r w:rsidRPr="00077F9A">
      <w:t xml:space="preserve">     </w:t>
    </w:r>
    <w:r w:rsidRPr="00077F9A">
      <w:rPr>
        <w:rStyle w:val="SidhuvudBilaga"/>
      </w:rPr>
      <w:t xml:space="preserve"> </w:t>
    </w:r>
    <w:r w:rsidRPr="00077F9A">
      <w:rPr>
        <w:rStyle w:val="SidhuvudRubrikReferens"/>
      </w:rPr>
      <w:fldChar w:fldCharType="begin" w:fldLock="1"/>
    </w:r>
    <w:r w:rsidRPr="00077F9A">
      <w:rPr>
        <w:rStyle w:val="SidhuvudRubrikReferens"/>
      </w:rPr>
      <w:instrText xml:space="preserve"> StyleREF "Rubrik 1" </w:instrText>
    </w:r>
    <w:r w:rsidRPr="00077F9A">
      <w:rPr>
        <w:rStyle w:val="SidhuvudRubrikReferens"/>
      </w:rPr>
      <w:fldChar w:fldCharType="end"/>
    </w:r>
  </w:p>
  <w:p w:rsidR="00312E0B" w:rsidRPr="00077F9A" w:rsidRDefault="00312E0B">
    <w:pPr>
      <w:pStyle w:val="SidhuvudKantJmn"/>
      <w:framePr w:w="8732" w:h="567" w:hRule="exact" w:vSpace="0" w:wrap="around" w:vAnchor="page" w:y="341" w:anchorLock="0"/>
    </w:pPr>
    <w:r w:rsidRPr="00077F9A">
      <w:rPr>
        <w:rStyle w:val="SidhuvudUtskott"/>
      </w:rPr>
      <w:fldChar w:fldCharType="begin" w:fldLock="1"/>
    </w:r>
    <w:r w:rsidRPr="00077F9A">
      <w:rPr>
        <w:rStyle w:val="SidhuvudUtskott"/>
      </w:rPr>
      <w:instrText xml:space="preserve"> DOCPROPERTY Status</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00A56E21" w:rsidRPr="00077F9A">
      <w:rPr>
        <w:rStyle w:val="SidhuvudUtskott"/>
      </w:rPr>
      <w:instrText>Nej</w:instrText>
    </w:r>
    <w:r w:rsidRPr="00077F9A">
      <w:rPr>
        <w:rStyle w:val="SidhuvudUtskott"/>
      </w:rPr>
      <w:fldChar w:fldCharType="end"/>
    </w:r>
    <w:r w:rsidRPr="00077F9A">
      <w:rPr>
        <w:rStyle w:val="SidhuvudUtskott"/>
      </w:rPr>
      <w:instrText xml:space="preserve"> = "Ja" "    </w:instrText>
    </w:r>
    <w:r w:rsidRPr="00077F9A">
      <w:rPr>
        <w:rStyle w:val="SidhuvudUtskott"/>
      </w:rPr>
      <w:fldChar w:fldCharType="begin" w:fldLock="1"/>
    </w:r>
    <w:r w:rsidRPr="00077F9A">
      <w:rPr>
        <w:rStyle w:val="SidhuvudUtskott"/>
      </w:rPr>
      <w:instrText xml:space="preserve"> PRINTDATE \@ "yyyy-MM-dd HH.mm"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p>
  <w:p w:rsidR="00312E0B" w:rsidRPr="00077F9A" w:rsidRDefault="00312E0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huvudKantUdda"/>
      <w:framePr w:w="8732" w:h="567" w:hRule="exact" w:vSpace="0" w:wrap="around" w:vAnchor="page" w:y="341" w:anchorLock="0"/>
    </w:pPr>
    <w:r w:rsidRPr="00077F9A">
      <w:rPr>
        <w:rStyle w:val="SidhuvudRubrikReferens"/>
      </w:rPr>
      <w:fldChar w:fldCharType="begin" w:fldLock="1"/>
    </w:r>
    <w:r w:rsidRPr="00077F9A">
      <w:rPr>
        <w:rStyle w:val="SidhuvudRubrikReferens"/>
      </w:rPr>
      <w:instrText xml:space="preserve"> StyleREF "Rubrik 1" </w:instrText>
    </w:r>
    <w:r w:rsidRPr="00077F9A">
      <w:rPr>
        <w:rStyle w:val="SidhuvudRubrikReferens"/>
      </w:rPr>
      <w:fldChar w:fldCharType="end"/>
    </w:r>
    <w:r w:rsidRPr="00077F9A">
      <w:rPr>
        <w:rStyle w:val="SidhuvudBilaga"/>
      </w:rPr>
      <w:t xml:space="preserve"> </w:t>
    </w:r>
    <w:r w:rsidRPr="00077F9A">
      <w:t xml:space="preserve">     </w:t>
    </w:r>
    <w:r w:rsidRPr="00077F9A">
      <w:rPr>
        <w:rStyle w:val="SidhuvudUtskott"/>
      </w:rPr>
      <w:fldChar w:fldCharType="begin" w:fldLock="1"/>
    </w:r>
    <w:r w:rsidRPr="00077F9A">
      <w:rPr>
        <w:rStyle w:val="SidhuvudUtskott"/>
      </w:rPr>
      <w:instrText xml:space="preserve"> DOCPROPERTY BetänkandeÅr</w:instrText>
    </w:r>
    <w:r w:rsidRPr="00077F9A">
      <w:rPr>
        <w:rStyle w:val="SidhuvudUtskott"/>
      </w:rPr>
      <w:fldChar w:fldCharType="separate"/>
    </w:r>
    <w:r w:rsidR="00A56E21" w:rsidRPr="00077F9A">
      <w:rPr>
        <w:rStyle w:val="SidhuvudUtskott"/>
      </w:rPr>
      <w:t>2008/09</w:t>
    </w:r>
    <w:r w:rsidRPr="00077F9A">
      <w:rPr>
        <w:rStyle w:val="SidhuvudUtskott"/>
      </w:rPr>
      <w:fldChar w:fldCharType="end"/>
    </w:r>
    <w:r w:rsidRPr="00077F9A">
      <w:rPr>
        <w:rStyle w:val="SidhuvudUtskott"/>
      </w:rPr>
      <w:t>:</w:t>
    </w:r>
    <w:r w:rsidRPr="00077F9A">
      <w:rPr>
        <w:rStyle w:val="SidhuvudUtskott"/>
      </w:rPr>
      <w:fldChar w:fldCharType="begin" w:fldLock="1"/>
    </w:r>
    <w:r w:rsidRPr="00077F9A">
      <w:rPr>
        <w:rStyle w:val="SidhuvudUtskott"/>
      </w:rPr>
      <w:instrText xml:space="preserve"> DOCPROPERTY</w:instrText>
    </w:r>
    <w:r w:rsidRPr="00077F9A">
      <w:instrText xml:space="preserve"> </w:instrText>
    </w:r>
    <w:r w:rsidRPr="00077F9A">
      <w:rPr>
        <w:rStyle w:val="SidhuvudUtskott"/>
      </w:rPr>
      <w:instrText>Utskott</w:instrText>
    </w:r>
    <w:r w:rsidRPr="00077F9A">
      <w:rPr>
        <w:rStyle w:val="SidhuvudUtskott"/>
      </w:rPr>
      <w:fldChar w:fldCharType="separate"/>
    </w:r>
    <w:r w:rsidR="00A56E21" w:rsidRPr="00077F9A">
      <w:rPr>
        <w:rStyle w:val="SidhuvudUtskott"/>
      </w:rPr>
      <w:t>RS</w: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DOCPROPERTY Betä</w:instrText>
    </w:r>
    <w:r w:rsidRPr="00077F9A">
      <w:rPr>
        <w:rStyle w:val="SidhuvudUtskott"/>
      </w:rPr>
      <w:instrText>n</w:instrText>
    </w:r>
    <w:r w:rsidRPr="00077F9A">
      <w:rPr>
        <w:rStyle w:val="SidhuvudUtskott"/>
      </w:rPr>
      <w:instrText>kandeNr</w:instrText>
    </w:r>
    <w:r w:rsidRPr="00077F9A">
      <w:rPr>
        <w:rStyle w:val="SidhuvudUtskott"/>
      </w:rPr>
      <w:fldChar w:fldCharType="separate"/>
    </w:r>
    <w:r w:rsidR="00A56E21" w:rsidRPr="00077F9A">
      <w:rPr>
        <w:rStyle w:val="SidhuvudUtskott"/>
      </w:rPr>
      <w:t>4</w:t>
    </w:r>
    <w:r w:rsidRPr="00077F9A">
      <w:rPr>
        <w:rStyle w:val="SidhuvudUtskott"/>
      </w:rPr>
      <w:fldChar w:fldCharType="end"/>
    </w:r>
  </w:p>
  <w:p w:rsidR="00312E0B" w:rsidRPr="00077F9A" w:rsidRDefault="00312E0B">
    <w:pPr>
      <w:pStyle w:val="SidhuvudKantUdda"/>
      <w:framePr w:w="8732" w:h="567" w:hRule="exact" w:vSpace="0" w:wrap="around" w:vAnchor="page" w:y="341" w:anchorLock="0"/>
    </w:pPr>
    <w:r w:rsidRPr="00077F9A">
      <w:rPr>
        <w:rStyle w:val="SidhuvudUtskott"/>
      </w:rPr>
      <w:fldChar w:fldCharType="begin" w:fldLock="1"/>
    </w:r>
    <w:r w:rsidRPr="00077F9A">
      <w:rPr>
        <w:rStyle w:val="SidhuvudUtskott"/>
      </w:rPr>
      <w:instrText xml:space="preserve"> if </w:instrText>
    </w:r>
    <w:r w:rsidRPr="00077F9A">
      <w:rPr>
        <w:rStyle w:val="SidhuvudUtskott"/>
      </w:rPr>
      <w:fldChar w:fldCharType="begin" w:fldLock="1"/>
    </w:r>
    <w:r w:rsidRPr="00077F9A">
      <w:rPr>
        <w:rStyle w:val="SidhuvudUtskott"/>
      </w:rPr>
      <w:instrText xml:space="preserve"> DOCPROPERTY "UtkastDatum"</w:instrText>
    </w:r>
    <w:r w:rsidRPr="00077F9A">
      <w:rPr>
        <w:rStyle w:val="SidhuvudUtskott"/>
      </w:rPr>
      <w:fldChar w:fldCharType="separate"/>
    </w:r>
    <w:r w:rsidR="00A56E21" w:rsidRPr="00077F9A">
      <w:rPr>
        <w:rStyle w:val="SidhuvudUtskott"/>
      </w:rPr>
      <w:instrText>Nej</w:instrText>
    </w:r>
    <w:r w:rsidRPr="00077F9A">
      <w:rPr>
        <w:rStyle w:val="SidhuvudUtskott"/>
      </w:rPr>
      <w:fldChar w:fldCharType="end"/>
    </w:r>
    <w:r w:rsidRPr="00077F9A">
      <w:rPr>
        <w:rStyle w:val="SidhuvudUtskott"/>
      </w:rPr>
      <w:instrText xml:space="preserve"> = "Ja" "</w:instrText>
    </w:r>
    <w:r w:rsidRPr="00077F9A">
      <w:rPr>
        <w:rStyle w:val="SidhuvudUtskott"/>
      </w:rPr>
      <w:fldChar w:fldCharType="begin" w:fldLock="1"/>
    </w:r>
    <w:r w:rsidRPr="00077F9A">
      <w:rPr>
        <w:rStyle w:val="SidhuvudUtskott"/>
      </w:rPr>
      <w:instrText xml:space="preserve"> PRINTDATE \@ "yyyy-MM-dd HH.mm    " </w:instrText>
    </w:r>
    <w:r w:rsidRPr="00077F9A">
      <w:rPr>
        <w:rStyle w:val="SidhuvudUtskott"/>
      </w:rPr>
      <w:fldChar w:fldCharType="separate"/>
    </w:r>
    <w:r w:rsidRPr="00077F9A">
      <w:rPr>
        <w:rStyle w:val="SidhuvudUtskott"/>
      </w:rPr>
      <w:instrText>2000-08-11 16.42</w:instrText>
    </w:r>
    <w:r w:rsidRPr="00077F9A">
      <w:rPr>
        <w:rStyle w:val="SidhuvudUtskott"/>
      </w:rPr>
      <w:fldChar w:fldCharType="end"/>
    </w:r>
    <w:r w:rsidRPr="00077F9A">
      <w:rPr>
        <w:rStyle w:val="SidhuvudUtskott"/>
      </w:rPr>
      <w:instrText xml:space="preserve">" </w:instrText>
    </w:r>
    <w:r w:rsidRPr="00077F9A">
      <w:rPr>
        <w:rStyle w:val="SidhuvudUtskott"/>
      </w:rPr>
      <w:fldChar w:fldCharType="end"/>
    </w:r>
    <w:r w:rsidRPr="00077F9A">
      <w:rPr>
        <w:rStyle w:val="SidhuvudUtskott"/>
      </w:rPr>
      <w:fldChar w:fldCharType="begin" w:fldLock="1"/>
    </w:r>
    <w:r w:rsidRPr="00077F9A">
      <w:rPr>
        <w:rStyle w:val="SidhuvudUtskott"/>
      </w:rPr>
      <w:instrText xml:space="preserve"> DOCPR</w:instrText>
    </w:r>
    <w:r w:rsidRPr="00077F9A">
      <w:rPr>
        <w:rStyle w:val="SidhuvudUtskott"/>
      </w:rPr>
      <w:instrText>O</w:instrText>
    </w:r>
    <w:r w:rsidRPr="00077F9A">
      <w:rPr>
        <w:rStyle w:val="SidhuvudUtskott"/>
      </w:rPr>
      <w:instrText>PERTY Status</w:instrText>
    </w:r>
    <w:r w:rsidRPr="00077F9A">
      <w:rPr>
        <w:rStyle w:val="SidhuvudUtskott"/>
      </w:rPr>
      <w:fldChar w:fldCharType="end"/>
    </w:r>
  </w:p>
  <w:p w:rsidR="00312E0B" w:rsidRPr="00077F9A" w:rsidRDefault="00312E0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E0B" w:rsidRPr="00077F9A" w:rsidRDefault="00312E0B">
    <w:pPr>
      <w:pStyle w:val="SidhuvudKantUdda"/>
      <w:framePr w:w="8732" w:h="567" w:hRule="exact" w:vSpace="0" w:wrap="around" w:vAnchor="page" w:y="341" w:anchorLock="0"/>
    </w:pPr>
  </w:p>
  <w:p w:rsidR="00312E0B" w:rsidRPr="00077F9A" w:rsidRDefault="00312E0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pStyle w:val="PunktlNummerPackad"/>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6074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34770644"/>
    <w:multiLevelType w:val="hybridMultilevel"/>
    <w:tmpl w:val="C64498BA"/>
    <w:lvl w:ilvl="0" w:tplc="FEA49734">
      <w:start w:val="1"/>
      <w:numFmt w:val="decimal"/>
      <w:pStyle w:val="PunktlNummer"/>
      <w:lvlText w:val="%1."/>
      <w:lvlJc w:val="left"/>
      <w:pPr>
        <w:tabs>
          <w:tab w:val="num" w:pos="360"/>
        </w:tabs>
        <w:ind w:left="360" w:hanging="360"/>
      </w:pPr>
      <w:rPr>
        <w:rFonts w:hint="default"/>
        <w:sz w:val="19"/>
      </w:rPr>
    </w:lvl>
    <w:lvl w:ilvl="1" w:tplc="041D0019" w:tentative="1">
      <w:start w:val="1"/>
      <w:numFmt w:val="lowerLetter"/>
      <w:lvlText w:val="%2."/>
      <w:lvlJc w:val="left"/>
      <w:pPr>
        <w:tabs>
          <w:tab w:val="num" w:pos="740"/>
        </w:tabs>
        <w:ind w:left="740" w:hanging="360"/>
      </w:pPr>
    </w:lvl>
    <w:lvl w:ilvl="2" w:tplc="041D001B" w:tentative="1">
      <w:start w:val="1"/>
      <w:numFmt w:val="lowerRoman"/>
      <w:lvlText w:val="%3."/>
      <w:lvlJc w:val="right"/>
      <w:pPr>
        <w:tabs>
          <w:tab w:val="num" w:pos="1460"/>
        </w:tabs>
        <w:ind w:left="1460" w:hanging="180"/>
      </w:pPr>
    </w:lvl>
    <w:lvl w:ilvl="3" w:tplc="041D000F" w:tentative="1">
      <w:start w:val="1"/>
      <w:numFmt w:val="decimal"/>
      <w:lvlText w:val="%4."/>
      <w:lvlJc w:val="left"/>
      <w:pPr>
        <w:tabs>
          <w:tab w:val="num" w:pos="2180"/>
        </w:tabs>
        <w:ind w:left="2180" w:hanging="360"/>
      </w:pPr>
    </w:lvl>
    <w:lvl w:ilvl="4" w:tplc="041D0019" w:tentative="1">
      <w:start w:val="1"/>
      <w:numFmt w:val="lowerLetter"/>
      <w:lvlText w:val="%5."/>
      <w:lvlJc w:val="left"/>
      <w:pPr>
        <w:tabs>
          <w:tab w:val="num" w:pos="2900"/>
        </w:tabs>
        <w:ind w:left="2900" w:hanging="360"/>
      </w:pPr>
    </w:lvl>
    <w:lvl w:ilvl="5" w:tplc="041D001B" w:tentative="1">
      <w:start w:val="1"/>
      <w:numFmt w:val="lowerRoman"/>
      <w:lvlText w:val="%6."/>
      <w:lvlJc w:val="right"/>
      <w:pPr>
        <w:tabs>
          <w:tab w:val="num" w:pos="3620"/>
        </w:tabs>
        <w:ind w:left="3620" w:hanging="180"/>
      </w:pPr>
    </w:lvl>
    <w:lvl w:ilvl="6" w:tplc="041D000F" w:tentative="1">
      <w:start w:val="1"/>
      <w:numFmt w:val="decimal"/>
      <w:lvlText w:val="%7."/>
      <w:lvlJc w:val="left"/>
      <w:pPr>
        <w:tabs>
          <w:tab w:val="num" w:pos="4340"/>
        </w:tabs>
        <w:ind w:left="4340" w:hanging="360"/>
      </w:pPr>
    </w:lvl>
    <w:lvl w:ilvl="7" w:tplc="041D0019" w:tentative="1">
      <w:start w:val="1"/>
      <w:numFmt w:val="lowerLetter"/>
      <w:lvlText w:val="%8."/>
      <w:lvlJc w:val="left"/>
      <w:pPr>
        <w:tabs>
          <w:tab w:val="num" w:pos="5060"/>
        </w:tabs>
        <w:ind w:left="5060" w:hanging="360"/>
      </w:pPr>
    </w:lvl>
    <w:lvl w:ilvl="8" w:tplc="041D001B" w:tentative="1">
      <w:start w:val="1"/>
      <w:numFmt w:val="lowerRoman"/>
      <w:lvlText w:val="%9."/>
      <w:lvlJc w:val="right"/>
      <w:pPr>
        <w:tabs>
          <w:tab w:val="num" w:pos="5780"/>
        </w:tabs>
        <w:ind w:left="5780" w:hanging="180"/>
      </w:pPr>
    </w:lvl>
  </w:abstractNum>
  <w:abstractNum w:abstractNumId="12" w15:restartNumberingAfterBreak="0">
    <w:nsid w:val="4E5A0E79"/>
    <w:multiLevelType w:val="hybridMultilevel"/>
    <w:tmpl w:val="710425D4"/>
    <w:lvl w:ilvl="0" w:tplc="B7DADCB8">
      <w:start w:val="2008"/>
      <w:numFmt w:val="bullet"/>
      <w:lvlText w:val=""/>
      <w:lvlJc w:val="left"/>
      <w:pPr>
        <w:tabs>
          <w:tab w:val="num" w:pos="227"/>
        </w:tabs>
        <w:ind w:left="170" w:hanging="170"/>
      </w:pPr>
      <w:rPr>
        <w:rFonts w:ascii="Symbol" w:eastAsia="Tunga" w:hAnsi="Symbol" w:cs="Tunga" w:hint="default"/>
      </w:rPr>
    </w:lvl>
    <w:lvl w:ilvl="1" w:tplc="ABDC8CB6">
      <w:start w:val="1"/>
      <w:numFmt w:val="bullet"/>
      <w:pStyle w:val="PunktlistaStreck"/>
      <w:lvlText w:val=""/>
      <w:lvlJc w:val="left"/>
      <w:pPr>
        <w:tabs>
          <w:tab w:val="num" w:pos="1477"/>
        </w:tabs>
        <w:ind w:left="1191" w:hanging="454"/>
      </w:pPr>
      <w:rPr>
        <w:rFonts w:ascii="Symbol" w:hAnsi="Symbol" w:hint="default"/>
        <w:sz w:val="18"/>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AE02FB"/>
    <w:multiLevelType w:val="hybridMultilevel"/>
    <w:tmpl w:val="E70C7A5C"/>
    <w:lvl w:ilvl="0" w:tplc="D966CCCC">
      <w:start w:val="1"/>
      <w:numFmt w:val="bullet"/>
      <w:pStyle w:val="PunktlistaBomb"/>
      <w:lvlText w:val=""/>
      <w:lvlJc w:val="left"/>
      <w:pPr>
        <w:tabs>
          <w:tab w:val="num" w:pos="227"/>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59403776">
    <w:abstractNumId w:val="10"/>
  </w:num>
  <w:num w:numId="2" w16cid:durableId="1378123275">
    <w:abstractNumId w:val="8"/>
  </w:num>
  <w:num w:numId="3" w16cid:durableId="1247376450">
    <w:abstractNumId w:val="3"/>
  </w:num>
  <w:num w:numId="4" w16cid:durableId="1447039028">
    <w:abstractNumId w:val="2"/>
  </w:num>
  <w:num w:numId="5" w16cid:durableId="1115097784">
    <w:abstractNumId w:val="1"/>
  </w:num>
  <w:num w:numId="6" w16cid:durableId="1493180789">
    <w:abstractNumId w:val="0"/>
  </w:num>
  <w:num w:numId="7" w16cid:durableId="848565720">
    <w:abstractNumId w:val="9"/>
  </w:num>
  <w:num w:numId="8" w16cid:durableId="714893672">
    <w:abstractNumId w:val="7"/>
  </w:num>
  <w:num w:numId="9" w16cid:durableId="31156560">
    <w:abstractNumId w:val="6"/>
  </w:num>
  <w:num w:numId="10" w16cid:durableId="1568540700">
    <w:abstractNumId w:val="5"/>
  </w:num>
  <w:num w:numId="11" w16cid:durableId="1099059413">
    <w:abstractNumId w:val="4"/>
  </w:num>
  <w:num w:numId="12" w16cid:durableId="1198590691">
    <w:abstractNumId w:val="12"/>
  </w:num>
  <w:num w:numId="13" w16cid:durableId="1182664938">
    <w:abstractNumId w:val="13"/>
  </w:num>
  <w:num w:numId="14" w16cid:durableId="395127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0809"/>
  </w:docVars>
  <w:rsids>
    <w:rsidRoot w:val="00BD61DD"/>
    <w:rsid w:val="00005567"/>
    <w:rsid w:val="00067D3D"/>
    <w:rsid w:val="00077A44"/>
    <w:rsid w:val="00077F9A"/>
    <w:rsid w:val="000933CA"/>
    <w:rsid w:val="00121018"/>
    <w:rsid w:val="00122558"/>
    <w:rsid w:val="00161AD9"/>
    <w:rsid w:val="0019399E"/>
    <w:rsid w:val="001E1A70"/>
    <w:rsid w:val="001F596B"/>
    <w:rsid w:val="00220640"/>
    <w:rsid w:val="00224461"/>
    <w:rsid w:val="002249DA"/>
    <w:rsid w:val="0023616C"/>
    <w:rsid w:val="00262D01"/>
    <w:rsid w:val="002B0969"/>
    <w:rsid w:val="002F19B5"/>
    <w:rsid w:val="002F5594"/>
    <w:rsid w:val="002F6286"/>
    <w:rsid w:val="00312E0B"/>
    <w:rsid w:val="00322737"/>
    <w:rsid w:val="003B709E"/>
    <w:rsid w:val="00406332"/>
    <w:rsid w:val="0044601F"/>
    <w:rsid w:val="00484F62"/>
    <w:rsid w:val="004C36CA"/>
    <w:rsid w:val="00560A90"/>
    <w:rsid w:val="005C201D"/>
    <w:rsid w:val="005C3132"/>
    <w:rsid w:val="00606FAD"/>
    <w:rsid w:val="00641BC1"/>
    <w:rsid w:val="006734A5"/>
    <w:rsid w:val="006B44DC"/>
    <w:rsid w:val="006C0F1F"/>
    <w:rsid w:val="006E0142"/>
    <w:rsid w:val="00784DB5"/>
    <w:rsid w:val="00786AE7"/>
    <w:rsid w:val="0079519E"/>
    <w:rsid w:val="007E20F0"/>
    <w:rsid w:val="0089155B"/>
    <w:rsid w:val="008A6C84"/>
    <w:rsid w:val="00A23DD7"/>
    <w:rsid w:val="00A30754"/>
    <w:rsid w:val="00A56E21"/>
    <w:rsid w:val="00AD3298"/>
    <w:rsid w:val="00AE60FA"/>
    <w:rsid w:val="00AF0A69"/>
    <w:rsid w:val="00B23636"/>
    <w:rsid w:val="00B84341"/>
    <w:rsid w:val="00BA66C6"/>
    <w:rsid w:val="00BB65DE"/>
    <w:rsid w:val="00BD61DD"/>
    <w:rsid w:val="00BE3FBD"/>
    <w:rsid w:val="00C23C55"/>
    <w:rsid w:val="00C932A1"/>
    <w:rsid w:val="00CB4343"/>
    <w:rsid w:val="00CF1B5E"/>
    <w:rsid w:val="00D126B6"/>
    <w:rsid w:val="00D5545C"/>
    <w:rsid w:val="00D622BE"/>
    <w:rsid w:val="00D80CFC"/>
    <w:rsid w:val="00DA1127"/>
    <w:rsid w:val="00DA2ACC"/>
    <w:rsid w:val="00DA2D00"/>
    <w:rsid w:val="00DA7F45"/>
    <w:rsid w:val="00DC3272"/>
    <w:rsid w:val="00DF353C"/>
    <w:rsid w:val="00E57510"/>
    <w:rsid w:val="00EA620A"/>
    <w:rsid w:val="00F336A2"/>
    <w:rsid w:val="00F53A97"/>
    <w:rsid w:val="00FB1F41"/>
    <w:rsid w:val="00FC0DB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A6EB444-A984-4EAC-B9D0-C1C3A309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character" w:customStyle="1" w:styleId="NormaltindragChar">
    <w:name w:val="Normalt indrag Char"/>
    <w:basedOn w:val="Standardstycketeckensnitt"/>
    <w:link w:val="Normaltindrag"/>
    <w:rsid w:val="00D126B6"/>
    <w:rPr>
      <w:sz w:val="19"/>
      <w:lang w:val="sv-SE" w:eastAsia="sv-SE" w:bidi="ar-SA"/>
    </w:rPr>
  </w:style>
  <w:style w:type="character" w:customStyle="1" w:styleId="Rubrik2Char">
    <w:name w:val="Rubrik 2 Char"/>
    <w:basedOn w:val="Standardstycketeckensnitt"/>
    <w:link w:val="Rubrik2"/>
    <w:rsid w:val="00CF1B5E"/>
    <w:rPr>
      <w:sz w:val="27"/>
      <w:lang w:val="sv-SE" w:eastAsia="sv-SE" w:bidi="ar-SA"/>
    </w:r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Fotnotstextindrag">
    <w:name w:val="Fotnotstext indrag"/>
    <w:basedOn w:val="Fotnotstext"/>
    <w:pPr>
      <w:ind w:left="113"/>
    </w:pPr>
  </w:style>
  <w:style w:type="character" w:customStyle="1" w:styleId="FotnotstextChar">
    <w:name w:val="Fotnotstext Char"/>
    <w:basedOn w:val="Standardstycketeckensnitt"/>
    <w:link w:val="Fotnotstext"/>
    <w:rsid w:val="0079519E"/>
    <w:rPr>
      <w:sz w:val="17"/>
      <w:lang w:val="sv-SE" w:eastAsia="sv-SE" w:bidi="ar-SA"/>
    </w:r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link w:val="LagtextChar"/>
    <w:pPr>
      <w:spacing w:before="0" w:line="220" w:lineRule="exact"/>
    </w:pPr>
  </w:style>
  <w:style w:type="character" w:customStyle="1" w:styleId="LagtextChar">
    <w:name w:val="Lagtext Char"/>
    <w:basedOn w:val="Standardstycketeckensnitt"/>
    <w:link w:val="Lagtext"/>
    <w:rsid w:val="0079519E"/>
    <w:rPr>
      <w:sz w:val="19"/>
      <w:lang w:val="sv-SE" w:eastAsia="sv-SE" w:bidi="ar-SA"/>
    </w:rPr>
  </w:style>
  <w:style w:type="paragraph" w:customStyle="1" w:styleId="LagtextIndrag">
    <w:name w:val="LagtextIndrag"/>
    <w:basedOn w:val="Lagtext"/>
    <w:link w:val="LagtextIndragChar"/>
    <w:pPr>
      <w:ind w:firstLine="170"/>
    </w:pPr>
  </w:style>
  <w:style w:type="character" w:customStyle="1" w:styleId="LagtextIndragChar">
    <w:name w:val="LagtextIndrag Char"/>
    <w:basedOn w:val="LagtextChar"/>
    <w:link w:val="LagtextIndrag"/>
    <w:rsid w:val="0079519E"/>
    <w:rPr>
      <w:sz w:val="19"/>
      <w:lang w:val="sv-SE" w:eastAsia="sv-SE" w:bidi="ar-SA"/>
    </w:r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table" w:styleId="Tabellrutnt">
    <w:name w:val="Table Grid"/>
    <w:basedOn w:val="Normaltabell"/>
    <w:rsid w:val="00795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listaBomb">
    <w:name w:val="PunktlistaBomb"/>
    <w:basedOn w:val="Normal"/>
    <w:rsid w:val="00CF1B5E"/>
    <w:pPr>
      <w:numPr>
        <w:numId w:val="13"/>
      </w:numPr>
    </w:pPr>
  </w:style>
  <w:style w:type="paragraph" w:styleId="Normalwebb">
    <w:name w:val="Normal (Web)"/>
    <w:basedOn w:val="Normal"/>
    <w:rsid w:val="00CF1B5E"/>
    <w:pPr>
      <w:spacing w:before="0" w:line="240" w:lineRule="auto"/>
      <w:jc w:val="left"/>
    </w:pPr>
    <w:rPr>
      <w:rFonts w:ascii="Verdana" w:hAnsi="Verdana"/>
      <w:sz w:val="24"/>
      <w:szCs w:val="24"/>
    </w:rPr>
  </w:style>
  <w:style w:type="character" w:styleId="Hyperlnk">
    <w:name w:val="Hyperlink"/>
    <w:basedOn w:val="Standardstycketeckensnitt"/>
    <w:rsid w:val="00CF1B5E"/>
    <w:rPr>
      <w:color w:val="0000FF"/>
      <w:u w:val="single"/>
    </w:rPr>
  </w:style>
  <w:style w:type="character" w:styleId="Betoning">
    <w:name w:val="Emphasis"/>
    <w:basedOn w:val="Standardstycketeckensnitt"/>
    <w:qFormat/>
    <w:rsid w:val="00CF1B5E"/>
    <w:rPr>
      <w:i/>
      <w:iCs/>
    </w:rPr>
  </w:style>
  <w:style w:type="paragraph" w:styleId="HTML-frformaterad">
    <w:name w:val="HTML Preformatted"/>
    <w:basedOn w:val="Normal"/>
    <w:rsid w:val="00CF1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rPr>
  </w:style>
  <w:style w:type="paragraph" w:customStyle="1" w:styleId="logo">
    <w:name w:val="logo"/>
    <w:basedOn w:val="Normal"/>
    <w:rsid w:val="00CF1B5E"/>
    <w:pPr>
      <w:framePr w:wrap="around" w:vAnchor="page" w:hAnchor="page" w:x="7939" w:y="511" w:anchorLock="1"/>
      <w:spacing w:before="0" w:line="240" w:lineRule="auto"/>
      <w:jc w:val="left"/>
    </w:pPr>
    <w:rPr>
      <w:rFonts w:ascii="Bembo" w:hAnsi="Bembo"/>
      <w:sz w:val="20"/>
    </w:rPr>
  </w:style>
  <w:style w:type="paragraph" w:customStyle="1" w:styleId="logo2">
    <w:name w:val="logo2"/>
    <w:basedOn w:val="logo"/>
    <w:rsid w:val="00CF1B5E"/>
    <w:pPr>
      <w:framePr w:wrap="around" w:x="9016"/>
    </w:pPr>
  </w:style>
  <w:style w:type="paragraph" w:customStyle="1" w:styleId="Bembo1014Versaler">
    <w:name w:val="Bembo10/14Versaler"/>
    <w:basedOn w:val="Normal"/>
    <w:rsid w:val="00CF1B5E"/>
    <w:pPr>
      <w:spacing w:before="0" w:line="280" w:lineRule="atLeast"/>
      <w:jc w:val="left"/>
    </w:pPr>
    <w:rPr>
      <w:rFonts w:ascii="Bembo" w:hAnsi="Bembo"/>
      <w:caps/>
      <w:spacing w:val="40"/>
      <w:sz w:val="20"/>
    </w:rPr>
  </w:style>
  <w:style w:type="paragraph" w:customStyle="1" w:styleId="NormalCourier">
    <w:name w:val="NormalCourier"/>
    <w:basedOn w:val="Normal"/>
    <w:rsid w:val="00CF1B5E"/>
    <w:pPr>
      <w:spacing w:before="0" w:line="280" w:lineRule="atLeast"/>
      <w:jc w:val="left"/>
    </w:pPr>
    <w:rPr>
      <w:rFonts w:ascii="Courier" w:hAnsi="Courier"/>
      <w:sz w:val="24"/>
    </w:rPr>
  </w:style>
  <w:style w:type="paragraph" w:customStyle="1" w:styleId="KantHuvud">
    <w:name w:val="KantHuvud"/>
    <w:basedOn w:val="Normal"/>
    <w:rsid w:val="00CF1B5E"/>
    <w:pPr>
      <w:framePr w:w="2552" w:hSpace="284" w:wrap="around" w:vAnchor="page" w:hAnchor="page" w:x="8279" w:y="2326" w:anchorLock="1"/>
      <w:spacing w:before="0" w:line="280" w:lineRule="atLeast"/>
      <w:jc w:val="left"/>
    </w:pPr>
    <w:rPr>
      <w:rFonts w:ascii="Bembo" w:hAnsi="Bembo"/>
      <w:sz w:val="24"/>
    </w:rPr>
  </w:style>
  <w:style w:type="paragraph" w:customStyle="1" w:styleId="Bembo10">
    <w:name w:val="Bembo10"/>
    <w:basedOn w:val="Normal"/>
    <w:rsid w:val="00CF1B5E"/>
    <w:pPr>
      <w:spacing w:before="40" w:line="240" w:lineRule="auto"/>
      <w:jc w:val="left"/>
    </w:pPr>
    <w:rPr>
      <w:rFonts w:ascii="Bembo" w:hAnsi="Bembo"/>
      <w:sz w:val="20"/>
    </w:rPr>
  </w:style>
  <w:style w:type="paragraph" w:customStyle="1" w:styleId="Bembo10Kursiv">
    <w:name w:val="Bembo10/Kursiv"/>
    <w:basedOn w:val="Normal"/>
    <w:rsid w:val="00CF1B5E"/>
    <w:pPr>
      <w:spacing w:before="0" w:line="240" w:lineRule="auto"/>
      <w:jc w:val="left"/>
    </w:pPr>
    <w:rPr>
      <w:rFonts w:ascii="Bembo" w:hAnsi="Bembo"/>
      <w:i/>
      <w:sz w:val="20"/>
    </w:rPr>
  </w:style>
  <w:style w:type="paragraph" w:customStyle="1" w:styleId="BemboFrvaltningskontor">
    <w:name w:val="BemboFörvaltningskontor"/>
    <w:basedOn w:val="Normal"/>
    <w:rsid w:val="00CF1B5E"/>
    <w:pPr>
      <w:pBdr>
        <w:bottom w:val="single" w:sz="4" w:space="1" w:color="auto"/>
      </w:pBdr>
      <w:spacing w:before="0" w:line="280" w:lineRule="atLeast"/>
      <w:ind w:right="284"/>
      <w:jc w:val="left"/>
    </w:pPr>
    <w:rPr>
      <w:rFonts w:ascii="Bembo" w:hAnsi="Bembo"/>
      <w:caps/>
      <w:spacing w:val="40"/>
      <w:sz w:val="20"/>
    </w:rPr>
  </w:style>
  <w:style w:type="paragraph" w:customStyle="1" w:styleId="normalindent">
    <w:name w:val="normal indent"/>
    <w:basedOn w:val="Normal"/>
    <w:rsid w:val="00CF1B5E"/>
    <w:pPr>
      <w:spacing w:before="100" w:beforeAutospacing="1" w:after="100" w:afterAutospacing="1" w:line="240" w:lineRule="auto"/>
      <w:jc w:val="left"/>
    </w:pPr>
    <w:rPr>
      <w:rFonts w:ascii="Verdana" w:hAnsi="Verdana"/>
      <w:sz w:val="24"/>
      <w:szCs w:val="24"/>
    </w:rPr>
  </w:style>
  <w:style w:type="paragraph" w:customStyle="1" w:styleId="Preformatted">
    <w:name w:val="Preformatted"/>
    <w:basedOn w:val="Normal"/>
    <w:rsid w:val="00CF1B5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paragraph" w:customStyle="1" w:styleId="Default">
    <w:name w:val="Default"/>
    <w:rsid w:val="00CF1B5E"/>
    <w:pPr>
      <w:autoSpaceDE w:val="0"/>
      <w:autoSpaceDN w:val="0"/>
      <w:adjustRightInd w:val="0"/>
    </w:pPr>
    <w:rPr>
      <w:rFonts w:ascii="PAOAF A+ T T 1811o 00" w:hAnsi="PAOAF A+ T T 1811o 00" w:cs="PAOAF A+ T T 1811o 00"/>
      <w:color w:val="000000"/>
      <w:sz w:val="24"/>
      <w:szCs w:val="24"/>
      <w:lang w:val="sv-SE" w:eastAsia="sv-SE"/>
    </w:rPr>
  </w:style>
  <w:style w:type="character" w:customStyle="1" w:styleId="grad2">
    <w:name w:val="grad2"/>
    <w:basedOn w:val="Standardstycketeckensnitt"/>
    <w:rsid w:val="00CF1B5E"/>
    <w:rPr>
      <w:rFonts w:ascii="Verdana" w:hAnsi="Verdana" w:hint="default"/>
    </w:rPr>
  </w:style>
  <w:style w:type="paragraph" w:customStyle="1" w:styleId="rubrik60">
    <w:name w:val="rubrik_6"/>
    <w:basedOn w:val="Normal"/>
    <w:rsid w:val="00CF1B5E"/>
    <w:pPr>
      <w:spacing w:before="100" w:beforeAutospacing="1" w:after="100" w:afterAutospacing="1" w:line="240" w:lineRule="auto"/>
      <w:jc w:val="left"/>
    </w:pPr>
    <w:rPr>
      <w:sz w:val="24"/>
      <w:szCs w:val="24"/>
    </w:rPr>
  </w:style>
  <w:style w:type="character" w:customStyle="1" w:styleId="standardtext">
    <w:name w:val="standardtext"/>
    <w:basedOn w:val="Standardstycketeckensnitt"/>
    <w:rsid w:val="00CF1B5E"/>
  </w:style>
  <w:style w:type="character" w:customStyle="1" w:styleId="diarie">
    <w:name w:val="diarie"/>
    <w:basedOn w:val="Standardstycketeckensnitt"/>
    <w:rsid w:val="00CF1B5E"/>
  </w:style>
  <w:style w:type="paragraph" w:customStyle="1" w:styleId="RKnormal">
    <w:name w:val="RKnormal"/>
    <w:basedOn w:val="Normal"/>
    <w:rsid w:val="00CF1B5E"/>
    <w:pPr>
      <w:tabs>
        <w:tab w:val="left" w:pos="1134"/>
        <w:tab w:val="right" w:pos="7370"/>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abstext1">
    <w:name w:val="abstext1"/>
    <w:basedOn w:val="Standardstycketeckensnitt"/>
    <w:rsid w:val="00CF1B5E"/>
    <w:rPr>
      <w:rFonts w:ascii="Verdana" w:hAnsi="Verdana" w:hint="default"/>
      <w:b w:val="0"/>
      <w:bCs w:val="0"/>
      <w:sz w:val="17"/>
      <w:szCs w:val="17"/>
    </w:rPr>
  </w:style>
  <w:style w:type="character" w:styleId="Stark">
    <w:name w:val="Strong"/>
    <w:basedOn w:val="Standardstycketeckensnitt"/>
    <w:qFormat/>
    <w:rsid w:val="00CF1B5E"/>
    <w:rPr>
      <w:b/>
      <w:bCs/>
    </w:rPr>
  </w:style>
  <w:style w:type="paragraph" w:customStyle="1" w:styleId="PunktlistaStreck">
    <w:name w:val="PunktlistaStreck"/>
    <w:basedOn w:val="Normal"/>
    <w:rsid w:val="00CF1B5E"/>
    <w:pPr>
      <w:numPr>
        <w:ilvl w:val="1"/>
        <w:numId w:val="12"/>
      </w:numPr>
      <w:tabs>
        <w:tab w:val="clear" w:pos="1477"/>
        <w:tab w:val="num" w:pos="227"/>
      </w:tabs>
      <w:ind w:left="170" w:hanging="170"/>
    </w:pPr>
  </w:style>
  <w:style w:type="paragraph" w:customStyle="1" w:styleId="PunktlStreckIndragen">
    <w:name w:val="PunktlStreckIndragen"/>
    <w:basedOn w:val="Punktlista"/>
    <w:rsid w:val="00CF1B5E"/>
    <w:pPr>
      <w:spacing w:before="0"/>
      <w:ind w:left="454" w:hanging="227"/>
    </w:pPr>
    <w:rPr>
      <w:spacing w:val="-2"/>
    </w:rPr>
  </w:style>
  <w:style w:type="paragraph" w:styleId="Punktlista">
    <w:name w:val="List Bullet"/>
    <w:basedOn w:val="Normal"/>
    <w:rsid w:val="00CF1B5E"/>
  </w:style>
  <w:style w:type="paragraph" w:customStyle="1" w:styleId="PunktlNummerPackad">
    <w:name w:val="PunktlNummerPackad"/>
    <w:basedOn w:val="Citat"/>
    <w:rsid w:val="00CF1B5E"/>
    <w:pPr>
      <w:numPr>
        <w:numId w:val="3"/>
      </w:numPr>
      <w:spacing w:before="125" w:line="250" w:lineRule="atLeast"/>
    </w:pPr>
    <w:rPr>
      <w:sz w:val="18"/>
    </w:rPr>
  </w:style>
  <w:style w:type="paragraph" w:customStyle="1" w:styleId="PunktlNummer">
    <w:name w:val="PunktlNummer"/>
    <w:basedOn w:val="PunktlNummerPackad"/>
    <w:rsid w:val="00CF1B5E"/>
    <w:pPr>
      <w:numPr>
        <w:numId w:val="14"/>
      </w:numPr>
    </w:pPr>
  </w:style>
  <w:style w:type="paragraph" w:customStyle="1" w:styleId="Normal6Fre">
    <w:name w:val="Normal6Före"/>
    <w:basedOn w:val="Normal"/>
    <w:rsid w:val="00CF1B5E"/>
    <w:pPr>
      <w:spacing w:before="120"/>
    </w:pPr>
    <w:rPr>
      <w:i/>
    </w:rPr>
  </w:style>
  <w:style w:type="paragraph" w:customStyle="1" w:styleId="CitatICitat">
    <w:name w:val="CitatICitat"/>
    <w:basedOn w:val="Citat"/>
    <w:rsid w:val="00CF1B5E"/>
    <w:pPr>
      <w:ind w:left="709"/>
    </w:pPr>
  </w:style>
  <w:style w:type="paragraph" w:customStyle="1" w:styleId="LagtextIndKursiv">
    <w:name w:val="LagtextIndKursiv"/>
    <w:basedOn w:val="LagtextIndrag"/>
    <w:rsid w:val="00CF1B5E"/>
    <w:rPr>
      <w:i/>
    </w:rPr>
  </w:style>
  <w:style w:type="paragraph" w:styleId="Ballongtext">
    <w:name w:val="Balloon Text"/>
    <w:basedOn w:val="Normal"/>
    <w:semiHidden/>
    <w:rsid w:val="007E2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footer" Target="footer27.xml"/><Relationship Id="rId68" Type="http://schemas.openxmlformats.org/officeDocument/2006/relationships/header" Target="header30.xml"/><Relationship Id="rId84" Type="http://schemas.openxmlformats.org/officeDocument/2006/relationships/header" Target="header38.xml"/><Relationship Id="rId89" Type="http://schemas.openxmlformats.org/officeDocument/2006/relationships/fontTable" Target="fontTable.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5.xml"/><Relationship Id="rId74" Type="http://schemas.openxmlformats.org/officeDocument/2006/relationships/footer" Target="footer32.xml"/><Relationship Id="rId79" Type="http://schemas.openxmlformats.org/officeDocument/2006/relationships/footer" Target="footer34.xm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header" Target="header34.xml"/><Relationship Id="rId8" Type="http://schemas.openxmlformats.org/officeDocument/2006/relationships/oleObject" Target="embeddings/oleObject1.bin"/><Relationship Id="rId51" Type="http://schemas.openxmlformats.org/officeDocument/2006/relationships/header" Target="header22.xml"/><Relationship Id="rId72" Type="http://schemas.openxmlformats.org/officeDocument/2006/relationships/header" Target="header32.xml"/><Relationship Id="rId80" Type="http://schemas.openxmlformats.org/officeDocument/2006/relationships/footer" Target="footer35.xml"/><Relationship Id="rId85" Type="http://schemas.openxmlformats.org/officeDocument/2006/relationships/footer" Target="footer37.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header" Target="header27.xml"/><Relationship Id="rId70" Type="http://schemas.openxmlformats.org/officeDocument/2006/relationships/image" Target="media/image3.emf"/><Relationship Id="rId75" Type="http://schemas.openxmlformats.org/officeDocument/2006/relationships/header" Target="header33.xml"/><Relationship Id="rId83" Type="http://schemas.openxmlformats.org/officeDocument/2006/relationships/header" Target="header37.xml"/><Relationship Id="rId88" Type="http://schemas.openxmlformats.org/officeDocument/2006/relationships/footer" Target="footer3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image" Target="media/image2.emf"/><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1.xml"/><Relationship Id="rId78" Type="http://schemas.openxmlformats.org/officeDocument/2006/relationships/header" Target="header35.xml"/><Relationship Id="rId81" Type="http://schemas.openxmlformats.org/officeDocument/2006/relationships/header" Target="header36.xml"/><Relationship Id="rId86" Type="http://schemas.openxmlformats.org/officeDocument/2006/relationships/footer" Target="footer38.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footer" Target="footer33.xml"/><Relationship Id="rId7" Type="http://schemas.openxmlformats.org/officeDocument/2006/relationships/image" Target="media/image1.wmf"/><Relationship Id="rId71" Type="http://schemas.openxmlformats.org/officeDocument/2006/relationships/header" Target="header31.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8.xml"/><Relationship Id="rId87" Type="http://schemas.openxmlformats.org/officeDocument/2006/relationships/header" Target="header39.xml"/><Relationship Id="rId61" Type="http://schemas.openxmlformats.org/officeDocument/2006/relationships/footer" Target="footer26.xml"/><Relationship Id="rId82" Type="http://schemas.openxmlformats.org/officeDocument/2006/relationships/footer" Target="footer36.xml"/><Relationship Id="rId19" Type="http://schemas.openxmlformats.org/officeDocument/2006/relationships/header" Target="head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22871</Words>
  <Characters>140887</Characters>
  <Application>Microsoft Office Word</Application>
  <DocSecurity>4</DocSecurity>
  <Lines>3130</Lines>
  <Paragraphs>806</Paragraphs>
  <ScaleCrop>false</ScaleCrop>
  <HeadingPairs>
    <vt:vector size="2" baseType="variant">
      <vt:variant>
        <vt:lpstr>Rubrik</vt:lpstr>
      </vt:variant>
      <vt:variant>
        <vt:i4>1</vt:i4>
      </vt:variant>
    </vt:vector>
  </HeadingPairs>
  <TitlesOfParts>
    <vt:vector size="1" baseType="lpstr">
      <vt:lpstr>Riksdagsstyrelsens framställning</vt:lpstr>
    </vt:vector>
  </TitlesOfParts>
  <Company>Riksdagen</Company>
  <LinksUpToDate>false</LinksUpToDate>
  <CharactersWithSpaces>162952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Riksdagsstyrelsens framställning</dc:title>
  <dc:subject>Riksdagsstyrelsens framställning</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2009-05-28T09:10:00Z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