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46B" w:rsidRPr="00E4446B" w:rsidRDefault="00E4446B">
      <w:pPr>
        <w:pStyle w:val="Frslagsrubrik"/>
      </w:pPr>
      <w:r w:rsidRPr="00E4446B">
        <w:t>Förslag till riksdagsbeslut</w:t>
      </w:r>
    </w:p>
    <w:p w:rsidR="00E4446B" w:rsidRPr="00E4446B" w:rsidRDefault="00E4446B">
      <w:pPr>
        <w:pStyle w:val="Hemstlatt"/>
        <w:ind w:left="0"/>
      </w:pPr>
      <w:r w:rsidRPr="00E4446B">
        <w:t xml:space="preserve">Riksdagen tillkännager för regeringen som sin mening vad som anförs i motionen om </w:t>
      </w:r>
      <w:r w:rsidRPr="00E4446B">
        <w:rPr>
          <w:szCs w:val="24"/>
        </w:rPr>
        <w:t>unga hbt-personers situation och vad som behöver göras för att förbättra deras hälsa.</w:t>
      </w:r>
    </w:p>
    <w:p w:rsidR="00E4446B" w:rsidRPr="00E4446B" w:rsidRDefault="00E4446B">
      <w:pPr>
        <w:pStyle w:val="Rubrik1"/>
      </w:pPr>
      <w:r w:rsidRPr="00E4446B">
        <w:t>Motivering</w:t>
      </w:r>
    </w:p>
    <w:p w:rsidR="00E4446B" w:rsidRPr="00E4446B" w:rsidRDefault="00E4446B">
      <w:pPr>
        <w:rPr>
          <w:szCs w:val="24"/>
        </w:rPr>
      </w:pPr>
      <w:r w:rsidRPr="00E4446B">
        <w:rPr>
          <w:szCs w:val="24"/>
        </w:rPr>
        <w:t>Alla ska kunna leva det liv de vill oavsett könsidentitet eller sexuell läggning. Men fortfarande råder stor okunskap om hbt-personer och deras situation på många håll i vårt samhälle. Förtryck, diskriminering, våld och trakasserier är alltför vanligt och resulterar i att många unga hbt-personer har det sämre än heterosexuella avseende psykisk, fysisk, sexuell och social hälsa.</w:t>
      </w:r>
    </w:p>
    <w:p w:rsidR="00E4446B" w:rsidRPr="00E4446B" w:rsidRDefault="00E4446B">
      <w:pPr>
        <w:pStyle w:val="Normaltindrag"/>
      </w:pPr>
      <w:r w:rsidRPr="00E4446B">
        <w:t>Statens folkhälsoinstitut presenterade i somras en ny sammanställning av hälsosituationen bland unga hbt-personer mellan 16 och 29 år. Sammanstäl</w:t>
      </w:r>
      <w:r w:rsidRPr="00E4446B">
        <w:t>l</w:t>
      </w:r>
      <w:r w:rsidRPr="00E4446B">
        <w:t>ningen bygger på uppgifter ur den nationella folkhälsoenkäten år 2005 och 2008 och visar en fortsatt mycket oroande situation med bland annat en fö</w:t>
      </w:r>
      <w:r w:rsidRPr="00E4446B">
        <w:t>r</w:t>
      </w:r>
      <w:r w:rsidRPr="00E4446B">
        <w:t>dubblad och i vissa fall en trefaldigad ökad risk för stress, ångest, självmord</w:t>
      </w:r>
      <w:r w:rsidRPr="00E4446B">
        <w:t>s</w:t>
      </w:r>
      <w:r w:rsidRPr="00E4446B">
        <w:t>tankar och nedsatt psykiskt välbefinnande:</w:t>
      </w:r>
    </w:p>
    <w:p w:rsidR="00E4446B" w:rsidRPr="00E4446B" w:rsidRDefault="00E4446B">
      <w:pPr>
        <w:pStyle w:val="PunktlistaBomb"/>
      </w:pPr>
      <w:r w:rsidRPr="00E4446B">
        <w:t>Bland unga homo- och bisexuella kvinnor är det tre gånger vanligare att rapportera dålig hälsa jämfört med heterosexuella.</w:t>
      </w:r>
    </w:p>
    <w:p w:rsidR="00E4446B" w:rsidRPr="00E4446B" w:rsidRDefault="00E4446B">
      <w:pPr>
        <w:pStyle w:val="PunktlistaBomb"/>
        <w:spacing w:before="0"/>
      </w:pPr>
      <w:r w:rsidRPr="00E4446B">
        <w:t>Var fjärde man och var femte kvinna bland unga homo- och bisexuella har utsatts för hot och våld.</w:t>
      </w:r>
    </w:p>
    <w:p w:rsidR="00E4446B" w:rsidRPr="00E4446B" w:rsidRDefault="00E4446B">
      <w:pPr>
        <w:pStyle w:val="PunktlistaBomb"/>
        <w:spacing w:before="0"/>
      </w:pPr>
      <w:r w:rsidRPr="00E4446B">
        <w:t>Det är vanligare att unga homo- och bisexuella kvinnor och män haft självmordstankar och försökt ta sitt liv.</w:t>
      </w:r>
    </w:p>
    <w:p w:rsidR="00E4446B" w:rsidRPr="00E4446B" w:rsidRDefault="00E4446B">
      <w:pPr>
        <w:pStyle w:val="PunktlistaBomb"/>
        <w:spacing w:before="0"/>
      </w:pPr>
      <w:r w:rsidRPr="00E4446B">
        <w:t>Unga homo- och bisexuella män avstår oftare från att gå ut ensamma av rädsla för överfall, rån eller annat ofredande.</w:t>
      </w:r>
    </w:p>
    <w:p w:rsidR="00E4446B" w:rsidRPr="00E4446B" w:rsidRDefault="00E4446B">
      <w:pPr>
        <w:pStyle w:val="PunktlistaBomb"/>
        <w:spacing w:before="0"/>
      </w:pPr>
      <w:r w:rsidRPr="00E4446B">
        <w:t>Unga homo- och bisexuella har mindre förtroende för arbetsförmedling, försäkringskassa, socialtjänst och polis jämfört med unga heterosexuella.</w:t>
      </w:r>
    </w:p>
    <w:p w:rsidR="00E4446B" w:rsidRPr="00E4446B" w:rsidRDefault="00E4446B">
      <w:r w:rsidRPr="00E4446B">
        <w:lastRenderedPageBreak/>
        <w:t xml:space="preserve">Det är positivt och välbehövligt att flera initiativ tagits de senaste åren för att öka kunskapen om homo- och bisexuellas och transpersoners situation. Vad gäller transpersoners situation finns ett särskilt behov av ytterligare åtgärder, eftersom de flesta tidigare översikter har inriktat sig enbart på frågor kring sexuell läggning. </w:t>
      </w:r>
    </w:p>
    <w:p w:rsidR="00E4446B" w:rsidRPr="00E4446B" w:rsidRDefault="00E4446B">
      <w:pPr>
        <w:pStyle w:val="Normaltindrag"/>
      </w:pPr>
      <w:r w:rsidRPr="00E4446B">
        <w:t>Folkhälsoinstitutets sammanställning aktualiserar en rad frågor och åtgä</w:t>
      </w:r>
      <w:r w:rsidRPr="00E4446B">
        <w:t>r</w:t>
      </w:r>
      <w:r w:rsidRPr="00E4446B">
        <w:t>der som tidigare diskuterats och föreslagits i olika sammanhang och utre</w:t>
      </w:r>
      <w:r w:rsidRPr="00E4446B">
        <w:t>d</w:t>
      </w:r>
      <w:r w:rsidRPr="00E4446B">
        <w:t>ningar. Vi tänker bland annat på</w:t>
      </w:r>
    </w:p>
    <w:p w:rsidR="00E4446B" w:rsidRPr="00E4446B" w:rsidRDefault="00E4446B">
      <w:pPr>
        <w:pStyle w:val="PunktlistaBomb"/>
      </w:pPr>
      <w:r w:rsidRPr="00E4446B">
        <w:t>vikten av att landsting och kommuner utbildar personal inom hälso- och sjukvård, ungdomsmottagningar, barn- och ungdomspsykiatri, socia</w:t>
      </w:r>
      <w:r w:rsidRPr="00E4446B">
        <w:t>l</w:t>
      </w:r>
      <w:r w:rsidRPr="00E4446B">
        <w:t>tjänst, familjerådgivning och skolan i ett icke-heteronormativt bemötande för att motverka ett kränkande bemötande och ett sämre omhändertagande så att alla ungdomar har samma möjligheter att få sina behov tillgodose</w:t>
      </w:r>
      <w:r w:rsidRPr="00E4446B">
        <w:t>d</w:t>
      </w:r>
      <w:r w:rsidRPr="00E4446B">
        <w:t xml:space="preserve">da </w:t>
      </w:r>
    </w:p>
    <w:p w:rsidR="00E4446B" w:rsidRPr="00E4446B" w:rsidRDefault="00E4446B">
      <w:pPr>
        <w:pStyle w:val="PunktlistaBomb"/>
        <w:spacing w:before="0"/>
      </w:pPr>
      <w:r w:rsidRPr="00E4446B">
        <w:t>att ett hbt-perspektiv finnas med vid implementeringen av regeringens handlingsplan för självmordsprevention (prop. 2007/08:110)</w:t>
      </w:r>
    </w:p>
    <w:p w:rsidR="00E4446B" w:rsidRPr="00E4446B" w:rsidRDefault="00E4446B">
      <w:pPr>
        <w:pStyle w:val="PunktlistaBomb"/>
        <w:spacing w:before="0"/>
      </w:pPr>
      <w:r w:rsidRPr="00E4446B">
        <w:t>att ett hbt-perspektiv finns med i det breda samhällsinriktade prevention</w:t>
      </w:r>
      <w:r w:rsidRPr="00E4446B">
        <w:t>s</w:t>
      </w:r>
      <w:r w:rsidRPr="00E4446B">
        <w:t>arbetet på alkohol/drogområdet</w:t>
      </w:r>
    </w:p>
    <w:p w:rsidR="00E4446B" w:rsidRPr="00E4446B" w:rsidRDefault="00E4446B">
      <w:pPr>
        <w:pStyle w:val="PunktlistaBomb"/>
        <w:spacing w:before="0"/>
      </w:pPr>
      <w:r w:rsidRPr="00E4446B">
        <w:t>att myndigheter och organisationer i sitt antidiskrimineringsarbete integr</w:t>
      </w:r>
      <w:r w:rsidRPr="00E4446B">
        <w:t>e</w:t>
      </w:r>
      <w:r w:rsidRPr="00E4446B">
        <w:t>rar frågor om heteronormativet och samverkar för att aktivt bidra till en kunskapsöverföring på hbt-området, något som också ligger helt i linje med den nya diskrimineringslag som gäller från och med den 1 januari 2009</w:t>
      </w:r>
    </w:p>
    <w:p w:rsidR="00E4446B" w:rsidRPr="00E4446B" w:rsidRDefault="00E4446B">
      <w:pPr>
        <w:pStyle w:val="PunktlistaBomb"/>
        <w:spacing w:before="0"/>
      </w:pPr>
      <w:r w:rsidRPr="00E4446B">
        <w:t xml:space="preserve">tillsättandet av en tvärvetenskaplig expertgrupp med forskare från olika discipliner inom hbt-området och andra sakkunniga – för att till exempel genomföra kontinuerliga, nationella kunskapssammanställningar inom hbt-området </w:t>
      </w:r>
    </w:p>
    <w:p w:rsidR="00E4446B" w:rsidRPr="00E4446B" w:rsidRDefault="00E4446B">
      <w:pPr>
        <w:pStyle w:val="PunktlistaBomb"/>
        <w:spacing w:before="0"/>
      </w:pPr>
      <w:r w:rsidRPr="00E4446B">
        <w:t>ett hbt-kunskapscentrum som resurs för myndigheter och organisationer i deras arbete för att integrera hbt-perspektivet i sina respektive verksamh</w:t>
      </w:r>
      <w:r w:rsidRPr="00E4446B">
        <w:t>e</w:t>
      </w:r>
      <w:r w:rsidRPr="00E4446B">
        <w:t>ter.</w:t>
      </w:r>
    </w:p>
    <w:p w:rsidR="00E4446B" w:rsidRPr="00E4446B" w:rsidRDefault="00E4446B">
      <w:pPr>
        <w:autoSpaceDE w:val="0"/>
        <w:autoSpaceDN w:val="0"/>
        <w:adjustRightInd w:val="0"/>
        <w:rPr>
          <w:szCs w:val="24"/>
        </w:rPr>
      </w:pPr>
      <w:r w:rsidRPr="00E4446B">
        <w:rPr>
          <w:szCs w:val="24"/>
        </w:rPr>
        <w:t>För att få ökad kunskap åtgärder som leder till bättre hälsa för unga hbt-personer behöver dessutom medel avsättas för tvärvetenskaplig forskning kring unga hbt-personers situation och hälsoproblematik. Till exempel behövs en vidareutveckling av effektiva metoder för att minska diskriminering och negativa attityder.</w:t>
      </w:r>
    </w:p>
    <w:p w:rsidR="00E4446B" w:rsidRPr="00E4446B" w:rsidRDefault="00E4446B">
      <w:pPr>
        <w:pStyle w:val="Normaltindrag"/>
      </w:pPr>
      <w:r w:rsidRPr="00E4446B">
        <w:t>Ungdomsstyrelsen har regeringens uppdrag att göra en fördjupad analys av hbt-ungdomars hälsa där en viktig del i analysen är att beskriva vilka faktorer som stärker ungdomarnas hälsa. Uppdraget ska avrapporteras i januari 2010. De förslag som framkommer i den utredningen är givetvis mycket viktiga att ta med i det fortsatta 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4446B">
        <w:trPr>
          <w:cantSplit/>
        </w:trPr>
        <w:tc>
          <w:tcPr>
            <w:tcW w:w="3046" w:type="dxa"/>
          </w:tcPr>
          <w:p w:rsidR="00E4446B" w:rsidRPr="00E4446B" w:rsidRDefault="00E4446B">
            <w:pPr>
              <w:pStyle w:val="UnderskriftDatum"/>
              <w:spacing w:before="240"/>
            </w:pPr>
            <w:r w:rsidRPr="00E4446B">
              <w:t>Stockholm den 4 oktober 2009</w:t>
            </w:r>
          </w:p>
        </w:tc>
        <w:tc>
          <w:tcPr>
            <w:tcW w:w="3047" w:type="dxa"/>
          </w:tcPr>
          <w:p w:rsidR="00E4446B" w:rsidRPr="00E4446B" w:rsidRDefault="00E4446B">
            <w:pPr>
              <w:pStyle w:val="Underskrifter"/>
              <w:spacing w:before="240"/>
            </w:pPr>
          </w:p>
        </w:tc>
      </w:tr>
      <w:tr w:rsidR="00000000" w:rsidRPr="00E4446B">
        <w:trPr>
          <w:cantSplit/>
        </w:trPr>
        <w:tc>
          <w:tcPr>
            <w:tcW w:w="3046" w:type="dxa"/>
          </w:tcPr>
          <w:p w:rsidR="00E4446B" w:rsidRPr="00E4446B" w:rsidRDefault="00E4446B">
            <w:pPr>
              <w:pStyle w:val="Underskrifter"/>
            </w:pPr>
            <w:r w:rsidRPr="00E4446B">
              <w:t>Agneta Berliner (fp)</w:t>
            </w:r>
          </w:p>
        </w:tc>
        <w:tc>
          <w:tcPr>
            <w:tcW w:w="3046" w:type="dxa"/>
          </w:tcPr>
          <w:p w:rsidR="00E4446B" w:rsidRPr="00E4446B" w:rsidRDefault="00E4446B">
            <w:pPr>
              <w:pStyle w:val="Underskrifter"/>
            </w:pPr>
            <w:r w:rsidRPr="00E4446B">
              <w:t>Birgitta Ohlsson (fp)</w:t>
            </w:r>
          </w:p>
        </w:tc>
      </w:tr>
    </w:tbl>
    <w:p w:rsidR="00E4446B" w:rsidRPr="00E4446B" w:rsidRDefault="00E4446B">
      <w:pPr>
        <w:pStyle w:val="Normaltindrag"/>
      </w:pPr>
    </w:p>
    <w:sectPr w:rsidR="00000000" w:rsidRPr="00E44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46B" w:rsidRPr="00E4446B" w:rsidRDefault="00E4446B">
      <w:r w:rsidRPr="00E4446B">
        <w:separator/>
      </w:r>
    </w:p>
  </w:endnote>
  <w:endnote w:type="continuationSeparator" w:id="0">
    <w:p w:rsidR="00E4446B" w:rsidRPr="00E4446B" w:rsidRDefault="00E4446B">
      <w:r w:rsidRPr="00E444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46B" w:rsidRPr="00E4446B" w:rsidRDefault="00E4446B">
    <w:pPr>
      <w:pStyle w:val="Sidfot"/>
    </w:pPr>
    <w:r w:rsidRPr="00E444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78169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46B" w:rsidRDefault="00E444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46B" w:rsidRDefault="00E444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46B" w:rsidRPr="00E4446B" w:rsidRDefault="00E4446B">
    <w:pPr>
      <w:pStyle w:val="Sidfot"/>
    </w:pPr>
    <w:r w:rsidRPr="00E444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4887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46B" w:rsidRDefault="00E444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46B" w:rsidRDefault="00E444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46B" w:rsidRPr="00E4446B" w:rsidRDefault="00E4446B">
    <w:pPr>
      <w:pStyle w:val="Sidfot"/>
    </w:pPr>
    <w:r w:rsidRPr="00E444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098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46B" w:rsidRDefault="00E444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46B" w:rsidRDefault="00E444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46B" w:rsidRPr="00E4446B" w:rsidRDefault="00E4446B">
      <w:r w:rsidRPr="00E4446B">
        <w:separator/>
      </w:r>
    </w:p>
  </w:footnote>
  <w:footnote w:type="continuationSeparator" w:id="0">
    <w:p w:rsidR="00E4446B" w:rsidRPr="00E4446B" w:rsidRDefault="00E4446B">
      <w:r w:rsidRPr="00E444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46B" w:rsidRPr="00E4446B" w:rsidRDefault="00E4446B">
    <w:pPr>
      <w:pStyle w:val="Sidhuvud"/>
    </w:pPr>
    <w:r w:rsidRPr="00E444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5806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46B" w:rsidRDefault="00E444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46B" w:rsidRDefault="00E444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46B" w:rsidRPr="00E4446B" w:rsidRDefault="00E4446B">
    <w:pPr>
      <w:pStyle w:val="Sidhuvud"/>
    </w:pPr>
    <w:r w:rsidRPr="00E444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57552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46B" w:rsidRDefault="00E444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46B" w:rsidRDefault="00E444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46B" w:rsidRPr="00E4446B" w:rsidRDefault="00E4446B">
    <w:pPr>
      <w:pStyle w:val="FSHNormal"/>
      <w:tabs>
        <w:tab w:val="right" w:pos="5840"/>
      </w:tabs>
    </w:pPr>
    <w:r w:rsidRPr="00E4446B">
      <w:br/>
    </w:r>
    <w:r w:rsidRPr="00E4446B">
      <w:fldChar w:fldCharType="begin" w:fldLock="1"/>
    </w:r>
    <w:r w:rsidRPr="00E4446B">
      <w:instrText xml:space="preserve"> DOCPROPERTY</w:instrText>
    </w:r>
    <w:r w:rsidRPr="00E4446B">
      <w:rPr>
        <w:sz w:val="18"/>
      </w:rPr>
      <w:instrText xml:space="preserve"> "YearUser" *\charformat </w:instrText>
    </w:r>
    <w:r w:rsidRPr="00E4446B">
      <w:fldChar w:fldCharType="separate"/>
    </w:r>
    <w:r w:rsidRPr="00E4446B">
      <w:t>2009/10</w:t>
    </w:r>
    <w:r w:rsidRPr="00E4446B">
      <w:fldChar w:fldCharType="end"/>
    </w:r>
    <w:r w:rsidRPr="00E4446B">
      <w:t xml:space="preserve"> </w:t>
    </w:r>
    <w:r w:rsidRPr="00E4446B">
      <w:tab/>
      <w:t xml:space="preserve">mnr: </w:t>
    </w:r>
    <w:r w:rsidRPr="00E4446B">
      <w:fldChar w:fldCharType="begin" w:fldLock="1"/>
    </w:r>
    <w:r w:rsidRPr="00E4446B">
      <w:instrText xml:space="preserve"> DOCPROPERTY</w:instrText>
    </w:r>
    <w:r w:rsidRPr="00E4446B">
      <w:rPr>
        <w:sz w:val="18"/>
      </w:rPr>
      <w:instrText xml:space="preserve"> "Motionsnummer" *\charformat </w:instrText>
    </w:r>
    <w:r w:rsidRPr="00E4446B">
      <w:fldChar w:fldCharType="separate"/>
    </w:r>
    <w:r w:rsidRPr="00E4446B">
      <w:t>Kr298</w:t>
    </w:r>
    <w:r w:rsidRPr="00E4446B">
      <w:fldChar w:fldCharType="end"/>
    </w:r>
    <w:r w:rsidRPr="00E4446B">
      <w:br/>
    </w:r>
    <w:r w:rsidRPr="00E4446B">
      <w:fldChar w:fldCharType="begin" w:fldLock="1"/>
    </w:r>
    <w:r w:rsidRPr="00E4446B">
      <w:instrText xml:space="preserve"> DOCPROPERTY</w:instrText>
    </w:r>
    <w:r w:rsidRPr="00E4446B">
      <w:rPr>
        <w:sz w:val="18"/>
      </w:rPr>
      <w:instrText xml:space="preserve"> "Samling" *\charformat </w:instrText>
    </w:r>
    <w:r w:rsidRPr="00E4446B">
      <w:fldChar w:fldCharType="end"/>
    </w:r>
    <w:r w:rsidRPr="00E4446B">
      <w:tab/>
      <w:t xml:space="preserve">pnr: </w:t>
    </w:r>
    <w:r w:rsidRPr="00E4446B">
      <w:fldChar w:fldCharType="begin" w:fldLock="1"/>
    </w:r>
    <w:r w:rsidRPr="00E4446B">
      <w:instrText xml:space="preserve"> DOCPROPERTY</w:instrText>
    </w:r>
    <w:r w:rsidRPr="00E4446B">
      <w:rPr>
        <w:sz w:val="18"/>
      </w:rPr>
      <w:instrText xml:space="preserve"> "Partinummer" *\charformat </w:instrText>
    </w:r>
    <w:r w:rsidRPr="00E4446B">
      <w:fldChar w:fldCharType="separate"/>
    </w:r>
    <w:r w:rsidRPr="00E4446B">
      <w:t>fp1131</w:t>
    </w:r>
    <w:r w:rsidRPr="00E4446B">
      <w:fldChar w:fldCharType="end"/>
    </w:r>
  </w:p>
  <w:p w:rsidR="00E4446B" w:rsidRPr="00E4446B" w:rsidRDefault="00E4446B">
    <w:pPr>
      <w:pStyle w:val="FSHRub1"/>
    </w:pPr>
    <w:r w:rsidRPr="00E4446B">
      <w:t>Motion till riksdagen</w:t>
    </w:r>
    <w:r w:rsidRPr="00E4446B">
      <w:br/>
    </w:r>
    <w:r w:rsidRPr="00E4446B">
      <w:fldChar w:fldCharType="begin" w:fldLock="1"/>
    </w:r>
    <w:r w:rsidRPr="00E4446B">
      <w:instrText xml:space="preserve"> DOCPROPERTY "YearUser" *\charformat </w:instrText>
    </w:r>
    <w:r w:rsidRPr="00E4446B">
      <w:fldChar w:fldCharType="separate"/>
    </w:r>
    <w:r w:rsidRPr="00E4446B">
      <w:t>2009/10</w:t>
    </w:r>
    <w:r w:rsidRPr="00E4446B">
      <w:fldChar w:fldCharType="end"/>
    </w:r>
    <w:r w:rsidRPr="00E4446B">
      <w:t>:</w:t>
    </w:r>
    <w:r w:rsidRPr="00E4446B">
      <w:fldChar w:fldCharType="begin" w:fldLock="1"/>
    </w:r>
    <w:r w:rsidRPr="00E4446B">
      <w:instrText xml:space="preserve"> DOCPROPERTY "Motionsnummer" *\charformat </w:instrText>
    </w:r>
    <w:r w:rsidRPr="00E4446B">
      <w:fldChar w:fldCharType="separate"/>
    </w:r>
    <w:r w:rsidRPr="00E4446B">
      <w:t>Kr298</w:t>
    </w:r>
    <w:r w:rsidRPr="00E4446B">
      <w:fldChar w:fldCharType="end"/>
    </w:r>
  </w:p>
  <w:p w:rsidR="00E4446B" w:rsidRPr="00E4446B" w:rsidRDefault="00E4446B">
    <w:pPr>
      <w:pStyle w:val="FSHNormalS5"/>
    </w:pPr>
    <w:r w:rsidRPr="00E4446B">
      <w:fldChar w:fldCharType="begin" w:fldLock="1"/>
    </w:r>
    <w:r w:rsidRPr="00E4446B">
      <w:instrText xml:space="preserve"> DOCPROPERTY "MotionarText" *\charformat </w:instrText>
    </w:r>
    <w:r w:rsidRPr="00E4446B">
      <w:fldChar w:fldCharType="separate"/>
    </w:r>
    <w:r w:rsidRPr="00E4446B">
      <w:t>av Agneta Berliner och Birgitta Ohlsson (fp)</w:t>
    </w:r>
    <w:r w:rsidRPr="00E4446B">
      <w:fldChar w:fldCharType="end"/>
    </w:r>
    <w:r w:rsidRPr="00E4446B">
      <w:br/>
    </w:r>
    <w:r w:rsidRPr="00E4446B">
      <w:fldChar w:fldCharType="begin" w:fldLock="1"/>
    </w:r>
    <w:r w:rsidRPr="00E4446B">
      <w:instrText xml:space="preserve"> DOCPROPERTY "SvarFrasKort" *\charformat </w:instrText>
    </w:r>
    <w:r w:rsidRPr="00E4446B">
      <w:fldChar w:fldCharType="end"/>
    </w:r>
  </w:p>
  <w:p w:rsidR="00E4446B" w:rsidRPr="00E4446B" w:rsidRDefault="00E4446B">
    <w:pPr>
      <w:pStyle w:val="FSHTitel"/>
    </w:pPr>
    <w:r w:rsidRPr="00E4446B">
      <w:fldChar w:fldCharType="begin" w:fldLock="1"/>
    </w:r>
    <w:r w:rsidRPr="00E4446B">
      <w:instrText xml:space="preserve"> DOCPROPERTY</w:instrText>
    </w:r>
    <w:r w:rsidRPr="00E4446B">
      <w:rPr>
        <w:sz w:val="18"/>
      </w:rPr>
      <w:instrText xml:space="preserve"> "RubrikSvar" *\charformat </w:instrText>
    </w:r>
    <w:r w:rsidRPr="00E4446B">
      <w:fldChar w:fldCharType="separate"/>
    </w:r>
    <w:r w:rsidRPr="00E4446B">
      <w:t>Unga hbt-personers hälsa</w:t>
    </w:r>
    <w:r w:rsidRPr="00E4446B">
      <w:fldChar w:fldCharType="end"/>
    </w:r>
  </w:p>
  <w:p w:rsidR="00E4446B" w:rsidRPr="00E4446B" w:rsidRDefault="00E4446B">
    <w:pPr>
      <w:pStyle w:val="Normal00"/>
    </w:pPr>
  </w:p>
  <w:p w:rsidR="00E4446B" w:rsidRPr="00E4446B" w:rsidRDefault="00E444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5D97DC9"/>
    <w:multiLevelType w:val="hybridMultilevel"/>
    <w:tmpl w:val="D4A2FEFE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3B878A2"/>
    <w:multiLevelType w:val="hybridMultilevel"/>
    <w:tmpl w:val="F80EE80E"/>
    <w:lvl w:ilvl="0" w:tplc="041D0001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F0392F"/>
    <w:multiLevelType w:val="hybridMultilevel"/>
    <w:tmpl w:val="DD0471EC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A0BAC"/>
    <w:multiLevelType w:val="hybridMultilevel"/>
    <w:tmpl w:val="AC34D0EC"/>
    <w:lvl w:ilvl="0" w:tplc="041D0001">
      <w:start w:val="1"/>
      <w:numFmt w:val="bullet"/>
      <w:lvlText w:val="?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22899314">
    <w:abstractNumId w:val="8"/>
  </w:num>
  <w:num w:numId="2" w16cid:durableId="753891542">
    <w:abstractNumId w:val="9"/>
  </w:num>
  <w:num w:numId="3" w16cid:durableId="29956811">
    <w:abstractNumId w:val="8"/>
  </w:num>
  <w:num w:numId="4" w16cid:durableId="445537560">
    <w:abstractNumId w:val="9"/>
  </w:num>
  <w:num w:numId="5" w16cid:durableId="522208020">
    <w:abstractNumId w:val="15"/>
  </w:num>
  <w:num w:numId="6" w16cid:durableId="294986111">
    <w:abstractNumId w:val="10"/>
  </w:num>
  <w:num w:numId="7" w16cid:durableId="1120683982">
    <w:abstractNumId w:val="11"/>
  </w:num>
  <w:num w:numId="8" w16cid:durableId="1686982743">
    <w:abstractNumId w:val="13"/>
  </w:num>
  <w:num w:numId="9" w16cid:durableId="1888833238">
    <w:abstractNumId w:val="8"/>
  </w:num>
  <w:num w:numId="10" w16cid:durableId="995766030">
    <w:abstractNumId w:val="3"/>
  </w:num>
  <w:num w:numId="11" w16cid:durableId="1909731587">
    <w:abstractNumId w:val="2"/>
  </w:num>
  <w:num w:numId="12" w16cid:durableId="2110197405">
    <w:abstractNumId w:val="1"/>
  </w:num>
  <w:num w:numId="13" w16cid:durableId="1057247145">
    <w:abstractNumId w:val="0"/>
  </w:num>
  <w:num w:numId="14" w16cid:durableId="1314411323">
    <w:abstractNumId w:val="9"/>
  </w:num>
  <w:num w:numId="15" w16cid:durableId="1401562909">
    <w:abstractNumId w:val="7"/>
  </w:num>
  <w:num w:numId="16" w16cid:durableId="1091705385">
    <w:abstractNumId w:val="6"/>
  </w:num>
  <w:num w:numId="17" w16cid:durableId="1247153938">
    <w:abstractNumId w:val="5"/>
  </w:num>
  <w:num w:numId="18" w16cid:durableId="1336878326">
    <w:abstractNumId w:val="4"/>
  </w:num>
  <w:num w:numId="19" w16cid:durableId="721321007">
    <w:abstractNumId w:val="14"/>
  </w:num>
  <w:num w:numId="20" w16cid:durableId="1535267561">
    <w:abstractNumId w:val="17"/>
  </w:num>
  <w:num w:numId="21" w16cid:durableId="229312320">
    <w:abstractNumId w:val="12"/>
  </w:num>
  <w:num w:numId="22" w16cid:durableId="1166016576">
    <w:abstractNumId w:val="16"/>
  </w:num>
  <w:num w:numId="23" w16cid:durableId="958146470">
    <w:abstractNumId w:val="11"/>
  </w:num>
  <w:num w:numId="24" w16cid:durableId="897133850">
    <w:abstractNumId w:val="10"/>
  </w:num>
  <w:num w:numId="25" w16cid:durableId="1834291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DAD98723-96A2-4811-813A-08D52AC9C422},{7ED1DCAA-8C66-4975-A2C2-D827E3750391}"/>
  </w:docVars>
  <w:rsids>
    <w:rsidRoot w:val="00B735D2"/>
    <w:rsid w:val="00B735D2"/>
    <w:rsid w:val="00E4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A627693-AAA8-4B70-9091-C6AD9A02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4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5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3529</Characters>
  <Application>Microsoft Office Word</Application>
  <DocSecurity>4</DocSecurity>
  <Lines>70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fp1131</vt:lpstr>
    </vt:vector>
  </TitlesOfParts>
  <Company>Riksdagen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fp1131</dc:title>
  <dc:subject>fp1131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2009-12-16T07:28:00Z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Unga hbt-personers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Unga hbt-personers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Berliner och Birgitta Ohlsson (fp)</vt:lpwstr>
  </property>
  <property fmtid="{D5CDD505-2E9C-101B-9397-08002B2CF9AE}" pid="26" name="MotionarLista">
    <vt:lpwstr>Berliner, Agneta (fp)\Ohlsson,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20092010000001020112000011310069</vt:lpwstr>
  </property>
  <property fmtid="{D5CDD505-2E9C-101B-9397-08002B2CF9AE}" pid="47" name="datum">
    <vt:lpwstr>091004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20092010000001020112000011310069</vt:lpwstr>
  </property>
  <property fmtid="{D5CDD505-2E9C-101B-9397-08002B2CF9AE}" pid="50" name="nummer">
    <vt:lpwstr>298</vt:lpwstr>
  </property>
  <property fmtid="{D5CDD505-2E9C-101B-9397-08002B2CF9AE}" pid="51" name="utskottsbeteckning">
    <vt:lpwstr>Kr</vt:lpwstr>
  </property>
  <property fmtid="{D5CDD505-2E9C-101B-9397-08002B2CF9AE}" pid="52" name="GlobalUID">
    <vt:lpwstr>{CC1017BB-9C23-45B7-8DF5-39056309D267}</vt:lpwstr>
  </property>
  <property fmtid="{D5CDD505-2E9C-101B-9397-08002B2CF9AE}" pid="53" name="Överföringar">
    <vt:i4>0</vt:i4>
  </property>
  <property fmtid="{D5CDD505-2E9C-101B-9397-08002B2CF9AE}" pid="54" name="Checksum">
    <vt:lpwstr>*1014465646177*</vt:lpwstr>
  </property>
  <property fmtid="{D5CDD505-2E9C-101B-9397-08002B2CF9AE}" pid="55" name="skuggnummer">
    <vt:lpwstr>2555</vt:lpwstr>
  </property>
  <property fmtid="{D5CDD505-2E9C-101B-9397-08002B2CF9AE}" pid="56" name="urixVersion">
    <vt:lpwstr>4.1.1.7</vt:lpwstr>
  </property>
  <property fmtid="{D5CDD505-2E9C-101B-9397-08002B2CF9AE}" pid="57" name="urixOrigin">
    <vt:lpwstr>100310 15:44:26.190</vt:lpwstr>
  </property>
  <property fmtid="{D5CDD505-2E9C-101B-9397-08002B2CF9AE}" pid="58" name="urixGuid">
    <vt:lpwstr>{F3164544-6102-4845-BC48-D9B72707E869}</vt:lpwstr>
  </property>
</Properties>
</file>