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A7B99">
        <w:tblPrEx>
          <w:tblCellMar>
            <w:top w:w="0" w:type="dxa"/>
            <w:left w:w="0" w:type="dxa"/>
            <w:bottom w:w="0" w:type="dxa"/>
            <w:right w:w="0" w:type="dxa"/>
          </w:tblCellMar>
        </w:tblPrEx>
        <w:trPr>
          <w:gridAfter w:val="2"/>
          <w:wAfter w:w="1758" w:type="dxa"/>
          <w:cantSplit/>
          <w:trHeight w:val="1320"/>
        </w:trPr>
        <w:tc>
          <w:tcPr>
            <w:tcW w:w="5897" w:type="dxa"/>
          </w:tcPr>
          <w:p w:rsidR="008A7B99" w:rsidRPr="008A7B99" w:rsidRDefault="008A7B99">
            <w:pPr>
              <w:pStyle w:val="HuvudRubrik"/>
            </w:pPr>
            <w:r w:rsidRPr="008A7B99">
              <w:t>Regeringskansliet</w:t>
            </w:r>
          </w:p>
          <w:p w:rsidR="008A7B99" w:rsidRPr="008A7B99" w:rsidRDefault="008A7B99">
            <w:pPr>
              <w:pStyle w:val="HuvudRubrik"/>
            </w:pPr>
            <w:r w:rsidRPr="008A7B99">
              <w:t>Faktapromemoria  2008/09:FPM148</w:t>
            </w:r>
          </w:p>
        </w:tc>
      </w:tr>
      <w:tr w:rsidR="00000000" w:rsidRPr="008A7B99">
        <w:tblPrEx>
          <w:tblCellMar>
            <w:top w:w="0" w:type="dxa"/>
            <w:left w:w="0" w:type="dxa"/>
            <w:bottom w:w="0" w:type="dxa"/>
            <w:right w:w="0" w:type="dxa"/>
          </w:tblCellMar>
        </w:tblPrEx>
        <w:trPr>
          <w:gridAfter w:val="2"/>
          <w:wAfter w:w="1758" w:type="dxa"/>
          <w:cantSplit/>
          <w:trHeight w:val="240"/>
        </w:trPr>
        <w:tc>
          <w:tcPr>
            <w:tcW w:w="5897" w:type="dxa"/>
          </w:tcPr>
          <w:p w:rsidR="008A7B99" w:rsidRPr="008A7B99" w:rsidRDefault="008A7B99">
            <w:pPr>
              <w:pStyle w:val="HuvudRubrik"/>
              <w:rPr>
                <w:sz w:val="28"/>
              </w:rPr>
            </w:pPr>
            <w:r w:rsidRPr="008A7B99">
              <w:t>Revidering av rådets beslut om ett europeiskt brottsförebyggande nätverk</w:t>
            </w:r>
          </w:p>
        </w:tc>
      </w:tr>
      <w:tr w:rsidR="00000000" w:rsidRPr="008A7B99">
        <w:tblPrEx>
          <w:tblCellMar>
            <w:top w:w="0" w:type="dxa"/>
            <w:left w:w="0" w:type="dxa"/>
            <w:bottom w:w="0" w:type="dxa"/>
            <w:right w:w="0" w:type="dxa"/>
          </w:tblCellMar>
        </w:tblPrEx>
        <w:trPr>
          <w:cantSplit/>
          <w:trHeight w:val="285"/>
        </w:trPr>
        <w:tc>
          <w:tcPr>
            <w:tcW w:w="7655" w:type="dxa"/>
            <w:gridSpan w:val="3"/>
          </w:tcPr>
          <w:p w:rsidR="008A7B99" w:rsidRPr="008A7B99" w:rsidRDefault="008A7B99">
            <w:pPr>
              <w:pStyle w:val="Departement"/>
              <w:rPr>
                <w:sz w:val="28"/>
              </w:rPr>
            </w:pPr>
            <w:r w:rsidRPr="008A7B99">
              <w:t>Justitiedepartementet</w:t>
            </w:r>
          </w:p>
        </w:tc>
      </w:tr>
      <w:tr w:rsidR="00000000" w:rsidRPr="008A7B99">
        <w:tblPrEx>
          <w:tblCellMar>
            <w:top w:w="0" w:type="dxa"/>
            <w:left w:w="0" w:type="dxa"/>
            <w:bottom w:w="0" w:type="dxa"/>
            <w:right w:w="0" w:type="dxa"/>
          </w:tblCellMar>
        </w:tblPrEx>
        <w:trPr>
          <w:cantSplit/>
          <w:trHeight w:val="240"/>
        </w:trPr>
        <w:tc>
          <w:tcPr>
            <w:tcW w:w="7655" w:type="dxa"/>
            <w:gridSpan w:val="3"/>
          </w:tcPr>
          <w:p w:rsidR="008A7B99" w:rsidRPr="008A7B99" w:rsidRDefault="008A7B99">
            <w:pPr>
              <w:pStyle w:val="Dokumentdatum"/>
            </w:pPr>
            <w:r w:rsidRPr="008A7B99">
              <w:t>2009-08-04</w:t>
            </w:r>
          </w:p>
        </w:tc>
      </w:tr>
      <w:tr w:rsidR="00000000" w:rsidRPr="008A7B99">
        <w:tblPrEx>
          <w:tblCellMar>
            <w:top w:w="0" w:type="dxa"/>
            <w:left w:w="0" w:type="dxa"/>
            <w:bottom w:w="0" w:type="dxa"/>
            <w:right w:w="0" w:type="dxa"/>
          </w:tblCellMar>
        </w:tblPrEx>
        <w:trPr>
          <w:cantSplit/>
          <w:trHeight w:val="726"/>
        </w:trPr>
        <w:tc>
          <w:tcPr>
            <w:tcW w:w="7655" w:type="dxa"/>
            <w:gridSpan w:val="3"/>
            <w:vAlign w:val="bottom"/>
          </w:tcPr>
          <w:p w:rsidR="008A7B99" w:rsidRPr="008A7B99" w:rsidRDefault="008A7B99">
            <w:pPr>
              <w:pStyle w:val="Dokumentbeteckning"/>
            </w:pPr>
            <w:r w:rsidRPr="008A7B99">
              <w:t>Dokumentbeteckning</w:t>
            </w:r>
          </w:p>
        </w:tc>
      </w:tr>
      <w:tr w:rsidR="00000000" w:rsidRPr="008A7B99">
        <w:tblPrEx>
          <w:tblCellMar>
            <w:top w:w="0" w:type="dxa"/>
            <w:left w:w="0" w:type="dxa"/>
            <w:bottom w:w="0" w:type="dxa"/>
            <w:right w:w="0" w:type="dxa"/>
          </w:tblCellMar>
        </w:tblPrEx>
        <w:trPr>
          <w:gridAfter w:val="1"/>
          <w:wAfter w:w="1560" w:type="dxa"/>
          <w:trHeight w:val="120"/>
        </w:trPr>
        <w:tc>
          <w:tcPr>
            <w:tcW w:w="6095" w:type="dxa"/>
            <w:gridSpan w:val="2"/>
          </w:tcPr>
          <w:p w:rsidR="008A7B99" w:rsidRPr="008A7B99" w:rsidRDefault="008A7B99">
            <w:bookmarkStart w:id="0" w:name="KomNr"/>
            <w:bookmarkEnd w:id="0"/>
            <w:r w:rsidRPr="008A7B99">
              <w:t>11421/09 CRIMORG 101 ENFOPOL  183, ADD1, COR1</w:t>
            </w:r>
          </w:p>
        </w:tc>
      </w:tr>
      <w:tr w:rsidR="00000000" w:rsidRPr="008A7B99">
        <w:tblPrEx>
          <w:tblCellMar>
            <w:top w:w="0" w:type="dxa"/>
            <w:left w:w="0" w:type="dxa"/>
            <w:bottom w:w="0" w:type="dxa"/>
            <w:right w:w="0" w:type="dxa"/>
          </w:tblCellMar>
        </w:tblPrEx>
        <w:trPr>
          <w:gridAfter w:val="1"/>
          <w:wAfter w:w="1560" w:type="dxa"/>
          <w:trHeight w:val="120"/>
        </w:trPr>
        <w:tc>
          <w:tcPr>
            <w:tcW w:w="6095" w:type="dxa"/>
            <w:gridSpan w:val="2"/>
          </w:tcPr>
          <w:p w:rsidR="008A7B99" w:rsidRPr="008A7B99" w:rsidRDefault="008A7B99">
            <w:pPr>
              <w:pStyle w:val="Dokumentbeteckning-titel"/>
            </w:pPr>
            <w:r w:rsidRPr="008A7B99">
              <w:t>Rådets beslut om inrättande av ett europeiskt nätverk för förebyggande av brottslighet (EUCPN) och om upphävande av beslut 2001/427/RIF</w:t>
            </w:r>
          </w:p>
        </w:tc>
      </w:tr>
    </w:tbl>
    <w:p w:rsidR="008A7B99" w:rsidRPr="008A7B99" w:rsidRDefault="008A7B99">
      <w:pPr>
        <w:pStyle w:val="Rubrik1"/>
        <w:numPr>
          <w:ilvl w:val="0"/>
          <w:numId w:val="0"/>
        </w:numPr>
      </w:pPr>
      <w:r w:rsidRPr="008A7B99">
        <w:t>Sammanfattning</w:t>
      </w:r>
    </w:p>
    <w:p w:rsidR="008A7B99" w:rsidRPr="008A7B99" w:rsidRDefault="008A7B99">
      <w:r w:rsidRPr="008A7B99">
        <w:t>Förlaget innebär att EUCPN:s arbete tydligare fokuseras på att utveckla brottsförebyggande metoder på nationell och europeisk nivå och att dess arbetsuppgifter fokuseras till områden där det finns möjlighet till reellt genomslag, som t.ex. att identifiera och utbyta goda rutiner mellan medlemsstaterna.  De nationella representanternas roll och ansvar förtydligas och styrelsen ges ett tydligare uppdrag att bedriva ett strategiskt arbete. Sekretariatet förstärks och läggs ut på entreprenad av kommissionen ge</w:t>
      </w:r>
      <w:r w:rsidRPr="008A7B99">
        <w:t>nom ett offentligt upphandlingsförfarande</w:t>
      </w:r>
    </w:p>
    <w:p w:rsidR="008A7B99" w:rsidRPr="008A7B99" w:rsidRDefault="008A7B99"/>
    <w:p w:rsidR="008A7B99" w:rsidRPr="008A7B99" w:rsidRDefault="008A7B99">
      <w:r w:rsidRPr="008A7B99">
        <w:t xml:space="preserve">Sverige har tillsammans med 10 medlemsstater tagit initiativ till förslaget. </w:t>
      </w:r>
    </w:p>
    <w:p w:rsidR="008A7B99" w:rsidRPr="008A7B99" w:rsidRDefault="008A7B99">
      <w:pPr>
        <w:pStyle w:val="Rubrik1"/>
      </w:pPr>
      <w:r w:rsidRPr="008A7B99">
        <w:t>Förslaget</w:t>
      </w:r>
    </w:p>
    <w:p w:rsidR="008A7B99" w:rsidRPr="008A7B99" w:rsidRDefault="008A7B99">
      <w:pPr>
        <w:pStyle w:val="Rubrik2"/>
      </w:pPr>
      <w:r w:rsidRPr="008A7B99">
        <w:t>Ärendets bakgrund</w:t>
      </w:r>
    </w:p>
    <w:p w:rsidR="008A7B99" w:rsidRPr="008A7B99" w:rsidRDefault="008A7B99">
      <w:r w:rsidRPr="008A7B99">
        <w:t xml:space="preserve">EUCPN inrättades under det svenska ordförandeskapet 2001 på franskt/svenskt initiativ med syfte att främja brottsförebyggande metoder på EU-nivån liksom utbytet av kunskap, erfarenheter och goda rutiner kring brottsförebyggande metoder och verksamhet. En extern utvärdering med syfte att utreda behovet av en organisation som EUCPN och anledningen till att det inte kunnat nå sina målsättningar, initierades av kommissionen och presenterades under våren 2009. </w:t>
      </w:r>
    </w:p>
    <w:p w:rsidR="008A7B99" w:rsidRPr="008A7B99" w:rsidRDefault="008A7B99"/>
    <w:p w:rsidR="008A7B99" w:rsidRPr="008A7B99" w:rsidRDefault="008A7B99">
      <w:r w:rsidRPr="008A7B99">
        <w:lastRenderedPageBreak/>
        <w:t>Utvärderingen konstaterar att EUCPN sedan 2001 ”har spelat en positiv roll för att höja medvetenheten om brottsförebyggande arbete på EU–nivå och för att underlätta samarbete och nätverkande mellan medlemsstaterna. Dess fulla potential har dock inte förverkligats”, något som förklaras bero på bland annat ett organisatoriskt misslyckande.</w:t>
      </w:r>
    </w:p>
    <w:p w:rsidR="008A7B99" w:rsidRPr="008A7B99" w:rsidRDefault="008A7B99"/>
    <w:p w:rsidR="008A7B99" w:rsidRPr="008A7B99" w:rsidRDefault="008A7B99">
      <w:r w:rsidRPr="008A7B99">
        <w:t xml:space="preserve"> Utvärderingen rekommenderar  att EUCPN finns kvar som ett EU-nätverk (finansierat av EU) med samtliga medlemsstater som medlemmar, och att det bör utvecklas. EUCPN:s arbete skulle fokuseras och inrikta sig på några huvudsakliga aktiviteter där EUCPN har reellt genomslag, som att identifiera och utbyta goda rutiner genom konferenser och genom en hemsida. Styrelsen skulle i större utsträckning  arbeta med strategiska frågor och EUCPN:s arbete bidra till att utveckla det brottsförebyggande arbetet på nationel</w:t>
      </w:r>
      <w:r w:rsidRPr="008A7B99">
        <w:t xml:space="preserve">l och europeisk nivå. De nationella representanternas roll skulle tydliggöras och sekretariatet stärkas genom utökade resurser. </w:t>
      </w:r>
    </w:p>
    <w:p w:rsidR="008A7B99" w:rsidRPr="008A7B99" w:rsidRDefault="008A7B99"/>
    <w:p w:rsidR="008A7B99" w:rsidRPr="008A7B99" w:rsidRDefault="008A7B99">
      <w:r w:rsidRPr="008A7B99">
        <w:t xml:space="preserve">EUCPN:s styrelse inrättade under våren 2009 en informell arbetsgrupp som i juni 2009 presenterade sina rekommendationer till förändringar, vilka fick enhälligt stöd av EUCPN:s styrelse.  Det förslag till rådsbeslut som presenterades i början av juli bygger på dessa rekommendationer. </w:t>
      </w:r>
    </w:p>
    <w:p w:rsidR="008A7B99" w:rsidRPr="008A7B99" w:rsidRDefault="008A7B99">
      <w:pPr>
        <w:pStyle w:val="Rubrik2"/>
      </w:pPr>
      <w:r w:rsidRPr="008A7B99">
        <w:t>Förslagets innehåll</w:t>
      </w:r>
    </w:p>
    <w:p w:rsidR="008A7B99" w:rsidRPr="008A7B99" w:rsidRDefault="008A7B99">
      <w:r w:rsidRPr="008A7B99">
        <w:t xml:space="preserve">Syftet är att förändra EUCPN så att det kan fokusera på några konkreta arbetsuppgifter, mer inriktat på frågor som är aktuella inom RIF-området och producera material och tjänster som upplevs som nyttiga av medlemsstaterna och EU-institutionerna. För att åstadkomma detta föreslås att rådsbeslutet revideras och sekretariatet stärks, samt att den administrativa styrningen av sekretariatet kopplas bort från kommissionen. </w:t>
      </w:r>
    </w:p>
    <w:p w:rsidR="008A7B99" w:rsidRPr="008A7B99" w:rsidRDefault="008A7B99"/>
    <w:p w:rsidR="008A7B99" w:rsidRPr="008A7B99" w:rsidRDefault="008A7B99">
      <w:r w:rsidRPr="008A7B99">
        <w:t>Förslaget syftar huvudsakligen till att</w:t>
      </w:r>
    </w:p>
    <w:p w:rsidR="008A7B99" w:rsidRPr="008A7B99" w:rsidRDefault="008A7B99">
      <w:r w:rsidRPr="008A7B99">
        <w:t>1. Fokusera EUCPN:s arbetsuppgifter till områden där gemensamt samarbete på europeisk nivå kan ge mervärde och där EUCPN har en möjlighet för att få genomslag,</w:t>
      </w:r>
    </w:p>
    <w:p w:rsidR="008A7B99" w:rsidRPr="008A7B99" w:rsidRDefault="008A7B99">
      <w:r w:rsidRPr="008A7B99">
        <w:t>2. stärka organisationen genom att tydliggöra medlemsstaternas  representanters  ansvar för att, genom det strategiska arbetet i styrelsen, samla in och sprida kunskap om brott och om hur brott kan förebyggas samt;</w:t>
      </w:r>
    </w:p>
    <w:p w:rsidR="008A7B99" w:rsidRPr="008A7B99" w:rsidRDefault="008A7B99">
      <w:r w:rsidRPr="008A7B99">
        <w:t>3. stärka sekretariatet genom att öka personalresurserna till att bestå av minst två heltidsanställda. Sekretariatets uppgifter utökas till att, förutom att tillhandahålla administrativt stöd, också ha en kriminologisk /analytisk funktion, samt en funktion som tillhandahåller, utveckla och upprätthålla en webbsida. Enligt förslaget ska sekretariatet läggas ut på entreprenad av kommissionen genom ett officiellt upphandlingsförfarande.</w:t>
      </w:r>
    </w:p>
    <w:p w:rsidR="008A7B99" w:rsidRPr="008A7B99" w:rsidRDefault="008A7B99">
      <w:pPr>
        <w:pStyle w:val="Rubrik2"/>
      </w:pPr>
      <w:r w:rsidRPr="008A7B99">
        <w:t>Gällande svenska regler och förslagets effekt på dessa</w:t>
      </w:r>
    </w:p>
    <w:p w:rsidR="008A7B99" w:rsidRPr="008A7B99" w:rsidRDefault="008A7B99">
      <w:r w:rsidRPr="008A7B99">
        <w:t xml:space="preserve">Förslaget har ingen påverkan på svenska regler. </w:t>
      </w:r>
    </w:p>
    <w:p w:rsidR="008A7B99" w:rsidRPr="008A7B99" w:rsidRDefault="008A7B99">
      <w:pPr>
        <w:pStyle w:val="Rubrik2"/>
      </w:pPr>
      <w:r w:rsidRPr="008A7B99">
        <w:t>Budgetära konsekvenser / Konsekvensanalys</w:t>
      </w:r>
    </w:p>
    <w:p w:rsidR="008A7B99" w:rsidRPr="008A7B99" w:rsidRDefault="008A7B99">
      <w:r w:rsidRPr="008A7B99">
        <w:t xml:space="preserve">Förstärkningen av EUCPN kan ske inom EU-budgetens ram. I dagsläget gäller att sekretariatets aktiviteter ska bekostas av unionens budget. Det finns enligt kommissionen finansiellt utrymme att förstärka sekretariatet under finansieringsprogrammet ISEC utan att öka EU:s budget. </w:t>
      </w:r>
    </w:p>
    <w:p w:rsidR="008A7B99" w:rsidRPr="008A7B99" w:rsidRDefault="008A7B99">
      <w:pPr>
        <w:pStyle w:val="Rubrik1"/>
      </w:pPr>
      <w:r w:rsidRPr="008A7B99">
        <w:t>Ståndpunkter</w:t>
      </w:r>
    </w:p>
    <w:p w:rsidR="008A7B99" w:rsidRPr="008A7B99" w:rsidRDefault="008A7B99">
      <w:pPr>
        <w:pStyle w:val="Rubrik2"/>
      </w:pPr>
      <w:r w:rsidRPr="008A7B99">
        <w:t>Preliminär svensk ståndpunkt</w:t>
      </w:r>
    </w:p>
    <w:p w:rsidR="008A7B99" w:rsidRPr="008A7B99" w:rsidRDefault="008A7B99">
      <w:r w:rsidRPr="008A7B99">
        <w:t>Sverige är en av initiativtagarna till förslaget. Målet för förhandlingsarbetet är att sekretariatet stärks liksom  kommissionens strategiska medverkan i EUCPN:s arbete. Vidare ska  nätverkets arbete renodlas. Sverige samarbetar med andra medlemsstater också för att bidra till en budgetrestriktiv inriktning av förslaget. Regeringen verkar för att beslutet ska kunna fattas så snart som möjligt under det svenska ordförandeskapet.</w:t>
      </w:r>
    </w:p>
    <w:p w:rsidR="008A7B99" w:rsidRPr="008A7B99" w:rsidRDefault="008A7B99">
      <w:pPr>
        <w:pStyle w:val="Rubrik2"/>
      </w:pPr>
      <w:r w:rsidRPr="008A7B99">
        <w:t>Medlemsstaternas ståndpunkter</w:t>
      </w:r>
    </w:p>
    <w:p w:rsidR="008A7B99" w:rsidRPr="008A7B99" w:rsidRDefault="008A7B99">
      <w:r w:rsidRPr="008A7B99">
        <w:rPr>
          <w:rStyle w:val="RKnormalChar"/>
          <w:rFonts w:ascii="Times New Roman" w:hAnsi="Times New Roman"/>
          <w:sz w:val="19"/>
        </w:rPr>
        <w:t>Stort stöd föreligger för att revidera det nuvarande rådsbeslutet i enlighet med förslaget</w:t>
      </w:r>
      <w:r w:rsidRPr="008A7B99">
        <w:t xml:space="preserve">. </w:t>
      </w:r>
    </w:p>
    <w:p w:rsidR="008A7B99" w:rsidRPr="008A7B99" w:rsidRDefault="008A7B99">
      <w:pPr>
        <w:pStyle w:val="Rubrik2"/>
      </w:pPr>
      <w:r w:rsidRPr="008A7B99">
        <w:t>Institutionernas ståndpunkter</w:t>
      </w:r>
    </w:p>
    <w:p w:rsidR="008A7B99" w:rsidRPr="008A7B99" w:rsidRDefault="008A7B99">
      <w:r w:rsidRPr="008A7B99">
        <w:t>Kommissionen har ställt sig positiv till att lägga ut sekretariatet på entreprenad , men man vill ha stark kontroll över det. Europaparlamentet är positivt till att stärka det europeiska brottsförebyggande arbetet och ser ett stort framtida behov av kunskap på området. I synnerhet efter ett eventuellt ikraftträdande av Lissabonfördraget, menar man, kommer det att behövas organisationer som kan bistå europeiska beslutsfattare med kunskap, data och information om brott och brottsförebyggande arbete i utarbet</w:t>
      </w:r>
      <w:r w:rsidRPr="008A7B99">
        <w:t>andet av europeiska brottsförebyggande policys. EUCPN är en självklar resurs i detta avseende.</w:t>
      </w:r>
    </w:p>
    <w:p w:rsidR="008A7B99" w:rsidRPr="008A7B99" w:rsidRDefault="008A7B99">
      <w:pPr>
        <w:pStyle w:val="Rubrik2"/>
      </w:pPr>
      <w:r w:rsidRPr="008A7B99">
        <w:t>Remissinstansernas ståndpunkter</w:t>
      </w:r>
    </w:p>
    <w:p w:rsidR="008A7B99" w:rsidRPr="008A7B99" w:rsidRDefault="008A7B99">
      <w:r w:rsidRPr="008A7B99">
        <w:t>Inga remissinstanser är tillfrågade.</w:t>
      </w:r>
    </w:p>
    <w:p w:rsidR="008A7B99" w:rsidRPr="008A7B99" w:rsidRDefault="008A7B99">
      <w:pPr>
        <w:pStyle w:val="Rubrik1"/>
      </w:pPr>
      <w:r w:rsidRPr="008A7B99">
        <w:t>Förslagets förutsättningar</w:t>
      </w:r>
    </w:p>
    <w:p w:rsidR="008A7B99" w:rsidRPr="008A7B99" w:rsidRDefault="008A7B99">
      <w:pPr>
        <w:pStyle w:val="Rubrik2"/>
      </w:pPr>
      <w:r w:rsidRPr="008A7B99">
        <w:t>Rättslig grund och beslutsförfarande</w:t>
      </w:r>
    </w:p>
    <w:p w:rsidR="008A7B99" w:rsidRPr="008A7B99" w:rsidRDefault="008A7B99">
      <w:r w:rsidRPr="008A7B99">
        <w:t>Fördraget om den Europeiska unionen, Artikel 30(1), 31 och 34(2)(c).</w:t>
      </w:r>
    </w:p>
    <w:p w:rsidR="008A7B99" w:rsidRPr="008A7B99" w:rsidRDefault="008A7B99">
      <w:r w:rsidRPr="008A7B99">
        <w:t>Beslutet fattas med enhällighet. Europaparlamentet har yttranderätt.</w:t>
      </w:r>
    </w:p>
    <w:p w:rsidR="008A7B99" w:rsidRPr="008A7B99" w:rsidRDefault="008A7B99">
      <w:pPr>
        <w:pStyle w:val="Rubrik2"/>
      </w:pPr>
      <w:r w:rsidRPr="008A7B99">
        <w:t>Subsidiaritets- och proportionalitetsprincipen</w:t>
      </w:r>
    </w:p>
    <w:p w:rsidR="008A7B99" w:rsidRPr="008A7B99" w:rsidRDefault="008A7B99">
      <w:r w:rsidRPr="008A7B99">
        <w:t xml:space="preserve">Medlemsstaterna kan vinna fördelar av att ta del av information om hur övriga medlemsstater har gjort för att förebygga brottslighet som i allt större utsträckning är gränsöverskridande. Förslagets målsättningar kan inte i tillräcklig utsträckning uppnås av medlemsstaterna på egen hand och är begränsat till att tillhandahålla EUCPN med de instrument det behöver för att kunna uppnå bedriva sitt arbete. Regler som rör EUCPN:s inrättande och funktion antas med fördel på europeisk nivå. Regeringen bedömer att </w:t>
      </w:r>
      <w:r w:rsidRPr="008A7B99">
        <w:t>förslaget är förenligt med subsidiaritetsprincipen.</w:t>
      </w:r>
    </w:p>
    <w:p w:rsidR="008A7B99" w:rsidRPr="008A7B99" w:rsidRDefault="008A7B99">
      <w:r w:rsidRPr="008A7B99">
        <w:t xml:space="preserve">Regeringen anser att kostnaden för antalet styrelsemöten samt  storleken på sekretariatet  står i  proportion till de fördelar som man kan vinna genom EUCPN:s verksamhet. </w:t>
      </w:r>
    </w:p>
    <w:p w:rsidR="008A7B99" w:rsidRPr="008A7B99" w:rsidRDefault="008A7B99">
      <w:r w:rsidRPr="008A7B99">
        <w:t>Regeringen bedömer att förslaget är förenligt med proportionalitetsprincipen.</w:t>
      </w:r>
    </w:p>
    <w:p w:rsidR="008A7B99" w:rsidRPr="008A7B99" w:rsidRDefault="008A7B99"/>
    <w:p w:rsidR="008A7B99" w:rsidRPr="008A7B99" w:rsidRDefault="008A7B99">
      <w:pPr>
        <w:pStyle w:val="Rubrik1"/>
      </w:pPr>
      <w:r w:rsidRPr="008A7B99">
        <w:t>Övrigt</w:t>
      </w:r>
    </w:p>
    <w:p w:rsidR="008A7B99" w:rsidRPr="008A7B99" w:rsidRDefault="008A7B99">
      <w:pPr>
        <w:pStyle w:val="Rubrik2"/>
      </w:pPr>
      <w:r w:rsidRPr="008A7B99">
        <w:t>Fortsatt behandling av ärendet</w:t>
      </w:r>
    </w:p>
    <w:p w:rsidR="008A7B99" w:rsidRPr="008A7B99" w:rsidRDefault="008A7B99">
      <w:r w:rsidRPr="008A7B99">
        <w:t>Utkastet till reviderat rådsbeslut förhandlas i  rådsarbetsgrupper under juli och september.</w:t>
      </w:r>
    </w:p>
    <w:p w:rsidR="008A7B99" w:rsidRPr="008A7B99" w:rsidRDefault="008A7B99">
      <w:r w:rsidRPr="008A7B99">
        <w:t>Behandling i Artikel 36-kommittén,  Coreper och RIF-rådet beräknas ske i september. Antagandet planeras till hösten 2009.</w:t>
      </w:r>
    </w:p>
    <w:p w:rsidR="008A7B99" w:rsidRPr="008A7B99" w:rsidRDefault="008A7B99"/>
    <w:p w:rsidR="008A7B99" w:rsidRPr="008A7B99" w:rsidRDefault="008A7B99"/>
    <w:sectPr w:rsidR="00000000" w:rsidRPr="008A7B9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B99" w:rsidRPr="008A7B99" w:rsidRDefault="008A7B99">
      <w:r w:rsidRPr="008A7B99">
        <w:separator/>
      </w:r>
    </w:p>
  </w:endnote>
  <w:endnote w:type="continuationSeparator" w:id="0">
    <w:p w:rsidR="008A7B99" w:rsidRPr="008A7B99" w:rsidRDefault="008A7B99">
      <w:r w:rsidRPr="008A7B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99" w:rsidRPr="008A7B99" w:rsidRDefault="008A7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99" w:rsidRPr="008A7B99" w:rsidRDefault="008A7B99">
    <w:pPr>
      <w:pStyle w:val="SidfotH"/>
      <w:framePr w:wrap="around"/>
    </w:pPr>
    <w:r w:rsidRPr="008A7B99">
      <w:t>4</w:t>
    </w:r>
  </w:p>
  <w:p w:rsidR="008A7B99" w:rsidRPr="008A7B99" w:rsidRDefault="008A7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99" w:rsidRPr="008A7B99" w:rsidRDefault="008A7B99">
    <w:pPr>
      <w:pStyle w:val="SidfotH"/>
      <w:framePr w:wrap="around"/>
    </w:pPr>
    <w:r w:rsidRPr="008A7B99">
      <w:t>1</w:t>
    </w:r>
  </w:p>
  <w:p w:rsidR="008A7B99" w:rsidRPr="008A7B99" w:rsidRDefault="008A7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B99" w:rsidRPr="008A7B99" w:rsidRDefault="008A7B99">
      <w:r w:rsidRPr="008A7B99">
        <w:separator/>
      </w:r>
    </w:p>
  </w:footnote>
  <w:footnote w:type="continuationSeparator" w:id="0">
    <w:p w:rsidR="008A7B99" w:rsidRPr="008A7B99" w:rsidRDefault="008A7B99">
      <w:r w:rsidRPr="008A7B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99" w:rsidRPr="008A7B99" w:rsidRDefault="008A7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99" w:rsidRPr="008A7B99" w:rsidRDefault="008A7B99">
    <w:pPr>
      <w:pStyle w:val="Kantrubrik"/>
      <w:framePr w:h="1157" w:hRule="exact" w:wrap="around" w:y="738"/>
    </w:pPr>
    <w:r w:rsidRPr="008A7B99">
      <w:t>2008/09:FPM148</w:t>
    </w:r>
  </w:p>
  <w:p w:rsidR="008A7B99" w:rsidRPr="008A7B99" w:rsidRDefault="008A7B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99" w:rsidRPr="008A7B99" w:rsidRDefault="008A7B99">
    <w:pPr>
      <w:pStyle w:val="Sidhuvud"/>
    </w:pPr>
    <w:r w:rsidRPr="008A7B9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25037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B99" w:rsidRDefault="008A7B9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A7B99" w:rsidRDefault="008A7B99">
                    <w:pPr>
                      <w:pStyle w:val="Logo"/>
                    </w:pPr>
                    <w:r>
                      <w:object w:dxaOrig="840" w:dyaOrig="1545">
                        <v:shape id="_x0000_i1025" type="#_x0000_t75" style="width:42pt;height:77.5pt" filled="t">
                          <v:imagedata r:id="rId1" o:title=""/>
                        </v:shape>
                        <o:OLEObject Type="Embed" ProgID="Word.Picture.8" ShapeID="_x0000_i1025" DrawAspect="Content" ObjectID="_18275100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2946277">
    <w:abstractNumId w:val="4"/>
  </w:num>
  <w:num w:numId="2" w16cid:durableId="2025402268">
    <w:abstractNumId w:val="1"/>
  </w:num>
  <w:num w:numId="3" w16cid:durableId="948970478">
    <w:abstractNumId w:val="2"/>
  </w:num>
  <w:num w:numId="4" w16cid:durableId="386682741">
    <w:abstractNumId w:val="3"/>
  </w:num>
  <w:num w:numId="5" w16cid:durableId="327639140">
    <w:abstractNumId w:val="5"/>
  </w:num>
  <w:num w:numId="6" w16cid:durableId="47568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8-05"/>
    <w:docVar w:name="Ar" w:val="2008/09"/>
    <w:docVar w:name="Dep" w:val="Justitiedepartementet"/>
    <w:docVar w:name="DepWeb" w:val="Justitiedepartementet"/>
    <w:docVar w:name="GDB1" w:val="11421/09 CRIMORG 101 ENFOPOL  183, ADD1, COR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beslut om inrättande av ett europeiskt nätverk för förebyggande av brottslighet (EUCPN) och om upphävande av beslut 2001/427/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421/09 CRIMORG 101 ENFOPOL  183, ADD1, COR1"/>
    <w:docVar w:name="Nr" w:val="148"/>
    <w:docVar w:name="RD_APPVERSION" w:val="3.00"/>
    <w:docVar w:name="Rub" w:val="Revidering av rådets beslut om ett europeiskt brottsförebyggande nätverk"/>
    <w:docVar w:name="UppDat" w:val="2009-08-04"/>
    <w:docVar w:name="Utsk" w:val="Justitieutskottet"/>
  </w:docVars>
  <w:rsids>
    <w:rsidRoot w:val="0002203D"/>
    <w:rsid w:val="0002203D"/>
    <w:rsid w:val="008A7B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144AE1-C45F-4173-B402-1998D0C4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221013">
      <w:bodyDiv w:val="1"/>
      <w:marLeft w:val="0"/>
      <w:marRight w:val="0"/>
      <w:marTop w:val="0"/>
      <w:marBottom w:val="0"/>
      <w:divBdr>
        <w:top w:val="none" w:sz="0" w:space="0" w:color="auto"/>
        <w:left w:val="none" w:sz="0" w:space="0" w:color="auto"/>
        <w:bottom w:val="none" w:sz="0" w:space="0" w:color="auto"/>
        <w:right w:val="none" w:sz="0" w:space="0" w:color="auto"/>
      </w:divBdr>
    </w:div>
    <w:div w:id="19057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945</Words>
  <Characters>6165</Characters>
  <Application>Microsoft Office Word</Application>
  <DocSecurity>4</DocSecurity>
  <Lines>125</Lines>
  <Paragraphs>55</Paragraphs>
  <ScaleCrop>false</ScaleCrop>
  <HeadingPairs>
    <vt:vector size="2" baseType="variant">
      <vt:variant>
        <vt:lpstr>Rubrik</vt:lpstr>
      </vt:variant>
      <vt:variant>
        <vt:i4>1</vt:i4>
      </vt:variant>
    </vt:vector>
  </HeadingPairs>
  <TitlesOfParts>
    <vt:vector size="1" baseType="lpstr">
      <vt:lpstr>FPM_200809__148</vt:lpstr>
    </vt:vector>
  </TitlesOfParts>
  <Company>RD-DTSL</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FPM_200809__148</dc:title>
  <dc:subject>FPM_200809__148</dc:subject>
  <dc:creator>Riksdagen</dc:creator>
  <cp:keywords>Riksdagen</cp:keywords>
  <dc:description>KP2004-version.  Ändringarna påverkar enbart användningen inom Riksdagen. 050429 nya departement DTSL.</dc:description>
  <cp:lastModifiedBy>Lars Brink</cp:lastModifiedBy>
  <cp:revision>2</cp:revision>
  <cp:lastPrinted>2009-08-05T12:35:00Z</cp:lastPrinted>
  <dcterms:created xsi:type="dcterms:W3CDTF">2025-12-17T19:09:00Z</dcterms:created>
  <dcterms:modified xsi:type="dcterms:W3CDTF">2025-12-17T19:09:00Z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148</vt:lpwstr></property><property fmtid="{D5CDD505-2E9C-101B-9397-08002B2CF9AE}" pid="4" name="GDB1"><vt:lpwstr>11421/09 CRIMORG 101 ENFOPOL  183, ADD1, COR1</vt:lpwstr></property><property fmtid="{D5CDD505-2E9C-101B-9397-08002B2CF9AE}" pid="5" name="GDT1"><vt:lpwstr> </vt:lpwstr></property><property fmtid="{D5CDD505-2E9C-101B-9397-08002B2CF9AE}" pid="6" name="Dep"><vt:lpwstr>Justitiedepartementet</vt:lpwstr></property><property fmtid="{D5CDD505-2E9C-101B-9397-08002B2CF9AE}" pid="7" name="Rub"><vt:lpwstr>Revidering av rådets beslut om ett europeiskt brottsförebyggande nätverk</vt:lpwstr></property><property fmtid="{D5CDD505-2E9C-101B-9397-08002B2CF9AE}" pid="8" name="UppDat"><vt:lpwstr>2009-08-04</vt:lpwstr></property><property fmtid="{D5CDD505-2E9C-101B-9397-08002B2CF9AE}" pid="9" name="AnkDat"><vt:lpwstr>2009-08-05</vt:lpwstr></property><property fmtid="{D5CDD505-2E9C-101B-9397-08002B2CF9AE}" pid="10" name="Utsk"><vt:lpwstr>Justitieutskottet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2;0;0;207</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svarsdepartem"><vt:lpwstr>NEJ</vt:lpwstr></property></Properties>
</file>