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323B9E">
              <w:rPr>
                <w:b/>
              </w:rPr>
              <w:t>6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A76124" w:rsidP="00327A63">
            <w:r>
              <w:t>Tisdagen den 22 oktober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A76124">
              <w:t>11.00–</w:t>
            </w:r>
            <w:r w:rsidR="00FC3B48">
              <w:t>11.55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1347B1" w:rsidRDefault="001347B1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A761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A7612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2019/20:5 av den 17 oktober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A7612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utgiftsramar för 2020 (KrU1y)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43518D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2019/20:1 Budgetpropositionen för 2020 om förslag till </w:t>
            </w:r>
            <w:r w:rsidR="00925B9B">
              <w:rPr>
                <w:snapToGrid w:val="0"/>
              </w:rPr>
              <w:t>utgiftsramar f</w:t>
            </w:r>
            <w:r w:rsidR="001347B1">
              <w:rPr>
                <w:snapToGrid w:val="0"/>
              </w:rPr>
              <w:t>ö</w:t>
            </w:r>
            <w:r w:rsidR="00925B9B">
              <w:rPr>
                <w:snapToGrid w:val="0"/>
              </w:rPr>
              <w:t>r 2020 samt preliminära utgiftsramar för 2021 och 2022 för utgiftsområde 17 Kultur, medier, trossamfund och fritid samt de förslag till utgiftsramar inom utgiftsområde 17 som har lämnats i motioner (jfr prot. FiU 2019/20:2.3 och prot. KrU 2019/20:4.5).</w:t>
            </w:r>
          </w:p>
          <w:p w:rsidR="00925B9B" w:rsidRDefault="00925B9B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925B9B" w:rsidRDefault="00925B9B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Yttrande 2019/</w:t>
            </w:r>
            <w:proofErr w:type="gramStart"/>
            <w:r>
              <w:rPr>
                <w:snapToGrid w:val="0"/>
              </w:rPr>
              <w:t>20:KrU</w:t>
            </w:r>
            <w:proofErr w:type="gramEnd"/>
            <w:r>
              <w:rPr>
                <w:snapToGrid w:val="0"/>
              </w:rPr>
              <w:t>1y justerades.</w:t>
            </w:r>
          </w:p>
          <w:p w:rsidR="00925B9B" w:rsidRDefault="00925B9B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925B9B" w:rsidRPr="00371A95" w:rsidRDefault="00925B9B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V- och KD-ledamöterna anmälde avvikande meningar.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A7612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SAMSAM (Våra Gårdar, Bygdegårdarna och Folkets Hus och Parker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C3B48" w:rsidRDefault="006639C9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Vice ordförande Anders Karlsson, Bygdegårdarnas riksförbund, vd Calle Nathanson, Folkets Hus och Parker samt vd Simon Svensson, Våra Gårdar informerade om sina verksamheter och besvarade frågor från utskottets ledamöter.</w:t>
            </w:r>
            <w:r w:rsidR="00FC3B48">
              <w:rPr>
                <w:snapToGrid w:val="0"/>
              </w:rPr>
              <w:t xml:space="preserve"> </w:t>
            </w:r>
          </w:p>
          <w:p w:rsidR="00FC3B48" w:rsidRDefault="00FC3B48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Pr="00C7246E" w:rsidRDefault="00FC3B48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politiske sekreteraren Karl Efraimsson (SD) närvarade under denna punkt.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A7612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Det kyrkliga kulturarvet (KrU3)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7E1A4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</w:t>
            </w:r>
            <w:r w:rsidR="0043518D">
              <w:rPr>
                <w:snapToGrid w:val="0"/>
              </w:rPr>
              <w:t xml:space="preserve"> skrivelse 2018/19:122 Det kyrkliga kulturarvet samt motioner.</w:t>
            </w:r>
          </w:p>
          <w:p w:rsidR="0043518D" w:rsidRDefault="0043518D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43518D" w:rsidRPr="008A7BD3" w:rsidRDefault="0043518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1347B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motionsyrkande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504EDA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överlämnade motion 2019/20:3046 av Lotta Finstorp</w:t>
            </w:r>
            <w:r w:rsidR="001347B1">
              <w:rPr>
                <w:snapToGrid w:val="0"/>
              </w:rPr>
              <w:t xml:space="preserve"> m.fl.</w:t>
            </w:r>
            <w:r>
              <w:rPr>
                <w:snapToGrid w:val="0"/>
              </w:rPr>
              <w:t xml:space="preserve"> (M), </w:t>
            </w:r>
            <w:proofErr w:type="spellStart"/>
            <w:r>
              <w:rPr>
                <w:snapToGrid w:val="0"/>
              </w:rPr>
              <w:t>yrk</w:t>
            </w:r>
            <w:proofErr w:type="spellEnd"/>
            <w:r>
              <w:rPr>
                <w:snapToGrid w:val="0"/>
              </w:rPr>
              <w:t>. 11 till konstitutionsutskottet under förutsättning a</w:t>
            </w:r>
            <w:r w:rsidR="001347B1">
              <w:rPr>
                <w:snapToGrid w:val="0"/>
              </w:rPr>
              <w:t>tt</w:t>
            </w:r>
            <w:r>
              <w:rPr>
                <w:snapToGrid w:val="0"/>
              </w:rPr>
              <w:t xml:space="preserve"> det mottagande utskottet</w:t>
            </w:r>
            <w:r w:rsidR="001347B1">
              <w:rPr>
                <w:snapToGrid w:val="0"/>
              </w:rPr>
              <w:t xml:space="preserve"> tar emot yrkandet.</w:t>
            </w:r>
          </w:p>
          <w:p w:rsidR="00504EDA" w:rsidRDefault="00504EDA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504EDA" w:rsidRPr="00E60139" w:rsidRDefault="00504EDA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925B9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Överläggning med regeringen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925B9B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med stöd av 7 kap. 12 § riksdagsförordningen att begära överläggning med regeringen om:</w:t>
            </w:r>
          </w:p>
          <w:p w:rsidR="00925B9B" w:rsidRDefault="00925B9B" w:rsidP="00925B9B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– </w:t>
            </w:r>
            <w:r>
              <w:rPr>
                <w:rFonts w:ascii="TimesNewRomanPSMT" w:hAnsi="TimesNewRomanPSMT" w:cs="TimesNewRomanPSMT"/>
                <w:szCs w:val="24"/>
              </w:rPr>
              <w:t xml:space="preserve">Council Resolution on the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role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of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culture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as a driver and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facilitator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br/>
              <w:t xml:space="preserve">   for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sustainable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development</w:t>
            </w:r>
            <w:proofErr w:type="spellEnd"/>
          </w:p>
          <w:p w:rsidR="00925B9B" w:rsidRDefault="00925B9B" w:rsidP="00925B9B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–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Conclusions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on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combatting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corruption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in sport</w:t>
            </w:r>
          </w:p>
          <w:p w:rsidR="00925B9B" w:rsidRDefault="00925B9B" w:rsidP="00925B9B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–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Conclusions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on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safeguarding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children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in sport</w:t>
            </w:r>
          </w:p>
          <w:p w:rsidR="00925B9B" w:rsidRDefault="00925B9B" w:rsidP="00925B9B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–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Conclusions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on digital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youth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work</w:t>
            </w:r>
            <w:proofErr w:type="spellEnd"/>
          </w:p>
          <w:p w:rsidR="00925B9B" w:rsidRDefault="00925B9B" w:rsidP="00925B9B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–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Conclusions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on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education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training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and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skills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development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of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br/>
              <w:t xml:space="preserve">  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youth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workers</w:t>
            </w:r>
            <w:proofErr w:type="spellEnd"/>
          </w:p>
          <w:p w:rsidR="00925B9B" w:rsidRDefault="00925B9B" w:rsidP="00925B9B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</w:p>
          <w:p w:rsidR="00925B9B" w:rsidRPr="002F3D32" w:rsidRDefault="007A22DC" w:rsidP="00925B9B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2F3D32" w:rsidRDefault="00A7612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C2280" w:rsidRDefault="00A76124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</w:t>
            </w:r>
            <w:r w:rsidR="00FC3B48">
              <w:rPr>
                <w:snapToGrid w:val="0"/>
              </w:rPr>
              <w:t>två</w:t>
            </w:r>
            <w:r>
              <w:rPr>
                <w:snapToGrid w:val="0"/>
              </w:rPr>
              <w:t xml:space="preserve"> inkom</w:t>
            </w:r>
            <w:r w:rsidR="00FC3B48">
              <w:rPr>
                <w:snapToGrid w:val="0"/>
              </w:rPr>
              <w:t>na</w:t>
            </w:r>
            <w:r>
              <w:rPr>
                <w:snapToGrid w:val="0"/>
              </w:rPr>
              <w:t xml:space="preserve"> skrivelse</w:t>
            </w:r>
            <w:r w:rsidR="00FC3B48">
              <w:rPr>
                <w:snapToGrid w:val="0"/>
              </w:rPr>
              <w:t>r</w:t>
            </w:r>
            <w:r>
              <w:rPr>
                <w:snapToGrid w:val="0"/>
              </w:rPr>
              <w:t xml:space="preserve"> </w:t>
            </w:r>
            <w:r w:rsidR="004D243C">
              <w:rPr>
                <w:snapToGrid w:val="0"/>
              </w:rPr>
              <w:t xml:space="preserve">(dnr </w:t>
            </w:r>
            <w:r w:rsidR="00E07548">
              <w:rPr>
                <w:snapToGrid w:val="0"/>
              </w:rPr>
              <w:t>206-2019/20</w:t>
            </w:r>
            <w:r w:rsidR="00FC3B48">
              <w:rPr>
                <w:snapToGrid w:val="0"/>
              </w:rPr>
              <w:t xml:space="preserve"> och 381-2019</w:t>
            </w:r>
            <w:r w:rsidR="001347B1">
              <w:rPr>
                <w:snapToGrid w:val="0"/>
              </w:rPr>
              <w:t>/</w:t>
            </w:r>
            <w:r w:rsidR="00FC3B48">
              <w:rPr>
                <w:snapToGrid w:val="0"/>
              </w:rPr>
              <w:t>20</w:t>
            </w:r>
            <w:r w:rsidR="00E07548">
              <w:rPr>
                <w:snapToGrid w:val="0"/>
              </w:rPr>
              <w:t>).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347B1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327A63" w:rsidRPr="002D577C" w:rsidRDefault="00E0754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E07548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</w:t>
            </w:r>
            <w:r>
              <w:rPr>
                <w:snapToGrid w:val="0"/>
              </w:rPr>
              <w:br/>
              <w:t>den 5 november 2019 kl. 11.00.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E07548" w:rsidRDefault="00E07548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5557A1" w:rsidTr="00214046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557A1" w:rsidRDefault="005557A1" w:rsidP="00214046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7A1" w:rsidRDefault="005557A1" w:rsidP="00214046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7A1" w:rsidRPr="00EA4FB9" w:rsidRDefault="005557A1" w:rsidP="00214046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2019/20:6</w:t>
            </w: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4–8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RPr="0063675A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A7775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557A1" w:rsidRPr="0012084D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RPr="0012084D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63675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RPr="00E84917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E84917" w:rsidRDefault="005557A1" w:rsidP="002140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557A1" w:rsidRPr="00E84917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843A98" w:rsidRDefault="005557A1" w:rsidP="00214046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557A1" w:rsidRPr="00E84917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E84917" w:rsidRDefault="005557A1" w:rsidP="00214046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557A1" w:rsidRPr="00C929D4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929D4" w:rsidRDefault="005557A1" w:rsidP="00214046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5370B9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RPr="008A2E14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57A1" w:rsidRPr="008A2E14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A3483F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RPr="00317138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557A1" w:rsidRPr="00317138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RPr="00113234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C564AA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Default="005557A1" w:rsidP="00214046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A1" w:rsidRPr="00426117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57A1" w:rsidTr="00214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5557A1" w:rsidRDefault="005557A1" w:rsidP="00214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5557A1" w:rsidRDefault="005557A1" w:rsidP="005557A1"/>
    <w:p w:rsidR="005557A1" w:rsidRDefault="005557A1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5557A1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347B1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3B9E"/>
    <w:rsid w:val="00327A63"/>
    <w:rsid w:val="0035489E"/>
    <w:rsid w:val="003E2D14"/>
    <w:rsid w:val="003E7E7F"/>
    <w:rsid w:val="0043518D"/>
    <w:rsid w:val="004523A2"/>
    <w:rsid w:val="00452C0D"/>
    <w:rsid w:val="00452D87"/>
    <w:rsid w:val="00463BA3"/>
    <w:rsid w:val="004D243C"/>
    <w:rsid w:val="00503F49"/>
    <w:rsid w:val="00504EDA"/>
    <w:rsid w:val="00515CCF"/>
    <w:rsid w:val="005163AE"/>
    <w:rsid w:val="005557A1"/>
    <w:rsid w:val="00567EC1"/>
    <w:rsid w:val="005C4B06"/>
    <w:rsid w:val="005E0940"/>
    <w:rsid w:val="00657E3E"/>
    <w:rsid w:val="00662476"/>
    <w:rsid w:val="006639C9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2DC"/>
    <w:rsid w:val="007A26A9"/>
    <w:rsid w:val="007E1A47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25B9B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76124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07548"/>
    <w:rsid w:val="00E168C2"/>
    <w:rsid w:val="00E20D4E"/>
    <w:rsid w:val="00E56DF4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  <w:rsid w:val="00F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9D78B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3933</Characters>
  <Application>Microsoft Office Word</Application>
  <DocSecurity>0</DocSecurity>
  <Lines>3933</Lines>
  <Paragraphs>373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2019-11-05T10:58:00Z</dcterms:created>
  <dcterms:modified xsi:type="dcterms:W3CDTF">2019-11-05T10:58:00Z</dcterms:modified>
</cp:coreProperties>
</file>