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55029">
        <w:tblPrEx>
          <w:tblCellMar>
            <w:top w:w="0" w:type="dxa"/>
            <w:left w:w="0" w:type="dxa"/>
            <w:bottom w:w="0" w:type="dxa"/>
            <w:right w:w="0" w:type="dxa"/>
          </w:tblCellMar>
        </w:tblPrEx>
        <w:trPr>
          <w:gridAfter w:val="2"/>
          <w:wAfter w:w="1758" w:type="dxa"/>
          <w:cantSplit/>
          <w:trHeight w:val="1320"/>
        </w:trPr>
        <w:tc>
          <w:tcPr>
            <w:tcW w:w="5897" w:type="dxa"/>
          </w:tcPr>
          <w:p w:rsidR="00DA7309" w:rsidRPr="00055029" w:rsidRDefault="00DA7309">
            <w:pPr>
              <w:pStyle w:val="HuvudRubrik"/>
            </w:pPr>
            <w:r w:rsidRPr="00055029">
              <w:t>Regeringskansliet</w:t>
            </w:r>
          </w:p>
          <w:p w:rsidR="00DA7309" w:rsidRPr="00055029" w:rsidRDefault="00DA7309">
            <w:pPr>
              <w:pStyle w:val="HuvudRubrik"/>
            </w:pPr>
            <w:r w:rsidRPr="00055029">
              <w:t xml:space="preserve">Faktapromemoria  </w:t>
            </w:r>
            <w:r w:rsidRPr="00055029">
              <w:t>2006/07</w:t>
            </w:r>
            <w:r w:rsidRPr="00055029">
              <w:t>:</w:t>
            </w:r>
            <w:r w:rsidRPr="00055029">
              <w:t>FPM100</w:t>
            </w:r>
          </w:p>
        </w:tc>
      </w:tr>
      <w:tr w:rsidR="00000000" w:rsidRPr="00055029">
        <w:tblPrEx>
          <w:tblCellMar>
            <w:top w:w="0" w:type="dxa"/>
            <w:left w:w="0" w:type="dxa"/>
            <w:bottom w:w="0" w:type="dxa"/>
            <w:right w:w="0" w:type="dxa"/>
          </w:tblCellMar>
        </w:tblPrEx>
        <w:trPr>
          <w:gridAfter w:val="2"/>
          <w:wAfter w:w="1758" w:type="dxa"/>
          <w:cantSplit/>
          <w:trHeight w:val="240"/>
        </w:trPr>
        <w:tc>
          <w:tcPr>
            <w:tcW w:w="5897" w:type="dxa"/>
          </w:tcPr>
          <w:p w:rsidR="00DA7309" w:rsidRPr="00055029" w:rsidRDefault="00DA7309">
            <w:pPr>
              <w:pStyle w:val="HuvudRubrik"/>
              <w:rPr>
                <w:sz w:val="28"/>
              </w:rPr>
            </w:pPr>
            <w:r w:rsidRPr="00055029">
              <w:t>Meddelande om europeiska öppenhetsinitiativet</w:t>
            </w:r>
          </w:p>
        </w:tc>
      </w:tr>
      <w:tr w:rsidR="00D837C0" w:rsidRPr="00055029">
        <w:tblPrEx>
          <w:tblCellMar>
            <w:top w:w="0" w:type="dxa"/>
            <w:left w:w="0" w:type="dxa"/>
            <w:bottom w:w="0" w:type="dxa"/>
            <w:right w:w="0" w:type="dxa"/>
          </w:tblCellMar>
        </w:tblPrEx>
        <w:trPr>
          <w:cantSplit/>
          <w:trHeight w:val="285"/>
        </w:trPr>
        <w:tc>
          <w:tcPr>
            <w:tcW w:w="7655" w:type="dxa"/>
            <w:gridSpan w:val="3"/>
          </w:tcPr>
          <w:p w:rsidR="00D837C0" w:rsidRPr="00055029" w:rsidRDefault="00662347">
            <w:pPr>
              <w:pStyle w:val="Departement"/>
              <w:rPr>
                <w:sz w:val="28"/>
              </w:rPr>
            </w:pPr>
            <w:r w:rsidRPr="00055029">
              <w:t>Statsrådsberedningen</w:t>
            </w:r>
          </w:p>
        </w:tc>
      </w:tr>
      <w:tr w:rsidR="00D837C0" w:rsidRPr="00055029">
        <w:tblPrEx>
          <w:tblCellMar>
            <w:top w:w="0" w:type="dxa"/>
            <w:left w:w="0" w:type="dxa"/>
            <w:bottom w:w="0" w:type="dxa"/>
            <w:right w:w="0" w:type="dxa"/>
          </w:tblCellMar>
        </w:tblPrEx>
        <w:trPr>
          <w:cantSplit/>
          <w:trHeight w:val="240"/>
        </w:trPr>
        <w:tc>
          <w:tcPr>
            <w:tcW w:w="7655" w:type="dxa"/>
            <w:gridSpan w:val="3"/>
          </w:tcPr>
          <w:p w:rsidR="00D837C0" w:rsidRPr="00055029" w:rsidRDefault="00662347">
            <w:pPr>
              <w:pStyle w:val="Dokumentdatum"/>
            </w:pPr>
            <w:r w:rsidRPr="00055029">
              <w:t>2007-07-03</w:t>
            </w:r>
          </w:p>
        </w:tc>
      </w:tr>
      <w:tr w:rsidR="00D837C0" w:rsidRPr="00055029">
        <w:tblPrEx>
          <w:tblCellMar>
            <w:top w:w="0" w:type="dxa"/>
            <w:left w:w="0" w:type="dxa"/>
            <w:bottom w:w="0" w:type="dxa"/>
            <w:right w:w="0" w:type="dxa"/>
          </w:tblCellMar>
        </w:tblPrEx>
        <w:trPr>
          <w:cantSplit/>
          <w:trHeight w:val="726"/>
        </w:trPr>
        <w:tc>
          <w:tcPr>
            <w:tcW w:w="7655" w:type="dxa"/>
            <w:gridSpan w:val="3"/>
            <w:vAlign w:val="bottom"/>
          </w:tcPr>
          <w:p w:rsidR="00D837C0" w:rsidRPr="00055029" w:rsidRDefault="00D837C0">
            <w:pPr>
              <w:pStyle w:val="Dokumentbeteckning"/>
            </w:pPr>
            <w:r w:rsidRPr="00055029">
              <w:t>Dokumentbeteckning</w:t>
            </w:r>
          </w:p>
        </w:tc>
      </w:tr>
      <w:tr w:rsidR="00662347" w:rsidRPr="00055029">
        <w:tblPrEx>
          <w:tblCellMar>
            <w:top w:w="0" w:type="dxa"/>
            <w:left w:w="0" w:type="dxa"/>
            <w:bottom w:w="0" w:type="dxa"/>
            <w:right w:w="0" w:type="dxa"/>
          </w:tblCellMar>
        </w:tblPrEx>
        <w:trPr>
          <w:gridAfter w:val="1"/>
          <w:wAfter w:w="1560" w:type="dxa"/>
          <w:trHeight w:val="120"/>
        </w:trPr>
        <w:tc>
          <w:tcPr>
            <w:tcW w:w="6095" w:type="dxa"/>
            <w:gridSpan w:val="2"/>
          </w:tcPr>
          <w:p w:rsidR="00662347" w:rsidRPr="00055029" w:rsidRDefault="00662347" w:rsidP="00662347">
            <w:bookmarkStart w:id="0" w:name="KomNr"/>
            <w:bookmarkEnd w:id="0"/>
            <w:r w:rsidRPr="00055029">
              <w:t>COM(2007) 127</w:t>
            </w:r>
          </w:p>
        </w:tc>
      </w:tr>
      <w:tr w:rsidR="00662347" w:rsidRPr="00055029">
        <w:tblPrEx>
          <w:tblCellMar>
            <w:top w:w="0" w:type="dxa"/>
            <w:left w:w="0" w:type="dxa"/>
            <w:bottom w:w="0" w:type="dxa"/>
            <w:right w:w="0" w:type="dxa"/>
          </w:tblCellMar>
        </w:tblPrEx>
        <w:trPr>
          <w:gridAfter w:val="1"/>
          <w:wAfter w:w="1560" w:type="dxa"/>
          <w:trHeight w:val="120"/>
        </w:trPr>
        <w:tc>
          <w:tcPr>
            <w:tcW w:w="6095" w:type="dxa"/>
            <w:gridSpan w:val="2"/>
          </w:tcPr>
          <w:p w:rsidR="00662347" w:rsidRPr="00055029" w:rsidRDefault="00662347" w:rsidP="00662347">
            <w:pPr>
              <w:pStyle w:val="Dokumentbeteckning-titel"/>
            </w:pPr>
            <w:r w:rsidRPr="00055029">
              <w:t>Meddelande från kommissionen. Uppföljning av grönboken om "Det europeiska öppenhetinitiativet"</w:t>
            </w:r>
          </w:p>
        </w:tc>
      </w:tr>
      <w:tr w:rsidR="00662347" w:rsidRPr="00055029">
        <w:tblPrEx>
          <w:tblCellMar>
            <w:top w:w="0" w:type="dxa"/>
            <w:left w:w="0" w:type="dxa"/>
            <w:bottom w:w="0" w:type="dxa"/>
            <w:right w:w="0" w:type="dxa"/>
          </w:tblCellMar>
        </w:tblPrEx>
        <w:trPr>
          <w:gridAfter w:val="1"/>
          <w:wAfter w:w="1560" w:type="dxa"/>
          <w:trHeight w:val="120"/>
        </w:trPr>
        <w:tc>
          <w:tcPr>
            <w:tcW w:w="6095" w:type="dxa"/>
            <w:gridSpan w:val="2"/>
          </w:tcPr>
          <w:p w:rsidR="00662347" w:rsidRPr="00055029" w:rsidRDefault="00662347" w:rsidP="00662347">
            <w:r w:rsidRPr="00055029">
              <w:t>SEK(2007) 360</w:t>
            </w:r>
          </w:p>
        </w:tc>
      </w:tr>
      <w:tr w:rsidR="00662347" w:rsidRPr="00055029">
        <w:tblPrEx>
          <w:tblCellMar>
            <w:top w:w="0" w:type="dxa"/>
            <w:left w:w="0" w:type="dxa"/>
            <w:bottom w:w="0" w:type="dxa"/>
            <w:right w:w="0" w:type="dxa"/>
          </w:tblCellMar>
        </w:tblPrEx>
        <w:trPr>
          <w:gridAfter w:val="1"/>
          <w:wAfter w:w="1560" w:type="dxa"/>
          <w:trHeight w:val="120"/>
        </w:trPr>
        <w:tc>
          <w:tcPr>
            <w:tcW w:w="6095" w:type="dxa"/>
            <w:gridSpan w:val="2"/>
          </w:tcPr>
          <w:p w:rsidR="00662347" w:rsidRPr="00055029" w:rsidRDefault="00662347" w:rsidP="00662347">
            <w:pPr>
              <w:pStyle w:val="Dokumentbeteckning-titel"/>
            </w:pPr>
            <w:r w:rsidRPr="00055029">
              <w:t xml:space="preserve"> </w:t>
            </w:r>
          </w:p>
        </w:tc>
      </w:tr>
    </w:tbl>
    <w:p w:rsidR="00D837C0" w:rsidRPr="00055029" w:rsidRDefault="00D837C0"/>
    <w:p w:rsidR="00D837C0" w:rsidRPr="00055029" w:rsidRDefault="00D837C0">
      <w:pPr>
        <w:pStyle w:val="Rubrik1"/>
        <w:numPr>
          <w:ilvl w:val="0"/>
          <w:numId w:val="0"/>
        </w:numPr>
      </w:pPr>
      <w:r w:rsidRPr="00055029">
        <w:t>Sammanfattning</w:t>
      </w:r>
    </w:p>
    <w:p w:rsidR="00EB2B04" w:rsidRPr="00055029" w:rsidRDefault="00735C05" w:rsidP="0041226F">
      <w:r w:rsidRPr="00055029">
        <w:t xml:space="preserve">Meddelandet är </w:t>
      </w:r>
      <w:r w:rsidR="002520B8" w:rsidRPr="00055029">
        <w:t xml:space="preserve">en uppföljning av </w:t>
      </w:r>
      <w:r w:rsidR="00186387" w:rsidRPr="00055029">
        <w:t>grönbok</w:t>
      </w:r>
      <w:r w:rsidRPr="00055029">
        <w:t>en om</w:t>
      </w:r>
      <w:r w:rsidR="00186387" w:rsidRPr="00055029">
        <w:t xml:space="preserve"> </w:t>
      </w:r>
      <w:r w:rsidR="00981C01" w:rsidRPr="00055029">
        <w:t>d</w:t>
      </w:r>
      <w:r w:rsidRPr="00055029">
        <w:t>et e</w:t>
      </w:r>
      <w:r w:rsidR="00186387" w:rsidRPr="00055029">
        <w:t>uropeiska öppenhetsinitiativet</w:t>
      </w:r>
      <w:r w:rsidRPr="00055029">
        <w:t>. K</w:t>
      </w:r>
      <w:r w:rsidR="00186387" w:rsidRPr="00055029">
        <w:t xml:space="preserve">ommissionen </w:t>
      </w:r>
      <w:r w:rsidRPr="00055029">
        <w:t xml:space="preserve"> kommer </w:t>
      </w:r>
      <w:r w:rsidR="00186387" w:rsidRPr="00055029">
        <w:t>enligt meddelandet</w:t>
      </w:r>
      <w:r w:rsidR="002520B8" w:rsidRPr="00055029">
        <w:t>s slutsatser</w:t>
      </w:r>
      <w:r w:rsidR="00186387" w:rsidRPr="00055029">
        <w:t xml:space="preserve"> att:</w:t>
      </w:r>
    </w:p>
    <w:p w:rsidR="00EB2B04" w:rsidRPr="00055029" w:rsidRDefault="00EB2B04" w:rsidP="00EB2B04">
      <w:r w:rsidRPr="00055029">
        <w:t xml:space="preserve">• </w:t>
      </w:r>
      <w:r w:rsidR="0085097C" w:rsidRPr="00055029">
        <w:t xml:space="preserve">  </w:t>
      </w:r>
      <w:r w:rsidRPr="00055029">
        <w:t>Skapa ett nytt</w:t>
      </w:r>
      <w:r w:rsidR="00186387" w:rsidRPr="00055029">
        <w:t xml:space="preserve"> frivilligt register </w:t>
      </w:r>
      <w:r w:rsidRPr="00055029">
        <w:t xml:space="preserve">för </w:t>
      </w:r>
      <w:r w:rsidR="00186387" w:rsidRPr="00055029">
        <w:t>lobbyister</w:t>
      </w:r>
      <w:r w:rsidRPr="00055029">
        <w:t>, med en möjl</w:t>
      </w:r>
      <w:r w:rsidR="00186387" w:rsidRPr="00055029">
        <w:t>ighet för dessa att bli informerade</w:t>
      </w:r>
      <w:r w:rsidRPr="00055029">
        <w:t xml:space="preserve"> om samråd i frågor som är intresserade av.</w:t>
      </w:r>
    </w:p>
    <w:p w:rsidR="00186387" w:rsidRPr="00055029" w:rsidRDefault="00567167" w:rsidP="00EB2B04">
      <w:r w:rsidRPr="00055029">
        <w:t>• S</w:t>
      </w:r>
      <w:r w:rsidR="00EB2B04" w:rsidRPr="00055029">
        <w:t>kär</w:t>
      </w:r>
      <w:r w:rsidRPr="00055029">
        <w:t>pa</w:t>
      </w:r>
      <w:r w:rsidR="00EB2B04" w:rsidRPr="00055029">
        <w:t xml:space="preserve"> tillämpning</w:t>
      </w:r>
      <w:r w:rsidRPr="00055029">
        <w:t>en</w:t>
      </w:r>
      <w:r w:rsidR="00EB2B04" w:rsidRPr="00055029">
        <w:t xml:space="preserve"> av kommissionens samrådsnormer, med utgångspunkt främst i en standardwebbplats för Internetsamråd, samt en granskning av deltagarna. </w:t>
      </w:r>
    </w:p>
    <w:p w:rsidR="00EB2B04" w:rsidRPr="00055029" w:rsidRDefault="00EB2B04" w:rsidP="00EB2B04">
      <w:r w:rsidRPr="00055029">
        <w:t>• Formulera en uppförandekodex</w:t>
      </w:r>
      <w:r w:rsidR="00186387" w:rsidRPr="00055029">
        <w:t xml:space="preserve"> för lobbyister</w:t>
      </w:r>
      <w:r w:rsidRPr="00055029">
        <w:t>. Anslutning bakom uppförandekodexen blir ett krav för att kunna komma med i registret, och efterlevnaden skall övervakas av kommissionen.</w:t>
      </w:r>
    </w:p>
    <w:p w:rsidR="002E2A6B" w:rsidRPr="00055029" w:rsidRDefault="00EB2B04" w:rsidP="002E2A6B">
      <w:r w:rsidRPr="00055029">
        <w:t xml:space="preserve">• </w:t>
      </w:r>
      <w:r w:rsidR="0085097C" w:rsidRPr="00055029">
        <w:t xml:space="preserve"> </w:t>
      </w:r>
      <w:r w:rsidRPr="00055029">
        <w:t>Fullfölja och genomföra sin politik när det gäller offentliggö</w:t>
      </w:r>
      <w:r w:rsidR="002E2A6B" w:rsidRPr="00055029">
        <w:t>randet av mottagarna av EU-stöd.</w:t>
      </w:r>
    </w:p>
    <w:p w:rsidR="0085097C" w:rsidRPr="00055029" w:rsidRDefault="0085097C" w:rsidP="00F14E4B"/>
    <w:p w:rsidR="002E2A6B" w:rsidRPr="00055029" w:rsidRDefault="00735C05" w:rsidP="00F14E4B">
      <w:r w:rsidRPr="00055029">
        <w:t>Regeringen</w:t>
      </w:r>
      <w:r w:rsidR="002E2A6B" w:rsidRPr="00055029">
        <w:t xml:space="preserve"> ser </w:t>
      </w:r>
      <w:r w:rsidR="002520B8" w:rsidRPr="00055029">
        <w:t xml:space="preserve">positivt på </w:t>
      </w:r>
      <w:r w:rsidR="00B45A9D" w:rsidRPr="00055029">
        <w:t>åtgärder</w:t>
      </w:r>
      <w:r w:rsidR="002E2A6B" w:rsidRPr="00055029">
        <w:t xml:space="preserve"> som leder till en ökad öppenhet och  </w:t>
      </w:r>
      <w:r w:rsidR="00981C01" w:rsidRPr="00055029">
        <w:t xml:space="preserve"> insyn i </w:t>
      </w:r>
      <w:r w:rsidR="002E2A6B" w:rsidRPr="00055029">
        <w:t xml:space="preserve"> beslutsprocess inom EU.</w:t>
      </w:r>
    </w:p>
    <w:p w:rsidR="002E2A6B" w:rsidRPr="00055029" w:rsidRDefault="002E2A6B" w:rsidP="00F14E4B"/>
    <w:p w:rsidR="002E2A6B" w:rsidRPr="00055029" w:rsidRDefault="002E2A6B" w:rsidP="00F14E4B"/>
    <w:p w:rsidR="0085097C" w:rsidRPr="00055029" w:rsidRDefault="0085097C" w:rsidP="00F14E4B"/>
    <w:p w:rsidR="0085097C" w:rsidRPr="00055029" w:rsidRDefault="0085097C" w:rsidP="00F14E4B"/>
    <w:p w:rsidR="00D837C0" w:rsidRPr="00055029" w:rsidRDefault="00735C05">
      <w:pPr>
        <w:pStyle w:val="Rubrik1"/>
      </w:pPr>
      <w:r w:rsidRPr="00055029">
        <w:t>Förslaget</w:t>
      </w:r>
    </w:p>
    <w:p w:rsidR="00981C01" w:rsidRPr="00055029" w:rsidRDefault="00981C01" w:rsidP="00F14E4B"/>
    <w:p w:rsidR="00D837C0" w:rsidRPr="00055029" w:rsidRDefault="00D837C0">
      <w:pPr>
        <w:pStyle w:val="Rubrik2"/>
      </w:pPr>
      <w:r w:rsidRPr="00055029">
        <w:t>Innehåll</w:t>
      </w:r>
    </w:p>
    <w:p w:rsidR="006C0FFD" w:rsidRPr="00055029" w:rsidRDefault="006C0FFD" w:rsidP="00F14E4B"/>
    <w:p w:rsidR="00C07AFD" w:rsidRPr="00055029" w:rsidRDefault="00C07AFD" w:rsidP="00695EFA">
      <w:r w:rsidRPr="00055029">
        <w:t xml:space="preserve">Kommissionen lanserade i november 2005 ”Europeiska initiativet för att främja öppenheten”. Med detta initiativ </w:t>
      </w:r>
      <w:r w:rsidR="0085097C" w:rsidRPr="00055029">
        <w:t xml:space="preserve">inledde kommissionen </w:t>
      </w:r>
      <w:r w:rsidRPr="00055029">
        <w:t>en översyn av sin övergripande hållning i öppenhetsfrågan. Syftet är att definiera områden där det behövs förbättringar och uppmuntra till debatt om dessa frågor.</w:t>
      </w:r>
    </w:p>
    <w:p w:rsidR="00695EFA" w:rsidRPr="00055029" w:rsidRDefault="00186387" w:rsidP="00695EFA">
      <w:r w:rsidRPr="00055029">
        <w:t xml:space="preserve">Kommissionens antog i maj </w:t>
      </w:r>
      <w:r w:rsidR="00B118A4" w:rsidRPr="00055029">
        <w:t>2</w:t>
      </w:r>
      <w:r w:rsidRPr="00055029">
        <w:t xml:space="preserve">006 </w:t>
      </w:r>
      <w:r w:rsidR="00735C05" w:rsidRPr="00055029">
        <w:t xml:space="preserve">en </w:t>
      </w:r>
      <w:r w:rsidRPr="00055029">
        <w:t>grönbok</w:t>
      </w:r>
      <w:r w:rsidR="00695EFA" w:rsidRPr="00055029">
        <w:t xml:space="preserve"> var</w:t>
      </w:r>
      <w:r w:rsidR="00735C05" w:rsidRPr="00055029">
        <w:t>s</w:t>
      </w:r>
      <w:r w:rsidR="00695EFA" w:rsidRPr="00055029">
        <w:t xml:space="preserve"> </w:t>
      </w:r>
      <w:r w:rsidR="00735C05" w:rsidRPr="00055029">
        <w:t xml:space="preserve">syfte var </w:t>
      </w:r>
      <w:r w:rsidR="00695EFA" w:rsidRPr="00055029">
        <w:t xml:space="preserve">att starta ett brett offentligt samråd om vissa centrala beståndsdelar i </w:t>
      </w:r>
      <w:r w:rsidRPr="00055029">
        <w:t xml:space="preserve">sitt </w:t>
      </w:r>
      <w:r w:rsidR="00C07AFD" w:rsidRPr="00055029">
        <w:t>öppenhets</w:t>
      </w:r>
      <w:r w:rsidRPr="00055029">
        <w:t>initiativ</w:t>
      </w:r>
      <w:r w:rsidR="00695EFA" w:rsidRPr="00055029">
        <w:t>, nämligen:</w:t>
      </w:r>
    </w:p>
    <w:p w:rsidR="00695EFA" w:rsidRPr="00055029" w:rsidRDefault="00695EFA" w:rsidP="00695EFA">
      <w:pPr>
        <w:numPr>
          <w:ilvl w:val="0"/>
          <w:numId w:val="7"/>
        </w:numPr>
      </w:pPr>
      <w:r w:rsidRPr="00055029">
        <w:t>Behovet av en mer strukturerad ram för</w:t>
      </w:r>
      <w:r w:rsidR="00B118A4" w:rsidRPr="00055029">
        <w:t xml:space="preserve"> </w:t>
      </w:r>
      <w:r w:rsidR="00B118A4" w:rsidRPr="00055029">
        <w:rPr>
          <w:i/>
        </w:rPr>
        <w:t>lobbyverksamheten</w:t>
      </w:r>
      <w:r w:rsidRPr="00055029">
        <w:t>.</w:t>
      </w:r>
    </w:p>
    <w:p w:rsidR="00695EFA" w:rsidRPr="00055029" w:rsidRDefault="000D2684" w:rsidP="00695EFA">
      <w:pPr>
        <w:numPr>
          <w:ilvl w:val="0"/>
          <w:numId w:val="7"/>
        </w:numPr>
      </w:pPr>
      <w:r w:rsidRPr="00055029">
        <w:t>Återkoppling</w:t>
      </w:r>
      <w:r w:rsidR="006C0FFD" w:rsidRPr="00055029">
        <w:t xml:space="preserve"> </w:t>
      </w:r>
      <w:r w:rsidR="00695EFA" w:rsidRPr="00055029">
        <w:t xml:space="preserve">på kommissionens </w:t>
      </w:r>
      <w:r w:rsidR="00695EFA" w:rsidRPr="00055029">
        <w:rPr>
          <w:b/>
          <w:i/>
        </w:rPr>
        <w:t xml:space="preserve"> </w:t>
      </w:r>
      <w:r w:rsidR="00695EFA" w:rsidRPr="00055029">
        <w:rPr>
          <w:i/>
        </w:rPr>
        <w:t>samråd</w:t>
      </w:r>
      <w:r w:rsidR="00B118A4" w:rsidRPr="00055029">
        <w:rPr>
          <w:i/>
        </w:rPr>
        <w:t>s</w:t>
      </w:r>
      <w:r w:rsidR="002E2A6B" w:rsidRPr="00055029">
        <w:rPr>
          <w:i/>
        </w:rPr>
        <w:t>normer</w:t>
      </w:r>
      <w:r w:rsidR="00695EFA" w:rsidRPr="00055029">
        <w:t>.</w:t>
      </w:r>
    </w:p>
    <w:p w:rsidR="00695EFA" w:rsidRPr="00055029" w:rsidRDefault="00B118A4" w:rsidP="00695EFA">
      <w:pPr>
        <w:numPr>
          <w:ilvl w:val="0"/>
          <w:numId w:val="7"/>
        </w:numPr>
      </w:pPr>
      <w:r w:rsidRPr="00055029">
        <w:rPr>
          <w:i/>
        </w:rPr>
        <w:t>Offentliggörande av mottagarna av EU-medel</w:t>
      </w:r>
      <w:r w:rsidR="00695EFA" w:rsidRPr="00055029">
        <w:t>.</w:t>
      </w:r>
    </w:p>
    <w:p w:rsidR="00B118A4" w:rsidRPr="00055029" w:rsidRDefault="00B118A4" w:rsidP="00B91CD9"/>
    <w:p w:rsidR="00B91CD9" w:rsidRPr="00055029" w:rsidRDefault="006C0FFD" w:rsidP="00B91CD9">
      <w:pPr>
        <w:rPr>
          <w:i/>
        </w:rPr>
      </w:pPr>
      <w:r w:rsidRPr="00055029">
        <w:t xml:space="preserve">Meddelandet om uppföljningen av grönboken presenterades i  april 2007. </w:t>
      </w:r>
      <w:r w:rsidR="00B91CD9" w:rsidRPr="00055029">
        <w:t>Kommissionen</w:t>
      </w:r>
      <w:r w:rsidR="00EB2B04" w:rsidRPr="00055029">
        <w:t xml:space="preserve"> ger i sitt </w:t>
      </w:r>
      <w:r w:rsidR="00B91CD9" w:rsidRPr="00055029">
        <w:t xml:space="preserve">meddelande </w:t>
      </w:r>
      <w:r w:rsidR="0085097C" w:rsidRPr="00055029">
        <w:t xml:space="preserve">en </w:t>
      </w:r>
      <w:r w:rsidR="000D2684" w:rsidRPr="00055029">
        <w:t xml:space="preserve">återkoppling </w:t>
      </w:r>
      <w:r w:rsidR="00B91CD9" w:rsidRPr="00055029">
        <w:t>på de argument som kommit fram i samrådsprocessen och fatta</w:t>
      </w:r>
      <w:r w:rsidR="00EB2B04" w:rsidRPr="00055029">
        <w:t>r</w:t>
      </w:r>
      <w:r w:rsidR="00B91CD9" w:rsidRPr="00055029">
        <w:t xml:space="preserve"> beslut om åtgärder som skall följa upp grönboken.</w:t>
      </w:r>
      <w:r w:rsidR="000D2684" w:rsidRPr="00055029">
        <w:t xml:space="preserve"> </w:t>
      </w:r>
    </w:p>
    <w:p w:rsidR="00B91CD9" w:rsidRPr="00055029" w:rsidRDefault="00B91CD9" w:rsidP="00F14E4B"/>
    <w:p w:rsidR="00695EFA" w:rsidRPr="00055029" w:rsidRDefault="00EB2B04" w:rsidP="00695EFA">
      <w:pPr>
        <w:rPr>
          <w:b/>
        </w:rPr>
      </w:pPr>
      <w:r w:rsidRPr="00055029">
        <w:rPr>
          <w:b/>
        </w:rPr>
        <w:t>Lobbyverksamhet</w:t>
      </w:r>
    </w:p>
    <w:p w:rsidR="00B91CD9" w:rsidRPr="00055029" w:rsidRDefault="00B91CD9" w:rsidP="00F14E4B"/>
    <w:p w:rsidR="00695EFA" w:rsidRPr="00055029" w:rsidRDefault="00695EFA" w:rsidP="00695EFA">
      <w:r w:rsidRPr="00055029">
        <w:t>I grönboken föreslog kommissionen en ny ram för lobbyverksamheten som bygger på:</w:t>
      </w:r>
    </w:p>
    <w:p w:rsidR="00695EFA" w:rsidRPr="00055029" w:rsidRDefault="00695EFA" w:rsidP="00695EFA">
      <w:r w:rsidRPr="00055029">
        <w:t>– Ett frivilligt registreringssystem med incitament för lobbyister att l</w:t>
      </w:r>
      <w:r w:rsidR="00944B77" w:rsidRPr="00055029">
        <w:t xml:space="preserve">åta registrera sig. Incitamentet för </w:t>
      </w:r>
      <w:r w:rsidR="000D2684" w:rsidRPr="00055029">
        <w:t xml:space="preserve"> registrering </w:t>
      </w:r>
      <w:r w:rsidR="00944B77" w:rsidRPr="00055029">
        <w:t xml:space="preserve">skulle bl.a. bestå i att lobbyisterna automatiskt skulle informeras </w:t>
      </w:r>
      <w:r w:rsidRPr="00055029">
        <w:t>om samråd i de frågor som de är intresserade av.</w:t>
      </w:r>
    </w:p>
    <w:p w:rsidR="00695EFA" w:rsidRPr="00055029" w:rsidRDefault="00695EFA" w:rsidP="00695EFA">
      <w:r w:rsidRPr="00055029">
        <w:t>– En gemensam uppförandekodex för alla lobbyister, eller åtminstone gemensamma minimikrav.</w:t>
      </w:r>
    </w:p>
    <w:p w:rsidR="00EB2B04" w:rsidRPr="00055029" w:rsidRDefault="00695EFA" w:rsidP="00695EFA">
      <w:r w:rsidRPr="00055029">
        <w:t>– Ett system för övervakning och påföljder som skall utdömas vid fall av felaktig registrering eller brott mot uppförandekodexen.</w:t>
      </w:r>
    </w:p>
    <w:p w:rsidR="00EB2B04" w:rsidRPr="00055029" w:rsidRDefault="00EB2B04" w:rsidP="002C73B6">
      <w:r w:rsidRPr="00055029">
        <w:t xml:space="preserve">I sitt meddelande konstaterar kommissionen </w:t>
      </w:r>
      <w:r w:rsidR="00F9130D" w:rsidRPr="00055029">
        <w:t xml:space="preserve">att samrådet om grönboken påvisat </w:t>
      </w:r>
      <w:r w:rsidRPr="00055029">
        <w:t>att det frivilliga systemet bör</w:t>
      </w:r>
      <w:r w:rsidR="00695EFA" w:rsidRPr="00055029">
        <w:t xml:space="preserve"> få ytterligare ett incitament. </w:t>
      </w:r>
      <w:r w:rsidR="002C73B6" w:rsidRPr="00055029">
        <w:t xml:space="preserve">Kommissionen avser </w:t>
      </w:r>
      <w:r w:rsidR="00F9130D" w:rsidRPr="00055029">
        <w:t xml:space="preserve">därför </w:t>
      </w:r>
      <w:r w:rsidR="00695EFA" w:rsidRPr="00055029">
        <w:t>kombinera det frivilliga registret med en ny standardmall för Internetsamråd. Om organisationerna lämnar in sina bidrag i samband med ett sådant samråd kommer de systematiskt att uppmanas att använda registret för att deklarera vem de företräder, vad de har för uppdrag och hur de finansieras.</w:t>
      </w:r>
    </w:p>
    <w:p w:rsidR="00695EFA" w:rsidRPr="00055029" w:rsidRDefault="00944B77" w:rsidP="00695EFA">
      <w:r w:rsidRPr="00055029">
        <w:t>K</w:t>
      </w:r>
      <w:r w:rsidR="00695EFA" w:rsidRPr="00055029">
        <w:t xml:space="preserve">ommissionen </w:t>
      </w:r>
      <w:r w:rsidR="00F9130D" w:rsidRPr="00055029">
        <w:t xml:space="preserve">kommer </w:t>
      </w:r>
      <w:r w:rsidR="00695EFA" w:rsidRPr="00055029">
        <w:t xml:space="preserve">att tillämpa följande </w:t>
      </w:r>
      <w:r w:rsidR="00695EFA" w:rsidRPr="00055029">
        <w:rPr>
          <w:i/>
        </w:rPr>
        <w:t>minimikriterier</w:t>
      </w:r>
      <w:r w:rsidR="00695EFA" w:rsidRPr="00055029">
        <w:t xml:space="preserve"> när den bedömer huruvida den inlämnade informationen är tillräcklig för en registrering:</w:t>
      </w:r>
    </w:p>
    <w:p w:rsidR="00695EFA" w:rsidRPr="00055029" w:rsidRDefault="00695EFA" w:rsidP="00695EFA">
      <w:r w:rsidRPr="00055029">
        <w:t>– Vid professionellt konsultarbete och advokatbyråer som sysslar med lobbying i EU-institutionerna bör man deklarera den omsättning som är kopplad till lobbying gentemot EU-institutionerna samt klienternas relativa betydelse i denna omsättning.</w:t>
      </w:r>
    </w:p>
    <w:p w:rsidR="00695EFA" w:rsidRPr="00055029" w:rsidRDefault="00695EFA" w:rsidP="00695EFA">
      <w:r w:rsidRPr="00055029">
        <w:t>– ”In-house-lobbyister” och branschorganisationer som sysslar med lobbying bör lämna en uppskattning av kostnaden i samband med direkt lobbying vid EU-institutionerna.</w:t>
      </w:r>
    </w:p>
    <w:p w:rsidR="003F2BD4" w:rsidRPr="00055029" w:rsidRDefault="00695EFA" w:rsidP="00695EFA">
      <w:r w:rsidRPr="00055029">
        <w:t>– Icke-statliga organisationer och tankesmedjor bör deklarera sin totala budget och fördelningen per hu</w:t>
      </w:r>
      <w:r w:rsidR="00021EFF" w:rsidRPr="00055029">
        <w:t>vudsakliga finansieringskällor</w:t>
      </w:r>
      <w:r w:rsidRPr="00055029">
        <w:t>.</w:t>
      </w:r>
    </w:p>
    <w:p w:rsidR="008C3DD8" w:rsidRPr="00055029" w:rsidRDefault="008C3DD8" w:rsidP="008C3DD8">
      <w:r w:rsidRPr="00055029">
        <w:t>En lobbyist</w:t>
      </w:r>
      <w:r w:rsidR="00695EFA" w:rsidRPr="00055029">
        <w:t xml:space="preserve"> som beslås med att lämna oriktig information kommer att uppmanas att korrigera den. Som en sista utväg kan kommissionen utesluta lobbyister ur registret. </w:t>
      </w:r>
    </w:p>
    <w:p w:rsidR="008C3DD8" w:rsidRPr="00055029" w:rsidRDefault="008C3DD8" w:rsidP="00A760E2">
      <w:r w:rsidRPr="00055029">
        <w:t xml:space="preserve">Kommissionen anser att en anslutning bakom </w:t>
      </w:r>
      <w:r w:rsidR="009A38D9" w:rsidRPr="00055029">
        <w:t>en moderniserad uppförandekodex</w:t>
      </w:r>
      <w:r w:rsidRPr="00055029">
        <w:t xml:space="preserve"> borde bli ett krav för lobbyister som vill ingå i det nya registret.</w:t>
      </w:r>
    </w:p>
    <w:p w:rsidR="00A760E2" w:rsidRPr="00055029" w:rsidRDefault="00A760E2" w:rsidP="00A760E2">
      <w:r w:rsidRPr="00055029">
        <w:t>Kommissionen kommer att sätt igång diskussionerna med lobbyisterna om en gemensam uppförandekodex före sommaren 2007 och öppna registret över lobbyister våren 2008. Våren 2009 kommer kommissionen att göra en översyn av huruvida det nya systemet har uppnått önskade resultat, däribland i vilken grad de avsedda målgrupperna låtit registrera sig. Om inte, bör strängare åtgärder övervägas i form av obligatorisk registrering och rapportering.</w:t>
      </w:r>
    </w:p>
    <w:p w:rsidR="00B91CD9" w:rsidRPr="00055029" w:rsidRDefault="00B91CD9" w:rsidP="00695EFA"/>
    <w:p w:rsidR="00695EFA" w:rsidRPr="00055029" w:rsidRDefault="00695EFA" w:rsidP="00695EFA">
      <w:pPr>
        <w:rPr>
          <w:b/>
          <w:i/>
        </w:rPr>
      </w:pPr>
      <w:r w:rsidRPr="00055029">
        <w:rPr>
          <w:b/>
          <w:i/>
        </w:rPr>
        <w:t>Samrådsnormer</w:t>
      </w:r>
    </w:p>
    <w:p w:rsidR="00695EFA" w:rsidRPr="00055029" w:rsidRDefault="00695EFA" w:rsidP="00695EFA">
      <w:r w:rsidRPr="00055029">
        <w:t>Deltagarna i samrådet</w:t>
      </w:r>
      <w:r w:rsidR="00826E8E" w:rsidRPr="00055029">
        <w:t xml:space="preserve"> om grönboken</w:t>
      </w:r>
      <w:r w:rsidRPr="00055029">
        <w:t xml:space="preserve"> </w:t>
      </w:r>
      <w:r w:rsidR="00826E8E" w:rsidRPr="00055029">
        <w:t xml:space="preserve">var i princip nöjda med samrådsnormerna i sig men pekade </w:t>
      </w:r>
      <w:r w:rsidRPr="00055029">
        <w:t xml:space="preserve">på vissa svagheter i </w:t>
      </w:r>
      <w:r w:rsidR="0022496A" w:rsidRPr="00055029">
        <w:t>tillämpningen</w:t>
      </w:r>
      <w:r w:rsidRPr="00055029">
        <w:t xml:space="preserve">. </w:t>
      </w:r>
    </w:p>
    <w:p w:rsidR="008C3DD8" w:rsidRPr="00055029" w:rsidRDefault="00826E8E" w:rsidP="008C3DD8">
      <w:r w:rsidRPr="00055029">
        <w:t xml:space="preserve">Kommissionen anger </w:t>
      </w:r>
      <w:r w:rsidR="0022496A" w:rsidRPr="00055029">
        <w:t xml:space="preserve">i meddelandet </w:t>
      </w:r>
      <w:r w:rsidRPr="00055029">
        <w:t>att man kommer att skärpa</w:t>
      </w:r>
      <w:r w:rsidR="00695EFA" w:rsidRPr="00055029">
        <w:t xml:space="preserve"> tillämpning</w:t>
      </w:r>
      <w:r w:rsidRPr="00055029">
        <w:t>en särskilt när det gäller</w:t>
      </w:r>
      <w:r w:rsidR="00695EFA" w:rsidRPr="00055029">
        <w:t xml:space="preserve"> bättre feedback, ett mer samordnat grepp i fråga om samråd och på behovet att säkra pluraliteten hos de åsikter och intressen kommer till uttryck i samråden. På så sätt kan kvaliteten på kommissionens konsekvensbedömningar förbättras och därigenom bidra till kommissionens policy i fråga om ”bättre lagstiftning”.</w:t>
      </w:r>
      <w:r w:rsidR="008C3DD8" w:rsidRPr="00055029">
        <w:t xml:space="preserve">  Kommissionen kommer i detta syfte bland annat ta fram en standardwebbplats för Internetsamråd. </w:t>
      </w:r>
    </w:p>
    <w:p w:rsidR="008C3DD8" w:rsidRPr="00055029" w:rsidRDefault="008C3DD8" w:rsidP="008C3DD8">
      <w:r w:rsidRPr="00055029">
        <w:t>När dessa åtgärder väl har genomförts och testats avser kommissionen att beställa en extern utvärdering av sin samrådspolicy.</w:t>
      </w:r>
    </w:p>
    <w:p w:rsidR="008C3DD8" w:rsidRPr="00055029" w:rsidRDefault="008C3DD8" w:rsidP="00F14E4B"/>
    <w:p w:rsidR="0085097C" w:rsidRPr="00055029" w:rsidRDefault="0085097C" w:rsidP="00F14E4B"/>
    <w:p w:rsidR="00826E8E" w:rsidRPr="00055029" w:rsidRDefault="00695EFA" w:rsidP="00695EFA">
      <w:pPr>
        <w:rPr>
          <w:b/>
          <w:i/>
        </w:rPr>
      </w:pPr>
      <w:r w:rsidRPr="00055029">
        <w:rPr>
          <w:b/>
          <w:i/>
        </w:rPr>
        <w:t>Offentliggörande av mottagarna av EU-medel</w:t>
      </w:r>
    </w:p>
    <w:p w:rsidR="006F6100" w:rsidRPr="00055029" w:rsidRDefault="006F6100" w:rsidP="00695EFA">
      <w:r w:rsidRPr="00055029">
        <w:t xml:space="preserve">Kommissionen välkomnar att den samsyn om önskvärdheten i offentliggöra relevanta uppgifter som uppnåtts i samrådet om grönboken. </w:t>
      </w:r>
    </w:p>
    <w:p w:rsidR="00826E8E" w:rsidRPr="00055029" w:rsidRDefault="00FA1177" w:rsidP="00695EFA">
      <w:r w:rsidRPr="00055029">
        <w:t>För att uppnå målet att offentliggöra uppgifterna från och med 2008 förutser kommissionen följande stegvisa handlingsplan:</w:t>
      </w:r>
    </w:p>
    <w:p w:rsidR="008C3DD8" w:rsidRPr="00055029" w:rsidRDefault="008C3DD8" w:rsidP="00F14E4B"/>
    <w:p w:rsidR="00695EFA" w:rsidRPr="00055029" w:rsidRDefault="00695EFA" w:rsidP="00695EFA">
      <w:pPr>
        <w:rPr>
          <w:i/>
        </w:rPr>
      </w:pPr>
      <w:r w:rsidRPr="00055029">
        <w:rPr>
          <w:i/>
        </w:rPr>
        <w:t>Steg 1: Uppgifterna offentliggörs i sin nuvarande form</w:t>
      </w:r>
    </w:p>
    <w:p w:rsidR="00695EFA" w:rsidRPr="00055029" w:rsidRDefault="00695EFA" w:rsidP="00695EFA">
      <w:r w:rsidRPr="00055029">
        <w:t>I överensstämmelse med bestämmelserna i den ändrade budgetförordningen och tillämplig sektorsspecifik lagstiftning kommer de medlemsstater som ännu inte har gett allmänheten tillgång till uppgifter om de program som sköts med delad förvaltning att göra detta, antingen via nationella webbplatser eller på andra sätt som de anser vara lämpliga.</w:t>
      </w:r>
    </w:p>
    <w:p w:rsidR="00695EFA" w:rsidRPr="00055029" w:rsidRDefault="00695EFA" w:rsidP="00695EFA">
      <w:r w:rsidRPr="00055029">
        <w:t>Kommissionen kommer att sköta en central nätportal med länkar till de relevanta webbplatserna i medlemsstaterna. Denna portal kommer i sin tur att länkas till webbplatsen om direktförvaltat EU-stöd som kommissionen startade 2006. Härigenom säkras att direkta och delade förvaltningsprogram behandlas lika.</w:t>
      </w:r>
    </w:p>
    <w:p w:rsidR="00EB2B04" w:rsidRPr="00055029" w:rsidRDefault="00EB2B04" w:rsidP="00F14E4B"/>
    <w:p w:rsidR="00695EFA" w:rsidRPr="00055029" w:rsidRDefault="00695EFA" w:rsidP="00695EFA">
      <w:pPr>
        <w:rPr>
          <w:i/>
        </w:rPr>
      </w:pPr>
      <w:r w:rsidRPr="00055029">
        <w:rPr>
          <w:i/>
        </w:rPr>
        <w:t>Steg 2: Uppgifterna blir jämförbara och ”sökbara”</w:t>
      </w:r>
    </w:p>
    <w:p w:rsidR="00695EFA" w:rsidRPr="00055029" w:rsidRDefault="00695EFA" w:rsidP="00695EFA">
      <w:r w:rsidRPr="00055029">
        <w:t>Kommissionen medger</w:t>
      </w:r>
      <w:r w:rsidR="0022496A" w:rsidRPr="00055029">
        <w:t xml:space="preserve"> i meddelandet </w:t>
      </w:r>
      <w:r w:rsidRPr="00055029">
        <w:t>att sökbara och jämförbara uppgifter behövs och kommer hös</w:t>
      </w:r>
      <w:r w:rsidR="0022496A" w:rsidRPr="00055029">
        <w:t xml:space="preserve">ten 2007 </w:t>
      </w:r>
      <w:r w:rsidRPr="00055029">
        <w:t>att föreslå en gemensam standard för hur information om delad förvaltning skall offentliggöras så att berörda parter kan göra enhetliga EU-täckande analyser med tillgång till de uppgifter som offentliggjorts av medlemsstaterna vi</w:t>
      </w:r>
      <w:r w:rsidR="003F2BD4" w:rsidRPr="00055029">
        <w:t>a kommissionens centrala portal</w:t>
      </w:r>
      <w:r w:rsidRPr="00055029">
        <w:t>.</w:t>
      </w:r>
    </w:p>
    <w:p w:rsidR="00D837C0" w:rsidRPr="00055029" w:rsidRDefault="00D837C0" w:rsidP="00E505A3"/>
    <w:p w:rsidR="00D837C0" w:rsidRPr="00055029" w:rsidRDefault="00D837C0">
      <w:pPr>
        <w:pStyle w:val="Rubrik2"/>
      </w:pPr>
      <w:r w:rsidRPr="00055029">
        <w:t>Gällande svenska regler och förslagets effekt på dessa</w:t>
      </w:r>
    </w:p>
    <w:p w:rsidR="00FA2EA3" w:rsidRPr="00055029" w:rsidRDefault="00FA2EA3" w:rsidP="00F14E4B"/>
    <w:p w:rsidR="00FA2EA3" w:rsidRPr="00055029" w:rsidRDefault="00FA2EA3" w:rsidP="00F14E4B">
      <w:r w:rsidRPr="00055029">
        <w:t>Åtgärderna avser förändringar inom EU:s institutioner och påverkar inte svenska nationella regler.</w:t>
      </w:r>
    </w:p>
    <w:p w:rsidR="00FA2EA3" w:rsidRPr="00055029" w:rsidRDefault="00FA2EA3" w:rsidP="00F14E4B"/>
    <w:p w:rsidR="00D837C0" w:rsidRPr="00055029" w:rsidRDefault="00D837C0">
      <w:pPr>
        <w:pStyle w:val="Rubrik2"/>
      </w:pPr>
      <w:r w:rsidRPr="00055029">
        <w:t>Budgetära konsekvenser</w:t>
      </w:r>
    </w:p>
    <w:p w:rsidR="00682794" w:rsidRPr="00055029" w:rsidRDefault="00682794" w:rsidP="00682794">
      <w:r w:rsidRPr="00055029">
        <w:t>Åtgärderna ger upphov till två typer av kostnader i EG:s budget:</w:t>
      </w:r>
    </w:p>
    <w:p w:rsidR="00682794" w:rsidRPr="00055029" w:rsidRDefault="00682794" w:rsidP="00682794">
      <w:r w:rsidRPr="00055029">
        <w:t>• Kostnad</w:t>
      </w:r>
      <w:r w:rsidR="006964A0" w:rsidRPr="00055029">
        <w:t xml:space="preserve">er </w:t>
      </w:r>
      <w:r w:rsidRPr="00055029">
        <w:t>för att täcka uppbyggnaden av registret (på Internet) samt underhållet av det.</w:t>
      </w:r>
    </w:p>
    <w:p w:rsidR="00682794" w:rsidRPr="00055029" w:rsidRDefault="00682794" w:rsidP="00682794">
      <w:r w:rsidRPr="00055029">
        <w:t xml:space="preserve">• Kostnader för </w:t>
      </w:r>
      <w:r w:rsidR="008B2BBF" w:rsidRPr="00055029">
        <w:t xml:space="preserve">ett mindre antal </w:t>
      </w:r>
      <w:r w:rsidR="00A760E2" w:rsidRPr="00055029">
        <w:t>kontraktsanställda</w:t>
      </w:r>
      <w:r w:rsidRPr="00055029">
        <w:t>.</w:t>
      </w:r>
    </w:p>
    <w:p w:rsidR="008B2BBF" w:rsidRPr="00055029" w:rsidRDefault="008B2BBF" w:rsidP="00F14E4B"/>
    <w:p w:rsidR="00D837C0" w:rsidRPr="00055029" w:rsidRDefault="00D837C0">
      <w:pPr>
        <w:pStyle w:val="Rubrik1"/>
      </w:pPr>
      <w:r w:rsidRPr="00055029">
        <w:t>Ståndpunkter</w:t>
      </w:r>
    </w:p>
    <w:p w:rsidR="00D837C0" w:rsidRPr="00055029" w:rsidRDefault="00D837C0">
      <w:pPr>
        <w:pStyle w:val="Rubrik2"/>
      </w:pPr>
      <w:r w:rsidRPr="00055029">
        <w:t>Svensk ståndpunkt</w:t>
      </w:r>
    </w:p>
    <w:p w:rsidR="00D837C0" w:rsidRPr="00055029" w:rsidRDefault="000C4CAF">
      <w:r w:rsidRPr="00055029">
        <w:t xml:space="preserve">Sverige ser positivt på förslag </w:t>
      </w:r>
      <w:r w:rsidR="00534970" w:rsidRPr="00055029">
        <w:t>och åtgärder</w:t>
      </w:r>
      <w:r w:rsidR="00F9130D" w:rsidRPr="00055029">
        <w:t xml:space="preserve"> i meddelandet </w:t>
      </w:r>
      <w:r w:rsidRPr="00055029">
        <w:t xml:space="preserve">som leder till en ökad öppenhet och </w:t>
      </w:r>
      <w:r w:rsidR="000D2684" w:rsidRPr="00055029">
        <w:t xml:space="preserve">insyn i </w:t>
      </w:r>
      <w:r w:rsidRPr="00055029">
        <w:t>beslutsprocess inom EU. I ett demokratiskt system är det viktigt för medborgarna inom EU att kunna ta del i de olika beslutsprocesserna inom alla EU-institutioner.</w:t>
      </w:r>
      <w:r w:rsidR="000D2684" w:rsidRPr="00055029">
        <w:t xml:space="preserve"> Förslaget ligger i linje med regeringens strävan om ett EU som är </w:t>
      </w:r>
      <w:r w:rsidR="007854BC" w:rsidRPr="00055029">
        <w:t xml:space="preserve">öppet, dynamiskt och demokratiskt. </w:t>
      </w:r>
      <w:r w:rsidR="00982B0B" w:rsidRPr="00055029">
        <w:t>Lobbyverksamhet företräder särskilda intressen. Om det t.ex. ska lagstiftas i en miljöfråga kan det vara bra att veta vad såväl miljörörelsen, forskarna och industrin har att säga i frågan för att  kunna bedöma rimligheten i ett beslut och dess konsekvenser. Detta förutsätter att olika åsikter kommer fram och blir kända något som kan underlättas om tydliga regler finns för lobbyverksamhet i ett så väl utvecklat internationellt samarbete som det inom EU. Redan i dag måste t.ex. alla lobbyister i Europaparlamentet registrera sig och skriva på en uppförandekod för att få ackreditering. De förslagna åtgärderna är ytterligare steg för att reglera och synliggöra lobbyverksamhet i EU.</w:t>
      </w:r>
      <w:r w:rsidR="00613019" w:rsidRPr="00055029">
        <w:t xml:space="preserve"> Sverige välkomnar upprättandet av ett frivilligt register för lobbyister.</w:t>
      </w:r>
    </w:p>
    <w:p w:rsidR="00D837C0" w:rsidRPr="00055029" w:rsidRDefault="00D837C0"/>
    <w:p w:rsidR="00FA2EA3" w:rsidRPr="00055029" w:rsidRDefault="00FA2EA3" w:rsidP="00FA2EA3">
      <w:pPr>
        <w:pStyle w:val="Rubrik2"/>
      </w:pPr>
      <w:r w:rsidRPr="00055029">
        <w:t xml:space="preserve"> Medlemsstaternas ståndpunkter</w:t>
      </w:r>
    </w:p>
    <w:p w:rsidR="00FA2EA3" w:rsidRPr="00055029" w:rsidRDefault="00FA2EA3" w:rsidP="00F14E4B">
      <w:r w:rsidRPr="00055029">
        <w:t>-</w:t>
      </w:r>
    </w:p>
    <w:p w:rsidR="00FA2EA3" w:rsidRPr="00055029" w:rsidRDefault="00FA2EA3" w:rsidP="00F14E4B"/>
    <w:p w:rsidR="00FA2EA3" w:rsidRPr="00055029" w:rsidRDefault="00FA2EA3" w:rsidP="00FA2EA3">
      <w:pPr>
        <w:pStyle w:val="Rubrik2"/>
      </w:pPr>
      <w:r w:rsidRPr="00055029">
        <w:t>Institutionernas ståndpunkter</w:t>
      </w:r>
    </w:p>
    <w:p w:rsidR="00FA2EA3" w:rsidRPr="00055029" w:rsidRDefault="00FA2EA3" w:rsidP="00F14E4B">
      <w:r w:rsidRPr="00055029">
        <w:t>-</w:t>
      </w:r>
    </w:p>
    <w:p w:rsidR="006A5619" w:rsidRPr="00055029" w:rsidRDefault="006A5619" w:rsidP="00662347"/>
    <w:p w:rsidR="00D40E83" w:rsidRPr="00055029" w:rsidRDefault="00D40E83" w:rsidP="00D40E83">
      <w:pPr>
        <w:pStyle w:val="Rubrik2"/>
      </w:pPr>
      <w:r w:rsidRPr="00055029">
        <w:t>Remissinstansernas ståndpunkter</w:t>
      </w:r>
    </w:p>
    <w:p w:rsidR="00D40E83" w:rsidRPr="00055029" w:rsidRDefault="00D40E83" w:rsidP="00D40E83">
      <w:r w:rsidRPr="00055029">
        <w:t>-</w:t>
      </w:r>
    </w:p>
    <w:p w:rsidR="00D40E83" w:rsidRPr="00055029" w:rsidRDefault="00D40E83" w:rsidP="00662347"/>
    <w:p w:rsidR="00D837C0" w:rsidRPr="00055029" w:rsidRDefault="00D837C0">
      <w:pPr>
        <w:pStyle w:val="Rubrik1"/>
      </w:pPr>
      <w:r w:rsidRPr="00055029">
        <w:t>Övrigt</w:t>
      </w:r>
    </w:p>
    <w:p w:rsidR="00D40E83" w:rsidRPr="00055029" w:rsidRDefault="00D40E83" w:rsidP="00D40E83">
      <w:pPr>
        <w:pStyle w:val="Rubrik2"/>
      </w:pPr>
      <w:r w:rsidRPr="00055029">
        <w:t>Fortsatt behandling av ärendet</w:t>
      </w:r>
    </w:p>
    <w:p w:rsidR="00D40E83" w:rsidRPr="00055029" w:rsidRDefault="00D40E83" w:rsidP="00D40E83">
      <w:r w:rsidRPr="00055029">
        <w:t>-</w:t>
      </w:r>
    </w:p>
    <w:p w:rsidR="00D837C0" w:rsidRPr="00055029" w:rsidRDefault="00D837C0"/>
    <w:p w:rsidR="00D837C0" w:rsidRPr="00055029" w:rsidRDefault="008B2BBF" w:rsidP="008B2BBF">
      <w:pPr>
        <w:pStyle w:val="Rubrik2"/>
        <w:numPr>
          <w:ilvl w:val="0"/>
          <w:numId w:val="0"/>
        </w:numPr>
      </w:pPr>
      <w:r w:rsidRPr="00055029">
        <w:t>3.</w:t>
      </w:r>
      <w:r w:rsidR="00D40E83" w:rsidRPr="00055029">
        <w:t>2</w:t>
      </w:r>
      <w:r w:rsidRPr="00055029">
        <w:t xml:space="preserve">    </w:t>
      </w:r>
      <w:r w:rsidR="00D837C0" w:rsidRPr="00055029">
        <w:t>Rättslig grund och beslutsförfarande</w:t>
      </w:r>
    </w:p>
    <w:p w:rsidR="00682794" w:rsidRPr="00055029" w:rsidRDefault="006C0FFD" w:rsidP="00682794">
      <w:r w:rsidRPr="00055029">
        <w:t xml:space="preserve">Åtgärderna omfattas av </w:t>
      </w:r>
      <w:r w:rsidR="00682794" w:rsidRPr="00055029">
        <w:t xml:space="preserve">kommissionens befogenheter som </w:t>
      </w:r>
      <w:r w:rsidR="007854BC" w:rsidRPr="00055029">
        <w:t>EU-</w:t>
      </w:r>
      <w:r w:rsidR="00682794" w:rsidRPr="00055029">
        <w:t>institution</w:t>
      </w:r>
      <w:r w:rsidR="007854BC" w:rsidRPr="00055029">
        <w:t xml:space="preserve">. </w:t>
      </w:r>
      <w:r w:rsidRPr="00055029">
        <w:t>Kommissionen ska enligt artikel 219 EG fatta sina beslut med en majoritet av sin</w:t>
      </w:r>
      <w:r w:rsidR="006A5619" w:rsidRPr="00055029">
        <w:t>a</w:t>
      </w:r>
      <w:r w:rsidRPr="00055029">
        <w:t xml:space="preserve"> ledamöter.  </w:t>
      </w:r>
    </w:p>
    <w:p w:rsidR="00FA2EA3" w:rsidRPr="00055029" w:rsidRDefault="00FA2EA3" w:rsidP="00F14E4B"/>
    <w:p w:rsidR="00001491" w:rsidRPr="00055029" w:rsidRDefault="00001491" w:rsidP="00001491">
      <w:pPr>
        <w:pStyle w:val="Rubrik2"/>
        <w:numPr>
          <w:ilvl w:val="1"/>
          <w:numId w:val="9"/>
        </w:numPr>
      </w:pPr>
      <w:r w:rsidRPr="00055029">
        <w:t>Fackuttryck/termer</w:t>
      </w:r>
    </w:p>
    <w:p w:rsidR="00001491" w:rsidRPr="00055029" w:rsidRDefault="00001491" w:rsidP="00001491">
      <w:r w:rsidRPr="00055029">
        <w:t>-</w:t>
      </w:r>
    </w:p>
    <w:p w:rsidR="00001491" w:rsidRPr="00055029" w:rsidRDefault="00001491" w:rsidP="00001491">
      <w:pPr>
        <w:pStyle w:val="Rubrik2"/>
        <w:numPr>
          <w:ilvl w:val="0"/>
          <w:numId w:val="0"/>
        </w:numPr>
      </w:pPr>
    </w:p>
    <w:p w:rsidR="00FA2EA3" w:rsidRPr="00055029" w:rsidRDefault="00FA2EA3" w:rsidP="00FA2EA3"/>
    <w:p w:rsidR="00FA2EA3" w:rsidRPr="00055029" w:rsidRDefault="00FA2EA3" w:rsidP="00F14E4B"/>
    <w:sectPr w:rsidR="00FA2EA3" w:rsidRPr="0005502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7309" w:rsidRPr="00055029" w:rsidRDefault="00DA7309">
      <w:r w:rsidRPr="00055029">
        <w:separator/>
      </w:r>
    </w:p>
  </w:endnote>
  <w:endnote w:type="continuationSeparator" w:id="0">
    <w:p w:rsidR="00DA7309" w:rsidRPr="00055029" w:rsidRDefault="00DA7309">
      <w:r w:rsidRPr="000550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806" w:rsidRPr="00055029" w:rsidRDefault="008E580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806" w:rsidRPr="00055029" w:rsidRDefault="00DA7309">
    <w:pPr>
      <w:pStyle w:val="SidfotH"/>
      <w:framePr w:wrap="around"/>
    </w:pPr>
    <w:r w:rsidRPr="00055029">
      <w:t>2</w:t>
    </w:r>
  </w:p>
  <w:p w:rsidR="008E5806" w:rsidRPr="00055029" w:rsidRDefault="008E580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806" w:rsidRPr="00055029" w:rsidRDefault="00DA7309">
    <w:pPr>
      <w:pStyle w:val="SidfotH"/>
      <w:framePr w:wrap="around"/>
    </w:pPr>
    <w:r w:rsidRPr="00055029">
      <w:t>1</w:t>
    </w:r>
  </w:p>
  <w:p w:rsidR="008E5806" w:rsidRPr="00055029" w:rsidRDefault="008E58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7309" w:rsidRPr="00055029" w:rsidRDefault="00DA7309">
      <w:r w:rsidRPr="00055029">
        <w:separator/>
      </w:r>
    </w:p>
  </w:footnote>
  <w:footnote w:type="continuationSeparator" w:id="0">
    <w:p w:rsidR="00DA7309" w:rsidRPr="00055029" w:rsidRDefault="00DA7309">
      <w:r w:rsidRPr="000550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806" w:rsidRPr="00055029" w:rsidRDefault="008E580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806" w:rsidRPr="00055029" w:rsidRDefault="008E5806">
    <w:pPr>
      <w:pStyle w:val="Kantrubrik"/>
      <w:framePr w:h="1157" w:hRule="exact" w:wrap="around" w:y="738"/>
    </w:pPr>
    <w:r w:rsidRPr="00055029">
      <w:t>2006/07:FPM100</w:t>
    </w:r>
  </w:p>
  <w:p w:rsidR="008E5806" w:rsidRPr="00055029" w:rsidRDefault="008E580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806" w:rsidRPr="00055029" w:rsidRDefault="00055029">
    <w:pPr>
      <w:pStyle w:val="Sidhuvud"/>
    </w:pPr>
    <w:r w:rsidRPr="00055029">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730854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5806" w:rsidRDefault="008E580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29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E5806" w:rsidRDefault="008E5806">
                    <w:pPr>
                      <w:pStyle w:val="Logo"/>
                    </w:pPr>
                    <w:r>
                      <w:object w:dxaOrig="840" w:dyaOrig="1545">
                        <v:shape id="_x0000_i1025" type="#_x0000_t75" style="width:42pt;height:77.15pt" filled="t">
                          <v:imagedata r:id="rId1" o:title=""/>
                        </v:shape>
                        <o:OLEObject Type="Embed" ProgID="Word.Picture.8" ShapeID="_x0000_i1025" DrawAspect="Content" ObjectID="_182745929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B457495"/>
    <w:multiLevelType w:val="hybridMultilevel"/>
    <w:tmpl w:val="DE3083A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68443008">
    <w:abstractNumId w:val="5"/>
  </w:num>
  <w:num w:numId="2" w16cid:durableId="316494519">
    <w:abstractNumId w:val="2"/>
  </w:num>
  <w:num w:numId="3" w16cid:durableId="2099255516">
    <w:abstractNumId w:val="3"/>
  </w:num>
  <w:num w:numId="4" w16cid:durableId="1475021444">
    <w:abstractNumId w:val="4"/>
  </w:num>
  <w:num w:numId="5" w16cid:durableId="151798566">
    <w:abstractNumId w:val="6"/>
  </w:num>
  <w:num w:numId="6" w16cid:durableId="1042166929">
    <w:abstractNumId w:val="0"/>
  </w:num>
  <w:num w:numId="7" w16cid:durableId="1656252447">
    <w:abstractNumId w:val="1"/>
  </w:num>
  <w:num w:numId="8" w16cid:durableId="1148518558">
    <w:abstractNumId w:val="0"/>
    <w:lvlOverride w:ilvl="0">
      <w:startOverride w:val="3"/>
    </w:lvlOverride>
    <w:lvlOverride w:ilvl="1">
      <w:startOverride w:val="3"/>
    </w:lvlOverride>
  </w:num>
  <w:num w:numId="9" w16cid:durableId="1450733382">
    <w:abstractNumId w:val="0"/>
    <w:lvlOverride w:ilvl="0">
      <w:startOverride w:val="3"/>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7-03"/>
    <w:docVar w:name="Ar" w:val="2006/07"/>
    <w:docVar w:name="Dep" w:val="Statsrådsberedningen"/>
    <w:docVar w:name="DepWeb" w:val="Statsrådsberedningen"/>
    <w:docVar w:name="GDB1" w:val="COM(2007) 127"/>
    <w:docVar w:name="GDB10" w:val=" "/>
    <w:docVar w:name="GDB11" w:val=" "/>
    <w:docVar w:name="GDB12" w:val=" "/>
    <w:docVar w:name="GDB13" w:val=" "/>
    <w:docVar w:name="GDB2" w:val="SEK(2007) 360"/>
    <w:docVar w:name="GDB3" w:val=" "/>
    <w:docVar w:name="GDB4" w:val=" "/>
    <w:docVar w:name="GDB5" w:val=" "/>
    <w:docVar w:name="GDB6" w:val=" "/>
    <w:docVar w:name="GDB7" w:val=" "/>
    <w:docVar w:name="GDB8" w:val=" "/>
    <w:docVar w:name="GDB9" w:val=" "/>
    <w:docVar w:name="GDT1" w:val="Meddelande från kommissionen. Uppföljning av grönboken om &quot;Det europeiska öppenhetinitiativet&quo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07) 127, SEK(2007) 360"/>
    <w:docVar w:name="Nr" w:val="100"/>
    <w:docVar w:name="RD_APPVERSION" w:val="3.00"/>
    <w:docVar w:name="Rub" w:val="Meddelande om europeiska öppenhetsinitiativet"/>
    <w:docVar w:name="UppDat" w:val="2007-07-03"/>
    <w:docVar w:name="Utsk" w:val="Konstitutionsutskottet"/>
  </w:docVars>
  <w:rsids>
    <w:rsidRoot w:val="00055029"/>
    <w:rsid w:val="00001491"/>
    <w:rsid w:val="00021EFF"/>
    <w:rsid w:val="00032613"/>
    <w:rsid w:val="00055029"/>
    <w:rsid w:val="00055DA4"/>
    <w:rsid w:val="0007353F"/>
    <w:rsid w:val="000C4CAF"/>
    <w:rsid w:val="000D2684"/>
    <w:rsid w:val="00161C7A"/>
    <w:rsid w:val="00186387"/>
    <w:rsid w:val="0022496A"/>
    <w:rsid w:val="002520B8"/>
    <w:rsid w:val="00294D21"/>
    <w:rsid w:val="00296E1D"/>
    <w:rsid w:val="002B1B61"/>
    <w:rsid w:val="002C73B6"/>
    <w:rsid w:val="002E2A6B"/>
    <w:rsid w:val="00377938"/>
    <w:rsid w:val="003F2BD4"/>
    <w:rsid w:val="003F3C59"/>
    <w:rsid w:val="0041226F"/>
    <w:rsid w:val="0047304E"/>
    <w:rsid w:val="00530A4A"/>
    <w:rsid w:val="00534970"/>
    <w:rsid w:val="00567167"/>
    <w:rsid w:val="00613019"/>
    <w:rsid w:val="006342CA"/>
    <w:rsid w:val="00662347"/>
    <w:rsid w:val="00682794"/>
    <w:rsid w:val="00695EFA"/>
    <w:rsid w:val="006964A0"/>
    <w:rsid w:val="006A5619"/>
    <w:rsid w:val="006C0FFD"/>
    <w:rsid w:val="006F6100"/>
    <w:rsid w:val="00735C05"/>
    <w:rsid w:val="007854BC"/>
    <w:rsid w:val="00826E8E"/>
    <w:rsid w:val="0085097C"/>
    <w:rsid w:val="008B2BBF"/>
    <w:rsid w:val="008C3DD8"/>
    <w:rsid w:val="008E5806"/>
    <w:rsid w:val="00921BFE"/>
    <w:rsid w:val="00944B77"/>
    <w:rsid w:val="00977CE0"/>
    <w:rsid w:val="00981C01"/>
    <w:rsid w:val="00982B0B"/>
    <w:rsid w:val="009A38D9"/>
    <w:rsid w:val="009E457E"/>
    <w:rsid w:val="00A760E2"/>
    <w:rsid w:val="00A76FE8"/>
    <w:rsid w:val="00B10ED4"/>
    <w:rsid w:val="00B118A4"/>
    <w:rsid w:val="00B45A9D"/>
    <w:rsid w:val="00B83E00"/>
    <w:rsid w:val="00B91CD9"/>
    <w:rsid w:val="00BA2FA7"/>
    <w:rsid w:val="00BC4B1A"/>
    <w:rsid w:val="00BF36DB"/>
    <w:rsid w:val="00C07AFD"/>
    <w:rsid w:val="00C16024"/>
    <w:rsid w:val="00D1194F"/>
    <w:rsid w:val="00D40E83"/>
    <w:rsid w:val="00D837C0"/>
    <w:rsid w:val="00D91A9E"/>
    <w:rsid w:val="00DA7309"/>
    <w:rsid w:val="00DC7134"/>
    <w:rsid w:val="00E505A3"/>
    <w:rsid w:val="00EB2B04"/>
    <w:rsid w:val="00EE61CE"/>
    <w:rsid w:val="00EF3E54"/>
    <w:rsid w:val="00F14E4B"/>
    <w:rsid w:val="00F518E6"/>
    <w:rsid w:val="00F6593A"/>
    <w:rsid w:val="00F9130D"/>
    <w:rsid w:val="00FA1177"/>
    <w:rsid w:val="00FA2EA3"/>
    <w:rsid w:val="00FD503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8700B5-00C8-45C2-9229-C0BE227B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styleId="Normalwebb">
    <w:name w:val="Normal (Web)"/>
    <w:basedOn w:val="Normal"/>
    <w:rsid w:val="00981C01"/>
    <w:pPr>
      <w:spacing w:before="100" w:beforeAutospacing="1" w:after="100" w:afterAutospacing="1" w:line="240" w:lineRule="auto"/>
      <w:jc w:val="left"/>
    </w:pPr>
    <w:rPr>
      <w:rFonts w:ascii="Verdana" w:hAnsi="Verdana"/>
      <w:color w:val="000066"/>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1176</Words>
  <Characters>7412</Characters>
  <Application>Microsoft Office Word</Application>
  <DocSecurity>4</DocSecurity>
  <Lines>190</Lines>
  <Paragraphs>81</Paragraphs>
  <ScaleCrop>false</ScaleCrop>
  <HeadingPairs>
    <vt:vector size="2" baseType="variant">
      <vt:variant>
        <vt:lpstr>Rubrik</vt:lpstr>
      </vt:variant>
      <vt:variant>
        <vt:i4>1</vt:i4>
      </vt:variant>
    </vt:vector>
  </HeadingPairs>
  <TitlesOfParts>
    <vt:vector size="1" baseType="lpstr">
      <vt:lpstr>FPM_200607__100</vt:lpstr>
    </vt:vector>
  </TitlesOfParts>
  <Company>RD-DTSL</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FPM_200607__100</dc:title>
  <dc:subject>FPM_200607__100</dc:subject>
  <dc:creator>Riksdagen</dc:creator>
  <cp:keywords>Riksdagen</cp:keywords>
  <dc:description>KP2004-version.  Ändringarna påverkar enbart användningen inom Riksdagen. 050429 nya departement DTSL.</dc:description>
  <cp:lastModifiedBy>Lars Brink</cp:lastModifiedBy>
  <cp:revision>2</cp:revision>
  <cp:lastPrinted>2007-07-03T07:35:00Z</cp:lastPrinted>
  <dcterms:created xsi:type="dcterms:W3CDTF">2025-12-17T03:07:00Z</dcterms:created>
  <dcterms:modified xsi:type="dcterms:W3CDTF">2025-12-17T03:07:00Z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100</vt:lpwstr>
  </property>
  <property fmtid="{D5CDD505-2E9C-101B-9397-08002B2CF9AE}" pid="4" name="GDB1">
    <vt:lpwstr>COM(2007) 127</vt:lpwstr>
  </property>
  <property fmtid="{D5CDD505-2E9C-101B-9397-08002B2CF9AE}" pid="5" name="GDT1">
    <vt:lpwstr> </vt:lpwstr>
  </property>
  <property fmtid="{D5CDD505-2E9C-101B-9397-08002B2CF9AE}" pid="6" name="Dep">
    <vt:lpwstr>Statsrådsberedningen</vt:lpwstr>
  </property>
  <property fmtid="{D5CDD505-2E9C-101B-9397-08002B2CF9AE}" pid="7" name="Rub">
    <vt:lpwstr>Meddelande om europeiska öppenhetsinitiativet</vt:lpwstr>
  </property>
  <property fmtid="{D5CDD505-2E9C-101B-9397-08002B2CF9AE}" pid="8" name="UppDat">
    <vt:lpwstr>2007-07-03</vt:lpwstr>
  </property>
  <property fmtid="{D5CDD505-2E9C-101B-9397-08002B2CF9AE}" pid="9" name="AnkDat">
    <vt:lpwstr>2007-07-03</vt:lpwstr>
  </property>
  <property fmtid="{D5CDD505-2E9C-101B-9397-08002B2CF9AE}" pid="10" name="Utsk">
    <vt:lpwstr>Konstitutionsutskottet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SEK(2007) 360</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JA</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1;0;0;190</vt:lpwstr>
  </property>
  <property fmtid="{D5CDD505-2E9C-101B-9397-08002B2CF9AE}" pid="41" name="Sprak">
    <vt:lpwstr>Svenska</vt:lpwstr>
  </property>
  <property fmtid="{D5CDD505-2E9C-101B-9397-08002B2CF9AE}" pid="42" name="DokID">
    <vt:i4>80</vt:i4>
  </property>
</Properties>
</file>