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1F3621" w14:textId="77777777" w:rsidR="00FB32B9" w:rsidRPr="001C2735" w:rsidRDefault="001D55EE" w:rsidP="00FB32B9">
      <w:pPr>
        <w:pStyle w:val="UDrubrik"/>
        <w:tabs>
          <w:tab w:val="left" w:pos="1701"/>
          <w:tab w:val="left" w:pos="1985"/>
        </w:tabs>
        <w:rPr>
          <w:rFonts w:cs="Arial"/>
          <w:sz w:val="28"/>
        </w:rPr>
      </w:pPr>
    </w:p>
    <w:p w14:paraId="431F3622" w14:textId="77777777" w:rsidR="00FB32B9" w:rsidRPr="001C2735" w:rsidRDefault="001D55EE" w:rsidP="00FB32B9">
      <w:pPr>
        <w:pStyle w:val="UDrubrik"/>
        <w:tabs>
          <w:tab w:val="left" w:pos="1701"/>
          <w:tab w:val="left" w:pos="1985"/>
        </w:tabs>
        <w:rPr>
          <w:rFonts w:cs="Arial"/>
          <w:sz w:val="28"/>
        </w:rPr>
      </w:pPr>
    </w:p>
    <w:p w14:paraId="431F3623" w14:textId="77777777" w:rsidR="00FB32B9" w:rsidRPr="001C2735" w:rsidRDefault="001D55EE" w:rsidP="00FB32B9">
      <w:pPr>
        <w:pStyle w:val="UDrubrik"/>
        <w:tabs>
          <w:tab w:val="left" w:pos="1701"/>
          <w:tab w:val="left" w:pos="1985"/>
        </w:tabs>
        <w:rPr>
          <w:rFonts w:cs="Arial"/>
          <w:sz w:val="28"/>
        </w:rPr>
      </w:pPr>
    </w:p>
    <w:p w14:paraId="431F3624" w14:textId="77777777" w:rsidR="00FB32B9" w:rsidRPr="001C2735" w:rsidRDefault="001D55EE" w:rsidP="00FB32B9">
      <w:pPr>
        <w:pStyle w:val="UDrubrik"/>
        <w:tabs>
          <w:tab w:val="left" w:pos="1701"/>
          <w:tab w:val="left" w:pos="1985"/>
        </w:tabs>
        <w:rPr>
          <w:rFonts w:cs="Arial"/>
          <w:sz w:val="28"/>
        </w:rPr>
      </w:pPr>
    </w:p>
    <w:p w14:paraId="431F3625" w14:textId="188BF659" w:rsidR="00FB32B9" w:rsidRPr="001C2735" w:rsidRDefault="007C07CE" w:rsidP="00FB32B9">
      <w:pPr>
        <w:pStyle w:val="UDrubrik"/>
        <w:tabs>
          <w:tab w:val="left" w:pos="1701"/>
          <w:tab w:val="left" w:pos="1985"/>
        </w:tabs>
        <w:rPr>
          <w:rFonts w:cs="Arial"/>
          <w:sz w:val="28"/>
        </w:rPr>
      </w:pPr>
      <w:r w:rsidRPr="001C2735">
        <w:rPr>
          <w:rFonts w:cs="Arial"/>
          <w:sz w:val="28"/>
        </w:rPr>
        <w:t xml:space="preserve">Troliga A-punkter inför kommande rådsmöten som förväntas godkännas vid </w:t>
      </w:r>
      <w:proofErr w:type="spellStart"/>
      <w:r w:rsidRPr="001C2735">
        <w:rPr>
          <w:rFonts w:cs="Arial"/>
          <w:sz w:val="28"/>
        </w:rPr>
        <w:t>Coreper</w:t>
      </w:r>
      <w:proofErr w:type="spellEnd"/>
      <w:r w:rsidRPr="001C2735">
        <w:rPr>
          <w:rFonts w:cs="Arial"/>
          <w:sz w:val="28"/>
        </w:rPr>
        <w:t xml:space="preserve"> II </w:t>
      </w:r>
      <w:r w:rsidR="000D6E58" w:rsidRPr="001C2735">
        <w:rPr>
          <w:rFonts w:cs="Arial"/>
          <w:sz w:val="28"/>
        </w:rPr>
        <w:t xml:space="preserve">den 13 maj 2015, </w:t>
      </w:r>
      <w:r w:rsidRPr="001C2735">
        <w:rPr>
          <w:rFonts w:cs="Arial"/>
          <w:sz w:val="28"/>
        </w:rPr>
        <w:t xml:space="preserve">vecka </w:t>
      </w:r>
      <w:r w:rsidR="000D6E58" w:rsidRPr="001C2735">
        <w:rPr>
          <w:rFonts w:cs="Arial"/>
          <w:sz w:val="28"/>
        </w:rPr>
        <w:t>20</w:t>
      </w:r>
      <w:r w:rsidRPr="001C2735">
        <w:rPr>
          <w:rFonts w:cs="Arial"/>
          <w:sz w:val="28"/>
        </w:rPr>
        <w:t>.</w:t>
      </w:r>
    </w:p>
    <w:p w14:paraId="431F3626" w14:textId="77777777" w:rsidR="00FB32B9" w:rsidRPr="001C2735" w:rsidRDefault="001D55EE" w:rsidP="00FB32B9">
      <w:pPr>
        <w:pStyle w:val="Brdtext"/>
      </w:pPr>
    </w:p>
    <w:p w14:paraId="431F3627" w14:textId="3EDFF037" w:rsidR="00FB32B9" w:rsidRPr="001C2735" w:rsidRDefault="007C07CE" w:rsidP="00FB32B9">
      <w:pPr>
        <w:pStyle w:val="Brdtext"/>
      </w:pPr>
      <w:r w:rsidRPr="001C2735">
        <w:t xml:space="preserve">Överlämnas för skriftligt samråd till </w:t>
      </w:r>
      <w:r w:rsidR="000D6E58" w:rsidRPr="001C2735">
        <w:t>onsdag den 13 maj 2015</w:t>
      </w:r>
      <w:r w:rsidRPr="001C2735">
        <w:t>, kl</w:t>
      </w:r>
      <w:r w:rsidR="000D6E58" w:rsidRPr="001C2735">
        <w:t>.</w:t>
      </w:r>
      <w:r w:rsidRPr="001C2735">
        <w:t xml:space="preserve"> </w:t>
      </w:r>
      <w:r w:rsidR="007C13BC" w:rsidRPr="001C2735">
        <w:t>16</w:t>
      </w:r>
      <w:r w:rsidR="000D6E58" w:rsidRPr="001C2735">
        <w:t>.00</w:t>
      </w:r>
      <w:r w:rsidRPr="001C2735">
        <w:t>.</w:t>
      </w:r>
    </w:p>
    <w:p w14:paraId="431F3628" w14:textId="77777777" w:rsidR="00FB32B9" w:rsidRPr="001C2735" w:rsidRDefault="007C07CE">
      <w:pPr>
        <w:ind w:left="0"/>
      </w:pPr>
      <w:r w:rsidRPr="001C2735">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431F3629" w14:textId="77777777" w:rsidR="00D957FB" w:rsidRPr="001C2735" w:rsidRDefault="007C07CE">
          <w:pPr>
            <w:pStyle w:val="Innehllsfrteckningsrubrik"/>
            <w:rPr>
              <w:color w:val="auto"/>
              <w:lang w:val="sv-SE"/>
            </w:rPr>
          </w:pPr>
          <w:r w:rsidRPr="001C2735">
            <w:rPr>
              <w:color w:val="auto"/>
              <w:lang w:val="sv-SE"/>
            </w:rPr>
            <w:t>Innehållsförteckning</w:t>
          </w:r>
        </w:p>
        <w:p w14:paraId="431F362A" w14:textId="77777777" w:rsidR="00DA7250" w:rsidRPr="001C2735" w:rsidRDefault="001D55EE" w:rsidP="00DA7250">
          <w:pPr>
            <w:rPr>
              <w:lang w:eastAsia="ja-JP"/>
            </w:rPr>
          </w:pPr>
        </w:p>
        <w:p w14:paraId="55C8FEE9" w14:textId="77777777" w:rsidR="001C2735" w:rsidRDefault="007C07CE">
          <w:pPr>
            <w:pStyle w:val="Innehll1"/>
            <w:tabs>
              <w:tab w:val="left" w:pos="440"/>
              <w:tab w:val="right" w:leader="dot" w:pos="9062"/>
            </w:tabs>
            <w:rPr>
              <w:rFonts w:asciiTheme="minorHAnsi" w:eastAsiaTheme="minorEastAsia" w:hAnsiTheme="minorHAnsi" w:cstheme="minorBidi"/>
              <w:noProof/>
              <w:lang w:eastAsia="sv-SE"/>
            </w:rPr>
          </w:pPr>
          <w:r w:rsidRPr="001C2735">
            <w:fldChar w:fldCharType="begin"/>
          </w:r>
          <w:r w:rsidRPr="001C2735">
            <w:instrText xml:space="preserve"> TOC \o "1-1" \h \z \u </w:instrText>
          </w:r>
          <w:r w:rsidRPr="001C2735">
            <w:fldChar w:fldCharType="separate"/>
          </w:r>
          <w:hyperlink w:anchor="_Toc419213999" w:history="1">
            <w:r w:rsidR="001C2735" w:rsidRPr="00E02545">
              <w:rPr>
                <w:rStyle w:val="Hyperlnk"/>
                <w:noProof/>
              </w:rPr>
              <w:t>1.</w:t>
            </w:r>
            <w:r w:rsidR="001C2735">
              <w:rPr>
                <w:rFonts w:asciiTheme="minorHAnsi" w:eastAsiaTheme="minorEastAsia" w:hAnsiTheme="minorHAnsi" w:cstheme="minorBidi"/>
                <w:noProof/>
                <w:lang w:eastAsia="sv-SE"/>
              </w:rPr>
              <w:tab/>
            </w:r>
            <w:r w:rsidR="001C2735" w:rsidRPr="00E02545">
              <w:rPr>
                <w:rStyle w:val="Hyperlnk"/>
                <w:noProof/>
              </w:rPr>
              <w:t>Case before the General Court of the European Union Judgment in Case T 190/12 (Tomana and 120 Others v. Council of the European Union)</w:t>
            </w:r>
            <w:r w:rsidR="001C2735">
              <w:rPr>
                <w:noProof/>
                <w:webHidden/>
              </w:rPr>
              <w:tab/>
            </w:r>
            <w:r w:rsidR="001C2735">
              <w:rPr>
                <w:noProof/>
                <w:webHidden/>
              </w:rPr>
              <w:fldChar w:fldCharType="begin"/>
            </w:r>
            <w:r w:rsidR="001C2735">
              <w:rPr>
                <w:noProof/>
                <w:webHidden/>
              </w:rPr>
              <w:instrText xml:space="preserve"> PAGEREF _Toc419213999 \h </w:instrText>
            </w:r>
            <w:r w:rsidR="001C2735">
              <w:rPr>
                <w:noProof/>
                <w:webHidden/>
              </w:rPr>
            </w:r>
            <w:r w:rsidR="001C2735">
              <w:rPr>
                <w:noProof/>
                <w:webHidden/>
              </w:rPr>
              <w:fldChar w:fldCharType="separate"/>
            </w:r>
            <w:r w:rsidR="001C2735">
              <w:rPr>
                <w:noProof/>
                <w:webHidden/>
              </w:rPr>
              <w:t>3</w:t>
            </w:r>
            <w:r w:rsidR="001C2735">
              <w:rPr>
                <w:noProof/>
                <w:webHidden/>
              </w:rPr>
              <w:fldChar w:fldCharType="end"/>
            </w:r>
          </w:hyperlink>
        </w:p>
        <w:p w14:paraId="1AE80431" w14:textId="77777777" w:rsidR="001C2735" w:rsidRDefault="001D55EE">
          <w:pPr>
            <w:pStyle w:val="Innehll1"/>
            <w:tabs>
              <w:tab w:val="left" w:pos="440"/>
              <w:tab w:val="right" w:leader="dot" w:pos="9062"/>
            </w:tabs>
            <w:rPr>
              <w:rFonts w:asciiTheme="minorHAnsi" w:eastAsiaTheme="minorEastAsia" w:hAnsiTheme="minorHAnsi" w:cstheme="minorBidi"/>
              <w:noProof/>
              <w:lang w:eastAsia="sv-SE"/>
            </w:rPr>
          </w:pPr>
          <w:hyperlink w:anchor="_Toc419214000" w:history="1">
            <w:r w:rsidR="001C2735" w:rsidRPr="00E02545">
              <w:rPr>
                <w:rStyle w:val="Hyperlnk"/>
                <w:noProof/>
              </w:rPr>
              <w:t>2.</w:t>
            </w:r>
            <w:r w:rsidR="001C2735">
              <w:rPr>
                <w:rFonts w:asciiTheme="minorHAnsi" w:eastAsiaTheme="minorEastAsia" w:hAnsiTheme="minorHAnsi" w:cstheme="minorBidi"/>
                <w:noProof/>
                <w:lang w:eastAsia="sv-SE"/>
              </w:rPr>
              <w:tab/>
            </w:r>
            <w:r w:rsidR="001C2735" w:rsidRPr="00E02545">
              <w:rPr>
                <w:rStyle w:val="Hyperlnk"/>
                <w:noProof/>
              </w:rPr>
              <w:t>Case before the General Court Case T-175/15 (Mohamed Marouen Ben Ali Ben Mohamed Mabrouk v. Council of the European Union)</w:t>
            </w:r>
            <w:r w:rsidR="001C2735">
              <w:rPr>
                <w:noProof/>
                <w:webHidden/>
              </w:rPr>
              <w:tab/>
            </w:r>
            <w:r w:rsidR="001C2735">
              <w:rPr>
                <w:noProof/>
                <w:webHidden/>
              </w:rPr>
              <w:fldChar w:fldCharType="begin"/>
            </w:r>
            <w:r w:rsidR="001C2735">
              <w:rPr>
                <w:noProof/>
                <w:webHidden/>
              </w:rPr>
              <w:instrText xml:space="preserve"> PAGEREF _Toc419214000 \h </w:instrText>
            </w:r>
            <w:r w:rsidR="001C2735">
              <w:rPr>
                <w:noProof/>
                <w:webHidden/>
              </w:rPr>
            </w:r>
            <w:r w:rsidR="001C2735">
              <w:rPr>
                <w:noProof/>
                <w:webHidden/>
              </w:rPr>
              <w:fldChar w:fldCharType="separate"/>
            </w:r>
            <w:r w:rsidR="001C2735">
              <w:rPr>
                <w:noProof/>
                <w:webHidden/>
              </w:rPr>
              <w:t>3</w:t>
            </w:r>
            <w:r w:rsidR="001C2735">
              <w:rPr>
                <w:noProof/>
                <w:webHidden/>
              </w:rPr>
              <w:fldChar w:fldCharType="end"/>
            </w:r>
          </w:hyperlink>
        </w:p>
        <w:p w14:paraId="51F59395" w14:textId="77777777" w:rsidR="001C2735" w:rsidRDefault="001D55EE">
          <w:pPr>
            <w:pStyle w:val="Innehll1"/>
            <w:tabs>
              <w:tab w:val="left" w:pos="440"/>
              <w:tab w:val="right" w:leader="dot" w:pos="9062"/>
            </w:tabs>
            <w:rPr>
              <w:rFonts w:asciiTheme="minorHAnsi" w:eastAsiaTheme="minorEastAsia" w:hAnsiTheme="minorHAnsi" w:cstheme="minorBidi"/>
              <w:noProof/>
              <w:lang w:eastAsia="sv-SE"/>
            </w:rPr>
          </w:pPr>
          <w:hyperlink w:anchor="_Toc419214001" w:history="1">
            <w:r w:rsidR="001C2735" w:rsidRPr="00E02545">
              <w:rPr>
                <w:rStyle w:val="Hyperlnk"/>
                <w:noProof/>
              </w:rPr>
              <w:t>3.</w:t>
            </w:r>
            <w:r w:rsidR="001C2735">
              <w:rPr>
                <w:rFonts w:asciiTheme="minorHAnsi" w:eastAsiaTheme="minorEastAsia" w:hAnsiTheme="minorHAnsi" w:cstheme="minorBidi"/>
                <w:noProof/>
                <w:lang w:eastAsia="sv-SE"/>
              </w:rPr>
              <w:tab/>
            </w:r>
            <w:r w:rsidR="001C2735" w:rsidRPr="00E02545">
              <w:rPr>
                <w:rStyle w:val="Hyperlnk"/>
                <w:noProof/>
              </w:rPr>
              <w:t>Case before the Court of Justice Case C-601/14 (European Commission against Italian Republic)</w:t>
            </w:r>
            <w:r w:rsidR="001C2735">
              <w:rPr>
                <w:noProof/>
                <w:webHidden/>
              </w:rPr>
              <w:tab/>
            </w:r>
            <w:r w:rsidR="001C2735">
              <w:rPr>
                <w:noProof/>
                <w:webHidden/>
              </w:rPr>
              <w:fldChar w:fldCharType="begin"/>
            </w:r>
            <w:r w:rsidR="001C2735">
              <w:rPr>
                <w:noProof/>
                <w:webHidden/>
              </w:rPr>
              <w:instrText xml:space="preserve"> PAGEREF _Toc419214001 \h </w:instrText>
            </w:r>
            <w:r w:rsidR="001C2735">
              <w:rPr>
                <w:noProof/>
                <w:webHidden/>
              </w:rPr>
            </w:r>
            <w:r w:rsidR="001C2735">
              <w:rPr>
                <w:noProof/>
                <w:webHidden/>
              </w:rPr>
              <w:fldChar w:fldCharType="separate"/>
            </w:r>
            <w:r w:rsidR="001C2735">
              <w:rPr>
                <w:noProof/>
                <w:webHidden/>
              </w:rPr>
              <w:t>3</w:t>
            </w:r>
            <w:r w:rsidR="001C2735">
              <w:rPr>
                <w:noProof/>
                <w:webHidden/>
              </w:rPr>
              <w:fldChar w:fldCharType="end"/>
            </w:r>
          </w:hyperlink>
        </w:p>
        <w:p w14:paraId="552B956B" w14:textId="77777777" w:rsidR="001C2735" w:rsidRDefault="001D55EE">
          <w:pPr>
            <w:pStyle w:val="Innehll1"/>
            <w:tabs>
              <w:tab w:val="left" w:pos="440"/>
              <w:tab w:val="right" w:leader="dot" w:pos="9062"/>
            </w:tabs>
            <w:rPr>
              <w:rFonts w:asciiTheme="minorHAnsi" w:eastAsiaTheme="minorEastAsia" w:hAnsiTheme="minorHAnsi" w:cstheme="minorBidi"/>
              <w:noProof/>
              <w:lang w:eastAsia="sv-SE"/>
            </w:rPr>
          </w:pPr>
          <w:hyperlink w:anchor="_Toc419214002" w:history="1">
            <w:r w:rsidR="001C2735" w:rsidRPr="00E02545">
              <w:rPr>
                <w:rStyle w:val="Hyperlnk"/>
                <w:noProof/>
              </w:rPr>
              <w:t>4.</w:t>
            </w:r>
            <w:r w:rsidR="001C2735">
              <w:rPr>
                <w:rFonts w:asciiTheme="minorHAnsi" w:eastAsiaTheme="minorEastAsia" w:hAnsiTheme="minorHAnsi" w:cstheme="minorBidi"/>
                <w:noProof/>
                <w:lang w:eastAsia="sv-SE"/>
              </w:rPr>
              <w:tab/>
            </w:r>
            <w:r w:rsidR="001C2735" w:rsidRPr="00E02545">
              <w:rPr>
                <w:rStyle w:val="Hyperlnk"/>
                <w:noProof/>
              </w:rPr>
              <w:t>Resolutions, decisions and opinions adopted by the European Parliament at its part-sessions in a)Brussels on 25 March and 15 April 2015 b)Strasbourg from 27 to 30 April 2015</w:t>
            </w:r>
            <w:r w:rsidR="001C2735">
              <w:rPr>
                <w:noProof/>
                <w:webHidden/>
              </w:rPr>
              <w:tab/>
            </w:r>
            <w:r w:rsidR="001C2735">
              <w:rPr>
                <w:noProof/>
                <w:webHidden/>
              </w:rPr>
              <w:fldChar w:fldCharType="begin"/>
            </w:r>
            <w:r w:rsidR="001C2735">
              <w:rPr>
                <w:noProof/>
                <w:webHidden/>
              </w:rPr>
              <w:instrText xml:space="preserve"> PAGEREF _Toc419214002 \h </w:instrText>
            </w:r>
            <w:r w:rsidR="001C2735">
              <w:rPr>
                <w:noProof/>
                <w:webHidden/>
              </w:rPr>
            </w:r>
            <w:r w:rsidR="001C2735">
              <w:rPr>
                <w:noProof/>
                <w:webHidden/>
              </w:rPr>
              <w:fldChar w:fldCharType="separate"/>
            </w:r>
            <w:r w:rsidR="001C2735">
              <w:rPr>
                <w:noProof/>
                <w:webHidden/>
              </w:rPr>
              <w:t>4</w:t>
            </w:r>
            <w:r w:rsidR="001C2735">
              <w:rPr>
                <w:noProof/>
                <w:webHidden/>
              </w:rPr>
              <w:fldChar w:fldCharType="end"/>
            </w:r>
          </w:hyperlink>
        </w:p>
        <w:p w14:paraId="040FFEFE" w14:textId="77777777" w:rsidR="001C2735" w:rsidRDefault="001D55EE">
          <w:pPr>
            <w:pStyle w:val="Innehll1"/>
            <w:tabs>
              <w:tab w:val="left" w:pos="440"/>
              <w:tab w:val="right" w:leader="dot" w:pos="9062"/>
            </w:tabs>
            <w:rPr>
              <w:rFonts w:asciiTheme="minorHAnsi" w:eastAsiaTheme="minorEastAsia" w:hAnsiTheme="minorHAnsi" w:cstheme="minorBidi"/>
              <w:noProof/>
              <w:lang w:eastAsia="sv-SE"/>
            </w:rPr>
          </w:pPr>
          <w:hyperlink w:anchor="_Toc419214003" w:history="1">
            <w:r w:rsidR="001C2735" w:rsidRPr="00E02545">
              <w:rPr>
                <w:rStyle w:val="Hyperlnk"/>
                <w:noProof/>
              </w:rPr>
              <w:t>5.</w:t>
            </w:r>
            <w:r w:rsidR="001C2735">
              <w:rPr>
                <w:rFonts w:asciiTheme="minorHAnsi" w:eastAsiaTheme="minorEastAsia" w:hAnsiTheme="minorHAnsi" w:cstheme="minorBidi"/>
                <w:noProof/>
                <w:lang w:eastAsia="sv-SE"/>
              </w:rPr>
              <w:tab/>
            </w:r>
            <w:r w:rsidR="001C2735" w:rsidRPr="00E02545">
              <w:rPr>
                <w:rStyle w:val="Hyperlnk"/>
                <w:noProof/>
              </w:rPr>
              <w:t>Commission delegated Regulation (EU) …/... of 31.3.2015 amending Annexes III, V and VII of Regulation No 211/2011 of the European Parliament and of the Council on the citizens' initiative</w:t>
            </w:r>
            <w:r w:rsidR="001C2735">
              <w:rPr>
                <w:noProof/>
                <w:webHidden/>
              </w:rPr>
              <w:tab/>
            </w:r>
            <w:r w:rsidR="001C2735">
              <w:rPr>
                <w:noProof/>
                <w:webHidden/>
              </w:rPr>
              <w:fldChar w:fldCharType="begin"/>
            </w:r>
            <w:r w:rsidR="001C2735">
              <w:rPr>
                <w:noProof/>
                <w:webHidden/>
              </w:rPr>
              <w:instrText xml:space="preserve"> PAGEREF _Toc419214003 \h </w:instrText>
            </w:r>
            <w:r w:rsidR="001C2735">
              <w:rPr>
                <w:noProof/>
                <w:webHidden/>
              </w:rPr>
            </w:r>
            <w:r w:rsidR="001C2735">
              <w:rPr>
                <w:noProof/>
                <w:webHidden/>
              </w:rPr>
              <w:fldChar w:fldCharType="separate"/>
            </w:r>
            <w:r w:rsidR="001C2735">
              <w:rPr>
                <w:noProof/>
                <w:webHidden/>
              </w:rPr>
              <w:t>4</w:t>
            </w:r>
            <w:r w:rsidR="001C2735">
              <w:rPr>
                <w:noProof/>
                <w:webHidden/>
              </w:rPr>
              <w:fldChar w:fldCharType="end"/>
            </w:r>
          </w:hyperlink>
        </w:p>
        <w:p w14:paraId="74B616EF" w14:textId="77777777" w:rsidR="001C2735" w:rsidRDefault="001D55EE">
          <w:pPr>
            <w:pStyle w:val="Innehll1"/>
            <w:tabs>
              <w:tab w:val="left" w:pos="440"/>
              <w:tab w:val="right" w:leader="dot" w:pos="9062"/>
            </w:tabs>
            <w:rPr>
              <w:rFonts w:asciiTheme="minorHAnsi" w:eastAsiaTheme="minorEastAsia" w:hAnsiTheme="minorHAnsi" w:cstheme="minorBidi"/>
              <w:noProof/>
              <w:lang w:eastAsia="sv-SE"/>
            </w:rPr>
          </w:pPr>
          <w:hyperlink w:anchor="_Toc419214004" w:history="1">
            <w:r w:rsidR="001C2735" w:rsidRPr="00E02545">
              <w:rPr>
                <w:rStyle w:val="Hyperlnk"/>
                <w:noProof/>
              </w:rPr>
              <w:t>6.</w:t>
            </w:r>
            <w:r w:rsidR="001C2735">
              <w:rPr>
                <w:rFonts w:asciiTheme="minorHAnsi" w:eastAsiaTheme="minorEastAsia" w:hAnsiTheme="minorHAnsi" w:cstheme="minorBidi"/>
                <w:noProof/>
                <w:lang w:eastAsia="sv-SE"/>
              </w:rPr>
              <w:tab/>
            </w:r>
            <w:r w:rsidR="001C2735" w:rsidRPr="00E02545">
              <w:rPr>
                <w:rStyle w:val="Hyperlnk"/>
                <w:noProof/>
              </w:rPr>
              <w:t>Transparency - Public access to documents Thirteenth annual report of the Council on the implementation of Regulation No 1049/2001 of the European Parliament and of the Council of 30 May 2001 regarding public access to European Parliament, Council and Commission documents</w:t>
            </w:r>
            <w:r w:rsidR="001C2735">
              <w:rPr>
                <w:noProof/>
                <w:webHidden/>
              </w:rPr>
              <w:tab/>
            </w:r>
            <w:r w:rsidR="001C2735">
              <w:rPr>
                <w:noProof/>
                <w:webHidden/>
              </w:rPr>
              <w:fldChar w:fldCharType="begin"/>
            </w:r>
            <w:r w:rsidR="001C2735">
              <w:rPr>
                <w:noProof/>
                <w:webHidden/>
              </w:rPr>
              <w:instrText xml:space="preserve"> PAGEREF _Toc419214004 \h </w:instrText>
            </w:r>
            <w:r w:rsidR="001C2735">
              <w:rPr>
                <w:noProof/>
                <w:webHidden/>
              </w:rPr>
            </w:r>
            <w:r w:rsidR="001C2735">
              <w:rPr>
                <w:noProof/>
                <w:webHidden/>
              </w:rPr>
              <w:fldChar w:fldCharType="separate"/>
            </w:r>
            <w:r w:rsidR="001C2735">
              <w:rPr>
                <w:noProof/>
                <w:webHidden/>
              </w:rPr>
              <w:t>5</w:t>
            </w:r>
            <w:r w:rsidR="001C2735">
              <w:rPr>
                <w:noProof/>
                <w:webHidden/>
              </w:rPr>
              <w:fldChar w:fldCharType="end"/>
            </w:r>
          </w:hyperlink>
        </w:p>
        <w:p w14:paraId="089AC5AA" w14:textId="77777777" w:rsidR="001C2735" w:rsidRDefault="001D55EE">
          <w:pPr>
            <w:pStyle w:val="Innehll1"/>
            <w:tabs>
              <w:tab w:val="left" w:pos="440"/>
              <w:tab w:val="right" w:leader="dot" w:pos="9062"/>
            </w:tabs>
            <w:rPr>
              <w:rFonts w:asciiTheme="minorHAnsi" w:eastAsiaTheme="minorEastAsia" w:hAnsiTheme="minorHAnsi" w:cstheme="minorBidi"/>
              <w:noProof/>
              <w:lang w:eastAsia="sv-SE"/>
            </w:rPr>
          </w:pPr>
          <w:hyperlink w:anchor="_Toc419214005" w:history="1">
            <w:r w:rsidR="001C2735" w:rsidRPr="00E02545">
              <w:rPr>
                <w:rStyle w:val="Hyperlnk"/>
                <w:noProof/>
              </w:rPr>
              <w:t>7.</w:t>
            </w:r>
            <w:r w:rsidR="001C2735">
              <w:rPr>
                <w:rFonts w:asciiTheme="minorHAnsi" w:eastAsiaTheme="minorEastAsia" w:hAnsiTheme="minorHAnsi" w:cstheme="minorBidi"/>
                <w:noProof/>
                <w:lang w:eastAsia="sv-SE"/>
              </w:rPr>
              <w:tab/>
            </w:r>
            <w:r w:rsidR="001C2735" w:rsidRPr="00E02545">
              <w:rPr>
                <w:rStyle w:val="Hyperlnk"/>
                <w:noProof/>
              </w:rPr>
              <w:t>Transparency - Public access to documents Confirmatory application No 07/c/01/15</w:t>
            </w:r>
            <w:r w:rsidR="001C2735">
              <w:rPr>
                <w:noProof/>
                <w:webHidden/>
              </w:rPr>
              <w:tab/>
            </w:r>
            <w:r w:rsidR="001C2735">
              <w:rPr>
                <w:noProof/>
                <w:webHidden/>
              </w:rPr>
              <w:fldChar w:fldCharType="begin"/>
            </w:r>
            <w:r w:rsidR="001C2735">
              <w:rPr>
                <w:noProof/>
                <w:webHidden/>
              </w:rPr>
              <w:instrText xml:space="preserve"> PAGEREF _Toc419214005 \h </w:instrText>
            </w:r>
            <w:r w:rsidR="001C2735">
              <w:rPr>
                <w:noProof/>
                <w:webHidden/>
              </w:rPr>
            </w:r>
            <w:r w:rsidR="001C2735">
              <w:rPr>
                <w:noProof/>
                <w:webHidden/>
              </w:rPr>
              <w:fldChar w:fldCharType="separate"/>
            </w:r>
            <w:r w:rsidR="001C2735">
              <w:rPr>
                <w:noProof/>
                <w:webHidden/>
              </w:rPr>
              <w:t>5</w:t>
            </w:r>
            <w:r w:rsidR="001C2735">
              <w:rPr>
                <w:noProof/>
                <w:webHidden/>
              </w:rPr>
              <w:fldChar w:fldCharType="end"/>
            </w:r>
          </w:hyperlink>
        </w:p>
        <w:p w14:paraId="349DC162" w14:textId="77777777" w:rsidR="001C2735" w:rsidRDefault="001D55EE">
          <w:pPr>
            <w:pStyle w:val="Innehll1"/>
            <w:tabs>
              <w:tab w:val="left" w:pos="440"/>
              <w:tab w:val="right" w:leader="dot" w:pos="9062"/>
            </w:tabs>
            <w:rPr>
              <w:rFonts w:asciiTheme="minorHAnsi" w:eastAsiaTheme="minorEastAsia" w:hAnsiTheme="minorHAnsi" w:cstheme="minorBidi"/>
              <w:noProof/>
              <w:lang w:eastAsia="sv-SE"/>
            </w:rPr>
          </w:pPr>
          <w:hyperlink w:anchor="_Toc419214006" w:history="1">
            <w:r w:rsidR="001C2735" w:rsidRPr="00E02545">
              <w:rPr>
                <w:rStyle w:val="Hyperlnk"/>
                <w:noProof/>
              </w:rPr>
              <w:t>8.</w:t>
            </w:r>
            <w:r w:rsidR="001C2735">
              <w:rPr>
                <w:rFonts w:asciiTheme="minorHAnsi" w:eastAsiaTheme="minorEastAsia" w:hAnsiTheme="minorHAnsi" w:cstheme="minorBidi"/>
                <w:noProof/>
                <w:lang w:eastAsia="sv-SE"/>
              </w:rPr>
              <w:tab/>
            </w:r>
            <w:r w:rsidR="001C2735" w:rsidRPr="00E02545">
              <w:rPr>
                <w:rStyle w:val="Hyperlnk"/>
                <w:noProof/>
              </w:rPr>
              <w:t>Recommendation to the Council concerning the approval of a second-party evaluated cryptographic product</w:t>
            </w:r>
            <w:r w:rsidR="001C2735">
              <w:rPr>
                <w:noProof/>
                <w:webHidden/>
              </w:rPr>
              <w:tab/>
            </w:r>
            <w:r w:rsidR="001C2735">
              <w:rPr>
                <w:noProof/>
                <w:webHidden/>
              </w:rPr>
              <w:fldChar w:fldCharType="begin"/>
            </w:r>
            <w:r w:rsidR="001C2735">
              <w:rPr>
                <w:noProof/>
                <w:webHidden/>
              </w:rPr>
              <w:instrText xml:space="preserve"> PAGEREF _Toc419214006 \h </w:instrText>
            </w:r>
            <w:r w:rsidR="001C2735">
              <w:rPr>
                <w:noProof/>
                <w:webHidden/>
              </w:rPr>
            </w:r>
            <w:r w:rsidR="001C2735">
              <w:rPr>
                <w:noProof/>
                <w:webHidden/>
              </w:rPr>
              <w:fldChar w:fldCharType="separate"/>
            </w:r>
            <w:r w:rsidR="001C2735">
              <w:rPr>
                <w:noProof/>
                <w:webHidden/>
              </w:rPr>
              <w:t>5</w:t>
            </w:r>
            <w:r w:rsidR="001C2735">
              <w:rPr>
                <w:noProof/>
                <w:webHidden/>
              </w:rPr>
              <w:fldChar w:fldCharType="end"/>
            </w:r>
          </w:hyperlink>
        </w:p>
        <w:p w14:paraId="2310900A" w14:textId="77777777" w:rsidR="001C2735" w:rsidRDefault="001D55EE">
          <w:pPr>
            <w:pStyle w:val="Innehll1"/>
            <w:tabs>
              <w:tab w:val="left" w:pos="440"/>
              <w:tab w:val="right" w:leader="dot" w:pos="9062"/>
            </w:tabs>
            <w:rPr>
              <w:rFonts w:asciiTheme="minorHAnsi" w:eastAsiaTheme="minorEastAsia" w:hAnsiTheme="minorHAnsi" w:cstheme="minorBidi"/>
              <w:noProof/>
              <w:lang w:eastAsia="sv-SE"/>
            </w:rPr>
          </w:pPr>
          <w:hyperlink w:anchor="_Toc419214007" w:history="1">
            <w:r w:rsidR="001C2735" w:rsidRPr="00E02545">
              <w:rPr>
                <w:rStyle w:val="Hyperlnk"/>
                <w:noProof/>
              </w:rPr>
              <w:t>9.</w:t>
            </w:r>
            <w:r w:rsidR="001C2735">
              <w:rPr>
                <w:rFonts w:asciiTheme="minorHAnsi" w:eastAsiaTheme="minorEastAsia" w:hAnsiTheme="minorHAnsi" w:cstheme="minorBidi"/>
                <w:noProof/>
                <w:lang w:eastAsia="sv-SE"/>
              </w:rPr>
              <w:tab/>
            </w:r>
            <w:r w:rsidR="001C2735" w:rsidRPr="00E02545">
              <w:rPr>
                <w:rStyle w:val="Hyperlnk"/>
                <w:noProof/>
              </w:rPr>
              <w:t>Commission Regulation (EU) No …/.. of XXX implementing Regulation (EC) No 1445/2007 of the European Parliament and of the Council as regards the list of basic headings used for Purchasing Power Parities</w:t>
            </w:r>
            <w:r w:rsidR="001C2735">
              <w:rPr>
                <w:noProof/>
                <w:webHidden/>
              </w:rPr>
              <w:tab/>
            </w:r>
            <w:r w:rsidR="001C2735">
              <w:rPr>
                <w:noProof/>
                <w:webHidden/>
              </w:rPr>
              <w:fldChar w:fldCharType="begin"/>
            </w:r>
            <w:r w:rsidR="001C2735">
              <w:rPr>
                <w:noProof/>
                <w:webHidden/>
              </w:rPr>
              <w:instrText xml:space="preserve"> PAGEREF _Toc419214007 \h </w:instrText>
            </w:r>
            <w:r w:rsidR="001C2735">
              <w:rPr>
                <w:noProof/>
                <w:webHidden/>
              </w:rPr>
            </w:r>
            <w:r w:rsidR="001C2735">
              <w:rPr>
                <w:noProof/>
                <w:webHidden/>
              </w:rPr>
              <w:fldChar w:fldCharType="separate"/>
            </w:r>
            <w:r w:rsidR="001C2735">
              <w:rPr>
                <w:noProof/>
                <w:webHidden/>
              </w:rPr>
              <w:t>6</w:t>
            </w:r>
            <w:r w:rsidR="001C2735">
              <w:rPr>
                <w:noProof/>
                <w:webHidden/>
              </w:rPr>
              <w:fldChar w:fldCharType="end"/>
            </w:r>
          </w:hyperlink>
        </w:p>
        <w:p w14:paraId="4D729564" w14:textId="77777777" w:rsidR="001C2735" w:rsidRDefault="001D55EE">
          <w:pPr>
            <w:pStyle w:val="Innehll1"/>
            <w:tabs>
              <w:tab w:val="left" w:pos="660"/>
              <w:tab w:val="right" w:leader="dot" w:pos="9062"/>
            </w:tabs>
            <w:rPr>
              <w:rFonts w:asciiTheme="minorHAnsi" w:eastAsiaTheme="minorEastAsia" w:hAnsiTheme="minorHAnsi" w:cstheme="minorBidi"/>
              <w:noProof/>
              <w:lang w:eastAsia="sv-SE"/>
            </w:rPr>
          </w:pPr>
          <w:hyperlink w:anchor="_Toc419214008" w:history="1">
            <w:r w:rsidR="001C2735" w:rsidRPr="00E02545">
              <w:rPr>
                <w:rStyle w:val="Hyperlnk"/>
                <w:noProof/>
              </w:rPr>
              <w:t>10.</w:t>
            </w:r>
            <w:r w:rsidR="001C2735">
              <w:rPr>
                <w:rFonts w:asciiTheme="minorHAnsi" w:eastAsiaTheme="minorEastAsia" w:hAnsiTheme="minorHAnsi" w:cstheme="minorBidi"/>
                <w:noProof/>
                <w:lang w:eastAsia="sv-SE"/>
              </w:rPr>
              <w:tab/>
            </w:r>
            <w:r w:rsidR="001C2735" w:rsidRPr="00E02545">
              <w:rPr>
                <w:rStyle w:val="Hyperlnk"/>
                <w:noProof/>
              </w:rPr>
              <w:t>Submission of a new draft design of an Austrian commemorative coin</w:t>
            </w:r>
            <w:r w:rsidR="001C2735">
              <w:rPr>
                <w:noProof/>
                <w:webHidden/>
              </w:rPr>
              <w:tab/>
            </w:r>
            <w:r w:rsidR="001C2735">
              <w:rPr>
                <w:noProof/>
                <w:webHidden/>
              </w:rPr>
              <w:fldChar w:fldCharType="begin"/>
            </w:r>
            <w:r w:rsidR="001C2735">
              <w:rPr>
                <w:noProof/>
                <w:webHidden/>
              </w:rPr>
              <w:instrText xml:space="preserve"> PAGEREF _Toc419214008 \h </w:instrText>
            </w:r>
            <w:r w:rsidR="001C2735">
              <w:rPr>
                <w:noProof/>
                <w:webHidden/>
              </w:rPr>
            </w:r>
            <w:r w:rsidR="001C2735">
              <w:rPr>
                <w:noProof/>
                <w:webHidden/>
              </w:rPr>
              <w:fldChar w:fldCharType="separate"/>
            </w:r>
            <w:r w:rsidR="001C2735">
              <w:rPr>
                <w:noProof/>
                <w:webHidden/>
              </w:rPr>
              <w:t>6</w:t>
            </w:r>
            <w:r w:rsidR="001C2735">
              <w:rPr>
                <w:noProof/>
                <w:webHidden/>
              </w:rPr>
              <w:fldChar w:fldCharType="end"/>
            </w:r>
          </w:hyperlink>
        </w:p>
        <w:p w14:paraId="3FD9FB4A" w14:textId="77777777" w:rsidR="001C2735" w:rsidRDefault="001D55EE">
          <w:pPr>
            <w:pStyle w:val="Innehll1"/>
            <w:tabs>
              <w:tab w:val="left" w:pos="660"/>
              <w:tab w:val="right" w:leader="dot" w:pos="9062"/>
            </w:tabs>
            <w:rPr>
              <w:rFonts w:asciiTheme="minorHAnsi" w:eastAsiaTheme="minorEastAsia" w:hAnsiTheme="minorHAnsi" w:cstheme="minorBidi"/>
              <w:noProof/>
              <w:lang w:eastAsia="sv-SE"/>
            </w:rPr>
          </w:pPr>
          <w:hyperlink w:anchor="_Toc419214009" w:history="1">
            <w:r w:rsidR="001C2735" w:rsidRPr="00E02545">
              <w:rPr>
                <w:rStyle w:val="Hyperlnk"/>
                <w:noProof/>
              </w:rPr>
              <w:t>11.</w:t>
            </w:r>
            <w:r w:rsidR="001C2735">
              <w:rPr>
                <w:rFonts w:asciiTheme="minorHAnsi" w:eastAsiaTheme="minorEastAsia" w:hAnsiTheme="minorHAnsi" w:cstheme="minorBidi"/>
                <w:noProof/>
                <w:lang w:eastAsia="sv-SE"/>
              </w:rPr>
              <w:tab/>
            </w:r>
            <w:r w:rsidR="001C2735" w:rsidRPr="00E02545">
              <w:rPr>
                <w:rStyle w:val="Hyperlnk"/>
                <w:noProof/>
              </w:rPr>
              <w:t>Draft Regulation of the European Parliament and of the Council amending Regulation (EU) No 1304/2013, as regards an additional initial pre-financing amount paid to operational programmes supported by the Youth Employment Initiative (First reading) (LA)</w:t>
            </w:r>
            <w:r w:rsidR="001C2735">
              <w:rPr>
                <w:noProof/>
                <w:webHidden/>
              </w:rPr>
              <w:tab/>
            </w:r>
            <w:r w:rsidR="001C2735">
              <w:rPr>
                <w:noProof/>
                <w:webHidden/>
              </w:rPr>
              <w:fldChar w:fldCharType="begin"/>
            </w:r>
            <w:r w:rsidR="001C2735">
              <w:rPr>
                <w:noProof/>
                <w:webHidden/>
              </w:rPr>
              <w:instrText xml:space="preserve"> PAGEREF _Toc419214009 \h </w:instrText>
            </w:r>
            <w:r w:rsidR="001C2735">
              <w:rPr>
                <w:noProof/>
                <w:webHidden/>
              </w:rPr>
            </w:r>
            <w:r w:rsidR="001C2735">
              <w:rPr>
                <w:noProof/>
                <w:webHidden/>
              </w:rPr>
              <w:fldChar w:fldCharType="separate"/>
            </w:r>
            <w:r w:rsidR="001C2735">
              <w:rPr>
                <w:noProof/>
                <w:webHidden/>
              </w:rPr>
              <w:t>7</w:t>
            </w:r>
            <w:r w:rsidR="001C2735">
              <w:rPr>
                <w:noProof/>
                <w:webHidden/>
              </w:rPr>
              <w:fldChar w:fldCharType="end"/>
            </w:r>
          </w:hyperlink>
        </w:p>
        <w:p w14:paraId="288A172F" w14:textId="77777777" w:rsidR="001C2735" w:rsidRDefault="001D55EE">
          <w:pPr>
            <w:pStyle w:val="Innehll1"/>
            <w:tabs>
              <w:tab w:val="left" w:pos="660"/>
              <w:tab w:val="right" w:leader="dot" w:pos="9062"/>
            </w:tabs>
            <w:rPr>
              <w:rFonts w:asciiTheme="minorHAnsi" w:eastAsiaTheme="minorEastAsia" w:hAnsiTheme="minorHAnsi" w:cstheme="minorBidi"/>
              <w:noProof/>
              <w:lang w:eastAsia="sv-SE"/>
            </w:rPr>
          </w:pPr>
          <w:hyperlink w:anchor="_Toc419214010" w:history="1">
            <w:r w:rsidR="001C2735" w:rsidRPr="00E02545">
              <w:rPr>
                <w:rStyle w:val="Hyperlnk"/>
                <w:noProof/>
              </w:rPr>
              <w:t>12.</w:t>
            </w:r>
            <w:r w:rsidR="001C2735">
              <w:rPr>
                <w:rFonts w:asciiTheme="minorHAnsi" w:eastAsiaTheme="minorEastAsia" w:hAnsiTheme="minorHAnsi" w:cstheme="minorBidi"/>
                <w:noProof/>
                <w:lang w:eastAsia="sv-SE"/>
              </w:rPr>
              <w:tab/>
            </w:r>
            <w:r w:rsidR="001C2735" w:rsidRPr="00E02545">
              <w:rPr>
                <w:rStyle w:val="Hyperlnk"/>
                <w:noProof/>
              </w:rPr>
              <w:t>Adoption of a Council Decision authorising the opening of negotiations on short-stay visa waiver agreements between the European Union and Colombia and Peru</w:t>
            </w:r>
            <w:r w:rsidR="001C2735">
              <w:rPr>
                <w:noProof/>
                <w:webHidden/>
              </w:rPr>
              <w:tab/>
            </w:r>
            <w:r w:rsidR="001C2735">
              <w:rPr>
                <w:noProof/>
                <w:webHidden/>
              </w:rPr>
              <w:fldChar w:fldCharType="begin"/>
            </w:r>
            <w:r w:rsidR="001C2735">
              <w:rPr>
                <w:noProof/>
                <w:webHidden/>
              </w:rPr>
              <w:instrText xml:space="preserve"> PAGEREF _Toc419214010 \h </w:instrText>
            </w:r>
            <w:r w:rsidR="001C2735">
              <w:rPr>
                <w:noProof/>
                <w:webHidden/>
              </w:rPr>
            </w:r>
            <w:r w:rsidR="001C2735">
              <w:rPr>
                <w:noProof/>
                <w:webHidden/>
              </w:rPr>
              <w:fldChar w:fldCharType="separate"/>
            </w:r>
            <w:r w:rsidR="001C2735">
              <w:rPr>
                <w:noProof/>
                <w:webHidden/>
              </w:rPr>
              <w:t>7</w:t>
            </w:r>
            <w:r w:rsidR="001C2735">
              <w:rPr>
                <w:noProof/>
                <w:webHidden/>
              </w:rPr>
              <w:fldChar w:fldCharType="end"/>
            </w:r>
          </w:hyperlink>
        </w:p>
        <w:p w14:paraId="54A81C9F" w14:textId="77777777" w:rsidR="001C2735" w:rsidRDefault="001D55EE">
          <w:pPr>
            <w:pStyle w:val="Innehll1"/>
            <w:tabs>
              <w:tab w:val="left" w:pos="660"/>
              <w:tab w:val="right" w:leader="dot" w:pos="9062"/>
            </w:tabs>
            <w:rPr>
              <w:rFonts w:asciiTheme="minorHAnsi" w:eastAsiaTheme="minorEastAsia" w:hAnsiTheme="minorHAnsi" w:cstheme="minorBidi"/>
              <w:noProof/>
              <w:lang w:eastAsia="sv-SE"/>
            </w:rPr>
          </w:pPr>
          <w:hyperlink w:anchor="_Toc419214011" w:history="1">
            <w:r w:rsidR="001C2735" w:rsidRPr="00E02545">
              <w:rPr>
                <w:rStyle w:val="Hyperlnk"/>
                <w:noProof/>
              </w:rPr>
              <w:t>13.</w:t>
            </w:r>
            <w:r w:rsidR="001C2735">
              <w:rPr>
                <w:rFonts w:asciiTheme="minorHAnsi" w:eastAsiaTheme="minorEastAsia" w:hAnsiTheme="minorHAnsi" w:cstheme="minorBidi"/>
                <w:noProof/>
                <w:lang w:eastAsia="sv-SE"/>
              </w:rPr>
              <w:tab/>
            </w:r>
            <w:r w:rsidR="001C2735" w:rsidRPr="00E02545">
              <w:rPr>
                <w:rStyle w:val="Hyperlnk"/>
                <w:noProof/>
              </w:rPr>
              <w:t>Relations with the ACP States</w:t>
            </w:r>
            <w:r w:rsidR="001C2735">
              <w:rPr>
                <w:noProof/>
                <w:webHidden/>
              </w:rPr>
              <w:tab/>
            </w:r>
            <w:r w:rsidR="001C2735">
              <w:rPr>
                <w:noProof/>
                <w:webHidden/>
              </w:rPr>
              <w:fldChar w:fldCharType="begin"/>
            </w:r>
            <w:r w:rsidR="001C2735">
              <w:rPr>
                <w:noProof/>
                <w:webHidden/>
              </w:rPr>
              <w:instrText xml:space="preserve"> PAGEREF _Toc419214011 \h </w:instrText>
            </w:r>
            <w:r w:rsidR="001C2735">
              <w:rPr>
                <w:noProof/>
                <w:webHidden/>
              </w:rPr>
            </w:r>
            <w:r w:rsidR="001C2735">
              <w:rPr>
                <w:noProof/>
                <w:webHidden/>
              </w:rPr>
              <w:fldChar w:fldCharType="separate"/>
            </w:r>
            <w:r w:rsidR="001C2735">
              <w:rPr>
                <w:noProof/>
                <w:webHidden/>
              </w:rPr>
              <w:t>8</w:t>
            </w:r>
            <w:r w:rsidR="001C2735">
              <w:rPr>
                <w:noProof/>
                <w:webHidden/>
              </w:rPr>
              <w:fldChar w:fldCharType="end"/>
            </w:r>
          </w:hyperlink>
        </w:p>
        <w:p w14:paraId="505EE297" w14:textId="77777777" w:rsidR="001C2735" w:rsidRDefault="001D55EE">
          <w:pPr>
            <w:pStyle w:val="Innehll1"/>
            <w:tabs>
              <w:tab w:val="left" w:pos="660"/>
              <w:tab w:val="right" w:leader="dot" w:pos="9062"/>
            </w:tabs>
            <w:rPr>
              <w:rFonts w:asciiTheme="minorHAnsi" w:eastAsiaTheme="minorEastAsia" w:hAnsiTheme="minorHAnsi" w:cstheme="minorBidi"/>
              <w:noProof/>
              <w:lang w:eastAsia="sv-SE"/>
            </w:rPr>
          </w:pPr>
          <w:hyperlink w:anchor="_Toc419214012" w:history="1">
            <w:r w:rsidR="001C2735" w:rsidRPr="00E02545">
              <w:rPr>
                <w:rStyle w:val="Hyperlnk"/>
                <w:noProof/>
              </w:rPr>
              <w:t>14.</w:t>
            </w:r>
            <w:r w:rsidR="001C2735">
              <w:rPr>
                <w:rFonts w:asciiTheme="minorHAnsi" w:eastAsiaTheme="minorEastAsia" w:hAnsiTheme="minorHAnsi" w:cstheme="minorBidi"/>
                <w:noProof/>
                <w:lang w:eastAsia="sv-SE"/>
              </w:rPr>
              <w:tab/>
            </w:r>
            <w:r w:rsidR="001C2735" w:rsidRPr="00E02545">
              <w:rPr>
                <w:rStyle w:val="Hyperlnk"/>
                <w:noProof/>
              </w:rPr>
              <w:t>Draft Council Conclusions on the European Court of Auditors' Special Report No 18/2014 on EuropeAid's evaluation and results oriented monitoring systems</w:t>
            </w:r>
            <w:r w:rsidR="001C2735">
              <w:rPr>
                <w:noProof/>
                <w:webHidden/>
              </w:rPr>
              <w:tab/>
            </w:r>
            <w:r w:rsidR="001C2735">
              <w:rPr>
                <w:noProof/>
                <w:webHidden/>
              </w:rPr>
              <w:fldChar w:fldCharType="begin"/>
            </w:r>
            <w:r w:rsidR="001C2735">
              <w:rPr>
                <w:noProof/>
                <w:webHidden/>
              </w:rPr>
              <w:instrText xml:space="preserve"> PAGEREF _Toc419214012 \h </w:instrText>
            </w:r>
            <w:r w:rsidR="001C2735">
              <w:rPr>
                <w:noProof/>
                <w:webHidden/>
              </w:rPr>
            </w:r>
            <w:r w:rsidR="001C2735">
              <w:rPr>
                <w:noProof/>
                <w:webHidden/>
              </w:rPr>
              <w:fldChar w:fldCharType="separate"/>
            </w:r>
            <w:r w:rsidR="001C2735">
              <w:rPr>
                <w:noProof/>
                <w:webHidden/>
              </w:rPr>
              <w:t>8</w:t>
            </w:r>
            <w:r w:rsidR="001C2735">
              <w:rPr>
                <w:noProof/>
                <w:webHidden/>
              </w:rPr>
              <w:fldChar w:fldCharType="end"/>
            </w:r>
          </w:hyperlink>
        </w:p>
        <w:p w14:paraId="6327AB19" w14:textId="77777777" w:rsidR="001C2735" w:rsidRDefault="001D55EE">
          <w:pPr>
            <w:pStyle w:val="Innehll1"/>
            <w:tabs>
              <w:tab w:val="left" w:pos="660"/>
              <w:tab w:val="right" w:leader="dot" w:pos="9062"/>
            </w:tabs>
            <w:rPr>
              <w:rFonts w:asciiTheme="minorHAnsi" w:eastAsiaTheme="minorEastAsia" w:hAnsiTheme="minorHAnsi" w:cstheme="minorBidi"/>
              <w:noProof/>
              <w:lang w:eastAsia="sv-SE"/>
            </w:rPr>
          </w:pPr>
          <w:hyperlink w:anchor="_Toc419214013" w:history="1">
            <w:r w:rsidR="001C2735" w:rsidRPr="00E02545">
              <w:rPr>
                <w:rStyle w:val="Hyperlnk"/>
                <w:noProof/>
              </w:rPr>
              <w:t>15.</w:t>
            </w:r>
            <w:r w:rsidR="001C2735">
              <w:rPr>
                <w:rFonts w:asciiTheme="minorHAnsi" w:eastAsiaTheme="minorEastAsia" w:hAnsiTheme="minorHAnsi" w:cstheme="minorBidi"/>
                <w:noProof/>
                <w:lang w:eastAsia="sv-SE"/>
              </w:rPr>
              <w:tab/>
            </w:r>
            <w:r w:rsidR="001C2735" w:rsidRPr="00E02545">
              <w:rPr>
                <w:rStyle w:val="Hyperlnk"/>
                <w:noProof/>
              </w:rPr>
              <w:t>Relations with Uzbekistan</w:t>
            </w:r>
            <w:r w:rsidR="001C2735">
              <w:rPr>
                <w:noProof/>
                <w:webHidden/>
              </w:rPr>
              <w:tab/>
            </w:r>
            <w:r w:rsidR="001C2735">
              <w:rPr>
                <w:noProof/>
                <w:webHidden/>
              </w:rPr>
              <w:fldChar w:fldCharType="begin"/>
            </w:r>
            <w:r w:rsidR="001C2735">
              <w:rPr>
                <w:noProof/>
                <w:webHidden/>
              </w:rPr>
              <w:instrText xml:space="preserve"> PAGEREF _Toc419214013 \h </w:instrText>
            </w:r>
            <w:r w:rsidR="001C2735">
              <w:rPr>
                <w:noProof/>
                <w:webHidden/>
              </w:rPr>
            </w:r>
            <w:r w:rsidR="001C2735">
              <w:rPr>
                <w:noProof/>
                <w:webHidden/>
              </w:rPr>
              <w:fldChar w:fldCharType="separate"/>
            </w:r>
            <w:r w:rsidR="001C2735">
              <w:rPr>
                <w:noProof/>
                <w:webHidden/>
              </w:rPr>
              <w:t>9</w:t>
            </w:r>
            <w:r w:rsidR="001C2735">
              <w:rPr>
                <w:noProof/>
                <w:webHidden/>
              </w:rPr>
              <w:fldChar w:fldCharType="end"/>
            </w:r>
          </w:hyperlink>
        </w:p>
        <w:p w14:paraId="03DBBBAC" w14:textId="77777777" w:rsidR="001C2735" w:rsidRDefault="001D55EE">
          <w:pPr>
            <w:pStyle w:val="Innehll1"/>
            <w:tabs>
              <w:tab w:val="left" w:pos="660"/>
              <w:tab w:val="right" w:leader="dot" w:pos="9062"/>
            </w:tabs>
            <w:rPr>
              <w:rFonts w:asciiTheme="minorHAnsi" w:eastAsiaTheme="minorEastAsia" w:hAnsiTheme="minorHAnsi" w:cstheme="minorBidi"/>
              <w:noProof/>
              <w:lang w:eastAsia="sv-SE"/>
            </w:rPr>
          </w:pPr>
          <w:hyperlink w:anchor="_Toc419214014" w:history="1">
            <w:r w:rsidR="001C2735" w:rsidRPr="00E02545">
              <w:rPr>
                <w:rStyle w:val="Hyperlnk"/>
                <w:noProof/>
              </w:rPr>
              <w:t>16.</w:t>
            </w:r>
            <w:r w:rsidR="001C2735">
              <w:rPr>
                <w:rFonts w:asciiTheme="minorHAnsi" w:eastAsiaTheme="minorEastAsia" w:hAnsiTheme="minorHAnsi" w:cstheme="minorBidi"/>
                <w:noProof/>
                <w:lang w:eastAsia="sv-SE"/>
              </w:rPr>
              <w:tab/>
            </w:r>
            <w:r w:rsidR="001C2735" w:rsidRPr="00E02545">
              <w:rPr>
                <w:rStyle w:val="Hyperlnk"/>
                <w:noProof/>
              </w:rPr>
              <w:t>Relations with the Gulf States / GCC: Preparation of the 24th EU-GCC Joint Council and Ministerial Meeting (Doha, 24 May 2015)</w:t>
            </w:r>
            <w:r w:rsidR="001C2735">
              <w:rPr>
                <w:noProof/>
                <w:webHidden/>
              </w:rPr>
              <w:tab/>
            </w:r>
            <w:r w:rsidR="001C2735">
              <w:rPr>
                <w:noProof/>
                <w:webHidden/>
              </w:rPr>
              <w:fldChar w:fldCharType="begin"/>
            </w:r>
            <w:r w:rsidR="001C2735">
              <w:rPr>
                <w:noProof/>
                <w:webHidden/>
              </w:rPr>
              <w:instrText xml:space="preserve"> PAGEREF _Toc419214014 \h </w:instrText>
            </w:r>
            <w:r w:rsidR="001C2735">
              <w:rPr>
                <w:noProof/>
                <w:webHidden/>
              </w:rPr>
            </w:r>
            <w:r w:rsidR="001C2735">
              <w:rPr>
                <w:noProof/>
                <w:webHidden/>
              </w:rPr>
              <w:fldChar w:fldCharType="separate"/>
            </w:r>
            <w:r w:rsidR="001C2735">
              <w:rPr>
                <w:noProof/>
                <w:webHidden/>
              </w:rPr>
              <w:t>10</w:t>
            </w:r>
            <w:r w:rsidR="001C2735">
              <w:rPr>
                <w:noProof/>
                <w:webHidden/>
              </w:rPr>
              <w:fldChar w:fldCharType="end"/>
            </w:r>
          </w:hyperlink>
        </w:p>
        <w:p w14:paraId="1FBB63F1" w14:textId="77777777" w:rsidR="001C2735" w:rsidRDefault="001D55EE">
          <w:pPr>
            <w:pStyle w:val="Innehll1"/>
            <w:tabs>
              <w:tab w:val="left" w:pos="660"/>
              <w:tab w:val="right" w:leader="dot" w:pos="9062"/>
            </w:tabs>
            <w:rPr>
              <w:rFonts w:asciiTheme="minorHAnsi" w:eastAsiaTheme="minorEastAsia" w:hAnsiTheme="minorHAnsi" w:cstheme="minorBidi"/>
              <w:noProof/>
              <w:lang w:eastAsia="sv-SE"/>
            </w:rPr>
          </w:pPr>
          <w:hyperlink w:anchor="_Toc419214015" w:history="1">
            <w:r w:rsidR="001C2735" w:rsidRPr="00E02545">
              <w:rPr>
                <w:rStyle w:val="Hyperlnk"/>
                <w:noProof/>
              </w:rPr>
              <w:t>17.</w:t>
            </w:r>
            <w:r w:rsidR="001C2735">
              <w:rPr>
                <w:rFonts w:asciiTheme="minorHAnsi" w:eastAsiaTheme="minorEastAsia" w:hAnsiTheme="minorHAnsi" w:cstheme="minorBidi"/>
                <w:noProof/>
                <w:lang w:eastAsia="sv-SE"/>
              </w:rPr>
              <w:tab/>
            </w:r>
            <w:r w:rsidR="001C2735" w:rsidRPr="00E02545">
              <w:rPr>
                <w:rStyle w:val="Hyperlnk"/>
                <w:noProof/>
              </w:rPr>
              <w:t>Draft Council Conclusions on CSDP</w:t>
            </w:r>
            <w:r w:rsidR="001C2735">
              <w:rPr>
                <w:noProof/>
                <w:webHidden/>
              </w:rPr>
              <w:tab/>
            </w:r>
            <w:r w:rsidR="001C2735">
              <w:rPr>
                <w:noProof/>
                <w:webHidden/>
              </w:rPr>
              <w:fldChar w:fldCharType="begin"/>
            </w:r>
            <w:r w:rsidR="001C2735">
              <w:rPr>
                <w:noProof/>
                <w:webHidden/>
              </w:rPr>
              <w:instrText xml:space="preserve"> PAGEREF _Toc419214015 \h </w:instrText>
            </w:r>
            <w:r w:rsidR="001C2735">
              <w:rPr>
                <w:noProof/>
                <w:webHidden/>
              </w:rPr>
            </w:r>
            <w:r w:rsidR="001C2735">
              <w:rPr>
                <w:noProof/>
                <w:webHidden/>
              </w:rPr>
              <w:fldChar w:fldCharType="separate"/>
            </w:r>
            <w:r w:rsidR="001C2735">
              <w:rPr>
                <w:noProof/>
                <w:webHidden/>
              </w:rPr>
              <w:t>10</w:t>
            </w:r>
            <w:r w:rsidR="001C2735">
              <w:rPr>
                <w:noProof/>
                <w:webHidden/>
              </w:rPr>
              <w:fldChar w:fldCharType="end"/>
            </w:r>
          </w:hyperlink>
        </w:p>
        <w:p w14:paraId="72F5DFB3" w14:textId="77777777" w:rsidR="001C2735" w:rsidRDefault="001D55EE">
          <w:pPr>
            <w:pStyle w:val="Innehll1"/>
            <w:tabs>
              <w:tab w:val="left" w:pos="660"/>
              <w:tab w:val="right" w:leader="dot" w:pos="9062"/>
            </w:tabs>
            <w:rPr>
              <w:rFonts w:asciiTheme="minorHAnsi" w:eastAsiaTheme="minorEastAsia" w:hAnsiTheme="minorHAnsi" w:cstheme="minorBidi"/>
              <w:noProof/>
              <w:lang w:eastAsia="sv-SE"/>
            </w:rPr>
          </w:pPr>
          <w:hyperlink w:anchor="_Toc419214016" w:history="1">
            <w:r w:rsidR="001C2735" w:rsidRPr="00E02545">
              <w:rPr>
                <w:rStyle w:val="Hyperlnk"/>
                <w:noProof/>
              </w:rPr>
              <w:t>18.</w:t>
            </w:r>
            <w:r w:rsidR="001C2735">
              <w:rPr>
                <w:rFonts w:asciiTheme="minorHAnsi" w:eastAsiaTheme="minorEastAsia" w:hAnsiTheme="minorHAnsi" w:cstheme="minorBidi"/>
                <w:noProof/>
                <w:lang w:eastAsia="sv-SE"/>
              </w:rPr>
              <w:tab/>
            </w:r>
            <w:r w:rsidR="001C2735" w:rsidRPr="00E02545">
              <w:rPr>
                <w:rStyle w:val="Hyperlnk"/>
                <w:noProof/>
              </w:rPr>
              <w:t>High Representative's Report on the Twenty-First Operation ALTHEA Six-Monthly Review</w:t>
            </w:r>
            <w:r w:rsidR="001C2735">
              <w:rPr>
                <w:noProof/>
                <w:webHidden/>
              </w:rPr>
              <w:tab/>
            </w:r>
            <w:r w:rsidR="001C2735">
              <w:rPr>
                <w:noProof/>
                <w:webHidden/>
              </w:rPr>
              <w:fldChar w:fldCharType="begin"/>
            </w:r>
            <w:r w:rsidR="001C2735">
              <w:rPr>
                <w:noProof/>
                <w:webHidden/>
              </w:rPr>
              <w:instrText xml:space="preserve"> PAGEREF _Toc419214016 \h </w:instrText>
            </w:r>
            <w:r w:rsidR="001C2735">
              <w:rPr>
                <w:noProof/>
                <w:webHidden/>
              </w:rPr>
            </w:r>
            <w:r w:rsidR="001C2735">
              <w:rPr>
                <w:noProof/>
                <w:webHidden/>
              </w:rPr>
              <w:fldChar w:fldCharType="separate"/>
            </w:r>
            <w:r w:rsidR="001C2735">
              <w:rPr>
                <w:noProof/>
                <w:webHidden/>
              </w:rPr>
              <w:t>11</w:t>
            </w:r>
            <w:r w:rsidR="001C2735">
              <w:rPr>
                <w:noProof/>
                <w:webHidden/>
              </w:rPr>
              <w:fldChar w:fldCharType="end"/>
            </w:r>
          </w:hyperlink>
        </w:p>
        <w:p w14:paraId="5D93DD59" w14:textId="77777777" w:rsidR="001C2735" w:rsidRDefault="001D55EE">
          <w:pPr>
            <w:pStyle w:val="Innehll1"/>
            <w:tabs>
              <w:tab w:val="left" w:pos="660"/>
              <w:tab w:val="right" w:leader="dot" w:pos="9062"/>
            </w:tabs>
            <w:rPr>
              <w:rFonts w:asciiTheme="minorHAnsi" w:eastAsiaTheme="minorEastAsia" w:hAnsiTheme="minorHAnsi" w:cstheme="minorBidi"/>
              <w:noProof/>
              <w:lang w:eastAsia="sv-SE"/>
            </w:rPr>
          </w:pPr>
          <w:hyperlink w:anchor="_Toc419214017" w:history="1">
            <w:r w:rsidR="001C2735" w:rsidRPr="00E02545">
              <w:rPr>
                <w:rStyle w:val="Hyperlnk"/>
                <w:noProof/>
              </w:rPr>
              <w:t>19.</w:t>
            </w:r>
            <w:r w:rsidR="001C2735">
              <w:rPr>
                <w:rFonts w:asciiTheme="minorHAnsi" w:eastAsiaTheme="minorEastAsia" w:hAnsiTheme="minorHAnsi" w:cstheme="minorBidi"/>
                <w:noProof/>
                <w:lang w:eastAsia="sv-SE"/>
              </w:rPr>
              <w:tab/>
            </w:r>
            <w:r w:rsidR="001C2735" w:rsidRPr="00E02545">
              <w:rPr>
                <w:rStyle w:val="Hyperlnk"/>
                <w:noProof/>
              </w:rPr>
              <w:t>Draft Revised Mission Plan for EUSEC RD Congo, 1 July 2015 - 30 June 2016</w:t>
            </w:r>
            <w:r w:rsidR="001C2735">
              <w:rPr>
                <w:noProof/>
                <w:webHidden/>
              </w:rPr>
              <w:tab/>
            </w:r>
            <w:r w:rsidR="001C2735">
              <w:rPr>
                <w:noProof/>
                <w:webHidden/>
              </w:rPr>
              <w:fldChar w:fldCharType="begin"/>
            </w:r>
            <w:r w:rsidR="001C2735">
              <w:rPr>
                <w:noProof/>
                <w:webHidden/>
              </w:rPr>
              <w:instrText xml:space="preserve"> PAGEREF _Toc419214017 \h </w:instrText>
            </w:r>
            <w:r w:rsidR="001C2735">
              <w:rPr>
                <w:noProof/>
                <w:webHidden/>
              </w:rPr>
            </w:r>
            <w:r w:rsidR="001C2735">
              <w:rPr>
                <w:noProof/>
                <w:webHidden/>
              </w:rPr>
              <w:fldChar w:fldCharType="separate"/>
            </w:r>
            <w:r w:rsidR="001C2735">
              <w:rPr>
                <w:noProof/>
                <w:webHidden/>
              </w:rPr>
              <w:t>11</w:t>
            </w:r>
            <w:r w:rsidR="001C2735">
              <w:rPr>
                <w:noProof/>
                <w:webHidden/>
              </w:rPr>
              <w:fldChar w:fldCharType="end"/>
            </w:r>
          </w:hyperlink>
        </w:p>
        <w:p w14:paraId="0C9F7AD3" w14:textId="77777777" w:rsidR="001C2735" w:rsidRDefault="001D55EE">
          <w:pPr>
            <w:pStyle w:val="Innehll1"/>
            <w:tabs>
              <w:tab w:val="right" w:leader="dot" w:pos="9062"/>
            </w:tabs>
            <w:rPr>
              <w:rFonts w:asciiTheme="minorHAnsi" w:eastAsiaTheme="minorEastAsia" w:hAnsiTheme="minorHAnsi" w:cstheme="minorBidi"/>
              <w:noProof/>
              <w:lang w:eastAsia="sv-SE"/>
            </w:rPr>
          </w:pPr>
          <w:hyperlink w:anchor="_Toc419214018" w:history="1">
            <w:r w:rsidR="001C2735" w:rsidRPr="00E02545">
              <w:rPr>
                <w:rStyle w:val="Hyperlnk"/>
                <w:noProof/>
              </w:rPr>
              <w:t>20  a) Council Implementing Decision implementing Decision 2013/255/CFSP concerning restrictive measures against Syria b) Council Implementing Regulation implementing Regulation (EU) No 36/2012 concerning restrictive measures in view of the situation in Syria</w:t>
            </w:r>
            <w:r w:rsidR="001C2735">
              <w:rPr>
                <w:noProof/>
                <w:webHidden/>
              </w:rPr>
              <w:tab/>
            </w:r>
            <w:r w:rsidR="001C2735">
              <w:rPr>
                <w:noProof/>
                <w:webHidden/>
              </w:rPr>
              <w:fldChar w:fldCharType="begin"/>
            </w:r>
            <w:r w:rsidR="001C2735">
              <w:rPr>
                <w:noProof/>
                <w:webHidden/>
              </w:rPr>
              <w:instrText xml:space="preserve"> PAGEREF _Toc419214018 \h </w:instrText>
            </w:r>
            <w:r w:rsidR="001C2735">
              <w:rPr>
                <w:noProof/>
                <w:webHidden/>
              </w:rPr>
            </w:r>
            <w:r w:rsidR="001C2735">
              <w:rPr>
                <w:noProof/>
                <w:webHidden/>
              </w:rPr>
              <w:fldChar w:fldCharType="separate"/>
            </w:r>
            <w:r w:rsidR="001C2735">
              <w:rPr>
                <w:noProof/>
                <w:webHidden/>
              </w:rPr>
              <w:t>12</w:t>
            </w:r>
            <w:r w:rsidR="001C2735">
              <w:rPr>
                <w:noProof/>
                <w:webHidden/>
              </w:rPr>
              <w:fldChar w:fldCharType="end"/>
            </w:r>
          </w:hyperlink>
        </w:p>
        <w:p w14:paraId="431F3641" w14:textId="77777777" w:rsidR="00D957FB" w:rsidRPr="001C2735" w:rsidRDefault="007C07CE">
          <w:r w:rsidRPr="001C2735">
            <w:rPr>
              <w:b/>
              <w:bCs/>
              <w:noProof/>
            </w:rPr>
            <w:fldChar w:fldCharType="end"/>
          </w:r>
        </w:p>
      </w:sdtContent>
    </w:sdt>
    <w:p w14:paraId="431F3644" w14:textId="77777777" w:rsidR="00643D86" w:rsidRPr="001D55EE" w:rsidRDefault="007C07CE" w:rsidP="00643D86">
      <w:pPr>
        <w:pStyle w:val="Rubrik1"/>
        <w:rPr>
          <w:lang w:val="en-US"/>
        </w:rPr>
      </w:pPr>
      <w:bookmarkStart w:id="0" w:name="_Toc419213999"/>
      <w:bookmarkStart w:id="1" w:name="_Toc364854645"/>
      <w:r w:rsidRPr="001D55EE">
        <w:rPr>
          <w:noProof/>
          <w:lang w:val="en-US"/>
        </w:rPr>
        <w:lastRenderedPageBreak/>
        <w:t>Case before the General Court of the European Union</w:t>
      </w:r>
      <w:r w:rsidRPr="001D55EE">
        <w:rPr>
          <w:noProof/>
          <w:lang w:val="en-US"/>
        </w:rPr>
        <w:br/>
        <w:t>Judgment in Case T 190/12 (Tomana and 120 Others v. Council of the European Union)</w:t>
      </w:r>
      <w:bookmarkEnd w:id="0"/>
    </w:p>
    <w:p w14:paraId="431F3645" w14:textId="77777777" w:rsidR="00643D86" w:rsidRPr="001D55EE" w:rsidRDefault="007C07CE" w:rsidP="00643D86">
      <w:pPr>
        <w:rPr>
          <w:lang w:val="en-US"/>
        </w:rPr>
      </w:pPr>
      <w:r w:rsidRPr="001D55EE">
        <w:rPr>
          <w:noProof/>
          <w:lang w:val="en-US"/>
        </w:rPr>
        <w:t>8520</w:t>
      </w:r>
      <w:r w:rsidRPr="001D55EE">
        <w:rPr>
          <w:lang w:val="en-US"/>
        </w:rPr>
        <w:t>/15 JUR 289 RELEX 333 CFSP/PESC 101 COAFR 157</w:t>
      </w:r>
      <w:r w:rsidRPr="001D55EE">
        <w:rPr>
          <w:lang w:val="en-US"/>
        </w:rPr>
        <w:br/>
      </w:r>
      <w:r w:rsidRPr="001D55EE">
        <w:rPr>
          <w:noProof/>
          <w:lang w:val="en-US"/>
        </w:rPr>
        <w:t>8520</w:t>
      </w:r>
      <w:r w:rsidRPr="001D55EE">
        <w:rPr>
          <w:lang w:val="en-US"/>
        </w:rPr>
        <w:t>/15 JUR 289 RELEX 333 CFSP/PESC 101 COAFR 157</w:t>
      </w:r>
    </w:p>
    <w:p w14:paraId="431F3646" w14:textId="77777777" w:rsidR="00643D86" w:rsidRPr="001C2735" w:rsidRDefault="007C07CE" w:rsidP="00643D86">
      <w:r w:rsidRPr="001C2735">
        <w:rPr>
          <w:b/>
        </w:rPr>
        <w:t>Ansvarigt statsråd</w:t>
      </w:r>
      <w:r w:rsidRPr="001C2735">
        <w:rPr>
          <w:b/>
        </w:rPr>
        <w:br/>
      </w:r>
      <w:r w:rsidRPr="001C2735">
        <w:rPr>
          <w:noProof/>
        </w:rPr>
        <w:t>Margot Wallström</w:t>
      </w:r>
    </w:p>
    <w:p w14:paraId="431F3649" w14:textId="77777777" w:rsidR="00643D86" w:rsidRPr="001C2735" w:rsidRDefault="007C07CE" w:rsidP="00643D86">
      <w:r w:rsidRPr="001C2735">
        <w:rPr>
          <w:b/>
        </w:rPr>
        <w:t>Annotering</w:t>
      </w:r>
      <w:r w:rsidRPr="001C2735">
        <w:rPr>
          <w:b/>
        </w:rPr>
        <w:br/>
      </w:r>
      <w:r w:rsidRPr="001C2735">
        <w:rPr>
          <w:b/>
          <w:bCs/>
        </w:rPr>
        <w:t>Avsikt med behandlingen i rådet:</w:t>
      </w:r>
      <w:r w:rsidRPr="001C2735">
        <w:t xml:space="preserve"> Information om tribunalens dom i mål T-190/12 </w:t>
      </w:r>
      <w:proofErr w:type="spellStart"/>
      <w:r w:rsidRPr="001C2735">
        <w:t>Tomana</w:t>
      </w:r>
      <w:proofErr w:type="spellEnd"/>
      <w:r w:rsidRPr="001C2735">
        <w:t xml:space="preserve">.  </w:t>
      </w:r>
    </w:p>
    <w:p w14:paraId="431F364A" w14:textId="77777777" w:rsidR="00601374" w:rsidRPr="001C2735" w:rsidRDefault="007C07CE">
      <w:pPr>
        <w:spacing w:after="280" w:afterAutospacing="1"/>
      </w:pPr>
      <w:r w:rsidRPr="001C2735">
        <w:rPr>
          <w:b/>
          <w:bCs/>
        </w:rPr>
        <w:t>Hur regeringen ställer sig till den blivande A-punkten:</w:t>
      </w:r>
      <w:r w:rsidRPr="001C2735">
        <w:t xml:space="preserve"> Regeringen har ingen erinran mot denna informationspunkt. </w:t>
      </w:r>
    </w:p>
    <w:p w14:paraId="431F364B" w14:textId="77777777" w:rsidR="00601374" w:rsidRPr="001C2735" w:rsidRDefault="007C07CE">
      <w:pPr>
        <w:spacing w:after="280" w:afterAutospacing="1"/>
      </w:pPr>
      <w:r w:rsidRPr="001C2735">
        <w:rPr>
          <w:b/>
          <w:bCs/>
        </w:rPr>
        <w:t xml:space="preserve">Bakgrund: </w:t>
      </w:r>
      <w:r w:rsidRPr="001C2735">
        <w:t>Målet rör en ogiltighetstalan som riktats mot rådets beslut 2012/97/GUSP avseende restriktiva åtgärder mot Zimbabwe.</w:t>
      </w:r>
    </w:p>
    <w:p w14:paraId="431F364C" w14:textId="77777777" w:rsidR="00FB32B9" w:rsidRPr="001C2735" w:rsidRDefault="001D55EE">
      <w:pPr>
        <w:spacing w:after="280" w:afterAutospacing="1"/>
        <w:rPr>
          <w:noProof/>
        </w:rPr>
      </w:pPr>
    </w:p>
    <w:p w14:paraId="431F364D" w14:textId="77777777" w:rsidR="00643D86" w:rsidRPr="001D55EE" w:rsidRDefault="007C07CE" w:rsidP="00643D86">
      <w:pPr>
        <w:pStyle w:val="Rubrik1"/>
        <w:rPr>
          <w:lang w:val="en-US"/>
        </w:rPr>
      </w:pPr>
      <w:bookmarkStart w:id="2" w:name="_Toc419214000"/>
      <w:r w:rsidRPr="001D55EE">
        <w:rPr>
          <w:noProof/>
          <w:lang w:val="en-US"/>
        </w:rPr>
        <w:t>Case before the General Court</w:t>
      </w:r>
      <w:r w:rsidRPr="001D55EE">
        <w:rPr>
          <w:noProof/>
          <w:lang w:val="en-US"/>
        </w:rPr>
        <w:br/>
        <w:t>Case T-175/15 (Mohamed Marouen Ben Ali Ben Mohamed Mabrouk v. Council of the European Union)</w:t>
      </w:r>
      <w:bookmarkEnd w:id="2"/>
    </w:p>
    <w:p w14:paraId="11F688F4" w14:textId="77777777" w:rsidR="00B26628" w:rsidRPr="001D55EE" w:rsidRDefault="007C07CE" w:rsidP="00643D86">
      <w:pPr>
        <w:rPr>
          <w:b/>
          <w:lang w:val="en-US"/>
        </w:rPr>
      </w:pPr>
      <w:r w:rsidRPr="001D55EE">
        <w:rPr>
          <w:noProof/>
          <w:lang w:val="en-US"/>
        </w:rPr>
        <w:t>8525</w:t>
      </w:r>
      <w:r w:rsidRPr="001D55EE">
        <w:rPr>
          <w:lang w:val="en-US"/>
        </w:rPr>
        <w:t>/15 JUR 290 RELEX 334 CFSP/PESC 103 CONOP 34</w:t>
      </w:r>
      <w:r w:rsidRPr="001D55EE">
        <w:rPr>
          <w:lang w:val="en-US"/>
        </w:rPr>
        <w:br/>
      </w:r>
    </w:p>
    <w:p w14:paraId="431F364F" w14:textId="39F0B230" w:rsidR="00643D86" w:rsidRPr="001C2735" w:rsidRDefault="007C07CE" w:rsidP="00643D86">
      <w:r w:rsidRPr="001C2735">
        <w:rPr>
          <w:b/>
        </w:rPr>
        <w:t>Ansvarigt statsråd</w:t>
      </w:r>
      <w:r w:rsidRPr="001C2735">
        <w:rPr>
          <w:b/>
        </w:rPr>
        <w:br/>
      </w:r>
      <w:r w:rsidRPr="001C2735">
        <w:rPr>
          <w:noProof/>
        </w:rPr>
        <w:t>Margot Wallström</w:t>
      </w:r>
    </w:p>
    <w:p w14:paraId="431F3652" w14:textId="77777777" w:rsidR="00643D86" w:rsidRPr="001C2735" w:rsidRDefault="007C07CE" w:rsidP="00643D86">
      <w:r w:rsidRPr="001C2735">
        <w:rPr>
          <w:b/>
        </w:rPr>
        <w:t>Annotering</w:t>
      </w:r>
      <w:r w:rsidRPr="001C2735">
        <w:rPr>
          <w:b/>
        </w:rPr>
        <w:br/>
      </w:r>
      <w:r w:rsidRPr="001C2735">
        <w:rPr>
          <w:b/>
          <w:bCs/>
        </w:rPr>
        <w:t>Avsikt med behandlingen i rådet:</w:t>
      </w:r>
      <w:r w:rsidRPr="001C2735">
        <w:t xml:space="preserve"> Information om ett mål vid tribunalen där rådet har utsett ombud.  </w:t>
      </w:r>
    </w:p>
    <w:p w14:paraId="431F3653" w14:textId="77777777" w:rsidR="00601374" w:rsidRPr="001C2735" w:rsidRDefault="007C07CE">
      <w:pPr>
        <w:spacing w:after="280" w:afterAutospacing="1"/>
      </w:pPr>
      <w:r w:rsidRPr="001C2735">
        <w:rPr>
          <w:b/>
          <w:bCs/>
        </w:rPr>
        <w:t xml:space="preserve">Hur regeringen ställer sig till den blivande A-punkten: </w:t>
      </w:r>
      <w:r w:rsidRPr="001C2735">
        <w:t xml:space="preserve">Regeringen har ingen erinran mot denna informationspunkt.  </w:t>
      </w:r>
    </w:p>
    <w:p w14:paraId="431F3654" w14:textId="77777777" w:rsidR="00601374" w:rsidRPr="001C2735" w:rsidRDefault="007C07CE">
      <w:pPr>
        <w:spacing w:after="280" w:afterAutospacing="1"/>
      </w:pPr>
      <w:r w:rsidRPr="001C2735">
        <w:rPr>
          <w:b/>
          <w:bCs/>
        </w:rPr>
        <w:t xml:space="preserve">Bakgrund: </w:t>
      </w:r>
      <w:r w:rsidRPr="001C2735">
        <w:t>Målet rör en ogiltighetstalan mot rådets beslut 2011/72/GUSP om restriktiva åtgärder mot vissa personer och enheter med tanke på situationen i Tunisien.</w:t>
      </w:r>
    </w:p>
    <w:p w14:paraId="431F3655" w14:textId="77777777" w:rsidR="00FB32B9" w:rsidRPr="001C2735" w:rsidRDefault="001D55EE">
      <w:pPr>
        <w:spacing w:after="280" w:afterAutospacing="1"/>
        <w:rPr>
          <w:noProof/>
        </w:rPr>
      </w:pPr>
    </w:p>
    <w:p w14:paraId="431F3656" w14:textId="77777777" w:rsidR="00643D86" w:rsidRPr="001D55EE" w:rsidRDefault="007C07CE" w:rsidP="00643D86">
      <w:pPr>
        <w:pStyle w:val="Rubrik1"/>
        <w:rPr>
          <w:lang w:val="en-US"/>
        </w:rPr>
      </w:pPr>
      <w:bookmarkStart w:id="3" w:name="_Toc419214001"/>
      <w:r w:rsidRPr="001D55EE">
        <w:rPr>
          <w:noProof/>
          <w:lang w:val="en-US"/>
        </w:rPr>
        <w:t>Case before the Court of Justice</w:t>
      </w:r>
      <w:r w:rsidRPr="001D55EE">
        <w:rPr>
          <w:noProof/>
          <w:lang w:val="en-US"/>
        </w:rPr>
        <w:br/>
        <w:t>Case C-601/14 (European Commission against Italian Republic)</w:t>
      </w:r>
      <w:bookmarkEnd w:id="3"/>
    </w:p>
    <w:p w14:paraId="431F3657" w14:textId="77777777" w:rsidR="00643D86" w:rsidRPr="001C2735" w:rsidRDefault="007C07CE" w:rsidP="00643D86">
      <w:r w:rsidRPr="001C2735">
        <w:rPr>
          <w:noProof/>
        </w:rPr>
        <w:t>8601</w:t>
      </w:r>
      <w:r w:rsidRPr="001C2735">
        <w:t>/15 JUR 298 JUSTCIV 97 COPEN 112</w:t>
      </w:r>
      <w:r w:rsidRPr="001C2735">
        <w:br/>
      </w:r>
      <w:r w:rsidRPr="001C2735">
        <w:rPr>
          <w:noProof/>
        </w:rPr>
        <w:t>8601</w:t>
      </w:r>
      <w:r w:rsidRPr="001C2735">
        <w:t>/15 JUR 298 JUSTCIV 97 COPEN 112</w:t>
      </w:r>
    </w:p>
    <w:p w14:paraId="431F3658" w14:textId="77777777" w:rsidR="00643D86" w:rsidRPr="001C2735" w:rsidRDefault="007C07CE" w:rsidP="00643D86">
      <w:r w:rsidRPr="001C2735">
        <w:rPr>
          <w:b/>
        </w:rPr>
        <w:t>Ansvarigt statsråd</w:t>
      </w:r>
      <w:r w:rsidRPr="001C2735">
        <w:rPr>
          <w:b/>
        </w:rPr>
        <w:br/>
      </w:r>
      <w:r w:rsidRPr="001C2735">
        <w:rPr>
          <w:noProof/>
        </w:rPr>
        <w:t>Margot Wallström</w:t>
      </w:r>
    </w:p>
    <w:p w14:paraId="431F365B" w14:textId="77777777" w:rsidR="00643D86" w:rsidRPr="001C2735" w:rsidRDefault="007C07CE" w:rsidP="00643D86">
      <w:r w:rsidRPr="001C2735">
        <w:rPr>
          <w:b/>
        </w:rPr>
        <w:lastRenderedPageBreak/>
        <w:t>Annotering</w:t>
      </w:r>
      <w:r w:rsidRPr="001C2735">
        <w:rPr>
          <w:b/>
        </w:rPr>
        <w:br/>
      </w:r>
      <w:r w:rsidRPr="001C2735">
        <w:rPr>
          <w:b/>
          <w:bCs/>
        </w:rPr>
        <w:t xml:space="preserve">Avsikt med behandlingen i rådet: </w:t>
      </w:r>
      <w:r w:rsidRPr="001C2735">
        <w:t xml:space="preserve">Information om ett mål vid EU-domstolen där rådet har utsett ombud.  </w:t>
      </w:r>
    </w:p>
    <w:p w14:paraId="431F365C" w14:textId="77777777" w:rsidR="00601374" w:rsidRPr="001C2735" w:rsidRDefault="007C07CE">
      <w:pPr>
        <w:spacing w:after="280" w:afterAutospacing="1"/>
      </w:pPr>
      <w:r w:rsidRPr="001C2735">
        <w:rPr>
          <w:b/>
          <w:bCs/>
        </w:rPr>
        <w:t>Hur regeringen ställer sig till den blivande A-punkten:</w:t>
      </w:r>
      <w:r w:rsidRPr="001C2735">
        <w:t xml:space="preserve"> Regeringen har ingen erinran mot denna informationspunkt. </w:t>
      </w:r>
    </w:p>
    <w:p w14:paraId="431F365D" w14:textId="77777777" w:rsidR="00601374" w:rsidRPr="001C2735" w:rsidRDefault="007C07CE">
      <w:pPr>
        <w:spacing w:after="280" w:afterAutospacing="1"/>
      </w:pPr>
      <w:r w:rsidRPr="001C2735">
        <w:rPr>
          <w:b/>
          <w:bCs/>
        </w:rPr>
        <w:t>Bakgrund:</w:t>
      </w:r>
      <w:r w:rsidRPr="001C2735">
        <w:t xml:space="preserve"> Målet rör en talan från kommissionen mot Italien där det görs gällande att Italien har underlåtit att uppfylla sina skyldigheter i artikel 12.2 i rådets direktiv 2004/80/EG av den 29 april 2004 om ersättning till brottsoffer. Italien har i svaromålet gjort gällande att denna artikel är ogiltig. Rådet har möjlighet att intervenera i målet inom sex veckor från publiceringen i Europeiska unionens officiella tidning.</w:t>
      </w:r>
    </w:p>
    <w:p w14:paraId="431F365E" w14:textId="77777777" w:rsidR="00FB32B9" w:rsidRPr="001C2735" w:rsidRDefault="001D55EE">
      <w:pPr>
        <w:spacing w:after="280" w:afterAutospacing="1"/>
        <w:rPr>
          <w:noProof/>
        </w:rPr>
      </w:pPr>
    </w:p>
    <w:p w14:paraId="431F365F" w14:textId="77777777" w:rsidR="00643D86" w:rsidRPr="001D55EE" w:rsidRDefault="007C07CE" w:rsidP="00643D86">
      <w:pPr>
        <w:pStyle w:val="Rubrik1"/>
        <w:rPr>
          <w:lang w:val="en-US"/>
        </w:rPr>
      </w:pPr>
      <w:bookmarkStart w:id="4" w:name="_Toc419214002"/>
      <w:r w:rsidRPr="001D55EE">
        <w:rPr>
          <w:noProof/>
          <w:lang w:val="en-US"/>
        </w:rPr>
        <w:t>Resolutions, decisions and opinions adopted by the European Parliament at its part-sessions in</w:t>
      </w:r>
      <w:r w:rsidRPr="001D55EE">
        <w:rPr>
          <w:noProof/>
          <w:lang w:val="en-US"/>
        </w:rPr>
        <w:br/>
        <w:t>a)Brussels on 25 March and 15 April 2015</w:t>
      </w:r>
      <w:r w:rsidRPr="001D55EE">
        <w:rPr>
          <w:noProof/>
          <w:lang w:val="en-US"/>
        </w:rPr>
        <w:br/>
        <w:t>b)Strasbourg from 27 to 30 April 2015</w:t>
      </w:r>
      <w:bookmarkEnd w:id="4"/>
    </w:p>
    <w:p w14:paraId="431F3660" w14:textId="77777777" w:rsidR="00643D86" w:rsidRPr="001C2735" w:rsidRDefault="007C07CE" w:rsidP="00643D86">
      <w:r w:rsidRPr="001C2735">
        <w:rPr>
          <w:noProof/>
        </w:rPr>
        <w:t>8469</w:t>
      </w:r>
      <w:r w:rsidRPr="001C2735">
        <w:t>/15 PE-RE 4</w:t>
      </w:r>
      <w:r w:rsidRPr="001C2735">
        <w:br/>
      </w:r>
      <w:r w:rsidRPr="001C2735">
        <w:rPr>
          <w:noProof/>
        </w:rPr>
        <w:t>8469</w:t>
      </w:r>
      <w:r w:rsidRPr="001C2735">
        <w:t>/15 PE-RE 4</w:t>
      </w:r>
    </w:p>
    <w:p w14:paraId="0ED3D5B9" w14:textId="77777777" w:rsidR="001C2735" w:rsidRPr="001C2735" w:rsidRDefault="007C07CE" w:rsidP="007C07CE">
      <w:pPr>
        <w:rPr>
          <w:b/>
        </w:rPr>
      </w:pPr>
      <w:r w:rsidRPr="001C2735">
        <w:rPr>
          <w:b/>
        </w:rPr>
        <w:t xml:space="preserve">Ansvarigt statsråd: </w:t>
      </w:r>
      <w:r w:rsidRPr="001C2735">
        <w:t xml:space="preserve">Stefan </w:t>
      </w:r>
      <w:proofErr w:type="spellStart"/>
      <w:r w:rsidRPr="001C2735">
        <w:t>Löfven</w:t>
      </w:r>
      <w:proofErr w:type="spellEnd"/>
      <w:r w:rsidRPr="001C2735">
        <w:rPr>
          <w:b/>
        </w:rPr>
        <w:br/>
      </w:r>
    </w:p>
    <w:p w14:paraId="6A4C11C9" w14:textId="6FBAE1E9" w:rsidR="007C07CE" w:rsidRPr="001C2735" w:rsidRDefault="007C07CE" w:rsidP="007C07CE">
      <w:r w:rsidRPr="001C2735">
        <w:rPr>
          <w:b/>
        </w:rPr>
        <w:t>Annotering</w:t>
      </w:r>
      <w:r w:rsidRPr="001C2735">
        <w:t xml:space="preserve"> </w:t>
      </w:r>
    </w:p>
    <w:p w14:paraId="74F207F4" w14:textId="03534DF4" w:rsidR="007C07CE" w:rsidRPr="001C2735" w:rsidRDefault="007C07CE" w:rsidP="007C07CE">
      <w:r w:rsidRPr="001C2735">
        <w:t>Föranleder ingen annotering.</w:t>
      </w:r>
    </w:p>
    <w:p w14:paraId="431F3664" w14:textId="0228DEA5" w:rsidR="00643D86" w:rsidRPr="001C2735" w:rsidRDefault="007C07CE" w:rsidP="00643D86">
      <w:r w:rsidRPr="001C2735">
        <w:rPr>
          <w:b/>
        </w:rPr>
        <w:br/>
      </w:r>
    </w:p>
    <w:p w14:paraId="431F3665" w14:textId="77777777" w:rsidR="00643D86" w:rsidRPr="001C2735" w:rsidRDefault="007C07CE" w:rsidP="00643D86">
      <w:pPr>
        <w:pStyle w:val="Rubrik1"/>
      </w:pPr>
      <w:bookmarkStart w:id="5" w:name="_Toc419214003"/>
      <w:r w:rsidRPr="001C2735">
        <w:rPr>
          <w:noProof/>
        </w:rPr>
        <w:t>Commission delegated Regulation (EU) …/... of 31.3.2015 amending Annexes III, V and VII of Regulation No 211/2011 of the European Parliament and of the Council on the citizens' initiative</w:t>
      </w:r>
      <w:bookmarkEnd w:id="5"/>
    </w:p>
    <w:p w14:paraId="431F3666" w14:textId="77777777" w:rsidR="00643D86" w:rsidRPr="001D55EE" w:rsidRDefault="007C07CE" w:rsidP="00643D86">
      <w:pPr>
        <w:rPr>
          <w:lang w:val="en-US"/>
        </w:rPr>
      </w:pPr>
      <w:r w:rsidRPr="001D55EE">
        <w:rPr>
          <w:noProof/>
          <w:lang w:val="en-US"/>
        </w:rPr>
        <w:t>–</w:t>
      </w:r>
      <w:r w:rsidRPr="001D55EE">
        <w:rPr>
          <w:lang w:val="en-US"/>
        </w:rPr>
        <w:t>Intention not to raise objections to a delegated act8717/15 INST 147 DELACT 49+ ADD 18120/15 INST 119 DELACT 35+ ADD 1</w:t>
      </w:r>
      <w:r w:rsidRPr="001D55EE">
        <w:rPr>
          <w:lang w:val="en-US"/>
        </w:rPr>
        <w:br/>
      </w:r>
      <w:r w:rsidRPr="001D55EE">
        <w:rPr>
          <w:noProof/>
          <w:lang w:val="en-US"/>
        </w:rPr>
        <w:t>8717</w:t>
      </w:r>
      <w:r w:rsidRPr="001D55EE">
        <w:rPr>
          <w:lang w:val="en-US"/>
        </w:rPr>
        <w:t>/15 INST 147 DELACT 49+ ADD 18120/15 INST 119 DELACT 35+ ADD 1</w:t>
      </w:r>
    </w:p>
    <w:p w14:paraId="255303B0" w14:textId="77777777" w:rsidR="00B26628" w:rsidRPr="001C2735" w:rsidRDefault="007C07CE" w:rsidP="00BF0C87">
      <w:pPr>
        <w:rPr>
          <w:b/>
        </w:rPr>
      </w:pPr>
      <w:r w:rsidRPr="001C2735">
        <w:rPr>
          <w:b/>
        </w:rPr>
        <w:t>Ansvarigt statsråd</w:t>
      </w:r>
      <w:r w:rsidR="00BF0C87" w:rsidRPr="001C2735">
        <w:rPr>
          <w:b/>
        </w:rPr>
        <w:t xml:space="preserve">: </w:t>
      </w:r>
      <w:r w:rsidR="00BF0C87" w:rsidRPr="001C2735">
        <w:t xml:space="preserve">Alice Bah </w:t>
      </w:r>
      <w:proofErr w:type="spellStart"/>
      <w:r w:rsidR="00BF0C87" w:rsidRPr="001C2735">
        <w:t>Kuhnke</w:t>
      </w:r>
      <w:proofErr w:type="spellEnd"/>
      <w:r w:rsidRPr="001C2735">
        <w:rPr>
          <w:b/>
        </w:rPr>
        <w:br/>
      </w:r>
    </w:p>
    <w:p w14:paraId="453DD946" w14:textId="7CC144A2" w:rsidR="00BF0C87" w:rsidRPr="001C2735" w:rsidRDefault="00BF0C87" w:rsidP="00BF0C87">
      <w:r w:rsidRPr="001C2735">
        <w:rPr>
          <w:b/>
        </w:rPr>
        <w:t>Avsikt med behandlingen i rådet:</w:t>
      </w:r>
      <w:r w:rsidRPr="001C2735">
        <w:t xml:space="preserve"> Avsikten är att besluta att rådet inte ska invända mot den delegerade akten som antagits av kommissionen</w:t>
      </w:r>
    </w:p>
    <w:p w14:paraId="58F51114" w14:textId="77777777" w:rsidR="00BF0C87" w:rsidRPr="001C2735" w:rsidRDefault="00BF0C87" w:rsidP="00BF0C87">
      <w:r w:rsidRPr="001C2735">
        <w:rPr>
          <w:b/>
        </w:rPr>
        <w:t>Hur regeringen ställer sig till den blivande A-punkten:</w:t>
      </w:r>
      <w:r w:rsidRPr="001C2735">
        <w:t xml:space="preserve"> Regeringen instämmer i rådets ståndpunkt </w:t>
      </w:r>
    </w:p>
    <w:p w14:paraId="04EB10B0" w14:textId="77777777" w:rsidR="00BF0C87" w:rsidRPr="001C2735" w:rsidRDefault="00BF0C87" w:rsidP="00BF0C87">
      <w:pPr>
        <w:rPr>
          <w:b/>
        </w:rPr>
      </w:pPr>
      <w:r w:rsidRPr="001C2735">
        <w:rPr>
          <w:b/>
        </w:rPr>
        <w:t>Annotering</w:t>
      </w:r>
    </w:p>
    <w:p w14:paraId="42CB9FC5" w14:textId="18180A10" w:rsidR="00BF0C87" w:rsidRPr="001C2735" w:rsidRDefault="00BF0C87" w:rsidP="00BF0C87">
      <w:r w:rsidRPr="001C2735">
        <w:rPr>
          <w:b/>
        </w:rPr>
        <w:lastRenderedPageBreak/>
        <w:t>Bakgrund:</w:t>
      </w:r>
      <w:r w:rsidRPr="001C2735">
        <w:t xml:space="preserve"> Den delegerade akten innebär ändringar i bilagorna III, V och VII till förordningen. Ändringarna i bilaga III har tillkommit på förslag från några medlemsländer, bland annat Sverige, som rör de uppgifter som undertecknarna till ett medborgarinitiativ ska lämna. För Sveriges del innebär det att uppgifter om födelsedatum och födelseort inte längre behöver anges. Övriga ändringar rör ytterligare krav på uppgifter för att visa att tillräckligt antal stödförklaringar inhämtats (bilaga V) och vissa förenklingar (bilaga VII).</w:t>
      </w:r>
    </w:p>
    <w:p w14:paraId="431F366A" w14:textId="4A3E6CD3" w:rsidR="00643D86" w:rsidRPr="001C2735" w:rsidRDefault="001D55EE" w:rsidP="00643D86"/>
    <w:p w14:paraId="431F366B" w14:textId="77777777" w:rsidR="00643D86" w:rsidRPr="001D55EE" w:rsidRDefault="007C07CE" w:rsidP="00643D86">
      <w:pPr>
        <w:pStyle w:val="Rubrik1"/>
        <w:rPr>
          <w:lang w:val="en-US"/>
        </w:rPr>
      </w:pPr>
      <w:bookmarkStart w:id="6" w:name="_Toc419214004"/>
      <w:r w:rsidRPr="001D55EE">
        <w:rPr>
          <w:noProof/>
          <w:lang w:val="en-US"/>
        </w:rPr>
        <w:t>Transparency - Public access to documents</w:t>
      </w:r>
      <w:r w:rsidRPr="001D55EE">
        <w:rPr>
          <w:noProof/>
          <w:lang w:val="en-US"/>
        </w:rPr>
        <w:br/>
        <w:t>Thirteenth annual report of the Council on the implementation of Regulation No 1049/2001 of the European Parliament and of the Council of 30 May 2001 regarding public access to European Parliament, Council and Commission documents</w:t>
      </w:r>
      <w:bookmarkEnd w:id="6"/>
    </w:p>
    <w:p w14:paraId="7A74F2B7" w14:textId="77777777" w:rsidR="00B26628" w:rsidRPr="001C2735" w:rsidRDefault="007C07CE" w:rsidP="00643D86">
      <w:pPr>
        <w:rPr>
          <w:b/>
        </w:rPr>
      </w:pPr>
      <w:r w:rsidRPr="001C2735">
        <w:rPr>
          <w:noProof/>
        </w:rPr>
        <w:t>8114</w:t>
      </w:r>
      <w:r w:rsidRPr="001C2735">
        <w:t>/15 INF 67 API 38</w:t>
      </w:r>
      <w:r w:rsidRPr="001C2735">
        <w:br/>
      </w:r>
    </w:p>
    <w:p w14:paraId="431F366D" w14:textId="73905D0D" w:rsidR="00643D86" w:rsidRPr="001C2735" w:rsidRDefault="007C07CE" w:rsidP="00643D86">
      <w:r w:rsidRPr="001C2735">
        <w:rPr>
          <w:b/>
        </w:rPr>
        <w:t>Ansvarigt statsråd</w:t>
      </w:r>
      <w:r w:rsidRPr="001C2735">
        <w:rPr>
          <w:b/>
        </w:rPr>
        <w:br/>
      </w:r>
      <w:r w:rsidRPr="001C2735">
        <w:rPr>
          <w:noProof/>
        </w:rPr>
        <w:t>Morgan Johansson</w:t>
      </w:r>
    </w:p>
    <w:p w14:paraId="431F3670" w14:textId="77777777" w:rsidR="00643D86" w:rsidRPr="001C2735" w:rsidRDefault="007C07CE" w:rsidP="00643D86">
      <w:r w:rsidRPr="001C2735">
        <w:rPr>
          <w:b/>
        </w:rPr>
        <w:t>Annotering</w:t>
      </w:r>
      <w:r w:rsidRPr="001C2735">
        <w:rPr>
          <w:b/>
        </w:rPr>
        <w:br/>
      </w:r>
      <w:r w:rsidRPr="001C2735">
        <w:t>Föranleder ingen annotering.</w:t>
      </w:r>
    </w:p>
    <w:p w14:paraId="431F3671" w14:textId="77777777" w:rsidR="00643D86" w:rsidRPr="001D55EE" w:rsidRDefault="007C07CE" w:rsidP="00643D86">
      <w:pPr>
        <w:pStyle w:val="Rubrik1"/>
        <w:rPr>
          <w:lang w:val="en-US"/>
        </w:rPr>
      </w:pPr>
      <w:bookmarkStart w:id="7" w:name="_Toc419214005"/>
      <w:r w:rsidRPr="001D55EE">
        <w:rPr>
          <w:noProof/>
          <w:lang w:val="en-US"/>
        </w:rPr>
        <w:t>Transparency - Public access to documents</w:t>
      </w:r>
      <w:r w:rsidRPr="001D55EE">
        <w:rPr>
          <w:noProof/>
          <w:lang w:val="en-US"/>
        </w:rPr>
        <w:br/>
        <w:t>Confirmatory application No 07/c/01/15</w:t>
      </w:r>
      <w:bookmarkEnd w:id="7"/>
    </w:p>
    <w:p w14:paraId="431F3672" w14:textId="044E9E42" w:rsidR="00643D86" w:rsidRPr="001C2735" w:rsidRDefault="007C07CE" w:rsidP="00643D86">
      <w:r w:rsidRPr="001C2735">
        <w:rPr>
          <w:noProof/>
        </w:rPr>
        <w:t>7861</w:t>
      </w:r>
      <w:r w:rsidRPr="001C2735">
        <w:t>/15 INF 56 API 37</w:t>
      </w:r>
      <w:r w:rsidRPr="001C2735">
        <w:br/>
      </w:r>
    </w:p>
    <w:p w14:paraId="431F3673" w14:textId="77777777" w:rsidR="00643D86" w:rsidRPr="001C2735" w:rsidRDefault="007C07CE" w:rsidP="00643D86">
      <w:r w:rsidRPr="001C2735">
        <w:rPr>
          <w:b/>
        </w:rPr>
        <w:t>Ansvarigt statsråd</w:t>
      </w:r>
      <w:r w:rsidRPr="001C2735">
        <w:rPr>
          <w:b/>
        </w:rPr>
        <w:br/>
      </w:r>
      <w:r w:rsidRPr="001C2735">
        <w:rPr>
          <w:noProof/>
        </w:rPr>
        <w:t>Morgan Johansson</w:t>
      </w:r>
    </w:p>
    <w:p w14:paraId="431F3676" w14:textId="77777777" w:rsidR="00643D86" w:rsidRDefault="007C07CE" w:rsidP="00643D86">
      <w:r w:rsidRPr="001C2735">
        <w:rPr>
          <w:b/>
        </w:rPr>
        <w:t>Annotering</w:t>
      </w:r>
      <w:r w:rsidRPr="001C2735">
        <w:rPr>
          <w:b/>
        </w:rPr>
        <w:br/>
      </w:r>
      <w:r w:rsidRPr="001C2735">
        <w:t>Föranleder ingen annotering.</w:t>
      </w:r>
    </w:p>
    <w:p w14:paraId="6F79A153" w14:textId="77777777" w:rsidR="001C2735" w:rsidRPr="001C2735" w:rsidRDefault="001C2735" w:rsidP="00643D86"/>
    <w:p w14:paraId="431F3677" w14:textId="77777777" w:rsidR="00643D86" w:rsidRPr="001D55EE" w:rsidRDefault="007C07CE" w:rsidP="00643D86">
      <w:pPr>
        <w:pStyle w:val="Rubrik1"/>
        <w:rPr>
          <w:lang w:val="en-US"/>
        </w:rPr>
      </w:pPr>
      <w:bookmarkStart w:id="8" w:name="_Toc419214006"/>
      <w:r w:rsidRPr="001D55EE">
        <w:rPr>
          <w:noProof/>
          <w:lang w:val="en-US"/>
        </w:rPr>
        <w:t>Recommendation to the Council concerning the approval of a second-party evaluated cryptographic product</w:t>
      </w:r>
      <w:bookmarkEnd w:id="8"/>
    </w:p>
    <w:p w14:paraId="431F3678" w14:textId="431968D3" w:rsidR="00643D86" w:rsidRPr="001C2735" w:rsidRDefault="007C07CE" w:rsidP="00643D86">
      <w:r w:rsidRPr="001C2735">
        <w:rPr>
          <w:noProof/>
        </w:rPr>
        <w:t>8582</w:t>
      </w:r>
      <w:r w:rsidRPr="001C2735">
        <w:t>/15 CSCI 21 CSC 98+ COR 1</w:t>
      </w:r>
      <w:r w:rsidRPr="001C2735">
        <w:br/>
      </w:r>
    </w:p>
    <w:p w14:paraId="431F3679" w14:textId="77777777" w:rsidR="00643D86" w:rsidRPr="001C2735" w:rsidRDefault="007C07CE" w:rsidP="00643D86">
      <w:r w:rsidRPr="001C2735">
        <w:rPr>
          <w:b/>
        </w:rPr>
        <w:t>Ansvarigt statsråd</w:t>
      </w:r>
      <w:r w:rsidRPr="001C2735">
        <w:rPr>
          <w:b/>
        </w:rPr>
        <w:br/>
      </w:r>
      <w:r w:rsidRPr="001C2735">
        <w:rPr>
          <w:noProof/>
        </w:rPr>
        <w:t>Margot Wallström</w:t>
      </w:r>
    </w:p>
    <w:p w14:paraId="431F367D" w14:textId="149D6AC9" w:rsidR="00601374" w:rsidRPr="001C2735" w:rsidRDefault="007C07CE" w:rsidP="000D6E58">
      <w:r w:rsidRPr="001C2735">
        <w:rPr>
          <w:b/>
        </w:rPr>
        <w:t>Annotering</w:t>
      </w:r>
      <w:r w:rsidRPr="001C2735">
        <w:rPr>
          <w:b/>
        </w:rPr>
        <w:br/>
      </w:r>
      <w:r w:rsidRPr="001C2735">
        <w:rPr>
          <w:b/>
          <w:bCs/>
        </w:rPr>
        <w:t>Avsikt med behandlingen i rådet:</w:t>
      </w:r>
      <w:r w:rsidRPr="001C2735">
        <w:rPr>
          <w:b/>
          <w:bCs/>
        </w:rPr>
        <w:br/>
      </w:r>
      <w:r w:rsidRPr="001C2735">
        <w:t>Rådet föreslås godkänna kryptoprodukten.</w:t>
      </w:r>
    </w:p>
    <w:p w14:paraId="431F367E" w14:textId="77777777" w:rsidR="00601374" w:rsidRPr="001C2735" w:rsidRDefault="007C07CE">
      <w:pPr>
        <w:spacing w:after="280" w:afterAutospacing="1"/>
      </w:pPr>
      <w:r w:rsidRPr="001C2735">
        <w:rPr>
          <w:b/>
          <w:bCs/>
        </w:rPr>
        <w:t>Hur regeringen ställer sig till den blivande A-punkten:</w:t>
      </w:r>
      <w:r w:rsidRPr="001C2735">
        <w:t xml:space="preserve"> </w:t>
      </w:r>
      <w:r w:rsidRPr="001C2735">
        <w:br/>
        <w:t xml:space="preserve">Regeringen avser rösta ja till Rådet att godkänna den holländska kryptoprodukten </w:t>
      </w:r>
      <w:proofErr w:type="spellStart"/>
      <w:r w:rsidRPr="001C2735">
        <w:t>Sectra</w:t>
      </w:r>
      <w:proofErr w:type="spellEnd"/>
      <w:r w:rsidRPr="001C2735">
        <w:t xml:space="preserve"> Tiger 7401 TG4-SCIP för att skydda säkerhetsskyddsklassificerade EU-uppgifter på en säkerhetskyddsklassificeringsnivå upp till och inklusive SECRET UE/EU SECRET enlighet med artikel 10.6. </w:t>
      </w:r>
    </w:p>
    <w:p w14:paraId="431F367F" w14:textId="6352351C" w:rsidR="00601374" w:rsidRPr="001C2735" w:rsidRDefault="007C07CE">
      <w:pPr>
        <w:spacing w:after="280" w:afterAutospacing="1"/>
      </w:pPr>
      <w:r w:rsidRPr="001C2735">
        <w:rPr>
          <w:b/>
          <w:bCs/>
        </w:rPr>
        <w:t xml:space="preserve">Bakgrund: </w:t>
      </w:r>
      <w:r w:rsidRPr="001C2735">
        <w:br/>
        <w:t>I rådets säkerhetsbestämmelser (artikel 10.6) står följande att läsa: "Om de säkerhetsskyddsklassificerade EU-uppgifterna skyddas med hjälp av kryptoprodukter, ska sådana produkter godkännas på följande sätt:</w:t>
      </w:r>
      <w:r w:rsidRPr="001C2735">
        <w:br/>
      </w:r>
      <w:r w:rsidRPr="001C2735">
        <w:br/>
      </w:r>
      <w:proofErr w:type="spellStart"/>
      <w:r w:rsidRPr="001C2735">
        <w:t>Konfidentialiteten</w:t>
      </w:r>
      <w:proofErr w:type="spellEnd"/>
      <w:r w:rsidRPr="001C2735">
        <w:t xml:space="preserve"> för uppgifter på säkerhetsskyddsklassificeringsnivån SECRET UE/EU SECRET och högre ska skyddas genom kryptoprodukter som har godkänts av rådet i egenskap av kryptogodkännande myndighet på rekommendation av säkerhetskommittén.</w:t>
      </w:r>
      <w:r w:rsidRPr="001C2735">
        <w:br/>
        <w:t xml:space="preserve">Rådets säkerhetskommitté (informationssäkring) har bekräftat att de nödvändiga förutsättningarna för ett sådant godkännande i enlighet med punkt 26 i bilaga IV till rådets säkerhetsbestämmelser uppfylls av den holländska kryptoprodukten </w:t>
      </w:r>
      <w:proofErr w:type="spellStart"/>
      <w:r w:rsidRPr="001C2735">
        <w:t>Sectra</w:t>
      </w:r>
      <w:proofErr w:type="spellEnd"/>
      <w:r w:rsidRPr="001C2735">
        <w:t xml:space="preserve"> Tiger 7401 TG4-SCIP.</w:t>
      </w:r>
    </w:p>
    <w:p w14:paraId="431F3681" w14:textId="77777777" w:rsidR="00643D86" w:rsidRPr="001C2735" w:rsidRDefault="007C07CE" w:rsidP="00643D86">
      <w:pPr>
        <w:pStyle w:val="Rubrik1"/>
      </w:pPr>
      <w:bookmarkStart w:id="9" w:name="_Toc419214007"/>
      <w:r w:rsidRPr="001C2735">
        <w:rPr>
          <w:noProof/>
        </w:rPr>
        <w:t>Commission Regulation (EU) No …/.. of XXX implementing Regulation (EC) No 1445/2007 of the European Parliament and of the Council as regards the list of basic headings used for Purchasing Power Parities</w:t>
      </w:r>
      <w:bookmarkEnd w:id="9"/>
    </w:p>
    <w:p w14:paraId="431F3682" w14:textId="77777777" w:rsidR="00643D86" w:rsidRPr="001D55EE" w:rsidRDefault="007C07CE" w:rsidP="00643D86">
      <w:pPr>
        <w:rPr>
          <w:lang w:val="en-US"/>
        </w:rPr>
      </w:pPr>
      <w:r w:rsidRPr="001D55EE">
        <w:rPr>
          <w:noProof/>
          <w:lang w:val="en-US"/>
        </w:rPr>
        <w:t>–</w:t>
      </w:r>
      <w:r w:rsidRPr="001D55EE">
        <w:rPr>
          <w:lang w:val="en-US"/>
        </w:rPr>
        <w:t>Decision not to oppose the draft measures as proposed by the Commission6617/15 ECOFIN 147 STATIS 346656/15 ECOFIN 165 STATIS 26+ ADD 1</w:t>
      </w:r>
      <w:r w:rsidRPr="001D55EE">
        <w:rPr>
          <w:lang w:val="en-US"/>
        </w:rPr>
        <w:br/>
      </w:r>
      <w:r w:rsidRPr="001D55EE">
        <w:rPr>
          <w:noProof/>
          <w:lang w:val="en-US"/>
        </w:rPr>
        <w:t>6617</w:t>
      </w:r>
      <w:r w:rsidRPr="001D55EE">
        <w:rPr>
          <w:lang w:val="en-US"/>
        </w:rPr>
        <w:t>/15 ECOFIN 147 STATIS 346656/15 ECOFIN 165 STATIS 26+ ADD 1</w:t>
      </w:r>
    </w:p>
    <w:p w14:paraId="431F3683" w14:textId="77777777" w:rsidR="00643D86" w:rsidRPr="001C2735" w:rsidRDefault="007C07CE" w:rsidP="00643D86">
      <w:r w:rsidRPr="001C2735">
        <w:rPr>
          <w:b/>
        </w:rPr>
        <w:t>Ansvarigt statsråd</w:t>
      </w:r>
      <w:r w:rsidRPr="001C2735">
        <w:rPr>
          <w:b/>
        </w:rPr>
        <w:br/>
      </w:r>
      <w:r w:rsidRPr="001C2735">
        <w:rPr>
          <w:noProof/>
        </w:rPr>
        <w:t>Ardalan Shekarabi</w:t>
      </w:r>
    </w:p>
    <w:p w14:paraId="431F3687" w14:textId="63C76A8C" w:rsidR="00601374" w:rsidRPr="001C2735" w:rsidRDefault="007C07CE" w:rsidP="000D6E58">
      <w:r w:rsidRPr="001C2735">
        <w:rPr>
          <w:b/>
        </w:rPr>
        <w:t>Annotering</w:t>
      </w:r>
      <w:r w:rsidRPr="001C2735">
        <w:rPr>
          <w:b/>
        </w:rPr>
        <w:br/>
      </w:r>
      <w:r w:rsidRPr="001C2735">
        <w:rPr>
          <w:b/>
          <w:bCs/>
        </w:rPr>
        <w:t>Avsikt med behandlingen i rådet:</w:t>
      </w:r>
      <w:r w:rsidRPr="001C2735">
        <w:t xml:space="preserve"> Rådet ska bekräfta att man inte motsätter sig rättsakten.</w:t>
      </w:r>
    </w:p>
    <w:p w14:paraId="431F3688" w14:textId="77777777" w:rsidR="00601374" w:rsidRPr="001C2735" w:rsidRDefault="007C07CE">
      <w:pPr>
        <w:spacing w:after="280" w:afterAutospacing="1"/>
      </w:pPr>
      <w:r w:rsidRPr="001C2735">
        <w:rPr>
          <w:b/>
          <w:bCs/>
        </w:rPr>
        <w:t>Hur regeringen ställer sig till den blivande A-punkten:</w:t>
      </w:r>
      <w:r w:rsidRPr="001C2735">
        <w:t xml:space="preserve"> Regeringen godkänner A-punkten.</w:t>
      </w:r>
    </w:p>
    <w:p w14:paraId="431F3689" w14:textId="77777777" w:rsidR="00601374" w:rsidRPr="001C2735" w:rsidRDefault="007C07CE">
      <w:pPr>
        <w:spacing w:after="280" w:afterAutospacing="1"/>
      </w:pPr>
      <w:r w:rsidRPr="001C2735">
        <w:rPr>
          <w:b/>
          <w:bCs/>
        </w:rPr>
        <w:t xml:space="preserve">Bakgrund: </w:t>
      </w:r>
      <w:r w:rsidRPr="001C2735">
        <w:t xml:space="preserve">Förordning 1445/2007 fastställer gemensamma regler för rapporteringen av grunduppgifter om </w:t>
      </w:r>
      <w:proofErr w:type="spellStart"/>
      <w:r w:rsidRPr="001C2735">
        <w:t>köpkraftspariteter</w:t>
      </w:r>
      <w:proofErr w:type="spellEnd"/>
      <w:r w:rsidRPr="001C2735">
        <w:t xml:space="preserve"> och för beräkningen och spridningen av dessa. I förordningen definieras "basgrupp" som den lägsta aggregeringsnivå för poster i BNP-fördelningen för vilken paritetstal beräknas. Bilaga II till förordningen innehåller en lista över basgrupper. </w:t>
      </w:r>
    </w:p>
    <w:p w14:paraId="431F368A" w14:textId="77777777" w:rsidR="00601374" w:rsidRPr="001C2735" w:rsidRDefault="007C07CE">
      <w:pPr>
        <w:spacing w:after="280" w:afterAutospacing="1"/>
      </w:pPr>
      <w:r w:rsidRPr="001C2735">
        <w:t>Rättsakten innebär att listan över basgrupper ändras.</w:t>
      </w:r>
    </w:p>
    <w:p w14:paraId="431F368C" w14:textId="77777777" w:rsidR="00643D86" w:rsidRPr="001D55EE" w:rsidRDefault="007C07CE" w:rsidP="00643D86">
      <w:pPr>
        <w:pStyle w:val="Rubrik1"/>
        <w:rPr>
          <w:lang w:val="en-US"/>
        </w:rPr>
      </w:pPr>
      <w:bookmarkStart w:id="10" w:name="_Toc419214008"/>
      <w:r w:rsidRPr="001D55EE">
        <w:rPr>
          <w:noProof/>
          <w:lang w:val="en-US"/>
        </w:rPr>
        <w:t>Submission of a new draft design of an Austrian commemorative coin</w:t>
      </w:r>
      <w:bookmarkEnd w:id="10"/>
    </w:p>
    <w:p w14:paraId="431F368D" w14:textId="77777777" w:rsidR="00643D86" w:rsidRPr="001C2735" w:rsidRDefault="007C07CE" w:rsidP="00643D86">
      <w:r w:rsidRPr="001C2735">
        <w:rPr>
          <w:noProof/>
        </w:rPr>
        <w:t>8526</w:t>
      </w:r>
      <w:r w:rsidRPr="001C2735">
        <w:t>/15 ECOFIN 284 UEM 104</w:t>
      </w:r>
      <w:r w:rsidRPr="001C2735">
        <w:br/>
      </w:r>
      <w:r w:rsidRPr="001C2735">
        <w:rPr>
          <w:noProof/>
        </w:rPr>
        <w:t>8526</w:t>
      </w:r>
      <w:r w:rsidRPr="001C2735">
        <w:t>/15 ECOFIN 284 UEM 104</w:t>
      </w:r>
    </w:p>
    <w:p w14:paraId="431F368E" w14:textId="77777777" w:rsidR="00643D86" w:rsidRPr="001C2735" w:rsidRDefault="007C07CE" w:rsidP="00643D86">
      <w:r w:rsidRPr="001C2735">
        <w:rPr>
          <w:b/>
        </w:rPr>
        <w:t>Ansvarigt statsråd</w:t>
      </w:r>
      <w:r w:rsidRPr="001C2735">
        <w:rPr>
          <w:b/>
        </w:rPr>
        <w:br/>
      </w:r>
      <w:r w:rsidRPr="001C2735">
        <w:rPr>
          <w:noProof/>
        </w:rPr>
        <w:t>Per Bolund</w:t>
      </w:r>
    </w:p>
    <w:p w14:paraId="431F3691" w14:textId="77777777" w:rsidR="00643D86" w:rsidRPr="001C2735" w:rsidRDefault="007C07CE" w:rsidP="00643D86">
      <w:r w:rsidRPr="001C2735">
        <w:rPr>
          <w:b/>
        </w:rPr>
        <w:t>Annotering</w:t>
      </w:r>
      <w:r w:rsidRPr="001C2735">
        <w:rPr>
          <w:b/>
        </w:rPr>
        <w:br/>
      </w:r>
      <w:r w:rsidRPr="001C2735">
        <w:t>Föranleder ingen annotering.</w:t>
      </w:r>
    </w:p>
    <w:p w14:paraId="35E02189" w14:textId="77777777" w:rsidR="00B26628" w:rsidRPr="001C2735" w:rsidRDefault="00B26628" w:rsidP="00643D86"/>
    <w:p w14:paraId="431F3692" w14:textId="77777777" w:rsidR="00643D86" w:rsidRPr="001D55EE" w:rsidRDefault="007C07CE" w:rsidP="00643D86">
      <w:pPr>
        <w:pStyle w:val="Rubrik1"/>
        <w:rPr>
          <w:lang w:val="en-US"/>
        </w:rPr>
      </w:pPr>
      <w:bookmarkStart w:id="11" w:name="_Toc419214009"/>
      <w:r w:rsidRPr="001D55EE">
        <w:rPr>
          <w:noProof/>
          <w:lang w:val="en-US"/>
        </w:rPr>
        <w:t>Draft Regulation of the European Parliament and of the Council amending Regulation (EU) No 1304/2013, as regards an additional initial pre-financing amount paid to operational programmes supported by the Youth Employment Initiative (First reading) (LA)</w:t>
      </w:r>
      <w:bookmarkEnd w:id="11"/>
    </w:p>
    <w:p w14:paraId="431F3693" w14:textId="77777777" w:rsidR="00643D86" w:rsidRPr="001D55EE" w:rsidRDefault="007C07CE" w:rsidP="00643D86">
      <w:pPr>
        <w:rPr>
          <w:lang w:val="en-US"/>
        </w:rPr>
      </w:pPr>
      <w:r w:rsidRPr="001D55EE">
        <w:rPr>
          <w:noProof/>
          <w:lang w:val="en-US"/>
        </w:rPr>
        <w:t>–</w:t>
      </w:r>
      <w:r w:rsidRPr="001D55EE">
        <w:rPr>
          <w:lang w:val="en-US"/>
        </w:rPr>
        <w:t>Adoption of the legislative act8585/15 CODEC 653 REGIO 40 FSTR 27 FC 29 SOC 283 EMPL 170 FIN 328PE-CONS 19/15 REGIO 26 FSTR 19 FC 20 SOC 227 EMPL 135 FIN 265CODEC 478</w:t>
      </w:r>
      <w:r w:rsidRPr="001D55EE">
        <w:rPr>
          <w:lang w:val="en-US"/>
        </w:rPr>
        <w:br/>
      </w:r>
      <w:r w:rsidRPr="001D55EE">
        <w:rPr>
          <w:noProof/>
          <w:lang w:val="en-US"/>
        </w:rPr>
        <w:t>8585</w:t>
      </w:r>
      <w:r w:rsidRPr="001D55EE">
        <w:rPr>
          <w:lang w:val="en-US"/>
        </w:rPr>
        <w:t>/15 CODEC 653 REGIO 40 FSTR 27 FC 29 SOC 283 EMPL 170 FIN 328PE-CONS 19/15 REGIO 26 FSTR 19 FC 20 SOC 227 EMPL 135 FIN 265CODEC 478</w:t>
      </w:r>
    </w:p>
    <w:p w14:paraId="431F3694" w14:textId="77777777" w:rsidR="00643D86" w:rsidRPr="001C2735" w:rsidRDefault="007C07CE" w:rsidP="00643D86">
      <w:r w:rsidRPr="001C2735">
        <w:rPr>
          <w:b/>
        </w:rPr>
        <w:t>Ansvarigt statsråd</w:t>
      </w:r>
      <w:r w:rsidRPr="001C2735">
        <w:rPr>
          <w:b/>
        </w:rPr>
        <w:br/>
      </w:r>
      <w:r w:rsidRPr="001C2735">
        <w:rPr>
          <w:noProof/>
        </w:rPr>
        <w:t>Sven-Erik Bucht</w:t>
      </w:r>
    </w:p>
    <w:p w14:paraId="431F3698" w14:textId="3DC1C506" w:rsidR="00601374" w:rsidRPr="001C2735" w:rsidRDefault="007C07CE" w:rsidP="000D6E58">
      <w:r w:rsidRPr="001C2735">
        <w:rPr>
          <w:b/>
        </w:rPr>
        <w:t>Annotering</w:t>
      </w:r>
      <w:r w:rsidRPr="001C2735">
        <w:rPr>
          <w:b/>
        </w:rPr>
        <w:br/>
        <w:t>Avsikten med behandlingen i rådet</w:t>
      </w:r>
      <w:r w:rsidRPr="001C2735">
        <w:t xml:space="preserve">: antagande av lagstiftningsakten (första läsning). </w:t>
      </w:r>
    </w:p>
    <w:p w14:paraId="431F3699" w14:textId="77777777" w:rsidR="00601374" w:rsidRPr="001C2735" w:rsidRDefault="007C07CE">
      <w:pPr>
        <w:spacing w:after="280" w:afterAutospacing="1"/>
      </w:pPr>
      <w:r w:rsidRPr="001C2735">
        <w:rPr>
          <w:b/>
        </w:rPr>
        <w:t>Bakgrund:</w:t>
      </w:r>
      <w:r w:rsidRPr="001C2735">
        <w:t xml:space="preserve"> För att åstadkomma snabba åtgärder mot ungdomsarbetslösheten i unionen har kommissionen föreslagit att de delar av programmen som innehåller åtgärder inom ramen för sysselsättningsinitiativet för unga ska kunna få ett förskott på 30 % av medlen direkt avsatta för initiativet. Förslaget innehåller också regler för återbetalning av medel i det fall att inte åtgärder kommer igång och medlemslandet kan redovisa genomförda insatser. Kommissionen har också lämnat en deklaration som bekräftar att förslaget ryms inom tillgängliga budgetmedel för 2015 och att ingen ändringsbudget kommer att behöva läggas på grund av detta förslag.  </w:t>
      </w:r>
    </w:p>
    <w:p w14:paraId="431F369A" w14:textId="77777777" w:rsidR="00FB32B9" w:rsidRPr="001C2735" w:rsidRDefault="001D55EE">
      <w:pPr>
        <w:spacing w:after="280" w:afterAutospacing="1"/>
        <w:rPr>
          <w:noProof/>
        </w:rPr>
      </w:pPr>
    </w:p>
    <w:p w14:paraId="431F369B" w14:textId="77777777" w:rsidR="00643D86" w:rsidRPr="001D55EE" w:rsidRDefault="007C07CE" w:rsidP="00643D86">
      <w:pPr>
        <w:pStyle w:val="Rubrik1"/>
        <w:rPr>
          <w:lang w:val="en-US"/>
        </w:rPr>
      </w:pPr>
      <w:bookmarkStart w:id="12" w:name="_Toc419214010"/>
      <w:r w:rsidRPr="001D55EE">
        <w:rPr>
          <w:noProof/>
          <w:lang w:val="en-US"/>
        </w:rPr>
        <w:t>Adoption of a Council Decision authorising the opening of negotiations on short-stay visa waiver agreements between the European Union and Colombia and Peru</w:t>
      </w:r>
      <w:bookmarkEnd w:id="12"/>
    </w:p>
    <w:p w14:paraId="2CBB5DDB" w14:textId="77777777" w:rsidR="00B26628" w:rsidRPr="001C2735" w:rsidRDefault="007C07CE" w:rsidP="00643D86">
      <w:r w:rsidRPr="001C2735">
        <w:rPr>
          <w:noProof/>
        </w:rPr>
        <w:t>8548</w:t>
      </w:r>
      <w:r w:rsidRPr="001C2735">
        <w:t>/15 VISA 166 COLAC 49</w:t>
      </w:r>
    </w:p>
    <w:p w14:paraId="431F369C" w14:textId="2B0C6FE7" w:rsidR="00643D86" w:rsidRPr="001C2735" w:rsidRDefault="007C07CE" w:rsidP="00643D86">
      <w:r w:rsidRPr="001C2735">
        <w:t>7584/15 VISA 128 COLAC 38</w:t>
      </w:r>
      <w:r w:rsidRPr="001C2735">
        <w:br/>
      </w:r>
    </w:p>
    <w:p w14:paraId="431F369D" w14:textId="77777777" w:rsidR="00643D86" w:rsidRPr="001C2735" w:rsidRDefault="007C07CE" w:rsidP="00643D86">
      <w:r w:rsidRPr="001C2735">
        <w:rPr>
          <w:b/>
        </w:rPr>
        <w:t>Ansvarigt statsråd</w:t>
      </w:r>
      <w:r w:rsidRPr="001C2735">
        <w:rPr>
          <w:b/>
        </w:rPr>
        <w:br/>
      </w:r>
      <w:r w:rsidRPr="001C2735">
        <w:rPr>
          <w:noProof/>
        </w:rPr>
        <w:t>Morgan Johansson</w:t>
      </w:r>
    </w:p>
    <w:p w14:paraId="431F36A1" w14:textId="3F962CD0" w:rsidR="00601374" w:rsidRPr="001C2735" w:rsidRDefault="007C07CE" w:rsidP="000D6E58">
      <w:r w:rsidRPr="001C2735">
        <w:rPr>
          <w:b/>
        </w:rPr>
        <w:t>Annotering</w:t>
      </w:r>
      <w:r w:rsidRPr="001C2735">
        <w:rPr>
          <w:b/>
        </w:rPr>
        <w:br/>
      </w:r>
      <w:r w:rsidRPr="001C2735">
        <w:rPr>
          <w:b/>
          <w:bCs/>
        </w:rPr>
        <w:t>Avsikt med behandlingen i rådet:</w:t>
      </w:r>
      <w:r w:rsidRPr="001C2735">
        <w:t xml:space="preserve"> Antagande av förhandlingsmandat för kommissionen att ingå viseringsfrihetsavtalen med ovan nämnda länder.</w:t>
      </w:r>
    </w:p>
    <w:p w14:paraId="2DC2FE4E" w14:textId="77777777" w:rsidR="00B26628" w:rsidRPr="001C2735" w:rsidRDefault="007C07CE">
      <w:pPr>
        <w:spacing w:after="280" w:afterAutospacing="1"/>
      </w:pPr>
      <w:r w:rsidRPr="001C2735">
        <w:rPr>
          <w:b/>
          <w:bCs/>
        </w:rPr>
        <w:t>Hur regeringen ställer sig till den blivande A-punkten:</w:t>
      </w:r>
      <w:r w:rsidRPr="001C2735">
        <w:t xml:space="preserve"> Regeringen avser rösta ja till förslaget</w:t>
      </w:r>
      <w:r w:rsidR="00B26628" w:rsidRPr="001C2735">
        <w:t>.</w:t>
      </w:r>
    </w:p>
    <w:p w14:paraId="431F36A3" w14:textId="2CA2C90F" w:rsidR="00601374" w:rsidRPr="001C2735" w:rsidRDefault="007C07CE">
      <w:pPr>
        <w:spacing w:after="280" w:afterAutospacing="1"/>
      </w:pPr>
      <w:r w:rsidRPr="001C2735">
        <w:br/>
      </w:r>
      <w:r w:rsidRPr="001C2735">
        <w:rPr>
          <w:b/>
          <w:bCs/>
        </w:rPr>
        <w:t>Bakgrund:</w:t>
      </w:r>
      <w:r w:rsidRPr="001C2735">
        <w:t xml:space="preserve"> För att praktiskt kunna genomföra viseringsfriheten för Peru och Colombia, vilket EU beslutat om under våren 2014, så krävs att bilaterala viseringsfrihetsavtal ingås med respektive land. För att kommissionen ska kunna inleda förhandlingar måste ett förhandlingsmandat antas. </w:t>
      </w:r>
    </w:p>
    <w:p w14:paraId="431F36A4" w14:textId="77777777" w:rsidR="00601374" w:rsidRPr="001C2735" w:rsidRDefault="007C07CE">
      <w:pPr>
        <w:spacing w:after="280" w:afterAutospacing="1"/>
      </w:pPr>
      <w:r w:rsidRPr="001C2735">
        <w:t xml:space="preserve">De bilaterala viseringsförenklingsavtalen kommer att garantera ömsesidig viseringsfrihet för kortare vistelser (upp till 90 dagar under en 180-dagarsperiod) och kommer att innehåller en suspenderingsklausul som säger att viseringsfrihetsavtalet kan komma att sägas upp om viseringsfriheten leder till olaglig invandring, om den viseringsfria ömsesidigheten skulle sättas ur spel eller vid hot mot den allmänna ordningen och säkerheten. Till avtalen kommer tilläggas deklarationer som slår fast en tidplan för när dessa länder väntas införa biometriska pass samt förklaringar om ett samarbete avseende olaglig invandring och återtagandesamarbete. </w:t>
      </w:r>
    </w:p>
    <w:p w14:paraId="431F36A5" w14:textId="77777777" w:rsidR="00FB32B9" w:rsidRPr="001C2735" w:rsidRDefault="001D55EE">
      <w:pPr>
        <w:spacing w:after="280" w:afterAutospacing="1"/>
        <w:rPr>
          <w:noProof/>
        </w:rPr>
      </w:pPr>
    </w:p>
    <w:p w14:paraId="431F36A6" w14:textId="71727261" w:rsidR="00643D86" w:rsidRPr="001C2735" w:rsidRDefault="007C07CE" w:rsidP="00643D86">
      <w:pPr>
        <w:pStyle w:val="Rubrik1"/>
      </w:pPr>
      <w:bookmarkStart w:id="13" w:name="_Toc419214011"/>
      <w:r w:rsidRPr="001C2735">
        <w:rPr>
          <w:noProof/>
        </w:rPr>
        <w:t>Relations with the ACP States</w:t>
      </w:r>
      <w:bookmarkEnd w:id="13"/>
    </w:p>
    <w:p w14:paraId="4E9AE68D" w14:textId="77777777" w:rsidR="00B26628" w:rsidRPr="001D55EE" w:rsidRDefault="007C07CE" w:rsidP="00643D86">
      <w:pPr>
        <w:rPr>
          <w:b/>
          <w:lang w:val="en-US"/>
        </w:rPr>
      </w:pPr>
      <w:r w:rsidRPr="001D55EE">
        <w:rPr>
          <w:b/>
          <w:noProof/>
          <w:lang w:val="en-US"/>
        </w:rPr>
        <w:t>–</w:t>
      </w:r>
      <w:r w:rsidRPr="001D55EE">
        <w:rPr>
          <w:b/>
          <w:lang w:val="en-US"/>
        </w:rPr>
        <w:t>Preparation of the 40th session of the ACP-EU Council of Ministers</w:t>
      </w:r>
      <w:r w:rsidRPr="001D55EE">
        <w:rPr>
          <w:b/>
          <w:lang w:val="en-US"/>
        </w:rPr>
        <w:br/>
        <w:t>(Brussels, 28-29 May 2015)</w:t>
      </w:r>
      <w:r w:rsidRPr="001D55EE">
        <w:rPr>
          <w:b/>
          <w:lang w:val="en-US"/>
        </w:rPr>
        <w:br/>
        <w:t>=Draft Annotated Agenda</w:t>
      </w:r>
    </w:p>
    <w:p w14:paraId="431F36A7" w14:textId="278B9E0B" w:rsidR="00643D86" w:rsidRPr="001C2735" w:rsidRDefault="007C07CE" w:rsidP="00643D86">
      <w:r w:rsidRPr="001C2735">
        <w:t>8661/15 ACP 67 FIN 332 PTOM 10</w:t>
      </w:r>
      <w:r w:rsidRPr="001C2735">
        <w:br/>
      </w:r>
      <w:r w:rsidRPr="001C2735">
        <w:rPr>
          <w:noProof/>
        </w:rPr>
        <w:t>8661</w:t>
      </w:r>
      <w:r w:rsidRPr="001C2735">
        <w:t>/15 ACP 67 FIN 332 PTOM 10</w:t>
      </w:r>
    </w:p>
    <w:p w14:paraId="431F36A8" w14:textId="77777777" w:rsidR="00643D86" w:rsidRPr="001C2735" w:rsidRDefault="007C07CE" w:rsidP="00643D86">
      <w:r w:rsidRPr="001C2735">
        <w:rPr>
          <w:b/>
        </w:rPr>
        <w:t>Ansvarigt statsråd</w:t>
      </w:r>
      <w:r w:rsidRPr="001C2735">
        <w:rPr>
          <w:b/>
        </w:rPr>
        <w:br/>
      </w:r>
      <w:r w:rsidRPr="001C2735">
        <w:rPr>
          <w:noProof/>
        </w:rPr>
        <w:t>Isabella Lövin</w:t>
      </w:r>
    </w:p>
    <w:p w14:paraId="431F36AB" w14:textId="77777777" w:rsidR="00643D86" w:rsidRPr="001C2735" w:rsidRDefault="007C07CE" w:rsidP="00643D86">
      <w:r w:rsidRPr="001C2735">
        <w:rPr>
          <w:b/>
        </w:rPr>
        <w:t>Annotering</w:t>
      </w:r>
      <w:r w:rsidRPr="001C2735">
        <w:rPr>
          <w:b/>
        </w:rPr>
        <w:br/>
      </w:r>
      <w:r w:rsidRPr="001C2735">
        <w:rPr>
          <w:b/>
          <w:bCs/>
        </w:rPr>
        <w:t>Avsikt med behandlingen i rådet:</w:t>
      </w:r>
      <w:r w:rsidRPr="001C2735">
        <w:t xml:space="preserve"> </w:t>
      </w:r>
    </w:p>
    <w:p w14:paraId="431F36AC" w14:textId="77777777" w:rsidR="00601374" w:rsidRPr="001C2735" w:rsidRDefault="007C07CE">
      <w:pPr>
        <w:spacing w:after="280" w:afterAutospacing="1"/>
      </w:pPr>
      <w:r w:rsidRPr="001C2735">
        <w:t xml:space="preserve">Rådet förväntas godkänna den annoterade dagordningen till EU-AVS gemensamma ministerråd den 28-29 maj. </w:t>
      </w:r>
    </w:p>
    <w:p w14:paraId="431F36AE" w14:textId="72A321AF" w:rsidR="00601374" w:rsidRPr="001C2735" w:rsidRDefault="007C07CE" w:rsidP="000D6E58">
      <w:pPr>
        <w:spacing w:after="280" w:afterAutospacing="1"/>
      </w:pPr>
      <w:r w:rsidRPr="001C2735">
        <w:rPr>
          <w:b/>
          <w:bCs/>
        </w:rPr>
        <w:t>Hur regeringen ställer sig till den blivande A-punkten:</w:t>
      </w:r>
      <w:r w:rsidRPr="001C2735">
        <w:t xml:space="preserve"> Regeringen kan godta förslaget. </w:t>
      </w:r>
    </w:p>
    <w:p w14:paraId="431F36B0" w14:textId="16FC11E1" w:rsidR="00601374" w:rsidRPr="001C2735" w:rsidRDefault="007C07CE" w:rsidP="000D6E58">
      <w:pPr>
        <w:spacing w:after="280" w:afterAutospacing="1"/>
      </w:pPr>
      <w:r w:rsidRPr="001C2735">
        <w:rPr>
          <w:b/>
          <w:bCs/>
        </w:rPr>
        <w:t>Bakgrund:</w:t>
      </w:r>
      <w:r w:rsidR="000D6E58" w:rsidRPr="001C2735">
        <w:t xml:space="preserve"> </w:t>
      </w:r>
      <w:r w:rsidRPr="001C2735">
        <w:t xml:space="preserve">Årligen hålls gemensamma ministermöten mellan EU och AVS-länderna (Afrika, Västindien och Stilla havet). Nästa möte äger rum den 28-29 maj i Bryssel. Givet att Cotonou-avtalet som är vägledande för EU-AVS relation är mellanstatligt kan EU inte agera unilateralt. Alla avgörande och övergripande beslut måste godkännas av såväl EU MS som AVS-länderna. Detta sker i det gemensamma ministerrådet, där ministrarna från EU 28 och samtliga 79 AVS-länder möts en gång om året. </w:t>
      </w:r>
    </w:p>
    <w:p w14:paraId="431F36B1" w14:textId="77777777" w:rsidR="00601374" w:rsidRPr="001C2735" w:rsidRDefault="007C07CE">
      <w:pPr>
        <w:spacing w:after="280" w:afterAutospacing="1"/>
      </w:pPr>
      <w:r w:rsidRPr="001C2735">
        <w:t xml:space="preserve">Föreslagen agenda har diskuterats AVS-arbetsgruppen och </w:t>
      </w:r>
      <w:proofErr w:type="spellStart"/>
      <w:r w:rsidRPr="001C2735">
        <w:t>godkänndes</w:t>
      </w:r>
      <w:proofErr w:type="spellEnd"/>
      <w:r w:rsidRPr="001C2735">
        <w:t xml:space="preserve"> 11 maj genom skriftlig procedur.</w:t>
      </w:r>
    </w:p>
    <w:p w14:paraId="431F36B2" w14:textId="77777777" w:rsidR="00FB32B9" w:rsidRPr="001C2735" w:rsidRDefault="001D55EE">
      <w:pPr>
        <w:spacing w:after="280" w:afterAutospacing="1"/>
        <w:rPr>
          <w:noProof/>
        </w:rPr>
      </w:pPr>
    </w:p>
    <w:p w14:paraId="431F36B3" w14:textId="77777777" w:rsidR="00643D86" w:rsidRPr="001D55EE" w:rsidRDefault="007C07CE" w:rsidP="00643D86">
      <w:pPr>
        <w:pStyle w:val="Rubrik1"/>
        <w:rPr>
          <w:lang w:val="en-US"/>
        </w:rPr>
      </w:pPr>
      <w:bookmarkStart w:id="14" w:name="_Toc419214012"/>
      <w:r w:rsidRPr="001D55EE">
        <w:rPr>
          <w:noProof/>
          <w:lang w:val="en-US"/>
        </w:rPr>
        <w:t>Draft Council Conclusions on the European Court of Auditors' Special Report No 18/2014 on EuropeAid's evaluation and results oriented monitoring systems</w:t>
      </w:r>
      <w:bookmarkEnd w:id="14"/>
    </w:p>
    <w:p w14:paraId="70B0D582" w14:textId="77777777" w:rsidR="00B26628" w:rsidRPr="001C2735" w:rsidRDefault="007C07CE" w:rsidP="00643D86">
      <w:pPr>
        <w:rPr>
          <w:b/>
        </w:rPr>
      </w:pPr>
      <w:r w:rsidRPr="001C2735">
        <w:rPr>
          <w:noProof/>
        </w:rPr>
        <w:t>8635</w:t>
      </w:r>
      <w:r w:rsidRPr="001C2735">
        <w:t>/15 DEVGEN 60 ACP 66 RELEX 341</w:t>
      </w:r>
      <w:r w:rsidRPr="001C2735">
        <w:br/>
      </w:r>
    </w:p>
    <w:p w14:paraId="431F36B5" w14:textId="4AFBC92C" w:rsidR="00643D86" w:rsidRPr="001C2735" w:rsidRDefault="007C07CE" w:rsidP="00643D86">
      <w:r w:rsidRPr="001C2735">
        <w:rPr>
          <w:b/>
        </w:rPr>
        <w:t>Ansvarigt statsråd</w:t>
      </w:r>
      <w:r w:rsidRPr="001C2735">
        <w:rPr>
          <w:b/>
        </w:rPr>
        <w:br/>
      </w:r>
      <w:r w:rsidRPr="001C2735">
        <w:rPr>
          <w:noProof/>
        </w:rPr>
        <w:t>Isabella Lövin</w:t>
      </w:r>
    </w:p>
    <w:p w14:paraId="431F36BA" w14:textId="6A0DA660" w:rsidR="00601374" w:rsidRPr="001C2735" w:rsidRDefault="007C07CE" w:rsidP="000D6E58">
      <w:r w:rsidRPr="001C2735">
        <w:rPr>
          <w:b/>
        </w:rPr>
        <w:t>Annotering</w:t>
      </w:r>
      <w:r w:rsidRPr="001C2735">
        <w:rPr>
          <w:b/>
        </w:rPr>
        <w:br/>
      </w:r>
      <w:r w:rsidRPr="001C2735">
        <w:rPr>
          <w:b/>
          <w:bCs/>
        </w:rPr>
        <w:t>Avsikt med behandlingen i rådet:</w:t>
      </w:r>
      <w:r w:rsidRPr="001C2735">
        <w:t xml:space="preserve"> Rådet föreslås godkänna rådets slutsatser om </w:t>
      </w:r>
      <w:proofErr w:type="spellStart"/>
      <w:r w:rsidRPr="001C2735">
        <w:t>European</w:t>
      </w:r>
      <w:proofErr w:type="spellEnd"/>
      <w:r w:rsidRPr="001C2735">
        <w:t xml:space="preserve"> Court </w:t>
      </w:r>
      <w:proofErr w:type="spellStart"/>
      <w:r w:rsidRPr="001C2735">
        <w:t>of</w:t>
      </w:r>
      <w:proofErr w:type="spellEnd"/>
      <w:r w:rsidRPr="001C2735">
        <w:t xml:space="preserve"> </w:t>
      </w:r>
      <w:proofErr w:type="spellStart"/>
      <w:r w:rsidRPr="001C2735">
        <w:t>Auditors</w:t>
      </w:r>
      <w:proofErr w:type="spellEnd"/>
      <w:r w:rsidRPr="001C2735">
        <w:t xml:space="preserve"> Special </w:t>
      </w:r>
      <w:proofErr w:type="spellStart"/>
      <w:r w:rsidRPr="001C2735">
        <w:t>Report</w:t>
      </w:r>
      <w:proofErr w:type="spellEnd"/>
      <w:r w:rsidRPr="001C2735">
        <w:t xml:space="preserve"> No 18/2014 on </w:t>
      </w:r>
      <w:proofErr w:type="spellStart"/>
      <w:r w:rsidRPr="001C2735">
        <w:t>EuropeAids</w:t>
      </w:r>
      <w:proofErr w:type="spellEnd"/>
      <w:r w:rsidRPr="001C2735">
        <w:t xml:space="preserve"> </w:t>
      </w:r>
      <w:proofErr w:type="spellStart"/>
      <w:r w:rsidRPr="001C2735">
        <w:t>evaluation</w:t>
      </w:r>
      <w:proofErr w:type="spellEnd"/>
      <w:r w:rsidRPr="001C2735">
        <w:t xml:space="preserve"> and </w:t>
      </w:r>
      <w:proofErr w:type="spellStart"/>
      <w:r w:rsidRPr="001C2735">
        <w:t>results-oriented</w:t>
      </w:r>
      <w:proofErr w:type="spellEnd"/>
      <w:r w:rsidRPr="001C2735">
        <w:t xml:space="preserve"> </w:t>
      </w:r>
      <w:proofErr w:type="spellStart"/>
      <w:r w:rsidRPr="001C2735">
        <w:t>monitoring</w:t>
      </w:r>
      <w:proofErr w:type="spellEnd"/>
      <w:r w:rsidRPr="001C2735">
        <w:t xml:space="preserve"> systems.</w:t>
      </w:r>
    </w:p>
    <w:p w14:paraId="431F36BC" w14:textId="2F730182" w:rsidR="00601374" w:rsidRPr="001C2735" w:rsidRDefault="007C07CE">
      <w:pPr>
        <w:spacing w:after="280" w:afterAutospacing="1"/>
      </w:pPr>
      <w:r w:rsidRPr="001C2735">
        <w:rPr>
          <w:b/>
          <w:bCs/>
        </w:rPr>
        <w:t>Hur regeringen ställer sig till den blivande A-punkten:</w:t>
      </w:r>
      <w:r w:rsidRPr="001C2735">
        <w:t xml:space="preserve"> Regeringen avser godkänna rådets slutsatser. Regeringen är positiv till </w:t>
      </w:r>
      <w:proofErr w:type="spellStart"/>
      <w:r w:rsidRPr="001C2735">
        <w:t>Revisonsrättens</w:t>
      </w:r>
      <w:proofErr w:type="spellEnd"/>
      <w:r w:rsidRPr="001C2735">
        <w:t xml:space="preserve"> granskning och bedömer att rapporten är ett bra underlag och incitament för kommissionens fortsatta ansträngningar med att stärka sitt arbete med att utveckla ändamålsenliga system för uppföljning och utvärdering. </w:t>
      </w:r>
    </w:p>
    <w:p w14:paraId="431F36BE" w14:textId="360723D0" w:rsidR="00601374" w:rsidRPr="001C2735" w:rsidRDefault="007C07CE">
      <w:pPr>
        <w:spacing w:after="280" w:afterAutospacing="1"/>
      </w:pPr>
      <w:r w:rsidRPr="001C2735">
        <w:rPr>
          <w:b/>
          <w:bCs/>
        </w:rPr>
        <w:t>Bakgrund:</w:t>
      </w:r>
      <w:r w:rsidR="000D6E58" w:rsidRPr="001C2735">
        <w:rPr>
          <w:b/>
          <w:bCs/>
        </w:rPr>
        <w:t xml:space="preserve"> </w:t>
      </w:r>
      <w:r w:rsidRPr="001C2735">
        <w:t xml:space="preserve">Europeiska </w:t>
      </w:r>
      <w:proofErr w:type="spellStart"/>
      <w:r w:rsidRPr="001C2735">
        <w:t>revisonsrätten</w:t>
      </w:r>
      <w:proofErr w:type="spellEnd"/>
      <w:r w:rsidRPr="001C2735">
        <w:t xml:space="preserve"> har gjort en granskning av </w:t>
      </w:r>
      <w:proofErr w:type="spellStart"/>
      <w:r w:rsidRPr="001C2735">
        <w:t>EuropeAids</w:t>
      </w:r>
      <w:proofErr w:type="spellEnd"/>
      <w:r w:rsidRPr="001C2735">
        <w:t xml:space="preserve"> system för utvärdering och resultatorienterade kontrollsystem (ROM, </w:t>
      </w:r>
      <w:proofErr w:type="spellStart"/>
      <w:r w:rsidRPr="001C2735">
        <w:t>Results</w:t>
      </w:r>
      <w:proofErr w:type="spellEnd"/>
      <w:r w:rsidRPr="001C2735">
        <w:t xml:space="preserve"> </w:t>
      </w:r>
      <w:proofErr w:type="spellStart"/>
      <w:r w:rsidRPr="001C2735">
        <w:t>oriented</w:t>
      </w:r>
      <w:proofErr w:type="spellEnd"/>
      <w:r w:rsidRPr="001C2735">
        <w:t xml:space="preserve"> </w:t>
      </w:r>
      <w:proofErr w:type="spellStart"/>
      <w:r w:rsidRPr="001C2735">
        <w:t>monitoring</w:t>
      </w:r>
      <w:proofErr w:type="spellEnd"/>
      <w:r w:rsidRPr="001C2735">
        <w:t xml:space="preserve">). Rapporten publicerades i december 2014. Enligt gängse regler ska rådet svara på revisionsrättens rapporter genom </w:t>
      </w:r>
      <w:proofErr w:type="spellStart"/>
      <w:r w:rsidRPr="001C2735">
        <w:t>rådsslutsatser</w:t>
      </w:r>
      <w:proofErr w:type="spellEnd"/>
      <w:r w:rsidRPr="001C2735">
        <w:t xml:space="preserve">. </w:t>
      </w:r>
    </w:p>
    <w:p w14:paraId="431F36BF" w14:textId="77777777" w:rsidR="00601374" w:rsidRPr="001C2735" w:rsidRDefault="007C07CE">
      <w:pPr>
        <w:spacing w:after="280" w:afterAutospacing="1"/>
      </w:pPr>
      <w:r w:rsidRPr="001C2735">
        <w:t xml:space="preserve">Med ”utvärdering” avses här både utvärderingar av program/insatser och utvärderingar av mer strategiska karaktär, exempelvis utvärderingar inom ett tematiskt område eller för en biståndsform. ROM är ett standardiserat kontrollsystem som används för att bedöma pågående program/insatsers kvalitet och </w:t>
      </w:r>
      <w:proofErr w:type="spellStart"/>
      <w:r w:rsidRPr="001C2735">
        <w:t>effektivetet</w:t>
      </w:r>
      <w:proofErr w:type="spellEnd"/>
      <w:r w:rsidRPr="001C2735">
        <w:t xml:space="preserve">. </w:t>
      </w:r>
    </w:p>
    <w:p w14:paraId="431F36C0" w14:textId="77777777" w:rsidR="00601374" w:rsidRPr="001C2735" w:rsidRDefault="007C07CE">
      <w:pPr>
        <w:spacing w:after="280" w:afterAutospacing="1"/>
      </w:pPr>
      <w:r w:rsidRPr="001C2735">
        <w:t xml:space="preserve">Revisionsrättens rapport är relativt kritisk till hur utvärderingar och ROM-bedömningarna fungerar idag. Överlag anser man att frågorna är väl organiserade men att systemen för utvärdering och ROM inte är tillförlitliga; det saknas funktioner för översyn och kontroll, det saknas tillförlitliga bedömningar om kostnader och personella resurser, det saknas mekanismer för uppföljning av föreslagna åtgärder, det finns brister i utvärdering av resultat etc.  </w:t>
      </w:r>
      <w:proofErr w:type="spellStart"/>
      <w:r w:rsidRPr="001C2735">
        <w:t>Revisonsrätten</w:t>
      </w:r>
      <w:proofErr w:type="spellEnd"/>
      <w:r w:rsidRPr="001C2735">
        <w:t xml:space="preserve"> lämnar ett antal rekommendationer för att omhänderta några av de brister som identifierats. </w:t>
      </w:r>
    </w:p>
    <w:p w14:paraId="431F36C1" w14:textId="77777777" w:rsidR="00FB32B9" w:rsidRPr="001C2735" w:rsidRDefault="001D55EE">
      <w:pPr>
        <w:spacing w:after="280" w:afterAutospacing="1"/>
        <w:rPr>
          <w:noProof/>
        </w:rPr>
      </w:pPr>
    </w:p>
    <w:p w14:paraId="431F36C2" w14:textId="77777777" w:rsidR="00643D86" w:rsidRPr="001C2735" w:rsidRDefault="007C07CE" w:rsidP="00643D86">
      <w:pPr>
        <w:pStyle w:val="Rubrik1"/>
      </w:pPr>
      <w:bookmarkStart w:id="15" w:name="_Toc419214013"/>
      <w:r w:rsidRPr="001C2735">
        <w:rPr>
          <w:noProof/>
        </w:rPr>
        <w:t>Relations with Uzbekistan</w:t>
      </w:r>
      <w:bookmarkEnd w:id="15"/>
    </w:p>
    <w:p w14:paraId="431F36C3" w14:textId="285F2517" w:rsidR="00643D86" w:rsidRPr="001D55EE" w:rsidRDefault="007C07CE" w:rsidP="000D6E58">
      <w:pPr>
        <w:rPr>
          <w:lang w:val="en-US"/>
        </w:rPr>
      </w:pPr>
      <w:r w:rsidRPr="001D55EE">
        <w:rPr>
          <w:b/>
          <w:noProof/>
          <w:lang w:val="en-US"/>
        </w:rPr>
        <w:t>–</w:t>
      </w:r>
      <w:r w:rsidRPr="001D55EE">
        <w:rPr>
          <w:b/>
          <w:lang w:val="en-US"/>
        </w:rPr>
        <w:t>Establishment of the position of the European Union for the twelfth meeting of the EU Uzbekistan Cooperation Council (Brussels, 18 May 2015)</w:t>
      </w:r>
      <w:r w:rsidRPr="001D55EE">
        <w:rPr>
          <w:lang w:val="en-US"/>
        </w:rPr>
        <w:br/>
      </w:r>
      <w:r w:rsidRPr="001D55EE">
        <w:rPr>
          <w:noProof/>
          <w:lang w:val="en-US"/>
        </w:rPr>
        <w:t>5909</w:t>
      </w:r>
      <w:r w:rsidRPr="001D55EE">
        <w:rPr>
          <w:lang w:val="en-US"/>
        </w:rPr>
        <w:t>/15 COEST 47</w:t>
      </w:r>
    </w:p>
    <w:p w14:paraId="431F36C4" w14:textId="77777777" w:rsidR="00643D86" w:rsidRPr="001C2735" w:rsidRDefault="007C07CE" w:rsidP="00643D86">
      <w:r w:rsidRPr="001C2735">
        <w:rPr>
          <w:b/>
        </w:rPr>
        <w:t>Ansvarigt statsråd</w:t>
      </w:r>
      <w:r w:rsidRPr="001C2735">
        <w:rPr>
          <w:b/>
        </w:rPr>
        <w:br/>
      </w:r>
      <w:r w:rsidRPr="001C2735">
        <w:rPr>
          <w:noProof/>
        </w:rPr>
        <w:t>Margot Wallström</w:t>
      </w:r>
    </w:p>
    <w:p w14:paraId="431F36C8" w14:textId="0D8883DE" w:rsidR="00601374" w:rsidRPr="001C2735" w:rsidRDefault="007C07CE" w:rsidP="000D6E58">
      <w:r w:rsidRPr="001C2735">
        <w:rPr>
          <w:b/>
        </w:rPr>
        <w:t>Annotering</w:t>
      </w:r>
      <w:r w:rsidRPr="001C2735">
        <w:rPr>
          <w:b/>
        </w:rPr>
        <w:br/>
      </w:r>
      <w:r w:rsidRPr="001C2735">
        <w:rPr>
          <w:b/>
          <w:bCs/>
        </w:rPr>
        <w:t>Avsikt med behandlingen i rådet:</w:t>
      </w:r>
      <w:r w:rsidRPr="001C2735">
        <w:t xml:space="preserve"> Rådet föreslås godkänna EU:s ståndpunkt enligt Annex I och II inför det tolfte samarbetsrådet mellan EU och Uzbekistan. </w:t>
      </w:r>
    </w:p>
    <w:p w14:paraId="431F36C9" w14:textId="77777777" w:rsidR="00601374" w:rsidRPr="001C2735" w:rsidRDefault="007C07CE">
      <w:pPr>
        <w:spacing w:after="280" w:afterAutospacing="1"/>
      </w:pPr>
      <w:r w:rsidRPr="001C2735">
        <w:rPr>
          <w:b/>
          <w:bCs/>
        </w:rPr>
        <w:t>Hur regeringen ställer sig till den blivande A-punkten:</w:t>
      </w:r>
      <w:r w:rsidRPr="001C2735">
        <w:t xml:space="preserve"> Regeringen avser rösta för EU:s ståndpunkt enligt Annex I och II. </w:t>
      </w:r>
    </w:p>
    <w:p w14:paraId="431F36CA" w14:textId="77777777" w:rsidR="00601374" w:rsidRPr="001C2735" w:rsidRDefault="007C07CE">
      <w:pPr>
        <w:spacing w:after="280" w:afterAutospacing="1"/>
      </w:pPr>
      <w:r w:rsidRPr="001C2735">
        <w:rPr>
          <w:b/>
          <w:bCs/>
        </w:rPr>
        <w:t xml:space="preserve">Bakgrund: </w:t>
      </w:r>
      <w:r w:rsidRPr="001C2735">
        <w:t xml:space="preserve">Det tolfte samarbetsrådet mellan EU och Uzbekistan äger rum i Bryssel 18 maj. Inför mötet </w:t>
      </w:r>
      <w:proofErr w:type="gramStart"/>
      <w:r w:rsidRPr="001C2735">
        <w:t>har  agenda</w:t>
      </w:r>
      <w:proofErr w:type="gramEnd"/>
      <w:r w:rsidRPr="001C2735">
        <w:t xml:space="preserve"> (Annex I) och annoterad agenda (Annex II) diskuterats och överenskommits i rådsarbetsgruppen COEST. Samarbetsrådet avser bl.a. avhandla implementeringen av EU:s Centralasienstrategi, mänskliga rättigheter och handelsfrågor. </w:t>
      </w:r>
    </w:p>
    <w:p w14:paraId="431F36CB" w14:textId="77777777" w:rsidR="00FB32B9" w:rsidRPr="001C2735" w:rsidRDefault="001D55EE">
      <w:pPr>
        <w:spacing w:after="280" w:afterAutospacing="1"/>
        <w:rPr>
          <w:noProof/>
        </w:rPr>
      </w:pPr>
    </w:p>
    <w:p w14:paraId="431F36CC" w14:textId="77777777" w:rsidR="00643D86" w:rsidRPr="001D55EE" w:rsidRDefault="007C07CE" w:rsidP="00643D86">
      <w:pPr>
        <w:pStyle w:val="Rubrik1"/>
        <w:rPr>
          <w:lang w:val="en-US"/>
        </w:rPr>
      </w:pPr>
      <w:bookmarkStart w:id="16" w:name="_Toc419214014"/>
      <w:r w:rsidRPr="001D55EE">
        <w:rPr>
          <w:noProof/>
          <w:lang w:val="en-US"/>
        </w:rPr>
        <w:t>Relations with the Gulf States / GCC: Preparation of the 24th EU-GCC Joint Council and Ministerial Meeting (Doha, 24 May 2015)</w:t>
      </w:r>
      <w:bookmarkEnd w:id="16"/>
    </w:p>
    <w:p w14:paraId="431F36CD" w14:textId="77777777" w:rsidR="00643D86" w:rsidRPr="001C2735" w:rsidRDefault="007C07CE" w:rsidP="00643D86">
      <w:proofErr w:type="gramStart"/>
      <w:r w:rsidRPr="001C2735">
        <w:rPr>
          <w:noProof/>
        </w:rPr>
        <w:t>–</w:t>
      </w:r>
      <w:r w:rsidRPr="001C2735">
        <w:t>Draft</w:t>
      </w:r>
      <w:proofErr w:type="gramEnd"/>
      <w:r w:rsidRPr="001C2735">
        <w:t xml:space="preserve"> Agenda</w:t>
      </w:r>
      <w:r w:rsidRPr="001C2735">
        <w:br/>
      </w:r>
      <w:r w:rsidRPr="001C2735">
        <w:rPr>
          <w:noProof/>
        </w:rPr>
        <w:t>8750</w:t>
      </w:r>
      <w:r w:rsidRPr="001C2735">
        <w:t>/15 MOG 16 PESC 136</w:t>
      </w:r>
    </w:p>
    <w:p w14:paraId="676AC530" w14:textId="77777777" w:rsidR="007C07CE" w:rsidRPr="001C2735" w:rsidRDefault="007C07CE" w:rsidP="00643D86">
      <w:pPr>
        <w:rPr>
          <w:b/>
        </w:rPr>
      </w:pPr>
      <w:r w:rsidRPr="001C2735">
        <w:rPr>
          <w:b/>
        </w:rPr>
        <w:t>Ansvarigt statsråd</w:t>
      </w:r>
      <w:r w:rsidR="000D6E58" w:rsidRPr="001C2735">
        <w:rPr>
          <w:b/>
        </w:rPr>
        <w:t xml:space="preserve">: </w:t>
      </w:r>
      <w:r w:rsidRPr="001C2735">
        <w:t>Margot Wallström</w:t>
      </w:r>
      <w:r w:rsidRPr="001C2735">
        <w:rPr>
          <w:b/>
          <w:highlight w:val="yellow"/>
        </w:rPr>
        <w:br/>
      </w:r>
    </w:p>
    <w:p w14:paraId="274428ED" w14:textId="061BABDE" w:rsidR="000D6E58" w:rsidRPr="001C2735" w:rsidRDefault="007C07CE" w:rsidP="00643D86">
      <w:pPr>
        <w:rPr>
          <w:b/>
        </w:rPr>
      </w:pPr>
      <w:r w:rsidRPr="001C2735">
        <w:rPr>
          <w:b/>
        </w:rPr>
        <w:t>Annotering</w:t>
      </w:r>
    </w:p>
    <w:p w14:paraId="00AC948C" w14:textId="61378B63" w:rsidR="000D6E58" w:rsidRPr="001C2735" w:rsidRDefault="000D6E58" w:rsidP="000D6E58">
      <w:pPr>
        <w:rPr>
          <w:b/>
        </w:rPr>
      </w:pPr>
      <w:r w:rsidRPr="001C2735">
        <w:rPr>
          <w:b/>
        </w:rPr>
        <w:t xml:space="preserve">Avsikt med behandlingen i rådet: </w:t>
      </w:r>
      <w:r w:rsidRPr="001C2735">
        <w:t xml:space="preserve">Rådet föreslås anta dagordningen för EU-GCC ministermötet i Doha 24 maj. </w:t>
      </w:r>
    </w:p>
    <w:p w14:paraId="516CF03E" w14:textId="2A38D45C" w:rsidR="000D6E58" w:rsidRPr="001C2735" w:rsidRDefault="000D6E58" w:rsidP="000D6E58">
      <w:pPr>
        <w:rPr>
          <w:b/>
        </w:rPr>
      </w:pPr>
      <w:r w:rsidRPr="001C2735">
        <w:rPr>
          <w:b/>
        </w:rPr>
        <w:t>Hur regeringen ställer sig till den blivande A-punkten:</w:t>
      </w:r>
      <w:r w:rsidRPr="001C2735">
        <w:t xml:space="preserve"> Regeringen avser rösta ja till att rådet antar dagordningen för EU-GCC ministermötet i Doha 24 maj.</w:t>
      </w:r>
      <w:r w:rsidRPr="001C2735">
        <w:rPr>
          <w:b/>
        </w:rPr>
        <w:t xml:space="preserve"> </w:t>
      </w:r>
    </w:p>
    <w:p w14:paraId="431F36D1" w14:textId="67DEA228" w:rsidR="00643D86" w:rsidRPr="001C2735" w:rsidRDefault="000D6E58" w:rsidP="000D6E58">
      <w:r w:rsidRPr="001C2735">
        <w:rPr>
          <w:b/>
        </w:rPr>
        <w:t xml:space="preserve">Bakgrund: </w:t>
      </w:r>
      <w:r w:rsidRPr="001C2735">
        <w:t xml:space="preserve">Inför </w:t>
      </w:r>
      <w:proofErr w:type="spellStart"/>
      <w:r w:rsidRPr="001C2735">
        <w:t>EU-GCC:s</w:t>
      </w:r>
      <w:proofErr w:type="spellEnd"/>
      <w:r w:rsidRPr="001C2735">
        <w:t xml:space="preserve"> ministermöte i Doha 24 maj finns en framtagen dagordning som innehåller både bilaterala, regionala och globala frågor. Dagordningen följer tidigare mallar. Mötet har föregåtts av EU-GCC-möte på direktörsnivå i Bryssel den 5 maj med identisk dagordning. </w:t>
      </w:r>
      <w:r w:rsidR="007C07CE" w:rsidRPr="001C2735">
        <w:rPr>
          <w:b/>
        </w:rPr>
        <w:br/>
      </w:r>
    </w:p>
    <w:p w14:paraId="431F36D2" w14:textId="77777777" w:rsidR="00643D86" w:rsidRPr="001C2735" w:rsidRDefault="007C07CE" w:rsidP="00643D86">
      <w:pPr>
        <w:pStyle w:val="Rubrik1"/>
      </w:pPr>
      <w:bookmarkStart w:id="17" w:name="_Toc419214015"/>
      <w:r w:rsidRPr="001C2735">
        <w:rPr>
          <w:noProof/>
        </w:rPr>
        <w:t>Draft Council Conclusions on CSDP</w:t>
      </w:r>
      <w:bookmarkEnd w:id="17"/>
    </w:p>
    <w:p w14:paraId="431F36D3" w14:textId="38617ADF" w:rsidR="00643D86" w:rsidRPr="001D55EE" w:rsidRDefault="007C07CE" w:rsidP="00643D86">
      <w:pPr>
        <w:rPr>
          <w:lang w:val="en-US"/>
        </w:rPr>
      </w:pPr>
      <w:r w:rsidRPr="001D55EE">
        <w:rPr>
          <w:noProof/>
          <w:lang w:val="en-US"/>
        </w:rPr>
        <w:t>8616</w:t>
      </w:r>
      <w:r w:rsidRPr="001D55EE">
        <w:rPr>
          <w:lang w:val="en-US"/>
        </w:rPr>
        <w:t>/15 CSDP/PSDC 246 COPS 133 CFSP/PESC 110</w:t>
      </w:r>
      <w:r w:rsidRPr="001D55EE">
        <w:rPr>
          <w:lang w:val="en-US"/>
        </w:rPr>
        <w:br/>
      </w:r>
    </w:p>
    <w:p w14:paraId="431F36D4" w14:textId="77777777" w:rsidR="00643D86" w:rsidRPr="001C2735" w:rsidRDefault="007C07CE" w:rsidP="00643D86">
      <w:r w:rsidRPr="001C2735">
        <w:rPr>
          <w:b/>
        </w:rPr>
        <w:t>Ansvarigt statsråd</w:t>
      </w:r>
      <w:r w:rsidRPr="001C2735">
        <w:rPr>
          <w:b/>
        </w:rPr>
        <w:br/>
      </w:r>
      <w:bookmarkStart w:id="18" w:name="_GoBack"/>
      <w:r w:rsidRPr="001C2735">
        <w:rPr>
          <w:noProof/>
        </w:rPr>
        <w:t>Margot</w:t>
      </w:r>
      <w:bookmarkEnd w:id="18"/>
      <w:r w:rsidRPr="001C2735">
        <w:rPr>
          <w:noProof/>
        </w:rPr>
        <w:t xml:space="preserve"> Wallström</w:t>
      </w:r>
    </w:p>
    <w:p w14:paraId="431F36D8" w14:textId="24C8C7C8" w:rsidR="00601374" w:rsidRPr="001C2735" w:rsidRDefault="007C07CE" w:rsidP="000D6E58">
      <w:r w:rsidRPr="001C2735">
        <w:rPr>
          <w:b/>
        </w:rPr>
        <w:t>Annotering</w:t>
      </w:r>
      <w:r w:rsidRPr="001C2735">
        <w:rPr>
          <w:b/>
        </w:rPr>
        <w:br/>
      </w:r>
      <w:r w:rsidRPr="001C2735">
        <w:rPr>
          <w:b/>
          <w:bCs/>
        </w:rPr>
        <w:t>Avsikt med behandlingen i rådet:</w:t>
      </w:r>
      <w:r w:rsidRPr="001C2735">
        <w:t xml:space="preserve"> Rådet föreslås godkänna slutsatser om GSFP och försvarsfrågorna. </w:t>
      </w:r>
    </w:p>
    <w:p w14:paraId="431F36D9" w14:textId="77777777" w:rsidR="00601374" w:rsidRPr="001C2735" w:rsidRDefault="007C07CE">
      <w:pPr>
        <w:spacing w:after="280" w:afterAutospacing="1"/>
      </w:pPr>
      <w:r w:rsidRPr="001C2735">
        <w:rPr>
          <w:b/>
          <w:bCs/>
        </w:rPr>
        <w:t>Hur regeringen ställer sig till den blivande A-punkten:</w:t>
      </w:r>
      <w:r w:rsidRPr="001C2735">
        <w:t xml:space="preserve"> Regeringen avser rösta ja till att rådet antar </w:t>
      </w:r>
      <w:proofErr w:type="spellStart"/>
      <w:r w:rsidRPr="001C2735">
        <w:t>rådsslutsatserna</w:t>
      </w:r>
      <w:proofErr w:type="spellEnd"/>
      <w:r w:rsidRPr="001C2735">
        <w:t xml:space="preserve"> om GSFP och försvarsfrågorna. </w:t>
      </w:r>
    </w:p>
    <w:p w14:paraId="431F36DA" w14:textId="77777777" w:rsidR="00601374" w:rsidRPr="001C2735" w:rsidRDefault="007C07CE">
      <w:pPr>
        <w:spacing w:after="280" w:afterAutospacing="1"/>
      </w:pPr>
      <w:r w:rsidRPr="001C2735">
        <w:rPr>
          <w:b/>
          <w:bCs/>
        </w:rPr>
        <w:t>Bakgrund:</w:t>
      </w:r>
      <w:r w:rsidRPr="001C2735">
        <w:t xml:space="preserve"> Utkast till </w:t>
      </w:r>
      <w:proofErr w:type="spellStart"/>
      <w:r w:rsidRPr="001C2735">
        <w:t>rådsslutsatser</w:t>
      </w:r>
      <w:proofErr w:type="spellEnd"/>
      <w:r w:rsidRPr="001C2735">
        <w:t xml:space="preserve"> om GSFP och försvarsfrågorna är en förberedelse inför Europeiska rådet i juni och ämnar leda vägen för EU:s fortsatta arbete inom ramen för GSFP och försvar. Utkastet till </w:t>
      </w:r>
      <w:proofErr w:type="spellStart"/>
      <w:r w:rsidRPr="001C2735">
        <w:t>rådsslutsatser</w:t>
      </w:r>
      <w:proofErr w:type="spellEnd"/>
      <w:r w:rsidRPr="001C2735">
        <w:t xml:space="preserve"> inleds med ett par ”portalparagrafer” om vikten av ett stärkt Gemensamt Säkerhets- och Försvarspolitiskt Samarbete, där särskilt de pågående konflikterna i Irak, Sahel, Syrien och Ukraina påverkar Europas säkerhet, europeisk säkerhetsarkitektur och internationell fred och stabilitet. EU föreslås ta på sig en större roll i att bidra till säkerhet (</w:t>
      </w:r>
      <w:proofErr w:type="spellStart"/>
      <w:r w:rsidRPr="001C2735">
        <w:t>security</w:t>
      </w:r>
      <w:proofErr w:type="spellEnd"/>
      <w:r w:rsidRPr="001C2735">
        <w:t xml:space="preserve"> </w:t>
      </w:r>
      <w:proofErr w:type="spellStart"/>
      <w:r w:rsidRPr="001C2735">
        <w:t>provider</w:t>
      </w:r>
      <w:proofErr w:type="spellEnd"/>
      <w:r w:rsidRPr="001C2735">
        <w:t>). EU, dess institutioner och dess medlemsstater fastslås genom GSFP ha en viktig roll genom sin unika förmåga till samlad ansats (</w:t>
      </w:r>
      <w:proofErr w:type="spellStart"/>
      <w:r w:rsidRPr="001C2735">
        <w:t>comprehensive</w:t>
      </w:r>
      <w:proofErr w:type="spellEnd"/>
      <w:r w:rsidRPr="001C2735">
        <w:t xml:space="preserve"> approach). Slutsatserna slår också fast vikten av den breda strategiska översyn som Höga representanten arbetar med. Rådet föreslår även att utveckla arbetet inom bland annat gender, hybridfrågor, partnerskap, kapacitetsbyggande i stöd för säkerhet och utveckling och försvarsfrågor. </w:t>
      </w:r>
    </w:p>
    <w:p w14:paraId="431F36DC" w14:textId="77777777" w:rsidR="00643D86" w:rsidRPr="001D55EE" w:rsidRDefault="007C07CE" w:rsidP="00643D86">
      <w:pPr>
        <w:pStyle w:val="Rubrik1"/>
        <w:rPr>
          <w:lang w:val="en-US"/>
        </w:rPr>
      </w:pPr>
      <w:bookmarkStart w:id="19" w:name="_Toc419214016"/>
      <w:r w:rsidRPr="001D55EE">
        <w:rPr>
          <w:noProof/>
          <w:lang w:val="en-US"/>
        </w:rPr>
        <w:t>High Representative's Report on the Twenty-First Operation ALTHEA Six-Monthly Review</w:t>
      </w:r>
      <w:bookmarkEnd w:id="19"/>
    </w:p>
    <w:p w14:paraId="431F36DD" w14:textId="1AEB50AC" w:rsidR="00643D86" w:rsidRPr="001D55EE" w:rsidRDefault="007C07CE" w:rsidP="00643D86">
      <w:pPr>
        <w:rPr>
          <w:lang w:val="en-US"/>
        </w:rPr>
      </w:pPr>
      <w:r w:rsidRPr="001D55EE">
        <w:rPr>
          <w:noProof/>
          <w:lang w:val="en-US"/>
        </w:rPr>
        <w:t>7773</w:t>
      </w:r>
      <w:r w:rsidRPr="001D55EE">
        <w:rPr>
          <w:lang w:val="en-US"/>
        </w:rPr>
        <w:t>/15 CSDP/PSDC 191 CFSP/PESC 19 BIH 5</w:t>
      </w:r>
      <w:r w:rsidRPr="001D55EE">
        <w:rPr>
          <w:lang w:val="en-US"/>
        </w:rPr>
        <w:br/>
      </w:r>
    </w:p>
    <w:p w14:paraId="431F36DE" w14:textId="77777777" w:rsidR="00643D86" w:rsidRPr="001C2735" w:rsidRDefault="007C07CE" w:rsidP="00643D86">
      <w:r w:rsidRPr="001C2735">
        <w:rPr>
          <w:b/>
        </w:rPr>
        <w:t>Ansvarigt statsråd</w:t>
      </w:r>
      <w:r w:rsidRPr="001C2735">
        <w:rPr>
          <w:b/>
        </w:rPr>
        <w:br/>
      </w:r>
      <w:r w:rsidRPr="001C2735">
        <w:rPr>
          <w:noProof/>
        </w:rPr>
        <w:t>Margot Wallström</w:t>
      </w:r>
    </w:p>
    <w:p w14:paraId="431F36E3" w14:textId="7F4E5EE1" w:rsidR="00601374" w:rsidRPr="001C2735" w:rsidRDefault="007C07CE" w:rsidP="00E071FF">
      <w:r w:rsidRPr="001C2735">
        <w:rPr>
          <w:b/>
        </w:rPr>
        <w:t>Annotering</w:t>
      </w:r>
      <w:r w:rsidRPr="001C2735">
        <w:rPr>
          <w:b/>
        </w:rPr>
        <w:br/>
      </w:r>
      <w:r w:rsidRPr="001C2735">
        <w:rPr>
          <w:b/>
          <w:bCs/>
        </w:rPr>
        <w:t xml:space="preserve">Avsikt med behandlingen i rådet: </w:t>
      </w:r>
      <w:r w:rsidRPr="001C2735">
        <w:t xml:space="preserve">Rådet föreslås anta den Höga representantens rapport om den tjugoförsta sexmånadersöversynen av Operation </w:t>
      </w:r>
      <w:proofErr w:type="spellStart"/>
      <w:r w:rsidRPr="001C2735">
        <w:t>Althea</w:t>
      </w:r>
      <w:proofErr w:type="spellEnd"/>
      <w:r w:rsidRPr="001C2735">
        <w:t>, EU:s militära insats i Bosnien och Hercegovina.</w:t>
      </w:r>
    </w:p>
    <w:p w14:paraId="431F36E4" w14:textId="4B86C9F0" w:rsidR="00601374" w:rsidRPr="001C2735" w:rsidRDefault="007C07CE">
      <w:pPr>
        <w:spacing w:after="280" w:afterAutospacing="1"/>
      </w:pPr>
      <w:r w:rsidRPr="001C2735">
        <w:rPr>
          <w:b/>
          <w:bCs/>
        </w:rPr>
        <w:t xml:space="preserve">Hur regeringen ställer sig till den blivande A-punkten: </w:t>
      </w:r>
      <w:r w:rsidRPr="001C2735">
        <w:t>Regeringen avser rösta för ett antagande av rapporten.</w:t>
      </w:r>
    </w:p>
    <w:p w14:paraId="431F36E5" w14:textId="5A810656" w:rsidR="00601374" w:rsidRDefault="007C07CE">
      <w:pPr>
        <w:spacing w:after="280" w:afterAutospacing="1"/>
      </w:pPr>
      <w:r w:rsidRPr="001C2735">
        <w:rPr>
          <w:b/>
          <w:bCs/>
        </w:rPr>
        <w:t>Bakgrund:</w:t>
      </w:r>
      <w:r w:rsidR="00E071FF" w:rsidRPr="001C2735">
        <w:rPr>
          <w:b/>
          <w:bCs/>
        </w:rPr>
        <w:t xml:space="preserve"> </w:t>
      </w:r>
      <w:r w:rsidRPr="001C2735">
        <w:t xml:space="preserve">Operation </w:t>
      </w:r>
      <w:proofErr w:type="spellStart"/>
      <w:r w:rsidRPr="001C2735">
        <w:t>Althea</w:t>
      </w:r>
      <w:proofErr w:type="spellEnd"/>
      <w:r w:rsidRPr="001C2735">
        <w:t xml:space="preserve"> är EU:s militära insats i Bosnien och Hercegovina. Styrkan består för närvarande av cirka 600 personer och har till uppgift att stödja reformeringen av den bosniska säkerhetssektorn. Sverige bidrar fortsatt till EUFOR </w:t>
      </w:r>
      <w:proofErr w:type="spellStart"/>
      <w:r w:rsidRPr="001C2735">
        <w:t>Althea</w:t>
      </w:r>
      <w:proofErr w:type="spellEnd"/>
      <w:r w:rsidRPr="001C2735">
        <w:t xml:space="preserve"> med två stabsofficerare. Den höga representantens rapport om den tjugoförsta sexmånadersöversynen av operation </w:t>
      </w:r>
      <w:proofErr w:type="spellStart"/>
      <w:r w:rsidRPr="001C2735">
        <w:t>Althea</w:t>
      </w:r>
      <w:proofErr w:type="spellEnd"/>
      <w:r w:rsidRPr="001C2735">
        <w:t xml:space="preserve"> distribuerades den 18 mars 2015.</w:t>
      </w:r>
    </w:p>
    <w:p w14:paraId="6B8FE89F" w14:textId="77777777" w:rsidR="001C2735" w:rsidRPr="001C2735" w:rsidRDefault="001C2735">
      <w:pPr>
        <w:spacing w:after="280" w:afterAutospacing="1"/>
      </w:pPr>
    </w:p>
    <w:p w14:paraId="431F36ED" w14:textId="77777777" w:rsidR="00643D86" w:rsidRPr="001D55EE" w:rsidRDefault="007C07CE" w:rsidP="00643D86">
      <w:pPr>
        <w:pStyle w:val="Rubrik1"/>
        <w:rPr>
          <w:lang w:val="en-US"/>
        </w:rPr>
      </w:pPr>
      <w:bookmarkStart w:id="20" w:name="_Toc419214017"/>
      <w:r w:rsidRPr="001D55EE">
        <w:rPr>
          <w:noProof/>
          <w:lang w:val="en-US"/>
        </w:rPr>
        <w:t>Draft Revised Mission Plan for EUSEC RD Congo, 1 July 2015 - 30 June 2016</w:t>
      </w:r>
      <w:bookmarkEnd w:id="20"/>
    </w:p>
    <w:p w14:paraId="431F36EE" w14:textId="77777777" w:rsidR="00643D86" w:rsidRPr="001D55EE" w:rsidRDefault="007C07CE" w:rsidP="00643D86">
      <w:pPr>
        <w:rPr>
          <w:lang w:val="en-US"/>
        </w:rPr>
      </w:pPr>
      <w:r w:rsidRPr="001D55EE">
        <w:rPr>
          <w:lang w:val="en-US"/>
        </w:rPr>
        <w:br/>
      </w:r>
      <w:r w:rsidRPr="001D55EE">
        <w:rPr>
          <w:noProof/>
          <w:lang w:val="en-US"/>
        </w:rPr>
        <w:t>8757</w:t>
      </w:r>
      <w:r w:rsidRPr="001D55EE">
        <w:rPr>
          <w:lang w:val="en-US"/>
        </w:rPr>
        <w:t>/15 CFSP/PESC 130 CSDP/PSDC 262 COAFR 166 POLMIL 54</w:t>
      </w:r>
    </w:p>
    <w:p w14:paraId="431F36EF" w14:textId="77777777" w:rsidR="00643D86" w:rsidRPr="001D55EE" w:rsidRDefault="007C07CE" w:rsidP="00643D86">
      <w:pPr>
        <w:rPr>
          <w:lang w:val="en-US"/>
        </w:rPr>
      </w:pPr>
      <w:r w:rsidRPr="001D55EE">
        <w:rPr>
          <w:lang w:val="en-US"/>
        </w:rPr>
        <w:t>EUMC 15 EUSEC-RDC 9</w:t>
      </w:r>
    </w:p>
    <w:p w14:paraId="431F36F0" w14:textId="77777777" w:rsidR="00643D86" w:rsidRPr="001D55EE" w:rsidRDefault="007C07CE" w:rsidP="00643D86">
      <w:pPr>
        <w:rPr>
          <w:lang w:val="en-US"/>
        </w:rPr>
      </w:pPr>
      <w:r w:rsidRPr="001D55EE">
        <w:rPr>
          <w:lang w:val="en-US"/>
        </w:rPr>
        <w:t>8057/15 COPS 109 CSDP/PSDC 209 CFSP/PESC 59 POLMIL 41</w:t>
      </w:r>
    </w:p>
    <w:p w14:paraId="431F36F1" w14:textId="614AEF0B" w:rsidR="00643D86" w:rsidRPr="001C2735" w:rsidRDefault="007C07CE" w:rsidP="00643D86">
      <w:r w:rsidRPr="001C2735">
        <w:t xml:space="preserve">EUMC 5EUSEC-RDC </w:t>
      </w:r>
      <w:proofErr w:type="gramStart"/>
      <w:r w:rsidRPr="001C2735">
        <w:t>3</w:t>
      </w:r>
      <w:r w:rsidR="00C41633" w:rsidRPr="001C2735">
        <w:t xml:space="preserve"> </w:t>
      </w:r>
      <w:r w:rsidRPr="001C2735">
        <w:t xml:space="preserve">  RESTREINT</w:t>
      </w:r>
      <w:proofErr w:type="gramEnd"/>
      <w:r w:rsidRPr="001C2735">
        <w:t xml:space="preserve"> UE</w:t>
      </w:r>
    </w:p>
    <w:p w14:paraId="431F36F2" w14:textId="77777777" w:rsidR="00643D86" w:rsidRPr="001C2735" w:rsidRDefault="007C07CE" w:rsidP="00643D86">
      <w:r w:rsidRPr="001C2735">
        <w:rPr>
          <w:b/>
        </w:rPr>
        <w:t>Ansvarigt statsråd</w:t>
      </w:r>
      <w:r w:rsidRPr="001C2735">
        <w:rPr>
          <w:b/>
        </w:rPr>
        <w:br/>
      </w:r>
      <w:r w:rsidRPr="001C2735">
        <w:rPr>
          <w:noProof/>
        </w:rPr>
        <w:t>Margot Wallström</w:t>
      </w:r>
    </w:p>
    <w:p w14:paraId="431F36F6" w14:textId="0B4A18AF" w:rsidR="00601374" w:rsidRPr="001C2735" w:rsidRDefault="007C07CE" w:rsidP="000D6E58">
      <w:r w:rsidRPr="001C2735">
        <w:rPr>
          <w:b/>
        </w:rPr>
        <w:t>Annotering</w:t>
      </w:r>
      <w:r w:rsidRPr="001C2735">
        <w:rPr>
          <w:b/>
        </w:rPr>
        <w:br/>
      </w:r>
      <w:r w:rsidRPr="001C2735">
        <w:rPr>
          <w:b/>
          <w:bCs/>
        </w:rPr>
        <w:t>Avsikt med behandlingen i rådet:</w:t>
      </w:r>
      <w:r w:rsidRPr="001C2735">
        <w:t xml:space="preserve"> Avsikten är att rådet ska tillstyrka en ny plan för det sista verksamhetsåret för EU-insatsen EUSEC RD Congo</w:t>
      </w:r>
    </w:p>
    <w:p w14:paraId="431F36F7" w14:textId="77777777" w:rsidR="00601374" w:rsidRPr="001C2735" w:rsidRDefault="007C07CE">
      <w:pPr>
        <w:spacing w:after="280" w:afterAutospacing="1"/>
      </w:pPr>
      <w:r w:rsidRPr="001C2735">
        <w:rPr>
          <w:b/>
          <w:bCs/>
        </w:rPr>
        <w:t>Hur regeringen ställer sig till den blivande A-punkten:</w:t>
      </w:r>
      <w:r w:rsidRPr="001C2735">
        <w:t xml:space="preserve"> Regeringen avser rösta ja till förslaget.</w:t>
      </w:r>
    </w:p>
    <w:p w14:paraId="431F36F8" w14:textId="77777777" w:rsidR="00601374" w:rsidRPr="001C2735" w:rsidRDefault="007C07CE">
      <w:pPr>
        <w:spacing w:after="280" w:afterAutospacing="1"/>
      </w:pPr>
      <w:r w:rsidRPr="001C2735">
        <w:rPr>
          <w:b/>
          <w:bCs/>
        </w:rPr>
        <w:t>Bakgrund:</w:t>
      </w:r>
      <w:r w:rsidRPr="001C2735">
        <w:t xml:space="preserve"> EUSEC RD Congo har till främsta syfte att reformera den kongolesiska armén. Mandatet utlöper den 30 juni 2015 och rådet har föreslagit förlängning med ytterligare ett år. I väntan på regeringsbeslut har Sverige lagt en </w:t>
      </w:r>
      <w:proofErr w:type="spellStart"/>
      <w:r w:rsidRPr="001C2735">
        <w:t>väntereservation</w:t>
      </w:r>
      <w:proofErr w:type="spellEnd"/>
      <w:r w:rsidRPr="001C2735">
        <w:t xml:space="preserve"> på godtagande av detta rådsbeslut. Under insatsens sista år ska verksamheten </w:t>
      </w:r>
      <w:proofErr w:type="spellStart"/>
      <w:r w:rsidRPr="001C2735">
        <w:t>utfasas</w:t>
      </w:r>
      <w:proofErr w:type="spellEnd"/>
      <w:r w:rsidRPr="001C2735">
        <w:t xml:space="preserve"> och framförallt överlämnas till kongolesiska myndigheter och andra aktörer. Planen för EUSEC RD Congo ger anvisningar för hur denna utfasning ska ske.</w:t>
      </w:r>
    </w:p>
    <w:p w14:paraId="431F36FB" w14:textId="2794AF40" w:rsidR="00643D86" w:rsidRPr="001D55EE" w:rsidRDefault="000D6E58" w:rsidP="000D6E58">
      <w:pPr>
        <w:pStyle w:val="Rubrik1"/>
        <w:numPr>
          <w:ilvl w:val="0"/>
          <w:numId w:val="0"/>
        </w:numPr>
        <w:ind w:left="720" w:hanging="360"/>
        <w:rPr>
          <w:lang w:val="en-US"/>
        </w:rPr>
      </w:pPr>
      <w:bookmarkStart w:id="21" w:name="_Toc419214018"/>
      <w:r w:rsidRPr="001D55EE">
        <w:rPr>
          <w:noProof/>
          <w:lang w:val="en-US"/>
        </w:rPr>
        <w:t>2</w:t>
      </w:r>
      <w:r w:rsidR="001C2735" w:rsidRPr="001D55EE">
        <w:rPr>
          <w:noProof/>
          <w:lang w:val="en-US"/>
        </w:rPr>
        <w:t>0</w:t>
      </w:r>
      <w:r w:rsidRPr="001D55EE">
        <w:rPr>
          <w:noProof/>
          <w:lang w:val="en-US"/>
        </w:rPr>
        <w:t xml:space="preserve">  </w:t>
      </w:r>
      <w:r w:rsidR="007C07CE" w:rsidRPr="001D55EE">
        <w:rPr>
          <w:noProof/>
          <w:lang w:val="en-US"/>
        </w:rPr>
        <w:t>a) Council Implementing Decision implementing Decision 2013/255/CFSP concerning restrictive measures against Syria</w:t>
      </w:r>
      <w:r w:rsidRPr="001D55EE">
        <w:rPr>
          <w:noProof/>
          <w:lang w:val="en-US"/>
        </w:rPr>
        <w:t xml:space="preserve"> </w:t>
      </w:r>
      <w:r w:rsidR="007C07CE" w:rsidRPr="001D55EE">
        <w:rPr>
          <w:noProof/>
          <w:lang w:val="en-US"/>
        </w:rPr>
        <w:t>b) Council Implementing Regulation implementing Regulation (EU) No 36/2012 concerning restrictive measures in view of the situation in Syria</w:t>
      </w:r>
      <w:bookmarkEnd w:id="21"/>
    </w:p>
    <w:p w14:paraId="431F36FC" w14:textId="77777777" w:rsidR="00643D86" w:rsidRPr="001D55EE" w:rsidRDefault="007C07CE" w:rsidP="00643D86">
      <w:pPr>
        <w:rPr>
          <w:lang w:val="en-US"/>
        </w:rPr>
      </w:pPr>
      <w:r w:rsidRPr="001D55EE">
        <w:rPr>
          <w:lang w:val="en-US"/>
        </w:rPr>
        <w:br/>
      </w:r>
      <w:r w:rsidRPr="001D55EE">
        <w:rPr>
          <w:noProof/>
          <w:lang w:val="en-US"/>
        </w:rPr>
        <w:t>7839</w:t>
      </w:r>
      <w:r w:rsidRPr="001D55EE">
        <w:rPr>
          <w:lang w:val="en-US"/>
        </w:rPr>
        <w:t>/15 CFSP/PESC 34 RELEX 286 COARM 87 MOG 1</w:t>
      </w:r>
    </w:p>
    <w:p w14:paraId="431F36FD" w14:textId="77777777" w:rsidR="00643D86" w:rsidRPr="001D55EE" w:rsidRDefault="007C07CE" w:rsidP="00643D86">
      <w:pPr>
        <w:rPr>
          <w:lang w:val="en-US"/>
        </w:rPr>
      </w:pPr>
      <w:r w:rsidRPr="001D55EE">
        <w:rPr>
          <w:lang w:val="en-US"/>
        </w:rPr>
        <w:t>7522/15 PESC 328 COARM 76 COMEM 74 FIN 238</w:t>
      </w:r>
    </w:p>
    <w:p w14:paraId="431F36FE" w14:textId="77777777" w:rsidR="00643D86" w:rsidRPr="001D55EE" w:rsidRDefault="007C07CE" w:rsidP="00643D86">
      <w:pPr>
        <w:rPr>
          <w:lang w:val="en-US"/>
        </w:rPr>
      </w:pPr>
      <w:r w:rsidRPr="001D55EE">
        <w:rPr>
          <w:lang w:val="en-US"/>
        </w:rPr>
        <w:t>7523/15 PESC 329 RELEX 257 COARM 77 COMEM 75 FIN 239</w:t>
      </w:r>
    </w:p>
    <w:p w14:paraId="3B5EEC31" w14:textId="77777777" w:rsidR="00A00E6E" w:rsidRPr="001C2735" w:rsidRDefault="007C07CE" w:rsidP="00A00E6E">
      <w:pPr>
        <w:rPr>
          <w:b/>
        </w:rPr>
      </w:pPr>
      <w:r w:rsidRPr="001C2735">
        <w:rPr>
          <w:b/>
        </w:rPr>
        <w:t>Ansvarigt statsråd</w:t>
      </w:r>
      <w:r w:rsidR="000D6E58" w:rsidRPr="001C2735">
        <w:rPr>
          <w:b/>
        </w:rPr>
        <w:t xml:space="preserve">: </w:t>
      </w:r>
      <w:r w:rsidR="000D6E58" w:rsidRPr="001C2735">
        <w:t>Margot Wallström</w:t>
      </w:r>
      <w:r w:rsidRPr="001C2735">
        <w:rPr>
          <w:b/>
        </w:rPr>
        <w:br/>
      </w:r>
    </w:p>
    <w:p w14:paraId="5FCD24AE" w14:textId="4397D703" w:rsidR="00A00E6E" w:rsidRPr="001C2735" w:rsidRDefault="000D6E58" w:rsidP="00A00E6E">
      <w:r w:rsidRPr="001C2735">
        <w:rPr>
          <w:b/>
        </w:rPr>
        <w:t xml:space="preserve">Avsikt med behandlingen i rådet: </w:t>
      </w:r>
      <w:r w:rsidRPr="001C2735">
        <w:t xml:space="preserve">Rådet förväntas den 19 maj besluta om att informationen om tre personer och två entiteter uppdateras, samt att en specifik del läggs till om en entitet i listan av personer och entiteter under restriktiva åtgärder i Bilaga I till beslut 2013/255/GUSP samt i Bilaga II till förordning (EU) No 36/2012. </w:t>
      </w:r>
    </w:p>
    <w:p w14:paraId="5370DF0D" w14:textId="6FC361A5" w:rsidR="00A00E6E" w:rsidRPr="001C2735" w:rsidRDefault="000D6E58" w:rsidP="00A00E6E">
      <w:r w:rsidRPr="001C2735">
        <w:rPr>
          <w:b/>
        </w:rPr>
        <w:t xml:space="preserve">Hur regeringen ställer sig till den blivande A-punkten: </w:t>
      </w:r>
      <w:r w:rsidRPr="001C2735">
        <w:t>Regeringen avser stödja att Bilaga I till beslut 2013/255/GUSP samt Bilaga II till förordning (EU) No 36/2012 ändras enligt föreliggande utkast.</w:t>
      </w:r>
    </w:p>
    <w:p w14:paraId="4BECD8A0" w14:textId="77777777" w:rsidR="000D6E58" w:rsidRPr="001C2735" w:rsidRDefault="000D6E58" w:rsidP="000D6E58">
      <w:r w:rsidRPr="001C2735">
        <w:rPr>
          <w:b/>
        </w:rPr>
        <w:t xml:space="preserve">Bakgrund: </w:t>
      </w:r>
      <w:r w:rsidRPr="001C2735">
        <w:t>Mot bakgrund av den allvarliga situationen i Syrien antog Europeiska unionens råd den 9 maj 2011 rådsbeslut 2011/273/GUSP om restriktiva åtgärder mot Syrien. Åtgärderna omfattar bl.a. förbud respektive krav på tillstånd för export m.m. av vissa produkter som kan användas för internt förtryck. Import eller transport av vapen och tillhörande materiel från Syrien eller med ursprung i Syrien är också förbjudet. Vidare gäller åtgärder i form av restriktioner avseende export och import av vissa andra varor, finansiella restriktioner samt restriktioner inom transportsektorn. Rådsbeslutet innehåller dessutom bilagor med listor över enskilda enheter och personer vars tillgångar fryses inom EU eller som är föremål för reserestriktioner. Dessa bilagor har reviderats vid ett antal tillfällen, och nya restriktioner har införts i rådsbeslutet, senast genom rådsbeslut 2013/255/GUSP. I bilaga I till rådsbeslutet samt i bilaga II till förordningen ska nu informationen om tre personer och två entiteter uppdateras, samt en specifik del läggs till om en entitet i listan av personer och entiteter. Ändring av de aktuella rättsakterna kräver inte något regeringsbeslut.</w:t>
      </w:r>
    </w:p>
    <w:p w14:paraId="431F3702" w14:textId="7DB723B2" w:rsidR="00643D86" w:rsidRPr="001C2735" w:rsidRDefault="007C07CE" w:rsidP="00643D86">
      <w:r w:rsidRPr="001C2735">
        <w:br/>
      </w:r>
    </w:p>
    <w:bookmarkEnd w:id="1"/>
    <w:p w14:paraId="431F3703" w14:textId="77777777" w:rsidR="00643D86" w:rsidRPr="001C2735" w:rsidRDefault="001D55EE" w:rsidP="00643D86">
      <w:pPr>
        <w:ind w:left="0"/>
      </w:pPr>
    </w:p>
    <w:sectPr w:rsidR="00643D86" w:rsidRPr="001C2735" w:rsidSect="001C2735">
      <w:headerReference w:type="default" r:id="rId14"/>
      <w:headerReference w:type="first" r:id="rId15"/>
      <w:pgSz w:w="11906" w:h="16838"/>
      <w:pgMar w:top="1417" w:right="1417" w:bottom="1135"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25BD4" w14:textId="77777777" w:rsidR="005B1CF0" w:rsidRDefault="005B1CF0">
      <w:pPr>
        <w:spacing w:after="0" w:line="240" w:lineRule="auto"/>
      </w:pPr>
      <w:r>
        <w:separator/>
      </w:r>
    </w:p>
  </w:endnote>
  <w:endnote w:type="continuationSeparator" w:id="0">
    <w:p w14:paraId="10EB9F5B" w14:textId="77777777" w:rsidR="005B1CF0" w:rsidRDefault="005B1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 w:name="OrigGarmnd BT">
    <w:altName w:val="Constantia"/>
    <w:charset w:val="00"/>
    <w:family w:val="roman"/>
    <w:pitch w:val="variable"/>
    <w:sig w:usb0="00000001"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3A977" w14:textId="77777777" w:rsidR="005B1CF0" w:rsidRDefault="005B1CF0">
      <w:pPr>
        <w:spacing w:after="0" w:line="240" w:lineRule="auto"/>
      </w:pPr>
      <w:r>
        <w:separator/>
      </w:r>
    </w:p>
  </w:footnote>
  <w:footnote w:type="continuationSeparator" w:id="0">
    <w:p w14:paraId="6D60AC46" w14:textId="77777777" w:rsidR="005B1CF0" w:rsidRDefault="005B1C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F3704" w14:textId="77777777" w:rsidR="006E71D7" w:rsidRDefault="001D55EE" w:rsidP="006E71D7">
    <w:pPr>
      <w:pStyle w:val="Sidhuvud"/>
      <w:ind w:left="0"/>
    </w:pPr>
  </w:p>
  <w:p w14:paraId="431F3705" w14:textId="77777777" w:rsidR="006F1C0D" w:rsidRDefault="001D55EE"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601374" w14:paraId="431F370B" w14:textId="77777777" w:rsidTr="006E71D7">
      <w:tc>
        <w:tcPr>
          <w:tcW w:w="4606" w:type="dxa"/>
        </w:tcPr>
        <w:p w14:paraId="431F3706" w14:textId="77777777" w:rsidR="006E71D7" w:rsidRDefault="007C07CE" w:rsidP="00752770">
          <w:pPr>
            <w:pStyle w:val="Sidhuvud"/>
            <w:ind w:left="0"/>
          </w:pPr>
          <w:r>
            <w:rPr>
              <w:noProof/>
              <w:lang w:eastAsia="sv-SE"/>
            </w:rPr>
            <w:drawing>
              <wp:inline distT="0" distB="0" distL="0" distR="0" wp14:anchorId="431F3711" wp14:editId="431F3712">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431F3707" w14:textId="77777777" w:rsidR="00FB32B9" w:rsidRDefault="001D55EE" w:rsidP="00FB32B9">
          <w:pPr>
            <w:ind w:right="916"/>
            <w:rPr>
              <w:rFonts w:ascii="TradeGothic" w:hAnsi="TradeGothic"/>
              <w:b/>
            </w:rPr>
          </w:pPr>
        </w:p>
        <w:p w14:paraId="431F3708" w14:textId="77777777" w:rsidR="00FB32B9" w:rsidRDefault="007C07CE" w:rsidP="00FB32B9">
          <w:pPr>
            <w:ind w:right="916"/>
          </w:pPr>
          <w:r>
            <w:rPr>
              <w:rFonts w:ascii="TradeGothic" w:hAnsi="TradeGothic"/>
              <w:b/>
            </w:rPr>
            <w:t>Promemoria</w:t>
          </w:r>
        </w:p>
        <w:p w14:paraId="431F3709" w14:textId="77777777" w:rsidR="00FB32B9" w:rsidRDefault="001D55EE" w:rsidP="00FB32B9">
          <w:pPr>
            <w:jc w:val="right"/>
          </w:pPr>
        </w:p>
        <w:p w14:paraId="431F370A" w14:textId="77777777" w:rsidR="006E71D7" w:rsidRDefault="007C07CE" w:rsidP="00FB32B9">
          <w:pPr>
            <w:ind w:right="916"/>
          </w:pPr>
          <w:r>
            <w:rPr>
              <w:rFonts w:ascii="TradeGothic" w:hAnsi="TradeGothic"/>
              <w:b/>
              <w:noProof/>
            </w:rPr>
            <w:t>2015-05-12</w:t>
          </w:r>
          <w:r w:rsidRPr="00934953">
            <w:t xml:space="preserve"> </w:t>
          </w:r>
        </w:p>
      </w:tc>
    </w:tr>
  </w:tbl>
  <w:p w14:paraId="431F370C" w14:textId="77777777" w:rsidR="00FB32B9" w:rsidRDefault="001D55EE" w:rsidP="00FB32B9">
    <w:pPr>
      <w:pStyle w:val="Avsndare"/>
      <w:framePr w:w="0" w:hRule="auto" w:hSpace="0" w:wrap="auto" w:vAnchor="margin" w:hAnchor="text" w:xAlign="left" w:yAlign="inline"/>
      <w:rPr>
        <w:b/>
        <w:i w:val="0"/>
        <w:sz w:val="22"/>
      </w:rPr>
    </w:pPr>
  </w:p>
  <w:p w14:paraId="431F370D" w14:textId="77777777" w:rsidR="00FB32B9" w:rsidRDefault="007C07CE" w:rsidP="00FB32B9">
    <w:pPr>
      <w:pStyle w:val="Avsndare"/>
      <w:framePr w:w="0" w:hRule="auto" w:hSpace="0" w:wrap="auto" w:vAnchor="margin" w:hAnchor="text" w:xAlign="left" w:yAlign="inline"/>
      <w:rPr>
        <w:b/>
        <w:i w:val="0"/>
        <w:sz w:val="22"/>
      </w:rPr>
    </w:pPr>
    <w:r>
      <w:rPr>
        <w:b/>
        <w:i w:val="0"/>
        <w:sz w:val="22"/>
      </w:rPr>
      <w:t>Statsrådsberedningen</w:t>
    </w:r>
  </w:p>
  <w:p w14:paraId="431F370E" w14:textId="77777777" w:rsidR="00FB32B9" w:rsidRDefault="001D55EE" w:rsidP="00FB32B9">
    <w:pPr>
      <w:pStyle w:val="Avsndare"/>
      <w:framePr w:w="0" w:hRule="auto" w:hSpace="0" w:wrap="auto" w:vAnchor="margin" w:hAnchor="text" w:xAlign="left" w:yAlign="inline"/>
    </w:pPr>
  </w:p>
  <w:p w14:paraId="431F370F" w14:textId="77777777" w:rsidR="00FB32B9" w:rsidRDefault="007C07CE" w:rsidP="00FB32B9">
    <w:pPr>
      <w:pStyle w:val="Avsndare"/>
      <w:framePr w:w="0" w:hRule="auto" w:hSpace="0" w:wrap="auto" w:vAnchor="margin" w:hAnchor="text" w:xAlign="left" w:yAlign="inline"/>
    </w:pPr>
    <w:r>
      <w:t>EU-kansliet</w:t>
    </w:r>
  </w:p>
  <w:p w14:paraId="431F3710" w14:textId="77777777" w:rsidR="0012376B" w:rsidRDefault="001D55EE">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410AE9"/>
    <w:multiLevelType w:val="hybridMultilevel"/>
    <w:tmpl w:val="5E0C4660"/>
    <w:lvl w:ilvl="0" w:tplc="16A04FEA">
      <w:start w:val="1"/>
      <w:numFmt w:val="decimal"/>
      <w:pStyle w:val="Rubrik1"/>
      <w:lvlText w:val="%1."/>
      <w:lvlJc w:val="left"/>
      <w:pPr>
        <w:ind w:left="720" w:hanging="360"/>
      </w:pPr>
    </w:lvl>
    <w:lvl w:ilvl="1" w:tplc="42869A78" w:tentative="1">
      <w:start w:val="1"/>
      <w:numFmt w:val="lowerLetter"/>
      <w:lvlText w:val="%2."/>
      <w:lvlJc w:val="left"/>
      <w:pPr>
        <w:ind w:left="1440" w:hanging="360"/>
      </w:pPr>
    </w:lvl>
    <w:lvl w:ilvl="2" w:tplc="7E923B42" w:tentative="1">
      <w:start w:val="1"/>
      <w:numFmt w:val="lowerRoman"/>
      <w:lvlText w:val="%3."/>
      <w:lvlJc w:val="right"/>
      <w:pPr>
        <w:ind w:left="2160" w:hanging="180"/>
      </w:pPr>
    </w:lvl>
    <w:lvl w:ilvl="3" w:tplc="E6840486" w:tentative="1">
      <w:start w:val="1"/>
      <w:numFmt w:val="decimal"/>
      <w:lvlText w:val="%4."/>
      <w:lvlJc w:val="left"/>
      <w:pPr>
        <w:ind w:left="2880" w:hanging="360"/>
      </w:pPr>
    </w:lvl>
    <w:lvl w:ilvl="4" w:tplc="D1DEC4A0" w:tentative="1">
      <w:start w:val="1"/>
      <w:numFmt w:val="lowerLetter"/>
      <w:lvlText w:val="%5."/>
      <w:lvlJc w:val="left"/>
      <w:pPr>
        <w:ind w:left="3600" w:hanging="360"/>
      </w:pPr>
    </w:lvl>
    <w:lvl w:ilvl="5" w:tplc="AA922E86" w:tentative="1">
      <w:start w:val="1"/>
      <w:numFmt w:val="lowerRoman"/>
      <w:lvlText w:val="%6."/>
      <w:lvlJc w:val="right"/>
      <w:pPr>
        <w:ind w:left="4320" w:hanging="180"/>
      </w:pPr>
    </w:lvl>
    <w:lvl w:ilvl="6" w:tplc="108882CC" w:tentative="1">
      <w:start w:val="1"/>
      <w:numFmt w:val="decimal"/>
      <w:lvlText w:val="%7."/>
      <w:lvlJc w:val="left"/>
      <w:pPr>
        <w:ind w:left="5040" w:hanging="360"/>
      </w:pPr>
    </w:lvl>
    <w:lvl w:ilvl="7" w:tplc="29E6E49C" w:tentative="1">
      <w:start w:val="1"/>
      <w:numFmt w:val="lowerLetter"/>
      <w:lvlText w:val="%8."/>
      <w:lvlJc w:val="left"/>
      <w:pPr>
        <w:ind w:left="5760" w:hanging="360"/>
      </w:pPr>
    </w:lvl>
    <w:lvl w:ilvl="8" w:tplc="E4982BF6" w:tentative="1">
      <w:start w:val="1"/>
      <w:numFmt w:val="lowerRoman"/>
      <w:lvlText w:val="%9."/>
      <w:lvlJc w:val="right"/>
      <w:pPr>
        <w:ind w:left="6480" w:hanging="180"/>
      </w:pPr>
    </w:lvl>
  </w:abstractNum>
  <w:abstractNum w:abstractNumId="1">
    <w:nsid w:val="73990993"/>
    <w:multiLevelType w:val="hybridMultilevel"/>
    <w:tmpl w:val="3BD822EE"/>
    <w:lvl w:ilvl="0" w:tplc="A0AC954C">
      <w:start w:val="1"/>
      <w:numFmt w:val="decimal"/>
      <w:lvlText w:val="%1."/>
      <w:lvlJc w:val="left"/>
      <w:pPr>
        <w:ind w:left="360" w:hanging="360"/>
      </w:pPr>
      <w:rPr>
        <w:b w:val="0"/>
      </w:rPr>
    </w:lvl>
    <w:lvl w:ilvl="1" w:tplc="049635A6" w:tentative="1">
      <w:start w:val="1"/>
      <w:numFmt w:val="lowerLetter"/>
      <w:lvlText w:val="%2."/>
      <w:lvlJc w:val="left"/>
      <w:pPr>
        <w:ind w:left="1080" w:hanging="360"/>
      </w:pPr>
    </w:lvl>
    <w:lvl w:ilvl="2" w:tplc="A19ED150" w:tentative="1">
      <w:start w:val="1"/>
      <w:numFmt w:val="lowerRoman"/>
      <w:lvlText w:val="%3."/>
      <w:lvlJc w:val="right"/>
      <w:pPr>
        <w:ind w:left="1800" w:hanging="180"/>
      </w:pPr>
    </w:lvl>
    <w:lvl w:ilvl="3" w:tplc="8E46BDA2" w:tentative="1">
      <w:start w:val="1"/>
      <w:numFmt w:val="decimal"/>
      <w:lvlText w:val="%4."/>
      <w:lvlJc w:val="left"/>
      <w:pPr>
        <w:ind w:left="2520" w:hanging="360"/>
      </w:pPr>
    </w:lvl>
    <w:lvl w:ilvl="4" w:tplc="81DC59F6" w:tentative="1">
      <w:start w:val="1"/>
      <w:numFmt w:val="lowerLetter"/>
      <w:lvlText w:val="%5."/>
      <w:lvlJc w:val="left"/>
      <w:pPr>
        <w:ind w:left="3240" w:hanging="360"/>
      </w:pPr>
    </w:lvl>
    <w:lvl w:ilvl="5" w:tplc="83909E86" w:tentative="1">
      <w:start w:val="1"/>
      <w:numFmt w:val="lowerRoman"/>
      <w:lvlText w:val="%6."/>
      <w:lvlJc w:val="right"/>
      <w:pPr>
        <w:ind w:left="3960" w:hanging="180"/>
      </w:pPr>
    </w:lvl>
    <w:lvl w:ilvl="6" w:tplc="1938D7F4" w:tentative="1">
      <w:start w:val="1"/>
      <w:numFmt w:val="decimal"/>
      <w:lvlText w:val="%7."/>
      <w:lvlJc w:val="left"/>
      <w:pPr>
        <w:ind w:left="4680" w:hanging="360"/>
      </w:pPr>
    </w:lvl>
    <w:lvl w:ilvl="7" w:tplc="3F6C92BA" w:tentative="1">
      <w:start w:val="1"/>
      <w:numFmt w:val="lowerLetter"/>
      <w:lvlText w:val="%8."/>
      <w:lvlJc w:val="left"/>
      <w:pPr>
        <w:ind w:left="5400" w:hanging="360"/>
      </w:pPr>
    </w:lvl>
    <w:lvl w:ilvl="8" w:tplc="65107CD0"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374"/>
    <w:rsid w:val="000D6E58"/>
    <w:rsid w:val="001C2735"/>
    <w:rsid w:val="001D55EE"/>
    <w:rsid w:val="00312AC3"/>
    <w:rsid w:val="005B1CF0"/>
    <w:rsid w:val="00601374"/>
    <w:rsid w:val="006C3DAD"/>
    <w:rsid w:val="007C07CE"/>
    <w:rsid w:val="007C13BC"/>
    <w:rsid w:val="00932A25"/>
    <w:rsid w:val="00962863"/>
    <w:rsid w:val="009F4470"/>
    <w:rsid w:val="00A00E6E"/>
    <w:rsid w:val="00A87C1E"/>
    <w:rsid w:val="00B26628"/>
    <w:rsid w:val="00B51BCC"/>
    <w:rsid w:val="00B80314"/>
    <w:rsid w:val="00BF0C87"/>
    <w:rsid w:val="00C41633"/>
    <w:rsid w:val="00E071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F3621"/>
  <w15:docId w15:val="{3AA235FF-4783-4F65-90FC-BB11C039A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customStyle="1" w:styleId="RKnormal">
    <w:name w:val="RKnormal"/>
    <w:basedOn w:val="Normal"/>
    <w:rsid w:val="000D6E58"/>
    <w:pPr>
      <w:tabs>
        <w:tab w:val="left" w:pos="2835"/>
      </w:tabs>
      <w:spacing w:after="0" w:line="240" w:lineRule="atLeast"/>
      <w:ind w:left="0"/>
    </w:pPr>
    <w:rPr>
      <w:rFonts w:ascii="OrigGarmnd BT" w:eastAsia="Times New Roman" w:hAnsi="OrigGarmnd BT"/>
      <w:sz w:val="24"/>
      <w:szCs w:val="20"/>
    </w:rPr>
  </w:style>
  <w:style w:type="paragraph" w:customStyle="1" w:styleId="rknormal0">
    <w:name w:val="rknormal"/>
    <w:basedOn w:val="Normal"/>
    <w:rsid w:val="000D6E58"/>
    <w:pPr>
      <w:autoSpaceDE w:val="0"/>
      <w:autoSpaceDN w:val="0"/>
      <w:spacing w:after="0" w:line="240" w:lineRule="atLeast"/>
      <w:ind w:left="0"/>
    </w:pPr>
    <w:rPr>
      <w:rFonts w:ascii="OrigGarmnd BT" w:eastAsiaTheme="minorHAnsi" w:hAnsi="OrigGarmnd BT"/>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8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JE6N4JFJXNNF-9-67913</_dlc_DocId>
    <_dlc_DocIdUrl xmlns="8b66ae41-1ec6-402e-b662-35d1932ca064">
      <Url>http://rkdhs-sb/enhet/EUKansli/_layouts/DocIdRedir.aspx?ID=JE6N4JFJXNNF-9-67913</Url>
      <Description>JE6N4JFJXNNF-9-67913</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E1507-366A-4714-A26D-C69491926498}">
  <ds:schemaRefs>
    <ds:schemaRef ds:uri="http://schemas.microsoft.com/sharepoint/v3/contenttype/forms"/>
  </ds:schemaRefs>
</ds:datastoreItem>
</file>

<file path=customXml/itemProps2.xml><?xml version="1.0" encoding="utf-8"?>
<ds:datastoreItem xmlns:ds="http://schemas.openxmlformats.org/officeDocument/2006/customXml" ds:itemID="{50C3263A-EA02-403E-899B-0ED6DD420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31ED3A-84A1-415E-9946-7AEE7C1BA199}">
  <ds:schemaRefs>
    <ds:schemaRef ds:uri="http://schemas.microsoft.com/sharepoint/events"/>
  </ds:schemaRefs>
</ds:datastoreItem>
</file>

<file path=customXml/itemProps4.xml><?xml version="1.0" encoding="utf-8"?>
<ds:datastoreItem xmlns:ds="http://schemas.openxmlformats.org/officeDocument/2006/customXml" ds:itemID="{BA9388E0-8115-4AA1-A3B2-38C16BB3AAED}">
  <ds:schemaRefs>
    <ds:schemaRef ds:uri="http://schemas.microsoft.com/office/2006/metadata/customXsn"/>
  </ds:schemaRefs>
</ds:datastoreItem>
</file>

<file path=customXml/itemProps5.xml><?xml version="1.0" encoding="utf-8"?>
<ds:datastoreItem xmlns:ds="http://schemas.openxmlformats.org/officeDocument/2006/customXml" ds:itemID="{2D1A36C0-C593-4FCB-AE32-251E7FA62BEC}">
  <ds:schemaRefs>
    <ds:schemaRef ds:uri="http://schemas.microsoft.com/sharepoint/v3/contenttype/forms/url"/>
  </ds:schemaRefs>
</ds:datastoreItem>
</file>

<file path=customXml/itemProps6.xml><?xml version="1.0" encoding="utf-8"?>
<ds:datastoreItem xmlns:ds="http://schemas.openxmlformats.org/officeDocument/2006/customXml" ds:itemID="{DD1C6325-DC1A-4690-B63E-70C813B03337}">
  <ds:schemaRefs>
    <ds:schemaRef ds:uri="http://purl.org/dc/elements/1.1/"/>
    <ds:schemaRef ds:uri="e4c0beb7-0294-4d25-9600-346807c0961e"/>
    <ds:schemaRef ds:uri="http://schemas.openxmlformats.org/package/2006/metadata/core-properties"/>
    <ds:schemaRef ds:uri="8b66ae41-1ec6-402e-b662-35d1932ca064"/>
    <ds:schemaRef ds:uri="http://purl.org/dc/term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7.xml><?xml version="1.0" encoding="utf-8"?>
<ds:datastoreItem xmlns:ds="http://schemas.openxmlformats.org/officeDocument/2006/customXml" ds:itemID="{8C346766-3F42-42B7-8443-BEC2FB9D2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3579</Words>
  <Characters>20192</Characters>
  <Application>Microsoft Office Word</Application>
  <DocSecurity>4</DocSecurity>
  <Lines>6730</Lines>
  <Paragraphs>880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Company>
  <LinksUpToDate>false</LinksUpToDate>
  <CharactersWithSpaces>22891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dcterms:created xsi:type="dcterms:W3CDTF">2015-05-12T15:23:00Z</dcterms:created>
  <dcterms:modified xsi:type="dcterms:W3CDTF">2015-05-12T15:23:00Z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sofia.wennerstrand@regeringskansliet.se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1d93a5d1-a85b-447e-bfd7-1e91d905de62</vt:lpwstr>
  </property>
</Properties>
</file>