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1E2BD1" w:rsidRDefault="00177FF8" w:rsidP="001E2BD1"/>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8CA897C"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9B5CCC">
              <w:rPr>
                <w:b/>
                <w:sz w:val="22"/>
                <w:szCs w:val="22"/>
              </w:rPr>
              <w:t>4</w:t>
            </w:r>
            <w:r w:rsidR="000E777E" w:rsidRPr="00B40F4D">
              <w:rPr>
                <w:b/>
                <w:sz w:val="22"/>
                <w:szCs w:val="22"/>
              </w:rPr>
              <w:t>/2</w:t>
            </w:r>
            <w:r w:rsidR="009B5CCC">
              <w:rPr>
                <w:b/>
                <w:sz w:val="22"/>
                <w:szCs w:val="22"/>
              </w:rPr>
              <w:t>5</w:t>
            </w:r>
            <w:r w:rsidR="003B57EC">
              <w:rPr>
                <w:b/>
                <w:sz w:val="22"/>
                <w:szCs w:val="22"/>
              </w:rPr>
              <w:t>:</w:t>
            </w:r>
            <w:r w:rsidR="00493F37">
              <w:rPr>
                <w:b/>
                <w:sz w:val="22"/>
                <w:szCs w:val="22"/>
              </w:rPr>
              <w:t>27</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72BFE3E1" w:rsidR="00177FF8" w:rsidRPr="00B40F4D" w:rsidRDefault="00626575" w:rsidP="00FB0559">
            <w:pPr>
              <w:rPr>
                <w:sz w:val="22"/>
                <w:szCs w:val="22"/>
              </w:rPr>
            </w:pPr>
            <w:r w:rsidRPr="00B40F4D">
              <w:rPr>
                <w:sz w:val="22"/>
                <w:szCs w:val="22"/>
              </w:rPr>
              <w:t>20</w:t>
            </w:r>
            <w:r w:rsidR="00CB71B9">
              <w:rPr>
                <w:sz w:val="22"/>
                <w:szCs w:val="22"/>
              </w:rPr>
              <w:t>2</w:t>
            </w:r>
            <w:r w:rsidR="00A25410">
              <w:rPr>
                <w:sz w:val="22"/>
                <w:szCs w:val="22"/>
              </w:rPr>
              <w:t>5</w:t>
            </w:r>
            <w:r w:rsidR="008C2D5B" w:rsidRPr="00B40F4D">
              <w:rPr>
                <w:sz w:val="22"/>
                <w:szCs w:val="22"/>
              </w:rPr>
              <w:t>-</w:t>
            </w:r>
            <w:r w:rsidR="00A25410">
              <w:rPr>
                <w:sz w:val="22"/>
                <w:szCs w:val="22"/>
              </w:rPr>
              <w:t>0</w:t>
            </w:r>
            <w:r w:rsidR="00751FA0">
              <w:rPr>
                <w:sz w:val="22"/>
                <w:szCs w:val="22"/>
              </w:rPr>
              <w:t>3</w:t>
            </w:r>
            <w:r w:rsidR="00C26F83">
              <w:rPr>
                <w:sz w:val="22"/>
                <w:szCs w:val="22"/>
              </w:rPr>
              <w:t>-</w:t>
            </w:r>
            <w:r w:rsidR="00493F37">
              <w:rPr>
                <w:sz w:val="22"/>
                <w:szCs w:val="22"/>
              </w:rPr>
              <w:t>20</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3526C54D" w:rsidR="00177FF8" w:rsidRPr="00B40F4D" w:rsidRDefault="00493F37" w:rsidP="00231475">
            <w:pPr>
              <w:rPr>
                <w:sz w:val="22"/>
                <w:szCs w:val="22"/>
              </w:rPr>
            </w:pPr>
            <w:r>
              <w:rPr>
                <w:sz w:val="22"/>
                <w:szCs w:val="22"/>
              </w:rPr>
              <w:t>08.00–</w:t>
            </w:r>
            <w:r w:rsidR="003F0869">
              <w:rPr>
                <w:sz w:val="22"/>
                <w:szCs w:val="22"/>
              </w:rPr>
              <w:t>09.</w:t>
            </w:r>
            <w:proofErr w:type="gramStart"/>
            <w:r w:rsidR="00BD26CD">
              <w:rPr>
                <w:sz w:val="22"/>
                <w:szCs w:val="22"/>
              </w:rPr>
              <w:t>10  09.15</w:t>
            </w:r>
            <w:proofErr w:type="gramEnd"/>
            <w:r w:rsidR="00BD26CD">
              <w:rPr>
                <w:sz w:val="22"/>
                <w:szCs w:val="22"/>
              </w:rPr>
              <w:t>–</w:t>
            </w:r>
            <w:r w:rsidR="003F0869">
              <w:rPr>
                <w:sz w:val="22"/>
                <w:szCs w:val="22"/>
              </w:rPr>
              <w:t>45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10065" w:type="dxa"/>
        <w:tblInd w:w="-709" w:type="dxa"/>
        <w:tblLayout w:type="fixed"/>
        <w:tblCellMar>
          <w:left w:w="70" w:type="dxa"/>
          <w:right w:w="70" w:type="dxa"/>
        </w:tblCellMar>
        <w:tblLook w:val="00A0" w:firstRow="1" w:lastRow="0" w:firstColumn="1" w:lastColumn="0" w:noHBand="0" w:noVBand="0"/>
      </w:tblPr>
      <w:tblGrid>
        <w:gridCol w:w="2197"/>
        <w:gridCol w:w="567"/>
        <w:gridCol w:w="1204"/>
        <w:gridCol w:w="425"/>
        <w:gridCol w:w="426"/>
        <w:gridCol w:w="426"/>
        <w:gridCol w:w="425"/>
        <w:gridCol w:w="425"/>
        <w:gridCol w:w="425"/>
        <w:gridCol w:w="426"/>
        <w:gridCol w:w="425"/>
        <w:gridCol w:w="425"/>
        <w:gridCol w:w="143"/>
        <w:gridCol w:w="282"/>
        <w:gridCol w:w="425"/>
        <w:gridCol w:w="426"/>
        <w:gridCol w:w="281"/>
        <w:gridCol w:w="144"/>
        <w:gridCol w:w="213"/>
        <w:gridCol w:w="213"/>
        <w:gridCol w:w="142"/>
      </w:tblGrid>
      <w:tr w:rsidR="00A10EBF" w:rsidRPr="00C30ABB" w14:paraId="71073907" w14:textId="77777777" w:rsidTr="00813C3F">
        <w:trPr>
          <w:gridBefore w:val="1"/>
          <w:gridAfter w:val="2"/>
          <w:wBefore w:w="2197" w:type="dxa"/>
          <w:wAfter w:w="355" w:type="dxa"/>
        </w:trPr>
        <w:tc>
          <w:tcPr>
            <w:tcW w:w="567" w:type="dxa"/>
          </w:tcPr>
          <w:p w14:paraId="50C65289" w14:textId="2EA7EA99" w:rsidR="00A10EBF" w:rsidRPr="00C30ABB" w:rsidRDefault="00A10EBF" w:rsidP="00C5706E">
            <w:pPr>
              <w:tabs>
                <w:tab w:val="left" w:pos="1701"/>
              </w:tabs>
              <w:rPr>
                <w:b/>
                <w:snapToGrid w:val="0"/>
                <w:sz w:val="22"/>
                <w:szCs w:val="22"/>
              </w:rPr>
            </w:pPr>
            <w:r w:rsidRPr="00C30ABB">
              <w:rPr>
                <w:b/>
                <w:snapToGrid w:val="0"/>
                <w:sz w:val="22"/>
                <w:szCs w:val="22"/>
              </w:rPr>
              <w:t xml:space="preserve">§ </w:t>
            </w:r>
            <w:r w:rsidR="006C66B9" w:rsidRPr="00C30ABB">
              <w:rPr>
                <w:b/>
                <w:snapToGrid w:val="0"/>
                <w:sz w:val="22"/>
                <w:szCs w:val="22"/>
              </w:rPr>
              <w:t>1</w:t>
            </w:r>
          </w:p>
        </w:tc>
        <w:tc>
          <w:tcPr>
            <w:tcW w:w="6946" w:type="dxa"/>
            <w:gridSpan w:val="17"/>
          </w:tcPr>
          <w:p w14:paraId="2DACB791" w14:textId="77777777" w:rsidR="00D201BB" w:rsidRPr="00C30ABB" w:rsidRDefault="00D201BB" w:rsidP="00D201BB">
            <w:pPr>
              <w:widowControl/>
              <w:rPr>
                <w:b/>
                <w:color w:val="000000"/>
                <w:sz w:val="22"/>
                <w:szCs w:val="22"/>
              </w:rPr>
            </w:pPr>
            <w:bookmarkStart w:id="0" w:name="_Hlk191460990"/>
            <w:r w:rsidRPr="00C30ABB">
              <w:rPr>
                <w:b/>
                <w:color w:val="000000"/>
                <w:sz w:val="22"/>
                <w:szCs w:val="22"/>
              </w:rPr>
              <w:t>Miljöråd 27 mars 2025</w:t>
            </w:r>
          </w:p>
          <w:p w14:paraId="7FAB85A0" w14:textId="77777777" w:rsidR="00D201BB" w:rsidRPr="00C30ABB" w:rsidRDefault="00D201BB" w:rsidP="00D201BB">
            <w:pPr>
              <w:rPr>
                <w:color w:val="000000"/>
                <w:sz w:val="22"/>
                <w:szCs w:val="22"/>
              </w:rPr>
            </w:pPr>
          </w:p>
          <w:p w14:paraId="0042796F" w14:textId="468972B1" w:rsidR="00D201BB" w:rsidRPr="00C30ABB" w:rsidRDefault="00D201BB" w:rsidP="00D201BB">
            <w:pPr>
              <w:rPr>
                <w:color w:val="000000"/>
                <w:sz w:val="22"/>
                <w:szCs w:val="22"/>
              </w:rPr>
            </w:pPr>
            <w:r w:rsidRPr="00C30ABB">
              <w:rPr>
                <w:color w:val="000000"/>
                <w:sz w:val="22"/>
                <w:szCs w:val="22"/>
              </w:rPr>
              <w:t xml:space="preserve">Klimat- och miljöminister </w:t>
            </w:r>
            <w:proofErr w:type="spellStart"/>
            <w:r w:rsidRPr="00C30ABB">
              <w:rPr>
                <w:color w:val="000000"/>
                <w:sz w:val="22"/>
                <w:szCs w:val="22"/>
              </w:rPr>
              <w:t>Romina</w:t>
            </w:r>
            <w:proofErr w:type="spellEnd"/>
            <w:r w:rsidRPr="00C30ABB">
              <w:rPr>
                <w:color w:val="000000"/>
                <w:sz w:val="22"/>
                <w:szCs w:val="22"/>
              </w:rPr>
              <w:t xml:space="preserve"> </w:t>
            </w:r>
            <w:proofErr w:type="spellStart"/>
            <w:r w:rsidRPr="00C30ABB">
              <w:rPr>
                <w:color w:val="000000"/>
                <w:sz w:val="22"/>
                <w:szCs w:val="22"/>
              </w:rPr>
              <w:t>Pourmokhtari</w:t>
            </w:r>
            <w:proofErr w:type="spellEnd"/>
            <w:r w:rsidRPr="00C30ABB">
              <w:rPr>
                <w:color w:val="000000"/>
                <w:sz w:val="22"/>
                <w:szCs w:val="22"/>
              </w:rPr>
              <w:t>, biträdd av medarbetare</w:t>
            </w:r>
          </w:p>
          <w:bookmarkEnd w:id="0"/>
          <w:p w14:paraId="0A417A38" w14:textId="2E9A05FF" w:rsidR="00931E92" w:rsidRPr="00C30ABB" w:rsidRDefault="00D201BB" w:rsidP="00931E92">
            <w:pPr>
              <w:tabs>
                <w:tab w:val="left" w:pos="1701"/>
              </w:tabs>
              <w:rPr>
                <w:b/>
                <w:snapToGrid w:val="0"/>
                <w:sz w:val="22"/>
                <w:szCs w:val="22"/>
              </w:rPr>
            </w:pPr>
            <w:r w:rsidRPr="00C30ABB">
              <w:rPr>
                <w:bCs/>
                <w:sz w:val="22"/>
                <w:szCs w:val="22"/>
              </w:rPr>
              <w:t>från Klimat- och näringslivsdepartementet, lämnade information inför Miljörådet den 27 mars 2025.</w:t>
            </w:r>
            <w:r w:rsidR="001765EB" w:rsidRPr="00C30ABB">
              <w:rPr>
                <w:b/>
                <w:snapToGrid w:val="0"/>
                <w:sz w:val="22"/>
                <w:szCs w:val="22"/>
              </w:rPr>
              <w:t xml:space="preserve"> </w:t>
            </w:r>
          </w:p>
          <w:p w14:paraId="635939B1" w14:textId="52D78BA9" w:rsidR="00F85016" w:rsidRPr="00C30ABB" w:rsidRDefault="00F85016" w:rsidP="005D2E63">
            <w:pPr>
              <w:tabs>
                <w:tab w:val="left" w:pos="1701"/>
              </w:tabs>
              <w:rPr>
                <w:b/>
                <w:snapToGrid w:val="0"/>
                <w:sz w:val="22"/>
                <w:szCs w:val="22"/>
              </w:rPr>
            </w:pPr>
          </w:p>
        </w:tc>
      </w:tr>
      <w:tr w:rsidR="003107EA" w:rsidRPr="00297569" w14:paraId="6EE57E54" w14:textId="77777777" w:rsidTr="00813C3F">
        <w:trPr>
          <w:gridBefore w:val="1"/>
          <w:gridAfter w:val="2"/>
          <w:wBefore w:w="2197" w:type="dxa"/>
          <w:wAfter w:w="355" w:type="dxa"/>
        </w:trPr>
        <w:tc>
          <w:tcPr>
            <w:tcW w:w="567" w:type="dxa"/>
          </w:tcPr>
          <w:p w14:paraId="0B307045" w14:textId="77777777" w:rsidR="003107EA" w:rsidRPr="00297569" w:rsidRDefault="003107EA" w:rsidP="00C5706E">
            <w:pPr>
              <w:tabs>
                <w:tab w:val="left" w:pos="1701"/>
              </w:tabs>
              <w:rPr>
                <w:b/>
                <w:snapToGrid w:val="0"/>
                <w:sz w:val="22"/>
                <w:szCs w:val="22"/>
              </w:rPr>
            </w:pPr>
            <w:r w:rsidRPr="00297569">
              <w:rPr>
                <w:b/>
                <w:snapToGrid w:val="0"/>
                <w:sz w:val="22"/>
                <w:szCs w:val="22"/>
              </w:rPr>
              <w:t>§ 2</w:t>
            </w:r>
          </w:p>
          <w:p w14:paraId="628ADD3A" w14:textId="6A5648B6" w:rsidR="003107EA" w:rsidRPr="00297569" w:rsidRDefault="003107EA" w:rsidP="00C5706E">
            <w:pPr>
              <w:tabs>
                <w:tab w:val="left" w:pos="1701"/>
              </w:tabs>
              <w:rPr>
                <w:b/>
                <w:snapToGrid w:val="0"/>
                <w:sz w:val="22"/>
                <w:szCs w:val="22"/>
              </w:rPr>
            </w:pPr>
          </w:p>
        </w:tc>
        <w:tc>
          <w:tcPr>
            <w:tcW w:w="6946" w:type="dxa"/>
            <w:gridSpan w:val="17"/>
          </w:tcPr>
          <w:p w14:paraId="5AF4E4CE" w14:textId="77777777" w:rsidR="003107EA" w:rsidRDefault="00297569" w:rsidP="00D201BB">
            <w:pPr>
              <w:widowControl/>
              <w:rPr>
                <w:b/>
                <w:color w:val="000000"/>
                <w:sz w:val="22"/>
                <w:szCs w:val="22"/>
              </w:rPr>
            </w:pPr>
            <w:r w:rsidRPr="00297569">
              <w:rPr>
                <w:b/>
                <w:sz w:val="22"/>
                <w:szCs w:val="22"/>
              </w:rPr>
              <w:t>Information om regeringens arbete med frågan om hanteringen av textilavfall enligt gällande svenskt regelverk och förhandlingsarbetet inom EU i frågan om regleringen av producentansvar för textil</w:t>
            </w:r>
            <w:r w:rsidRPr="00297569">
              <w:rPr>
                <w:b/>
                <w:sz w:val="22"/>
                <w:szCs w:val="22"/>
              </w:rPr>
              <w:br/>
            </w:r>
          </w:p>
          <w:p w14:paraId="10C3B2F0" w14:textId="27576CF9" w:rsidR="00297569" w:rsidRPr="00C30ABB" w:rsidRDefault="00297569" w:rsidP="00297569">
            <w:pPr>
              <w:rPr>
                <w:color w:val="000000"/>
                <w:sz w:val="22"/>
                <w:szCs w:val="22"/>
              </w:rPr>
            </w:pPr>
            <w:r>
              <w:rPr>
                <w:color w:val="000000"/>
                <w:sz w:val="22"/>
                <w:szCs w:val="22"/>
              </w:rPr>
              <w:t>K</w:t>
            </w:r>
            <w:r w:rsidRPr="00C30ABB">
              <w:rPr>
                <w:color w:val="000000"/>
                <w:sz w:val="22"/>
                <w:szCs w:val="22"/>
              </w:rPr>
              <w:t xml:space="preserve">limat- och miljöminister </w:t>
            </w:r>
            <w:proofErr w:type="spellStart"/>
            <w:r w:rsidRPr="00C30ABB">
              <w:rPr>
                <w:color w:val="000000"/>
                <w:sz w:val="22"/>
                <w:szCs w:val="22"/>
              </w:rPr>
              <w:t>Romina</w:t>
            </w:r>
            <w:proofErr w:type="spellEnd"/>
            <w:r w:rsidRPr="00C30ABB">
              <w:rPr>
                <w:color w:val="000000"/>
                <w:sz w:val="22"/>
                <w:szCs w:val="22"/>
              </w:rPr>
              <w:t xml:space="preserve"> </w:t>
            </w:r>
            <w:proofErr w:type="spellStart"/>
            <w:r w:rsidRPr="00C30ABB">
              <w:rPr>
                <w:color w:val="000000"/>
                <w:sz w:val="22"/>
                <w:szCs w:val="22"/>
              </w:rPr>
              <w:t>Pourmokhtari</w:t>
            </w:r>
            <w:proofErr w:type="spellEnd"/>
            <w:r w:rsidRPr="00C30ABB">
              <w:rPr>
                <w:color w:val="000000"/>
                <w:sz w:val="22"/>
                <w:szCs w:val="22"/>
              </w:rPr>
              <w:t>, biträdd av medarbetare</w:t>
            </w:r>
          </w:p>
          <w:p w14:paraId="709FA6C5" w14:textId="6F4643AE" w:rsidR="00297569" w:rsidRDefault="00297569" w:rsidP="00297569">
            <w:pPr>
              <w:widowControl/>
              <w:rPr>
                <w:bCs/>
                <w:sz w:val="22"/>
                <w:szCs w:val="22"/>
              </w:rPr>
            </w:pPr>
            <w:r w:rsidRPr="00C30ABB">
              <w:rPr>
                <w:bCs/>
                <w:sz w:val="22"/>
                <w:szCs w:val="22"/>
              </w:rPr>
              <w:t>från Klimat- och näringslivsdepartementet, lämnade information</w:t>
            </w:r>
            <w:r>
              <w:rPr>
                <w:bCs/>
                <w:sz w:val="22"/>
                <w:szCs w:val="22"/>
              </w:rPr>
              <w:t xml:space="preserve"> </w:t>
            </w:r>
            <w:r w:rsidRPr="00297569">
              <w:rPr>
                <w:bCs/>
                <w:sz w:val="22"/>
                <w:szCs w:val="22"/>
              </w:rPr>
              <w:t>om regeringens arbete med frågan om hanteringen av textilavfall enligt gällande svenskt regelverk och förhandlingsarbetet inom EU i frågan om regleringen av producentansvar för textil</w:t>
            </w:r>
            <w:r>
              <w:rPr>
                <w:bCs/>
                <w:sz w:val="22"/>
                <w:szCs w:val="22"/>
              </w:rPr>
              <w:t>.</w:t>
            </w:r>
          </w:p>
          <w:p w14:paraId="0455E958" w14:textId="5FFC6445" w:rsidR="00297569" w:rsidRPr="00297569" w:rsidRDefault="00297569" w:rsidP="00297569">
            <w:pPr>
              <w:widowControl/>
              <w:rPr>
                <w:b/>
                <w:color w:val="000000"/>
                <w:sz w:val="22"/>
                <w:szCs w:val="22"/>
              </w:rPr>
            </w:pPr>
          </w:p>
        </w:tc>
      </w:tr>
      <w:tr w:rsidR="003107EA" w:rsidRPr="00297569" w14:paraId="4B41D051" w14:textId="77777777" w:rsidTr="00813C3F">
        <w:trPr>
          <w:gridBefore w:val="1"/>
          <w:gridAfter w:val="2"/>
          <w:wBefore w:w="2197" w:type="dxa"/>
          <w:wAfter w:w="355" w:type="dxa"/>
        </w:trPr>
        <w:tc>
          <w:tcPr>
            <w:tcW w:w="567" w:type="dxa"/>
          </w:tcPr>
          <w:p w14:paraId="725ADA4D" w14:textId="77777777" w:rsidR="003107EA" w:rsidRPr="00297569" w:rsidRDefault="003107EA" w:rsidP="00C5706E">
            <w:pPr>
              <w:tabs>
                <w:tab w:val="left" w:pos="1701"/>
              </w:tabs>
              <w:rPr>
                <w:b/>
                <w:snapToGrid w:val="0"/>
                <w:sz w:val="22"/>
                <w:szCs w:val="22"/>
              </w:rPr>
            </w:pPr>
            <w:r w:rsidRPr="00297569">
              <w:rPr>
                <w:b/>
                <w:snapToGrid w:val="0"/>
                <w:sz w:val="22"/>
                <w:szCs w:val="22"/>
              </w:rPr>
              <w:t>§ 3</w:t>
            </w:r>
          </w:p>
          <w:p w14:paraId="7658AA63" w14:textId="0ED73D64" w:rsidR="003107EA" w:rsidRPr="00297569" w:rsidRDefault="003107EA" w:rsidP="00C5706E">
            <w:pPr>
              <w:tabs>
                <w:tab w:val="left" w:pos="1701"/>
              </w:tabs>
              <w:rPr>
                <w:b/>
                <w:snapToGrid w:val="0"/>
                <w:sz w:val="22"/>
                <w:szCs w:val="22"/>
              </w:rPr>
            </w:pPr>
          </w:p>
        </w:tc>
        <w:tc>
          <w:tcPr>
            <w:tcW w:w="6946" w:type="dxa"/>
            <w:gridSpan w:val="17"/>
          </w:tcPr>
          <w:p w14:paraId="2B5ED942" w14:textId="77777777" w:rsidR="00297569" w:rsidRDefault="00297569" w:rsidP="00D201BB">
            <w:pPr>
              <w:widowControl/>
              <w:rPr>
                <w:b/>
                <w:sz w:val="22"/>
                <w:szCs w:val="22"/>
              </w:rPr>
            </w:pPr>
            <w:r w:rsidRPr="00297569">
              <w:rPr>
                <w:b/>
                <w:sz w:val="22"/>
                <w:szCs w:val="22"/>
              </w:rPr>
              <w:t xml:space="preserve">Information om regeringens arbete med den nyligen mottagna rapporten från OECD om Sveriges miljö- och </w:t>
            </w:r>
            <w:proofErr w:type="spellStart"/>
            <w:r w:rsidRPr="00297569">
              <w:rPr>
                <w:b/>
                <w:sz w:val="22"/>
                <w:szCs w:val="22"/>
              </w:rPr>
              <w:t>klimatpolitik</w:t>
            </w:r>
            <w:proofErr w:type="spellEnd"/>
            <w:r w:rsidRPr="00297569">
              <w:rPr>
                <w:b/>
                <w:sz w:val="22"/>
                <w:szCs w:val="22"/>
              </w:rPr>
              <w:t xml:space="preserve"> (OECD </w:t>
            </w:r>
            <w:proofErr w:type="spellStart"/>
            <w:r w:rsidRPr="00297569">
              <w:rPr>
                <w:b/>
                <w:sz w:val="22"/>
                <w:szCs w:val="22"/>
              </w:rPr>
              <w:t>Environmental</w:t>
            </w:r>
            <w:proofErr w:type="spellEnd"/>
            <w:r w:rsidRPr="00297569">
              <w:rPr>
                <w:b/>
                <w:sz w:val="22"/>
                <w:szCs w:val="22"/>
              </w:rPr>
              <w:t xml:space="preserve"> </w:t>
            </w:r>
            <w:proofErr w:type="spellStart"/>
            <w:r w:rsidRPr="00297569">
              <w:rPr>
                <w:b/>
                <w:sz w:val="22"/>
                <w:szCs w:val="22"/>
              </w:rPr>
              <w:t>Performance</w:t>
            </w:r>
            <w:proofErr w:type="spellEnd"/>
            <w:r w:rsidRPr="00297569">
              <w:rPr>
                <w:b/>
                <w:sz w:val="22"/>
                <w:szCs w:val="22"/>
              </w:rPr>
              <w:t xml:space="preserve"> Reviews: Sweden 2025)</w:t>
            </w:r>
          </w:p>
          <w:p w14:paraId="1B74A97D" w14:textId="77777777" w:rsidR="00297569" w:rsidRDefault="00297569" w:rsidP="00D201BB">
            <w:pPr>
              <w:widowControl/>
              <w:rPr>
                <w:b/>
                <w:sz w:val="22"/>
                <w:szCs w:val="22"/>
              </w:rPr>
            </w:pPr>
          </w:p>
          <w:p w14:paraId="6596D562" w14:textId="77777777" w:rsidR="00297569" w:rsidRPr="00C30ABB" w:rsidRDefault="00297569" w:rsidP="00297569">
            <w:pPr>
              <w:rPr>
                <w:color w:val="000000"/>
                <w:sz w:val="22"/>
                <w:szCs w:val="22"/>
              </w:rPr>
            </w:pPr>
            <w:r>
              <w:rPr>
                <w:color w:val="000000"/>
                <w:sz w:val="22"/>
                <w:szCs w:val="22"/>
              </w:rPr>
              <w:t>K</w:t>
            </w:r>
            <w:r w:rsidRPr="00C30ABB">
              <w:rPr>
                <w:color w:val="000000"/>
                <w:sz w:val="22"/>
                <w:szCs w:val="22"/>
              </w:rPr>
              <w:t xml:space="preserve">limat- och miljöminister </w:t>
            </w:r>
            <w:proofErr w:type="spellStart"/>
            <w:r w:rsidRPr="00C30ABB">
              <w:rPr>
                <w:color w:val="000000"/>
                <w:sz w:val="22"/>
                <w:szCs w:val="22"/>
              </w:rPr>
              <w:t>Romina</w:t>
            </w:r>
            <w:proofErr w:type="spellEnd"/>
            <w:r w:rsidRPr="00C30ABB">
              <w:rPr>
                <w:color w:val="000000"/>
                <w:sz w:val="22"/>
                <w:szCs w:val="22"/>
              </w:rPr>
              <w:t xml:space="preserve"> </w:t>
            </w:r>
            <w:proofErr w:type="spellStart"/>
            <w:r w:rsidRPr="00C30ABB">
              <w:rPr>
                <w:color w:val="000000"/>
                <w:sz w:val="22"/>
                <w:szCs w:val="22"/>
              </w:rPr>
              <w:t>Pourmokhtari</w:t>
            </w:r>
            <w:proofErr w:type="spellEnd"/>
            <w:r w:rsidRPr="00C30ABB">
              <w:rPr>
                <w:color w:val="000000"/>
                <w:sz w:val="22"/>
                <w:szCs w:val="22"/>
              </w:rPr>
              <w:t>, biträdd av medarbetare</w:t>
            </w:r>
          </w:p>
          <w:p w14:paraId="428D8C07" w14:textId="7DB348B3" w:rsidR="003107EA" w:rsidRPr="00297569" w:rsidRDefault="00297569" w:rsidP="00297569">
            <w:pPr>
              <w:widowControl/>
              <w:rPr>
                <w:b/>
                <w:color w:val="000000"/>
                <w:sz w:val="22"/>
                <w:szCs w:val="22"/>
              </w:rPr>
            </w:pPr>
            <w:r w:rsidRPr="00C30ABB">
              <w:rPr>
                <w:bCs/>
                <w:sz w:val="22"/>
                <w:szCs w:val="22"/>
              </w:rPr>
              <w:t>från Klimat- och näringslivsdepartementet, lämnade information</w:t>
            </w:r>
            <w:r>
              <w:rPr>
                <w:bCs/>
                <w:sz w:val="22"/>
                <w:szCs w:val="22"/>
              </w:rPr>
              <w:t xml:space="preserve"> </w:t>
            </w:r>
            <w:r w:rsidRPr="00297569">
              <w:rPr>
                <w:bCs/>
                <w:sz w:val="22"/>
                <w:szCs w:val="22"/>
              </w:rPr>
              <w:t xml:space="preserve">om regeringens arbete med den nyligen mottagna rapporten från OECD om Sveriges miljö- och </w:t>
            </w:r>
            <w:proofErr w:type="spellStart"/>
            <w:r w:rsidRPr="00297569">
              <w:rPr>
                <w:bCs/>
                <w:sz w:val="22"/>
                <w:szCs w:val="22"/>
              </w:rPr>
              <w:t>klimatpolitik</w:t>
            </w:r>
            <w:proofErr w:type="spellEnd"/>
            <w:r w:rsidRPr="00297569">
              <w:rPr>
                <w:bCs/>
                <w:sz w:val="22"/>
                <w:szCs w:val="22"/>
              </w:rPr>
              <w:t xml:space="preserve"> (OECD </w:t>
            </w:r>
            <w:proofErr w:type="spellStart"/>
            <w:r w:rsidRPr="00297569">
              <w:rPr>
                <w:bCs/>
                <w:sz w:val="22"/>
                <w:szCs w:val="22"/>
              </w:rPr>
              <w:t>Environmental</w:t>
            </w:r>
            <w:proofErr w:type="spellEnd"/>
            <w:r w:rsidRPr="00297569">
              <w:rPr>
                <w:bCs/>
                <w:sz w:val="22"/>
                <w:szCs w:val="22"/>
              </w:rPr>
              <w:t xml:space="preserve"> </w:t>
            </w:r>
            <w:proofErr w:type="spellStart"/>
            <w:r w:rsidRPr="00297569">
              <w:rPr>
                <w:bCs/>
                <w:sz w:val="22"/>
                <w:szCs w:val="22"/>
              </w:rPr>
              <w:t>Performance</w:t>
            </w:r>
            <w:proofErr w:type="spellEnd"/>
            <w:r w:rsidRPr="00297569">
              <w:rPr>
                <w:bCs/>
                <w:sz w:val="22"/>
                <w:szCs w:val="22"/>
              </w:rPr>
              <w:t xml:space="preserve"> Reviews: Sweden 2025)</w:t>
            </w:r>
            <w:r>
              <w:rPr>
                <w:bCs/>
                <w:sz w:val="22"/>
                <w:szCs w:val="22"/>
              </w:rPr>
              <w:t>.</w:t>
            </w:r>
            <w:r w:rsidRPr="00297569">
              <w:rPr>
                <w:b/>
                <w:sz w:val="22"/>
                <w:szCs w:val="22"/>
              </w:rPr>
              <w:br/>
            </w:r>
          </w:p>
        </w:tc>
      </w:tr>
      <w:tr w:rsidR="003107EA" w:rsidRPr="00297569" w14:paraId="17519095" w14:textId="77777777" w:rsidTr="00813C3F">
        <w:trPr>
          <w:gridBefore w:val="1"/>
          <w:gridAfter w:val="2"/>
          <w:wBefore w:w="2197" w:type="dxa"/>
          <w:wAfter w:w="355" w:type="dxa"/>
        </w:trPr>
        <w:tc>
          <w:tcPr>
            <w:tcW w:w="567" w:type="dxa"/>
          </w:tcPr>
          <w:p w14:paraId="3256A7A4" w14:textId="77777777" w:rsidR="003107EA" w:rsidRPr="00297569" w:rsidRDefault="003107EA" w:rsidP="00C5706E">
            <w:pPr>
              <w:tabs>
                <w:tab w:val="left" w:pos="1701"/>
              </w:tabs>
              <w:rPr>
                <w:b/>
                <w:snapToGrid w:val="0"/>
                <w:sz w:val="22"/>
                <w:szCs w:val="22"/>
              </w:rPr>
            </w:pPr>
            <w:r w:rsidRPr="00297569">
              <w:rPr>
                <w:b/>
                <w:snapToGrid w:val="0"/>
                <w:sz w:val="22"/>
                <w:szCs w:val="22"/>
              </w:rPr>
              <w:t>§ 4</w:t>
            </w:r>
          </w:p>
          <w:p w14:paraId="4B47CE40" w14:textId="7369866B" w:rsidR="003107EA" w:rsidRPr="00297569" w:rsidRDefault="003107EA" w:rsidP="00C5706E">
            <w:pPr>
              <w:tabs>
                <w:tab w:val="left" w:pos="1701"/>
              </w:tabs>
              <w:rPr>
                <w:b/>
                <w:snapToGrid w:val="0"/>
                <w:sz w:val="22"/>
                <w:szCs w:val="22"/>
              </w:rPr>
            </w:pPr>
          </w:p>
        </w:tc>
        <w:tc>
          <w:tcPr>
            <w:tcW w:w="6946" w:type="dxa"/>
            <w:gridSpan w:val="17"/>
          </w:tcPr>
          <w:p w14:paraId="30240EE3" w14:textId="77777777" w:rsidR="00B72906" w:rsidRDefault="00297569" w:rsidP="00D201BB">
            <w:pPr>
              <w:widowControl/>
              <w:rPr>
                <w:b/>
                <w:sz w:val="22"/>
                <w:szCs w:val="22"/>
              </w:rPr>
            </w:pPr>
            <w:r w:rsidRPr="00297569">
              <w:rPr>
                <w:b/>
                <w:sz w:val="22"/>
                <w:szCs w:val="22"/>
              </w:rPr>
              <w:t xml:space="preserve">Meddelande från kommissionen till Europaparlamentet, rådet, </w:t>
            </w:r>
            <w:proofErr w:type="gramStart"/>
            <w:r w:rsidRPr="00297569">
              <w:rPr>
                <w:b/>
                <w:sz w:val="22"/>
                <w:szCs w:val="22"/>
              </w:rPr>
              <w:t>Europeiska</w:t>
            </w:r>
            <w:proofErr w:type="gramEnd"/>
            <w:r w:rsidRPr="00297569">
              <w:rPr>
                <w:b/>
                <w:sz w:val="22"/>
                <w:szCs w:val="22"/>
              </w:rPr>
              <w:t xml:space="preserve"> ekonomiska och sociala kommittén SAMT Regionkommittén En vision för jordbruk och livsmedel En attraktiv jordbruks- och livsmedelsindustri för kommande generationer</w:t>
            </w:r>
          </w:p>
          <w:p w14:paraId="4C7EA898" w14:textId="77777777" w:rsidR="00B72906" w:rsidRDefault="00B72906" w:rsidP="00D201BB">
            <w:pPr>
              <w:widowControl/>
              <w:rPr>
                <w:b/>
                <w:sz w:val="22"/>
                <w:szCs w:val="22"/>
              </w:rPr>
            </w:pPr>
          </w:p>
          <w:p w14:paraId="2526ABEB" w14:textId="77777777" w:rsidR="00BD26CD" w:rsidRPr="00F01A93" w:rsidRDefault="00BD26CD" w:rsidP="00BD26CD">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statssekreterare Daniel Liljeberg</w:t>
            </w:r>
            <w:r w:rsidRPr="00F01A93">
              <w:rPr>
                <w:snapToGrid w:val="0"/>
                <w:sz w:val="22"/>
                <w:szCs w:val="22"/>
              </w:rPr>
              <w:t xml:space="preserve">, </w:t>
            </w:r>
            <w:r>
              <w:rPr>
                <w:snapToGrid w:val="0"/>
                <w:sz w:val="22"/>
                <w:szCs w:val="22"/>
              </w:rPr>
              <w:t>biträdd</w:t>
            </w:r>
            <w:r w:rsidRPr="00F01A93">
              <w:rPr>
                <w:rFonts w:eastAsiaTheme="minorHAnsi"/>
                <w:color w:val="000000"/>
                <w:sz w:val="22"/>
                <w:szCs w:val="22"/>
                <w:lang w:eastAsia="en-US"/>
              </w:rPr>
              <w:t xml:space="preserve"> av medarbetare från Landsbygds- och infrastrukturdepartementet.</w:t>
            </w:r>
          </w:p>
          <w:p w14:paraId="579E1DA0" w14:textId="77777777" w:rsidR="00BD26CD" w:rsidRPr="00F01A93" w:rsidRDefault="00BD26CD" w:rsidP="00BD26CD">
            <w:pPr>
              <w:rPr>
                <w:rFonts w:eastAsiaTheme="minorHAnsi"/>
                <w:b/>
                <w:bCs/>
                <w:color w:val="000000"/>
                <w:sz w:val="22"/>
                <w:szCs w:val="22"/>
                <w:lang w:eastAsia="en-US"/>
              </w:rPr>
            </w:pPr>
            <w:r w:rsidRPr="00F01A93">
              <w:rPr>
                <w:bCs/>
                <w:color w:val="000000"/>
                <w:sz w:val="22"/>
                <w:szCs w:val="22"/>
              </w:rPr>
              <w:t xml:space="preserve">  </w:t>
            </w:r>
          </w:p>
          <w:p w14:paraId="67E3795C" w14:textId="77777777" w:rsidR="00BD26CD" w:rsidRPr="00F01A93" w:rsidRDefault="00BD26CD" w:rsidP="00BD26CD">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202</w:t>
            </w:r>
            <w:r>
              <w:rPr>
                <w:bCs/>
                <w:color w:val="000000"/>
                <w:sz w:val="22"/>
                <w:szCs w:val="22"/>
              </w:rPr>
              <w:t>5</w:t>
            </w:r>
            <w:r w:rsidRPr="00F01A93">
              <w:rPr>
                <w:bCs/>
                <w:color w:val="000000"/>
                <w:sz w:val="22"/>
                <w:szCs w:val="22"/>
              </w:rPr>
              <w:t xml:space="preserve">) </w:t>
            </w:r>
            <w:r>
              <w:rPr>
                <w:bCs/>
                <w:color w:val="000000"/>
                <w:sz w:val="22"/>
                <w:szCs w:val="22"/>
              </w:rPr>
              <w:t xml:space="preserve">75, </w:t>
            </w:r>
            <w:r w:rsidRPr="00904654">
              <w:rPr>
                <w:bCs/>
                <w:color w:val="000000"/>
                <w:sz w:val="22"/>
                <w:szCs w:val="22"/>
                <w:highlight w:val="yellow"/>
              </w:rPr>
              <w:t xml:space="preserve"> </w:t>
            </w:r>
            <w:r w:rsidRPr="005236A5">
              <w:rPr>
                <w:color w:val="000000"/>
                <w:sz w:val="22"/>
                <w:szCs w:val="22"/>
              </w:rPr>
              <w:t xml:space="preserve">Regeringskansliets </w:t>
            </w:r>
            <w:r w:rsidRPr="005236A5">
              <w:rPr>
                <w:bCs/>
                <w:sz w:val="22"/>
                <w:szCs w:val="22"/>
              </w:rPr>
              <w:t>överläggningspromemoria</w:t>
            </w:r>
            <w:r w:rsidRPr="00265750">
              <w:rPr>
                <w:bCs/>
                <w:sz w:val="22"/>
                <w:szCs w:val="22"/>
              </w:rPr>
              <w:t xml:space="preserve"> </w:t>
            </w:r>
            <w:r w:rsidRPr="00265750">
              <w:rPr>
                <w:bCs/>
                <w:color w:val="000000"/>
                <w:sz w:val="22"/>
                <w:szCs w:val="22"/>
              </w:rPr>
              <w:t xml:space="preserve">(dnr </w:t>
            </w:r>
            <w:bookmarkStart w:id="1" w:name="_Hlk64985663"/>
            <w:r>
              <w:rPr>
                <w:bCs/>
                <w:color w:val="000000"/>
                <w:sz w:val="22"/>
                <w:szCs w:val="22"/>
              </w:rPr>
              <w:t>1351</w:t>
            </w:r>
            <w:r w:rsidRPr="00265750">
              <w:rPr>
                <w:sz w:val="22"/>
                <w:szCs w:val="22"/>
              </w:rPr>
              <w:t>-2024/2</w:t>
            </w:r>
            <w:bookmarkEnd w:id="1"/>
            <w:r w:rsidRPr="00265750">
              <w:rPr>
                <w:sz w:val="22"/>
                <w:szCs w:val="22"/>
              </w:rPr>
              <w:t>5</w:t>
            </w:r>
            <w:r w:rsidRPr="00265750">
              <w:rPr>
                <w:bCs/>
                <w:color w:val="000000"/>
                <w:sz w:val="22"/>
                <w:szCs w:val="22"/>
              </w:rPr>
              <w:t>).</w:t>
            </w:r>
          </w:p>
          <w:p w14:paraId="1CB3B064" w14:textId="77777777" w:rsidR="00BD26CD" w:rsidRPr="00F01A93" w:rsidRDefault="00BD26CD" w:rsidP="00BD26CD">
            <w:pPr>
              <w:widowControl/>
              <w:autoSpaceDE w:val="0"/>
              <w:autoSpaceDN w:val="0"/>
              <w:adjustRightInd w:val="0"/>
              <w:rPr>
                <w:bCs/>
                <w:color w:val="000000"/>
                <w:sz w:val="22"/>
                <w:szCs w:val="22"/>
              </w:rPr>
            </w:pPr>
          </w:p>
          <w:p w14:paraId="3482AA5F" w14:textId="77777777" w:rsidR="00BD26CD" w:rsidRDefault="00BD26CD" w:rsidP="00BD26CD">
            <w:pPr>
              <w:widowControl/>
              <w:autoSpaceDE w:val="0"/>
              <w:autoSpaceDN w:val="0"/>
              <w:adjustRightInd w:val="0"/>
              <w:rPr>
                <w:bCs/>
                <w:color w:val="000000"/>
                <w:sz w:val="22"/>
                <w:szCs w:val="22"/>
              </w:rPr>
            </w:pPr>
            <w:r>
              <w:rPr>
                <w:snapToGrid w:val="0"/>
                <w:sz w:val="22"/>
                <w:szCs w:val="22"/>
              </w:rPr>
              <w:t xml:space="preserve">Statssekreterare Daniel Liljeberg </w:t>
            </w:r>
            <w:r w:rsidRPr="005236A5">
              <w:rPr>
                <w:snapToGrid w:val="0"/>
                <w:sz w:val="22"/>
                <w:szCs w:val="22"/>
              </w:rPr>
              <w:t>r</w:t>
            </w:r>
            <w:r w:rsidRPr="005236A5">
              <w:rPr>
                <w:bCs/>
                <w:color w:val="000000"/>
                <w:sz w:val="22"/>
                <w:szCs w:val="22"/>
              </w:rPr>
              <w:t>edogjorde för regeringens ståndpunkt (bilaga 2).</w:t>
            </w:r>
            <w:r w:rsidRPr="005236A5">
              <w:rPr>
                <w:bCs/>
                <w:color w:val="000000"/>
                <w:sz w:val="22"/>
                <w:szCs w:val="22"/>
              </w:rPr>
              <w:br/>
            </w:r>
          </w:p>
          <w:p w14:paraId="13CEC147" w14:textId="77777777" w:rsidR="00BD26CD" w:rsidRPr="00F01A93" w:rsidRDefault="00BD26CD" w:rsidP="00BD26CD">
            <w:pPr>
              <w:autoSpaceDE w:val="0"/>
              <w:autoSpaceDN w:val="0"/>
              <w:rPr>
                <w:snapToGrid w:val="0"/>
                <w:sz w:val="22"/>
                <w:szCs w:val="22"/>
              </w:rPr>
            </w:pPr>
            <w:r w:rsidRPr="000B7712">
              <w:rPr>
                <w:snapToGrid w:val="0"/>
                <w:sz w:val="22"/>
                <w:szCs w:val="22"/>
              </w:rPr>
              <w:t>Ordförande konstaterade att det fanns stöd för regeringens ståndpunkt.</w:t>
            </w:r>
          </w:p>
          <w:p w14:paraId="7DD96E32" w14:textId="77777777" w:rsidR="00BD26CD" w:rsidRPr="005236A5" w:rsidRDefault="00BD26CD" w:rsidP="00BD26CD">
            <w:pPr>
              <w:widowControl/>
              <w:autoSpaceDE w:val="0"/>
              <w:autoSpaceDN w:val="0"/>
              <w:adjustRightInd w:val="0"/>
              <w:rPr>
                <w:bCs/>
                <w:color w:val="000000"/>
                <w:sz w:val="22"/>
                <w:szCs w:val="22"/>
              </w:rPr>
            </w:pPr>
          </w:p>
          <w:p w14:paraId="19657737" w14:textId="77777777" w:rsidR="00BD26CD" w:rsidRPr="009213FD" w:rsidRDefault="00BD26CD" w:rsidP="00BD26CD">
            <w:pPr>
              <w:rPr>
                <w:rStyle w:val="normaltextrun"/>
                <w:b/>
                <w:bCs/>
                <w:i/>
                <w:iCs/>
                <w:snapToGrid w:val="0"/>
                <w:sz w:val="22"/>
                <w:szCs w:val="22"/>
              </w:rPr>
            </w:pPr>
            <w:r w:rsidRPr="0011316E">
              <w:rPr>
                <w:snapToGrid w:val="0"/>
                <w:sz w:val="22"/>
                <w:szCs w:val="22"/>
              </w:rPr>
              <w:t>S-, V-, C- o</w:t>
            </w:r>
            <w:r w:rsidRPr="00D96078">
              <w:rPr>
                <w:snapToGrid w:val="0"/>
                <w:sz w:val="22"/>
                <w:szCs w:val="22"/>
              </w:rPr>
              <w:t>ch MP-ledamöterna anmälde de avvikande ståndpunkter som framgår av bilaga 3.</w:t>
            </w:r>
          </w:p>
          <w:p w14:paraId="649B46FB" w14:textId="77777777" w:rsidR="00BD26CD" w:rsidRPr="000E4AFC" w:rsidRDefault="00BD26CD" w:rsidP="00BD26CD">
            <w:pPr>
              <w:autoSpaceDE w:val="0"/>
              <w:autoSpaceDN w:val="0"/>
              <w:rPr>
                <w:sz w:val="22"/>
                <w:szCs w:val="22"/>
              </w:rPr>
            </w:pPr>
          </w:p>
          <w:p w14:paraId="33FEE865" w14:textId="77777777" w:rsidR="00BD26CD" w:rsidRPr="000428C1" w:rsidRDefault="00BD26CD" w:rsidP="00BD26CD">
            <w:pPr>
              <w:rPr>
                <w:bCs/>
                <w:snapToGrid w:val="0"/>
                <w:sz w:val="22"/>
                <w:szCs w:val="22"/>
              </w:rPr>
            </w:pPr>
            <w:r w:rsidRPr="000428C1">
              <w:rPr>
                <w:bCs/>
                <w:snapToGrid w:val="0"/>
                <w:sz w:val="22"/>
                <w:szCs w:val="22"/>
              </w:rPr>
              <w:t>Denna paragraf förklarades omedelbart justerad.</w:t>
            </w:r>
          </w:p>
          <w:p w14:paraId="13A21C17" w14:textId="77777777" w:rsidR="003107EA" w:rsidRDefault="003107EA" w:rsidP="00D201BB">
            <w:pPr>
              <w:widowControl/>
              <w:rPr>
                <w:b/>
                <w:color w:val="000000"/>
                <w:sz w:val="22"/>
                <w:szCs w:val="22"/>
              </w:rPr>
            </w:pPr>
          </w:p>
          <w:p w14:paraId="1CC04631" w14:textId="3B61024D" w:rsidR="00BD26CD" w:rsidRPr="00297569" w:rsidRDefault="00BD26CD" w:rsidP="00D201BB">
            <w:pPr>
              <w:widowControl/>
              <w:rPr>
                <w:b/>
                <w:color w:val="000000"/>
                <w:sz w:val="22"/>
                <w:szCs w:val="22"/>
              </w:rPr>
            </w:pPr>
          </w:p>
        </w:tc>
      </w:tr>
      <w:tr w:rsidR="00987069" w:rsidRPr="00C30ABB" w14:paraId="046EFC89" w14:textId="77777777" w:rsidTr="00813C3F">
        <w:trPr>
          <w:gridBefore w:val="1"/>
          <w:gridAfter w:val="2"/>
          <w:wBefore w:w="2197" w:type="dxa"/>
          <w:wAfter w:w="355" w:type="dxa"/>
        </w:trPr>
        <w:tc>
          <w:tcPr>
            <w:tcW w:w="567" w:type="dxa"/>
          </w:tcPr>
          <w:p w14:paraId="5BE0E897" w14:textId="166B2295" w:rsidR="00987069" w:rsidRPr="00C30ABB" w:rsidRDefault="00B16183" w:rsidP="00C5706E">
            <w:pPr>
              <w:tabs>
                <w:tab w:val="left" w:pos="1701"/>
              </w:tabs>
              <w:rPr>
                <w:b/>
                <w:snapToGrid w:val="0"/>
                <w:sz w:val="22"/>
                <w:szCs w:val="22"/>
              </w:rPr>
            </w:pPr>
            <w:r w:rsidRPr="00C30ABB">
              <w:rPr>
                <w:b/>
                <w:snapToGrid w:val="0"/>
                <w:sz w:val="22"/>
                <w:szCs w:val="22"/>
              </w:rPr>
              <w:lastRenderedPageBreak/>
              <w:t xml:space="preserve">§ </w:t>
            </w:r>
            <w:r w:rsidR="003107EA">
              <w:rPr>
                <w:b/>
                <w:snapToGrid w:val="0"/>
                <w:sz w:val="22"/>
                <w:szCs w:val="22"/>
              </w:rPr>
              <w:t>5</w:t>
            </w:r>
          </w:p>
        </w:tc>
        <w:tc>
          <w:tcPr>
            <w:tcW w:w="6946" w:type="dxa"/>
            <w:gridSpan w:val="17"/>
          </w:tcPr>
          <w:p w14:paraId="3BD9A92F" w14:textId="34BCB42C" w:rsidR="00CD6A63" w:rsidRPr="00C30ABB" w:rsidRDefault="00CD6A63" w:rsidP="00CD6A63">
            <w:pPr>
              <w:tabs>
                <w:tab w:val="left" w:pos="1701"/>
              </w:tabs>
              <w:rPr>
                <w:b/>
                <w:snapToGrid w:val="0"/>
                <w:sz w:val="22"/>
                <w:szCs w:val="22"/>
              </w:rPr>
            </w:pPr>
            <w:r w:rsidRPr="00C30ABB">
              <w:rPr>
                <w:b/>
                <w:snapToGrid w:val="0"/>
                <w:sz w:val="22"/>
                <w:szCs w:val="22"/>
              </w:rPr>
              <w:t>Jordbruks- och fiskeråd 24 mars 2025</w:t>
            </w:r>
          </w:p>
          <w:p w14:paraId="283C347C" w14:textId="77777777" w:rsidR="00CD6A63" w:rsidRPr="00C30ABB" w:rsidRDefault="00CD6A63" w:rsidP="00CD6A63">
            <w:pPr>
              <w:tabs>
                <w:tab w:val="left" w:pos="1701"/>
              </w:tabs>
              <w:rPr>
                <w:bCs/>
                <w:snapToGrid w:val="0"/>
                <w:sz w:val="22"/>
                <w:szCs w:val="22"/>
              </w:rPr>
            </w:pPr>
          </w:p>
          <w:p w14:paraId="0BF6F9E0" w14:textId="54485543" w:rsidR="00FB07D3" w:rsidRPr="00C30ABB" w:rsidRDefault="00CD6A63" w:rsidP="00931E92">
            <w:pPr>
              <w:tabs>
                <w:tab w:val="left" w:pos="1701"/>
              </w:tabs>
              <w:rPr>
                <w:b/>
                <w:snapToGrid w:val="0"/>
                <w:sz w:val="22"/>
                <w:szCs w:val="22"/>
              </w:rPr>
            </w:pPr>
            <w:r w:rsidRPr="00C30ABB">
              <w:rPr>
                <w:bCs/>
                <w:snapToGrid w:val="0"/>
                <w:sz w:val="22"/>
                <w:szCs w:val="22"/>
              </w:rPr>
              <w:t>Statssekreterare</w:t>
            </w:r>
            <w:r w:rsidRPr="00C30ABB">
              <w:rPr>
                <w:bCs/>
                <w:sz w:val="22"/>
                <w:szCs w:val="22"/>
              </w:rPr>
              <w:t xml:space="preserve"> Daniel Liljeberg, biträdd av medarbetare vid Landsbygds- och infrastrukturdepartementet, lämnade information inför </w:t>
            </w:r>
            <w:r w:rsidRPr="00C30ABB">
              <w:rPr>
                <w:bCs/>
                <w:snapToGrid w:val="0"/>
                <w:sz w:val="22"/>
                <w:szCs w:val="22"/>
              </w:rPr>
              <w:t>Jordbruks- och fiskerådet den 24 mars 2025.</w:t>
            </w:r>
          </w:p>
          <w:p w14:paraId="5E47D2CD" w14:textId="2BA8F620" w:rsidR="00493F37" w:rsidRPr="00C30ABB" w:rsidRDefault="00493F37" w:rsidP="00931E92">
            <w:pPr>
              <w:tabs>
                <w:tab w:val="left" w:pos="1701"/>
              </w:tabs>
              <w:rPr>
                <w:b/>
                <w:snapToGrid w:val="0"/>
                <w:sz w:val="22"/>
                <w:szCs w:val="22"/>
              </w:rPr>
            </w:pPr>
          </w:p>
        </w:tc>
      </w:tr>
      <w:tr w:rsidR="00493F37" w:rsidRPr="00297569" w14:paraId="0933D5C4" w14:textId="77777777" w:rsidTr="00813C3F">
        <w:trPr>
          <w:gridBefore w:val="1"/>
          <w:gridAfter w:val="2"/>
          <w:wBefore w:w="2197" w:type="dxa"/>
          <w:wAfter w:w="355" w:type="dxa"/>
        </w:trPr>
        <w:tc>
          <w:tcPr>
            <w:tcW w:w="567" w:type="dxa"/>
          </w:tcPr>
          <w:p w14:paraId="0A641143" w14:textId="24F398FA" w:rsidR="00493F37" w:rsidRPr="00297569" w:rsidRDefault="00493F37" w:rsidP="00C5706E">
            <w:pPr>
              <w:tabs>
                <w:tab w:val="left" w:pos="1701"/>
              </w:tabs>
              <w:rPr>
                <w:b/>
                <w:snapToGrid w:val="0"/>
                <w:sz w:val="22"/>
                <w:szCs w:val="22"/>
              </w:rPr>
            </w:pPr>
            <w:r w:rsidRPr="00297569">
              <w:rPr>
                <w:b/>
                <w:snapToGrid w:val="0"/>
                <w:sz w:val="22"/>
                <w:szCs w:val="22"/>
              </w:rPr>
              <w:t xml:space="preserve">§ </w:t>
            </w:r>
            <w:r w:rsidR="00297569" w:rsidRPr="00297569">
              <w:rPr>
                <w:b/>
                <w:snapToGrid w:val="0"/>
                <w:sz w:val="22"/>
                <w:szCs w:val="22"/>
              </w:rPr>
              <w:t>6</w:t>
            </w:r>
          </w:p>
        </w:tc>
        <w:tc>
          <w:tcPr>
            <w:tcW w:w="6946" w:type="dxa"/>
            <w:gridSpan w:val="17"/>
          </w:tcPr>
          <w:p w14:paraId="5CAB0D33" w14:textId="77777777" w:rsidR="006E6D2D" w:rsidRPr="00297569" w:rsidRDefault="00C30ABB" w:rsidP="006E6D2D">
            <w:pPr>
              <w:pStyle w:val="Oformateradtext"/>
              <w:rPr>
                <w:rFonts w:ascii="Times New Roman" w:hAnsi="Times New Roman"/>
                <w:b/>
                <w:color w:val="000000"/>
              </w:rPr>
            </w:pPr>
            <w:r w:rsidRPr="00297569">
              <w:rPr>
                <w:rFonts w:ascii="Times New Roman" w:hAnsi="Times New Roman"/>
                <w:b/>
                <w:color w:val="000000"/>
              </w:rPr>
              <w:t>Bättre förutsättningar inom djurens hälso- och sjukvård samt djurskydd (MJU10)</w:t>
            </w:r>
          </w:p>
          <w:p w14:paraId="3A2F826F" w14:textId="77777777" w:rsidR="006E6D2D" w:rsidRPr="00297569" w:rsidRDefault="006E6D2D" w:rsidP="006E6D2D">
            <w:pPr>
              <w:pStyle w:val="Oformateradtext"/>
              <w:rPr>
                <w:rFonts w:ascii="Times New Roman" w:hAnsi="Times New Roman"/>
                <w:b/>
                <w:color w:val="000000"/>
              </w:rPr>
            </w:pPr>
          </w:p>
          <w:p w14:paraId="396CD506" w14:textId="09082B5E" w:rsidR="00C30ABB" w:rsidRPr="00297569" w:rsidRDefault="006E6D2D" w:rsidP="006E6D2D">
            <w:pPr>
              <w:rPr>
                <w:color w:val="000000"/>
                <w:sz w:val="22"/>
                <w:szCs w:val="22"/>
              </w:rPr>
            </w:pPr>
            <w:r w:rsidRPr="00297569">
              <w:rPr>
                <w:color w:val="000000"/>
                <w:sz w:val="22"/>
                <w:szCs w:val="22"/>
              </w:rPr>
              <w:t>Utskottet fortsatte beredningen av p</w:t>
            </w:r>
            <w:r w:rsidR="00C30ABB" w:rsidRPr="00297569">
              <w:rPr>
                <w:color w:val="000000"/>
                <w:sz w:val="22"/>
                <w:szCs w:val="22"/>
              </w:rPr>
              <w:t>rop</w:t>
            </w:r>
            <w:r w:rsidRPr="00297569">
              <w:rPr>
                <w:color w:val="000000"/>
                <w:sz w:val="22"/>
                <w:szCs w:val="22"/>
              </w:rPr>
              <w:t>osition</w:t>
            </w:r>
            <w:r w:rsidR="00C30ABB" w:rsidRPr="00297569">
              <w:rPr>
                <w:color w:val="000000"/>
                <w:sz w:val="22"/>
                <w:szCs w:val="22"/>
              </w:rPr>
              <w:t xml:space="preserve"> 2024/25:57</w:t>
            </w:r>
            <w:r w:rsidRPr="00297569">
              <w:rPr>
                <w:color w:val="000000"/>
                <w:sz w:val="22"/>
                <w:szCs w:val="22"/>
              </w:rPr>
              <w:t xml:space="preserve"> och motioner.</w:t>
            </w:r>
          </w:p>
          <w:p w14:paraId="1974591E" w14:textId="77777777" w:rsidR="006E6D2D" w:rsidRPr="00297569" w:rsidRDefault="006E6D2D" w:rsidP="006E6D2D">
            <w:pPr>
              <w:rPr>
                <w:color w:val="000000"/>
                <w:sz w:val="22"/>
                <w:szCs w:val="22"/>
              </w:rPr>
            </w:pPr>
          </w:p>
          <w:p w14:paraId="1F3521C5" w14:textId="77777777" w:rsidR="00C30ABB" w:rsidRPr="00297569" w:rsidRDefault="00C30ABB" w:rsidP="00C30ABB">
            <w:pPr>
              <w:spacing w:line="80" w:lineRule="auto"/>
              <w:ind w:left="1600"/>
              <w:rPr>
                <w:color w:val="000000"/>
                <w:sz w:val="22"/>
                <w:szCs w:val="22"/>
              </w:rPr>
            </w:pPr>
          </w:p>
          <w:p w14:paraId="03D20CD6" w14:textId="2B253611" w:rsidR="006E6D2D" w:rsidRPr="00297569" w:rsidRDefault="006E6D2D" w:rsidP="006E6D2D">
            <w:pPr>
              <w:tabs>
                <w:tab w:val="left" w:pos="1701"/>
              </w:tabs>
              <w:rPr>
                <w:bCs/>
                <w:snapToGrid w:val="0"/>
                <w:sz w:val="22"/>
                <w:szCs w:val="22"/>
              </w:rPr>
            </w:pPr>
            <w:r w:rsidRPr="00297569">
              <w:rPr>
                <w:bCs/>
                <w:snapToGrid w:val="0"/>
                <w:sz w:val="22"/>
                <w:szCs w:val="22"/>
              </w:rPr>
              <w:t>Utskottet justerade betänkande 2024/</w:t>
            </w:r>
            <w:proofErr w:type="gramStart"/>
            <w:r w:rsidRPr="00297569">
              <w:rPr>
                <w:bCs/>
                <w:snapToGrid w:val="0"/>
                <w:sz w:val="22"/>
                <w:szCs w:val="22"/>
              </w:rPr>
              <w:t>25:MJU</w:t>
            </w:r>
            <w:proofErr w:type="gramEnd"/>
            <w:r w:rsidRPr="00297569">
              <w:rPr>
                <w:bCs/>
                <w:snapToGrid w:val="0"/>
                <w:sz w:val="22"/>
                <w:szCs w:val="22"/>
              </w:rPr>
              <w:t>10.</w:t>
            </w:r>
          </w:p>
          <w:p w14:paraId="2C430EF0" w14:textId="77777777" w:rsidR="006E6D2D" w:rsidRPr="00297569" w:rsidRDefault="006E6D2D" w:rsidP="006E6D2D">
            <w:pPr>
              <w:tabs>
                <w:tab w:val="left" w:pos="1701"/>
              </w:tabs>
              <w:rPr>
                <w:snapToGrid w:val="0"/>
                <w:sz w:val="22"/>
                <w:szCs w:val="22"/>
              </w:rPr>
            </w:pPr>
          </w:p>
          <w:p w14:paraId="437066E6" w14:textId="77777777" w:rsidR="00493F37" w:rsidRDefault="006E6D2D" w:rsidP="001C4AE7">
            <w:pPr>
              <w:tabs>
                <w:tab w:val="left" w:pos="1701"/>
              </w:tabs>
              <w:rPr>
                <w:snapToGrid w:val="0"/>
                <w:sz w:val="22"/>
                <w:szCs w:val="22"/>
              </w:rPr>
            </w:pPr>
            <w:r w:rsidRPr="003F0869">
              <w:rPr>
                <w:color w:val="000000"/>
                <w:sz w:val="22"/>
                <w:szCs w:val="22"/>
              </w:rPr>
              <w:t>S-, SD-, V-, C- och MP-</w:t>
            </w:r>
            <w:r w:rsidRPr="003F0869">
              <w:rPr>
                <w:snapToGrid w:val="0"/>
                <w:sz w:val="22"/>
                <w:szCs w:val="22"/>
              </w:rPr>
              <w:t>ledamöterna</w:t>
            </w:r>
            <w:r w:rsidRPr="003F0869">
              <w:rPr>
                <w:b/>
                <w:bCs/>
                <w:i/>
                <w:iCs/>
                <w:snapToGrid w:val="0"/>
                <w:sz w:val="22"/>
                <w:szCs w:val="22"/>
              </w:rPr>
              <w:t xml:space="preserve"> </w:t>
            </w:r>
            <w:r w:rsidRPr="00297569">
              <w:rPr>
                <w:snapToGrid w:val="0"/>
                <w:sz w:val="22"/>
                <w:szCs w:val="22"/>
              </w:rPr>
              <w:t>anmälde reservationer.</w:t>
            </w:r>
          </w:p>
          <w:p w14:paraId="3BF6E173" w14:textId="62932E9F" w:rsidR="00FF4A98" w:rsidRPr="00297569" w:rsidRDefault="00FF4A98" w:rsidP="001C4AE7">
            <w:pPr>
              <w:tabs>
                <w:tab w:val="left" w:pos="1701"/>
              </w:tabs>
              <w:rPr>
                <w:b/>
                <w:snapToGrid w:val="0"/>
                <w:sz w:val="22"/>
                <w:szCs w:val="22"/>
              </w:rPr>
            </w:pPr>
          </w:p>
        </w:tc>
      </w:tr>
      <w:tr w:rsidR="00493F37" w:rsidRPr="006E6D2D" w14:paraId="68BFCF3E" w14:textId="77777777" w:rsidTr="00813C3F">
        <w:trPr>
          <w:gridBefore w:val="1"/>
          <w:gridAfter w:val="2"/>
          <w:wBefore w:w="2197" w:type="dxa"/>
          <w:wAfter w:w="355" w:type="dxa"/>
        </w:trPr>
        <w:tc>
          <w:tcPr>
            <w:tcW w:w="567" w:type="dxa"/>
          </w:tcPr>
          <w:p w14:paraId="3FA3EA43" w14:textId="3412CC3C" w:rsidR="00493F37" w:rsidRPr="006E6D2D" w:rsidRDefault="00493F37" w:rsidP="00C5706E">
            <w:pPr>
              <w:tabs>
                <w:tab w:val="left" w:pos="1701"/>
              </w:tabs>
              <w:rPr>
                <w:b/>
                <w:snapToGrid w:val="0"/>
                <w:sz w:val="22"/>
                <w:szCs w:val="22"/>
              </w:rPr>
            </w:pPr>
            <w:r w:rsidRPr="006E6D2D">
              <w:rPr>
                <w:b/>
                <w:snapToGrid w:val="0"/>
                <w:sz w:val="22"/>
                <w:szCs w:val="22"/>
              </w:rPr>
              <w:t xml:space="preserve">§ </w:t>
            </w:r>
            <w:r w:rsidR="00297569">
              <w:rPr>
                <w:b/>
                <w:snapToGrid w:val="0"/>
                <w:sz w:val="22"/>
                <w:szCs w:val="22"/>
              </w:rPr>
              <w:t>7</w:t>
            </w:r>
          </w:p>
        </w:tc>
        <w:tc>
          <w:tcPr>
            <w:tcW w:w="6946" w:type="dxa"/>
            <w:gridSpan w:val="17"/>
          </w:tcPr>
          <w:p w14:paraId="1CB37A4C" w14:textId="77777777" w:rsidR="006E6D2D" w:rsidRPr="006E6D2D" w:rsidRDefault="006E6D2D" w:rsidP="006E6D2D">
            <w:pPr>
              <w:widowControl/>
              <w:rPr>
                <w:b/>
                <w:color w:val="000000"/>
                <w:sz w:val="22"/>
                <w:szCs w:val="22"/>
              </w:rPr>
            </w:pPr>
            <w:r w:rsidRPr="006E6D2D">
              <w:rPr>
                <w:b/>
                <w:color w:val="000000"/>
                <w:sz w:val="22"/>
                <w:szCs w:val="22"/>
              </w:rPr>
              <w:t>Förbud mot bottentrålning i marina skyddade områden (MJU13)</w:t>
            </w:r>
          </w:p>
          <w:p w14:paraId="52E21B42" w14:textId="77777777" w:rsidR="006E6D2D" w:rsidRDefault="006E6D2D" w:rsidP="006E6D2D">
            <w:pPr>
              <w:rPr>
                <w:color w:val="000000"/>
                <w:sz w:val="22"/>
                <w:szCs w:val="22"/>
              </w:rPr>
            </w:pPr>
          </w:p>
          <w:p w14:paraId="74FAE955" w14:textId="2BF2EDC4" w:rsidR="00493F37" w:rsidRDefault="006E6D2D" w:rsidP="006E6D2D">
            <w:pPr>
              <w:rPr>
                <w:color w:val="000000"/>
                <w:sz w:val="22"/>
                <w:szCs w:val="22"/>
              </w:rPr>
            </w:pPr>
            <w:r>
              <w:rPr>
                <w:color w:val="000000"/>
                <w:sz w:val="22"/>
                <w:szCs w:val="22"/>
              </w:rPr>
              <w:t>Utskottet fortsatte beredningen av p</w:t>
            </w:r>
            <w:r w:rsidRPr="006E6D2D">
              <w:rPr>
                <w:color w:val="000000"/>
                <w:sz w:val="22"/>
                <w:szCs w:val="22"/>
              </w:rPr>
              <w:t>rop</w:t>
            </w:r>
            <w:r>
              <w:rPr>
                <w:color w:val="000000"/>
                <w:sz w:val="22"/>
                <w:szCs w:val="22"/>
              </w:rPr>
              <w:t>osition</w:t>
            </w:r>
            <w:r w:rsidRPr="006E6D2D">
              <w:rPr>
                <w:color w:val="000000"/>
                <w:sz w:val="22"/>
                <w:szCs w:val="22"/>
              </w:rPr>
              <w:t xml:space="preserve"> 2024/25:81</w:t>
            </w:r>
            <w:r>
              <w:rPr>
                <w:color w:val="000000"/>
                <w:sz w:val="22"/>
                <w:szCs w:val="22"/>
              </w:rPr>
              <w:t xml:space="preserve">och </w:t>
            </w:r>
            <w:r w:rsidRPr="006E6D2D">
              <w:rPr>
                <w:color w:val="000000"/>
                <w:sz w:val="22"/>
                <w:szCs w:val="22"/>
              </w:rPr>
              <w:t>motioner</w:t>
            </w:r>
            <w:r>
              <w:rPr>
                <w:color w:val="000000"/>
                <w:sz w:val="22"/>
                <w:szCs w:val="22"/>
              </w:rPr>
              <w:t>.</w:t>
            </w:r>
          </w:p>
          <w:p w14:paraId="21983173" w14:textId="66ADD9EC" w:rsidR="006E6D2D" w:rsidRDefault="006E6D2D" w:rsidP="006E6D2D">
            <w:pPr>
              <w:rPr>
                <w:color w:val="000000"/>
                <w:sz w:val="22"/>
                <w:szCs w:val="22"/>
              </w:rPr>
            </w:pPr>
          </w:p>
          <w:p w14:paraId="06A4259E" w14:textId="599D77C2" w:rsidR="006E6D2D" w:rsidRPr="004F5442" w:rsidRDefault="006E6D2D" w:rsidP="006E6D2D">
            <w:pPr>
              <w:tabs>
                <w:tab w:val="left" w:pos="1701"/>
              </w:tabs>
              <w:rPr>
                <w:bCs/>
                <w:snapToGrid w:val="0"/>
                <w:sz w:val="22"/>
                <w:szCs w:val="22"/>
              </w:rPr>
            </w:pPr>
            <w:r w:rsidRPr="004F5442">
              <w:rPr>
                <w:bCs/>
                <w:snapToGrid w:val="0"/>
                <w:sz w:val="22"/>
                <w:szCs w:val="22"/>
              </w:rPr>
              <w:t>Utskottet justerade betänkande 2024/</w:t>
            </w:r>
            <w:proofErr w:type="gramStart"/>
            <w:r w:rsidRPr="004F5442">
              <w:rPr>
                <w:bCs/>
                <w:snapToGrid w:val="0"/>
                <w:sz w:val="22"/>
                <w:szCs w:val="22"/>
              </w:rPr>
              <w:t>25:MJU</w:t>
            </w:r>
            <w:proofErr w:type="gramEnd"/>
            <w:r>
              <w:rPr>
                <w:bCs/>
                <w:snapToGrid w:val="0"/>
                <w:sz w:val="22"/>
                <w:szCs w:val="22"/>
              </w:rPr>
              <w:t>13</w:t>
            </w:r>
            <w:r w:rsidRPr="004F5442">
              <w:rPr>
                <w:bCs/>
                <w:snapToGrid w:val="0"/>
                <w:sz w:val="22"/>
                <w:szCs w:val="22"/>
              </w:rPr>
              <w:t>.</w:t>
            </w:r>
          </w:p>
          <w:p w14:paraId="6243C12A" w14:textId="77777777" w:rsidR="006E6D2D" w:rsidRPr="00DD14B5" w:rsidRDefault="006E6D2D" w:rsidP="006E6D2D">
            <w:pPr>
              <w:tabs>
                <w:tab w:val="left" w:pos="1701"/>
              </w:tabs>
              <w:rPr>
                <w:snapToGrid w:val="0"/>
                <w:sz w:val="22"/>
                <w:szCs w:val="22"/>
              </w:rPr>
            </w:pPr>
          </w:p>
          <w:p w14:paraId="5C564CE3" w14:textId="5FBA821B" w:rsidR="006E6D2D" w:rsidRPr="006E6D2D" w:rsidRDefault="006E6D2D" w:rsidP="006E6D2D">
            <w:pPr>
              <w:tabs>
                <w:tab w:val="left" w:pos="1701"/>
              </w:tabs>
              <w:rPr>
                <w:b/>
                <w:bCs/>
                <w:i/>
                <w:iCs/>
                <w:snapToGrid w:val="0"/>
                <w:sz w:val="22"/>
                <w:szCs w:val="22"/>
              </w:rPr>
            </w:pPr>
            <w:r w:rsidRPr="001C4AE7">
              <w:rPr>
                <w:color w:val="000000"/>
                <w:szCs w:val="24"/>
              </w:rPr>
              <w:t>S-,</w:t>
            </w:r>
            <w:r w:rsidR="001C4AE7" w:rsidRPr="001C4AE7">
              <w:rPr>
                <w:color w:val="000000"/>
                <w:szCs w:val="24"/>
              </w:rPr>
              <w:t xml:space="preserve"> V-,</w:t>
            </w:r>
            <w:r w:rsidRPr="001C4AE7">
              <w:rPr>
                <w:color w:val="000000"/>
                <w:szCs w:val="24"/>
              </w:rPr>
              <w:t xml:space="preserve"> C- och MP-</w:t>
            </w:r>
            <w:r w:rsidRPr="001C4AE7">
              <w:rPr>
                <w:snapToGrid w:val="0"/>
                <w:sz w:val="22"/>
                <w:szCs w:val="22"/>
              </w:rPr>
              <w:t>ledamöterna anmälde</w:t>
            </w:r>
            <w:r w:rsidRPr="00297569">
              <w:rPr>
                <w:snapToGrid w:val="0"/>
                <w:sz w:val="22"/>
                <w:szCs w:val="22"/>
              </w:rPr>
              <w:t xml:space="preserve"> </w:t>
            </w:r>
            <w:r w:rsidR="00297569" w:rsidRPr="00297569">
              <w:rPr>
                <w:snapToGrid w:val="0"/>
                <w:sz w:val="22"/>
                <w:szCs w:val="22"/>
              </w:rPr>
              <w:t>reservationer</w:t>
            </w:r>
            <w:r w:rsidRPr="00297569">
              <w:rPr>
                <w:snapToGrid w:val="0"/>
                <w:sz w:val="22"/>
                <w:szCs w:val="22"/>
              </w:rPr>
              <w:t>.</w:t>
            </w:r>
          </w:p>
          <w:p w14:paraId="0E5EDFE3" w14:textId="4ED5A3D4" w:rsidR="006E6D2D" w:rsidRPr="006E6D2D" w:rsidRDefault="006E6D2D" w:rsidP="006E6D2D">
            <w:pPr>
              <w:rPr>
                <w:b/>
                <w:snapToGrid w:val="0"/>
                <w:sz w:val="22"/>
                <w:szCs w:val="22"/>
              </w:rPr>
            </w:pPr>
          </w:p>
        </w:tc>
      </w:tr>
      <w:tr w:rsidR="00493F37" w:rsidRPr="006E6D2D" w14:paraId="0F699D4F" w14:textId="77777777" w:rsidTr="00813C3F">
        <w:trPr>
          <w:gridBefore w:val="1"/>
          <w:gridAfter w:val="2"/>
          <w:wBefore w:w="2197" w:type="dxa"/>
          <w:wAfter w:w="355" w:type="dxa"/>
        </w:trPr>
        <w:tc>
          <w:tcPr>
            <w:tcW w:w="567" w:type="dxa"/>
          </w:tcPr>
          <w:p w14:paraId="7136D6B9" w14:textId="26A76E09" w:rsidR="00493F37" w:rsidRPr="00297569" w:rsidRDefault="00493F37" w:rsidP="00C5706E">
            <w:pPr>
              <w:tabs>
                <w:tab w:val="left" w:pos="1701"/>
              </w:tabs>
              <w:rPr>
                <w:b/>
                <w:snapToGrid w:val="0"/>
                <w:sz w:val="22"/>
                <w:szCs w:val="22"/>
              </w:rPr>
            </w:pPr>
            <w:r w:rsidRPr="00297569">
              <w:rPr>
                <w:b/>
                <w:snapToGrid w:val="0"/>
                <w:sz w:val="22"/>
                <w:szCs w:val="22"/>
              </w:rPr>
              <w:t xml:space="preserve">§ </w:t>
            </w:r>
            <w:r w:rsidR="00297569" w:rsidRPr="00297569">
              <w:rPr>
                <w:b/>
                <w:snapToGrid w:val="0"/>
                <w:sz w:val="22"/>
                <w:szCs w:val="22"/>
              </w:rPr>
              <w:t>8</w:t>
            </w:r>
          </w:p>
        </w:tc>
        <w:tc>
          <w:tcPr>
            <w:tcW w:w="6946" w:type="dxa"/>
            <w:gridSpan w:val="17"/>
          </w:tcPr>
          <w:p w14:paraId="3FC41116" w14:textId="21251C7C" w:rsidR="00493F37" w:rsidRPr="00297569" w:rsidRDefault="006E6D2D" w:rsidP="006E6D2D">
            <w:pPr>
              <w:widowControl/>
              <w:rPr>
                <w:b/>
                <w:color w:val="000000"/>
                <w:sz w:val="22"/>
                <w:szCs w:val="22"/>
              </w:rPr>
            </w:pPr>
            <w:r w:rsidRPr="00297569">
              <w:rPr>
                <w:b/>
                <w:color w:val="000000"/>
                <w:sz w:val="22"/>
                <w:szCs w:val="22"/>
              </w:rPr>
              <w:t>Forskning och innovation för framtid, nyfikenhet och nytta (MJU7y)</w:t>
            </w:r>
          </w:p>
          <w:p w14:paraId="27C27593" w14:textId="6A25488A" w:rsidR="006E6D2D" w:rsidRPr="00297569" w:rsidRDefault="006E6D2D" w:rsidP="006E6D2D">
            <w:pPr>
              <w:widowControl/>
              <w:rPr>
                <w:b/>
                <w:color w:val="000000"/>
                <w:sz w:val="22"/>
                <w:szCs w:val="22"/>
              </w:rPr>
            </w:pPr>
          </w:p>
          <w:p w14:paraId="47CE362C" w14:textId="00351FBF" w:rsidR="006E6D2D" w:rsidRPr="00297569" w:rsidRDefault="006E6D2D" w:rsidP="006E6D2D">
            <w:pPr>
              <w:tabs>
                <w:tab w:val="left" w:pos="1701"/>
              </w:tabs>
              <w:rPr>
                <w:bCs/>
                <w:sz w:val="22"/>
                <w:szCs w:val="22"/>
              </w:rPr>
            </w:pPr>
            <w:r w:rsidRPr="00297569">
              <w:rPr>
                <w:bCs/>
                <w:sz w:val="22"/>
                <w:szCs w:val="22"/>
              </w:rPr>
              <w:t>Utskottet fortsatte behandlingen av frågan om ett yttrande till utbildnings</w:t>
            </w:r>
            <w:r w:rsidR="00297569" w:rsidRPr="00297569">
              <w:rPr>
                <w:bCs/>
                <w:sz w:val="22"/>
                <w:szCs w:val="22"/>
              </w:rPr>
              <w:t>-</w:t>
            </w:r>
            <w:r w:rsidRPr="00297569">
              <w:rPr>
                <w:bCs/>
                <w:sz w:val="22"/>
                <w:szCs w:val="22"/>
              </w:rPr>
              <w:t>utskottet över proposition 2024/25:60 och motioner.</w:t>
            </w:r>
          </w:p>
          <w:p w14:paraId="4D010628" w14:textId="77777777" w:rsidR="006E6D2D" w:rsidRPr="00297569" w:rsidRDefault="006E6D2D" w:rsidP="006E6D2D">
            <w:pPr>
              <w:tabs>
                <w:tab w:val="left" w:pos="1701"/>
              </w:tabs>
              <w:rPr>
                <w:bCs/>
                <w:sz w:val="22"/>
                <w:szCs w:val="22"/>
              </w:rPr>
            </w:pPr>
          </w:p>
          <w:p w14:paraId="3B561402" w14:textId="2F64EBF3" w:rsidR="006E6D2D" w:rsidRPr="00297569" w:rsidRDefault="006E6D2D" w:rsidP="006E6D2D">
            <w:pPr>
              <w:tabs>
                <w:tab w:val="left" w:pos="1701"/>
              </w:tabs>
              <w:rPr>
                <w:bCs/>
                <w:snapToGrid w:val="0"/>
                <w:sz w:val="22"/>
                <w:szCs w:val="22"/>
              </w:rPr>
            </w:pPr>
            <w:r w:rsidRPr="00297569">
              <w:rPr>
                <w:bCs/>
                <w:snapToGrid w:val="0"/>
                <w:sz w:val="22"/>
                <w:szCs w:val="22"/>
              </w:rPr>
              <w:t>Utskottet justerade yttrandet 2024/</w:t>
            </w:r>
            <w:proofErr w:type="gramStart"/>
            <w:r w:rsidRPr="00297569">
              <w:rPr>
                <w:bCs/>
                <w:snapToGrid w:val="0"/>
                <w:sz w:val="22"/>
                <w:szCs w:val="22"/>
              </w:rPr>
              <w:t>25:MJU</w:t>
            </w:r>
            <w:proofErr w:type="gramEnd"/>
            <w:r w:rsidRPr="00297569">
              <w:rPr>
                <w:bCs/>
                <w:snapToGrid w:val="0"/>
                <w:sz w:val="22"/>
                <w:szCs w:val="22"/>
              </w:rPr>
              <w:t>7y.</w:t>
            </w:r>
          </w:p>
          <w:p w14:paraId="704A64A5" w14:textId="77777777" w:rsidR="006E6D2D" w:rsidRPr="00297569" w:rsidRDefault="006E6D2D" w:rsidP="006E6D2D">
            <w:pPr>
              <w:tabs>
                <w:tab w:val="left" w:pos="1701"/>
              </w:tabs>
              <w:rPr>
                <w:bCs/>
                <w:snapToGrid w:val="0"/>
                <w:sz w:val="22"/>
                <w:szCs w:val="22"/>
              </w:rPr>
            </w:pPr>
          </w:p>
          <w:p w14:paraId="335CC28E" w14:textId="24C26137" w:rsidR="006E6D2D" w:rsidRPr="00297569" w:rsidRDefault="003F0869" w:rsidP="006E6D2D">
            <w:pPr>
              <w:widowControl/>
              <w:rPr>
                <w:b/>
                <w:color w:val="000000"/>
                <w:sz w:val="22"/>
                <w:szCs w:val="22"/>
              </w:rPr>
            </w:pPr>
            <w:r w:rsidRPr="003F0869">
              <w:rPr>
                <w:bCs/>
                <w:snapToGrid w:val="0"/>
                <w:sz w:val="22"/>
                <w:szCs w:val="22"/>
              </w:rPr>
              <w:t>S</w:t>
            </w:r>
            <w:r w:rsidR="006E6D2D" w:rsidRPr="003F0869">
              <w:rPr>
                <w:bCs/>
                <w:snapToGrid w:val="0"/>
                <w:sz w:val="22"/>
                <w:szCs w:val="22"/>
              </w:rPr>
              <w:t>-</w:t>
            </w:r>
            <w:r w:rsidRPr="003F0869">
              <w:rPr>
                <w:bCs/>
                <w:snapToGrid w:val="0"/>
                <w:sz w:val="22"/>
                <w:szCs w:val="22"/>
              </w:rPr>
              <w:t>, C-</w:t>
            </w:r>
            <w:r w:rsidR="006E6D2D" w:rsidRPr="003F0869">
              <w:rPr>
                <w:bCs/>
                <w:snapToGrid w:val="0"/>
                <w:sz w:val="22"/>
                <w:szCs w:val="22"/>
              </w:rPr>
              <w:t xml:space="preserve"> och MP-ledamöterna anmälde</w:t>
            </w:r>
            <w:r w:rsidR="006E6D2D" w:rsidRPr="00297569">
              <w:rPr>
                <w:bCs/>
                <w:snapToGrid w:val="0"/>
                <w:sz w:val="22"/>
                <w:szCs w:val="22"/>
              </w:rPr>
              <w:t xml:space="preserve"> avvikande meningar.</w:t>
            </w:r>
          </w:p>
          <w:p w14:paraId="5FD87E14" w14:textId="6116B900" w:rsidR="00493F37" w:rsidRPr="00297569" w:rsidRDefault="00493F37" w:rsidP="00493F37">
            <w:pPr>
              <w:tabs>
                <w:tab w:val="left" w:pos="1701"/>
              </w:tabs>
              <w:rPr>
                <w:b/>
                <w:snapToGrid w:val="0"/>
                <w:sz w:val="22"/>
                <w:szCs w:val="22"/>
              </w:rPr>
            </w:pPr>
          </w:p>
        </w:tc>
      </w:tr>
      <w:tr w:rsidR="00493F37" w:rsidRPr="006E6D2D" w14:paraId="43392ADC" w14:textId="77777777" w:rsidTr="00813C3F">
        <w:trPr>
          <w:gridBefore w:val="1"/>
          <w:gridAfter w:val="2"/>
          <w:wBefore w:w="2197" w:type="dxa"/>
          <w:wAfter w:w="355" w:type="dxa"/>
        </w:trPr>
        <w:tc>
          <w:tcPr>
            <w:tcW w:w="567" w:type="dxa"/>
          </w:tcPr>
          <w:p w14:paraId="433A8ED6" w14:textId="1E6DCB87" w:rsidR="00493F37" w:rsidRPr="00297569" w:rsidRDefault="00493F37" w:rsidP="00C5706E">
            <w:pPr>
              <w:tabs>
                <w:tab w:val="left" w:pos="1701"/>
              </w:tabs>
              <w:rPr>
                <w:b/>
                <w:snapToGrid w:val="0"/>
                <w:sz w:val="22"/>
                <w:szCs w:val="22"/>
              </w:rPr>
            </w:pPr>
            <w:r w:rsidRPr="00297569">
              <w:rPr>
                <w:b/>
                <w:snapToGrid w:val="0"/>
                <w:sz w:val="22"/>
                <w:szCs w:val="22"/>
              </w:rPr>
              <w:t xml:space="preserve">§ </w:t>
            </w:r>
            <w:r w:rsidR="00297569" w:rsidRPr="00297569">
              <w:rPr>
                <w:b/>
                <w:snapToGrid w:val="0"/>
                <w:sz w:val="22"/>
                <w:szCs w:val="22"/>
              </w:rPr>
              <w:t>9</w:t>
            </w:r>
          </w:p>
          <w:p w14:paraId="4E3C7424" w14:textId="749996C9" w:rsidR="00493F37" w:rsidRPr="00297569" w:rsidRDefault="00493F37" w:rsidP="00C5706E">
            <w:pPr>
              <w:tabs>
                <w:tab w:val="left" w:pos="1701"/>
              </w:tabs>
              <w:rPr>
                <w:b/>
                <w:snapToGrid w:val="0"/>
                <w:sz w:val="22"/>
                <w:szCs w:val="22"/>
              </w:rPr>
            </w:pPr>
          </w:p>
        </w:tc>
        <w:tc>
          <w:tcPr>
            <w:tcW w:w="6946" w:type="dxa"/>
            <w:gridSpan w:val="17"/>
          </w:tcPr>
          <w:p w14:paraId="78E8438F" w14:textId="77777777" w:rsidR="006E6D2D" w:rsidRPr="00297569" w:rsidRDefault="006E6D2D" w:rsidP="006E6D2D">
            <w:pPr>
              <w:widowControl/>
              <w:rPr>
                <w:b/>
                <w:color w:val="000000"/>
                <w:sz w:val="22"/>
                <w:szCs w:val="22"/>
              </w:rPr>
            </w:pPr>
            <w:r w:rsidRPr="00297569">
              <w:rPr>
                <w:b/>
                <w:color w:val="000000"/>
                <w:sz w:val="22"/>
                <w:szCs w:val="22"/>
              </w:rPr>
              <w:t>Riksrevisionens rapport om Industriklivet (MJU15)</w:t>
            </w:r>
          </w:p>
          <w:p w14:paraId="62EF58E7" w14:textId="77777777" w:rsidR="006E6D2D" w:rsidRPr="00297569" w:rsidRDefault="006E6D2D" w:rsidP="006E6D2D">
            <w:pPr>
              <w:ind w:left="1600"/>
              <w:rPr>
                <w:color w:val="000000"/>
                <w:sz w:val="22"/>
                <w:szCs w:val="22"/>
              </w:rPr>
            </w:pPr>
          </w:p>
          <w:p w14:paraId="5AE7B1DA" w14:textId="32D76E28" w:rsidR="00493F37" w:rsidRPr="00297569" w:rsidRDefault="006E6D2D" w:rsidP="006E6D2D">
            <w:pPr>
              <w:rPr>
                <w:color w:val="000000"/>
                <w:sz w:val="22"/>
                <w:szCs w:val="22"/>
              </w:rPr>
            </w:pPr>
            <w:r w:rsidRPr="00297569">
              <w:rPr>
                <w:color w:val="000000"/>
                <w:sz w:val="22"/>
                <w:szCs w:val="22"/>
              </w:rPr>
              <w:t>Utskottet fortsatte beredningen av skrivelse 2024/25:84 och motioner.</w:t>
            </w:r>
          </w:p>
          <w:p w14:paraId="193FE540" w14:textId="434A8372" w:rsidR="006E6D2D" w:rsidRPr="00297569" w:rsidRDefault="006E6D2D" w:rsidP="006E6D2D">
            <w:pPr>
              <w:rPr>
                <w:color w:val="000000"/>
                <w:sz w:val="22"/>
                <w:szCs w:val="22"/>
              </w:rPr>
            </w:pPr>
          </w:p>
          <w:p w14:paraId="1CA172ED" w14:textId="65A62B49" w:rsidR="006E6D2D" w:rsidRPr="00297569" w:rsidRDefault="006E6D2D" w:rsidP="006E6D2D">
            <w:pPr>
              <w:rPr>
                <w:color w:val="000000"/>
                <w:sz w:val="22"/>
                <w:szCs w:val="22"/>
              </w:rPr>
            </w:pPr>
            <w:r w:rsidRPr="00297569">
              <w:rPr>
                <w:color w:val="000000"/>
                <w:sz w:val="22"/>
                <w:szCs w:val="22"/>
              </w:rPr>
              <w:t>Ärendet bordlades.</w:t>
            </w:r>
          </w:p>
          <w:p w14:paraId="004070EF" w14:textId="72B312DE" w:rsidR="006E6D2D" w:rsidRPr="00297569" w:rsidRDefault="006E6D2D" w:rsidP="006E6D2D">
            <w:pPr>
              <w:rPr>
                <w:b/>
                <w:snapToGrid w:val="0"/>
                <w:sz w:val="22"/>
                <w:szCs w:val="22"/>
              </w:rPr>
            </w:pPr>
          </w:p>
        </w:tc>
      </w:tr>
      <w:tr w:rsidR="00493F37" w:rsidRPr="00297569" w14:paraId="36561A26" w14:textId="77777777" w:rsidTr="00813C3F">
        <w:trPr>
          <w:gridBefore w:val="1"/>
          <w:gridAfter w:val="2"/>
          <w:wBefore w:w="2197" w:type="dxa"/>
          <w:wAfter w:w="355" w:type="dxa"/>
        </w:trPr>
        <w:tc>
          <w:tcPr>
            <w:tcW w:w="567" w:type="dxa"/>
          </w:tcPr>
          <w:p w14:paraId="41736808" w14:textId="651B7132" w:rsidR="00493F37" w:rsidRPr="00297569" w:rsidRDefault="006E6D2D" w:rsidP="00C5706E">
            <w:pPr>
              <w:tabs>
                <w:tab w:val="left" w:pos="1701"/>
              </w:tabs>
              <w:rPr>
                <w:b/>
                <w:snapToGrid w:val="0"/>
                <w:sz w:val="22"/>
                <w:szCs w:val="22"/>
              </w:rPr>
            </w:pPr>
            <w:r w:rsidRPr="00297569">
              <w:rPr>
                <w:b/>
                <w:snapToGrid w:val="0"/>
                <w:sz w:val="22"/>
                <w:szCs w:val="22"/>
              </w:rPr>
              <w:t xml:space="preserve">§ </w:t>
            </w:r>
            <w:r w:rsidR="00297569" w:rsidRPr="00297569">
              <w:rPr>
                <w:b/>
                <w:snapToGrid w:val="0"/>
                <w:sz w:val="22"/>
                <w:szCs w:val="22"/>
              </w:rPr>
              <w:t>10</w:t>
            </w:r>
          </w:p>
          <w:p w14:paraId="55A22AF8" w14:textId="4EE850DF" w:rsidR="006E6D2D" w:rsidRPr="00297569" w:rsidRDefault="006E6D2D" w:rsidP="00C5706E">
            <w:pPr>
              <w:tabs>
                <w:tab w:val="left" w:pos="1701"/>
              </w:tabs>
              <w:rPr>
                <w:b/>
                <w:snapToGrid w:val="0"/>
                <w:sz w:val="22"/>
                <w:szCs w:val="22"/>
              </w:rPr>
            </w:pPr>
          </w:p>
        </w:tc>
        <w:tc>
          <w:tcPr>
            <w:tcW w:w="6946" w:type="dxa"/>
            <w:gridSpan w:val="17"/>
          </w:tcPr>
          <w:p w14:paraId="4BC76E70" w14:textId="5CC92686" w:rsidR="00297569" w:rsidRPr="00297569" w:rsidRDefault="00297569" w:rsidP="00297569">
            <w:pPr>
              <w:widowControl/>
              <w:rPr>
                <w:b/>
                <w:color w:val="000000"/>
                <w:sz w:val="22"/>
                <w:szCs w:val="22"/>
              </w:rPr>
            </w:pPr>
            <w:r w:rsidRPr="00297569">
              <w:rPr>
                <w:b/>
                <w:sz w:val="22"/>
                <w:szCs w:val="22"/>
              </w:rPr>
              <w:t>Ny strategi för levande och trygga städer (MJU8y)</w:t>
            </w:r>
            <w:r w:rsidRPr="00297569">
              <w:rPr>
                <w:b/>
                <w:sz w:val="22"/>
                <w:szCs w:val="22"/>
              </w:rPr>
              <w:br/>
            </w:r>
          </w:p>
          <w:p w14:paraId="3CE49767" w14:textId="108AFD77" w:rsidR="00297569" w:rsidRPr="00297569" w:rsidRDefault="00297569" w:rsidP="00297569">
            <w:pPr>
              <w:tabs>
                <w:tab w:val="left" w:pos="1701"/>
              </w:tabs>
              <w:rPr>
                <w:bCs/>
                <w:sz w:val="22"/>
                <w:szCs w:val="22"/>
              </w:rPr>
            </w:pPr>
            <w:r w:rsidRPr="00297569">
              <w:rPr>
                <w:bCs/>
                <w:sz w:val="22"/>
                <w:szCs w:val="22"/>
              </w:rPr>
              <w:t xml:space="preserve">Utskottet fortsatte behandlingen av frågan om ett yttrande till </w:t>
            </w:r>
            <w:r>
              <w:rPr>
                <w:bCs/>
                <w:sz w:val="22"/>
                <w:szCs w:val="22"/>
              </w:rPr>
              <w:t>civil</w:t>
            </w:r>
            <w:r w:rsidRPr="00297569">
              <w:rPr>
                <w:bCs/>
                <w:sz w:val="22"/>
                <w:szCs w:val="22"/>
              </w:rPr>
              <w:t>utskottet över proposition 2024/25:</w:t>
            </w:r>
            <w:r>
              <w:rPr>
                <w:bCs/>
                <w:sz w:val="22"/>
                <w:szCs w:val="22"/>
              </w:rPr>
              <w:t>96</w:t>
            </w:r>
            <w:r w:rsidRPr="00297569">
              <w:rPr>
                <w:bCs/>
                <w:sz w:val="22"/>
                <w:szCs w:val="22"/>
              </w:rPr>
              <w:t xml:space="preserve"> och motioner.</w:t>
            </w:r>
          </w:p>
          <w:p w14:paraId="4957549E" w14:textId="7C6228EE" w:rsidR="00493F37" w:rsidRPr="00297569" w:rsidRDefault="00297569" w:rsidP="00297569">
            <w:pPr>
              <w:widowControl/>
              <w:spacing w:after="200" w:line="280" w:lineRule="exact"/>
              <w:rPr>
                <w:b/>
                <w:snapToGrid w:val="0"/>
                <w:sz w:val="22"/>
                <w:szCs w:val="22"/>
              </w:rPr>
            </w:pPr>
            <w:r>
              <w:rPr>
                <w:bCs/>
                <w:sz w:val="22"/>
                <w:szCs w:val="22"/>
              </w:rPr>
              <w:br/>
            </w:r>
            <w:r w:rsidRPr="00297569">
              <w:rPr>
                <w:bCs/>
                <w:sz w:val="22"/>
                <w:szCs w:val="22"/>
              </w:rPr>
              <w:t>Fråga</w:t>
            </w:r>
            <w:r>
              <w:rPr>
                <w:bCs/>
                <w:sz w:val="22"/>
                <w:szCs w:val="22"/>
              </w:rPr>
              <w:t>n bordlades.</w:t>
            </w:r>
          </w:p>
        </w:tc>
      </w:tr>
      <w:tr w:rsidR="00D87D66" w:rsidRPr="00865593" w14:paraId="55FDDA9F" w14:textId="77777777" w:rsidTr="00813C3F">
        <w:trPr>
          <w:gridBefore w:val="1"/>
          <w:gridAfter w:val="2"/>
          <w:wBefore w:w="2197" w:type="dxa"/>
          <w:wAfter w:w="355" w:type="dxa"/>
        </w:trPr>
        <w:tc>
          <w:tcPr>
            <w:tcW w:w="567" w:type="dxa"/>
          </w:tcPr>
          <w:p w14:paraId="6292CA22" w14:textId="770A261B" w:rsidR="00D87D66" w:rsidRPr="00297569" w:rsidRDefault="00D87D66" w:rsidP="00C5706E">
            <w:pPr>
              <w:tabs>
                <w:tab w:val="left" w:pos="1701"/>
              </w:tabs>
              <w:rPr>
                <w:b/>
                <w:snapToGrid w:val="0"/>
                <w:sz w:val="22"/>
                <w:szCs w:val="22"/>
              </w:rPr>
            </w:pPr>
            <w:r w:rsidRPr="00297569">
              <w:rPr>
                <w:b/>
                <w:snapToGrid w:val="0"/>
                <w:sz w:val="22"/>
                <w:szCs w:val="22"/>
              </w:rPr>
              <w:t>§</w:t>
            </w:r>
            <w:r w:rsidR="00BD26CD">
              <w:rPr>
                <w:b/>
                <w:snapToGrid w:val="0"/>
                <w:sz w:val="22"/>
                <w:szCs w:val="22"/>
              </w:rPr>
              <w:t xml:space="preserve"> 11</w:t>
            </w:r>
            <w:r w:rsidRPr="00297569">
              <w:rPr>
                <w:b/>
                <w:snapToGrid w:val="0"/>
                <w:sz w:val="22"/>
                <w:szCs w:val="22"/>
              </w:rPr>
              <w:t xml:space="preserve"> </w:t>
            </w:r>
          </w:p>
        </w:tc>
        <w:tc>
          <w:tcPr>
            <w:tcW w:w="6946" w:type="dxa"/>
            <w:gridSpan w:val="17"/>
          </w:tcPr>
          <w:p w14:paraId="34615E88" w14:textId="77777777" w:rsidR="00D87D66" w:rsidRPr="00297569" w:rsidRDefault="005957E5" w:rsidP="002A14AC">
            <w:pPr>
              <w:rPr>
                <w:rFonts w:eastAsiaTheme="minorHAnsi"/>
                <w:bCs/>
                <w:color w:val="000000"/>
                <w:sz w:val="22"/>
                <w:szCs w:val="22"/>
                <w:lang w:eastAsia="en-US"/>
              </w:rPr>
            </w:pPr>
            <w:r w:rsidRPr="00297569">
              <w:rPr>
                <w:b/>
                <w:bCs/>
                <w:color w:val="000000"/>
                <w:sz w:val="22"/>
                <w:szCs w:val="22"/>
              </w:rPr>
              <w:t>Nästa sammanträde</w:t>
            </w:r>
          </w:p>
          <w:p w14:paraId="16745BA1" w14:textId="77777777" w:rsidR="00D87D66" w:rsidRPr="00297569" w:rsidRDefault="00D87D66" w:rsidP="002A14AC">
            <w:pPr>
              <w:rPr>
                <w:rFonts w:eastAsiaTheme="minorHAnsi"/>
                <w:bCs/>
                <w:color w:val="000000"/>
                <w:sz w:val="22"/>
                <w:szCs w:val="22"/>
                <w:lang w:eastAsia="en-US"/>
              </w:rPr>
            </w:pPr>
          </w:p>
          <w:p w14:paraId="08EBE943" w14:textId="2EA0F18A" w:rsidR="005957E5" w:rsidRPr="00297569" w:rsidRDefault="005957E5" w:rsidP="002A14AC">
            <w:pPr>
              <w:rPr>
                <w:snapToGrid w:val="0"/>
                <w:sz w:val="22"/>
                <w:szCs w:val="22"/>
              </w:rPr>
            </w:pPr>
            <w:r w:rsidRPr="00297569">
              <w:rPr>
                <w:snapToGrid w:val="0"/>
                <w:sz w:val="22"/>
                <w:szCs w:val="22"/>
              </w:rPr>
              <w:t>Nästa sammanträde äger rum</w:t>
            </w:r>
            <w:r w:rsidR="00493F37" w:rsidRPr="00297569">
              <w:rPr>
                <w:snapToGrid w:val="0"/>
                <w:sz w:val="22"/>
                <w:szCs w:val="22"/>
              </w:rPr>
              <w:t xml:space="preserve"> tis</w:t>
            </w:r>
            <w:r w:rsidRPr="00297569">
              <w:rPr>
                <w:snapToGrid w:val="0"/>
                <w:sz w:val="22"/>
                <w:szCs w:val="22"/>
              </w:rPr>
              <w:t>dagen den</w:t>
            </w:r>
            <w:r w:rsidR="008E6B40" w:rsidRPr="00297569">
              <w:rPr>
                <w:snapToGrid w:val="0"/>
                <w:sz w:val="22"/>
                <w:szCs w:val="22"/>
              </w:rPr>
              <w:t xml:space="preserve"> </w:t>
            </w:r>
            <w:r w:rsidR="00493F37" w:rsidRPr="00297569">
              <w:rPr>
                <w:snapToGrid w:val="0"/>
                <w:sz w:val="22"/>
                <w:szCs w:val="22"/>
              </w:rPr>
              <w:t>25</w:t>
            </w:r>
            <w:r w:rsidR="0003552F" w:rsidRPr="00297569">
              <w:rPr>
                <w:snapToGrid w:val="0"/>
                <w:sz w:val="22"/>
                <w:szCs w:val="22"/>
              </w:rPr>
              <w:t xml:space="preserve"> </w:t>
            </w:r>
            <w:r w:rsidR="00751FA0" w:rsidRPr="00297569">
              <w:rPr>
                <w:snapToGrid w:val="0"/>
                <w:sz w:val="22"/>
                <w:szCs w:val="22"/>
              </w:rPr>
              <w:t>mars</w:t>
            </w:r>
            <w:r w:rsidR="00D60FBE" w:rsidRPr="00297569">
              <w:rPr>
                <w:snapToGrid w:val="0"/>
                <w:sz w:val="22"/>
                <w:szCs w:val="22"/>
              </w:rPr>
              <w:t xml:space="preserve"> </w:t>
            </w:r>
            <w:r w:rsidR="00CB71B9" w:rsidRPr="008321D5">
              <w:rPr>
                <w:snapToGrid w:val="0"/>
                <w:sz w:val="22"/>
                <w:szCs w:val="22"/>
              </w:rPr>
              <w:t>202</w:t>
            </w:r>
            <w:r w:rsidR="00A25410" w:rsidRPr="008321D5">
              <w:rPr>
                <w:snapToGrid w:val="0"/>
                <w:sz w:val="22"/>
                <w:szCs w:val="22"/>
              </w:rPr>
              <w:t>5</w:t>
            </w:r>
            <w:r w:rsidRPr="008321D5">
              <w:rPr>
                <w:snapToGrid w:val="0"/>
                <w:sz w:val="22"/>
                <w:szCs w:val="22"/>
              </w:rPr>
              <w:t xml:space="preserve"> kl. </w:t>
            </w:r>
            <w:r w:rsidR="00493F37" w:rsidRPr="008321D5">
              <w:rPr>
                <w:snapToGrid w:val="0"/>
                <w:sz w:val="22"/>
                <w:szCs w:val="22"/>
              </w:rPr>
              <w:t>1</w:t>
            </w:r>
            <w:r w:rsidR="00297569" w:rsidRPr="008321D5">
              <w:rPr>
                <w:snapToGrid w:val="0"/>
                <w:sz w:val="22"/>
                <w:szCs w:val="22"/>
              </w:rPr>
              <w:t>0</w:t>
            </w:r>
            <w:r w:rsidR="00B664F7" w:rsidRPr="008321D5">
              <w:rPr>
                <w:snapToGrid w:val="0"/>
                <w:sz w:val="22"/>
                <w:szCs w:val="22"/>
              </w:rPr>
              <w:t>.</w:t>
            </w:r>
            <w:r w:rsidR="00297569" w:rsidRPr="008321D5">
              <w:rPr>
                <w:snapToGrid w:val="0"/>
                <w:sz w:val="22"/>
                <w:szCs w:val="22"/>
              </w:rPr>
              <w:t>15</w:t>
            </w:r>
            <w:r w:rsidR="00DA2753" w:rsidRPr="008321D5">
              <w:rPr>
                <w:snapToGrid w:val="0"/>
                <w:sz w:val="22"/>
                <w:szCs w:val="22"/>
              </w:rPr>
              <w:t>.</w:t>
            </w:r>
            <w:r w:rsidR="00DA2753" w:rsidRPr="00297569">
              <w:rPr>
                <w:snapToGrid w:val="0"/>
                <w:sz w:val="22"/>
                <w:szCs w:val="22"/>
              </w:rPr>
              <w:t xml:space="preserve"> </w:t>
            </w:r>
          </w:p>
          <w:p w14:paraId="5D60648A" w14:textId="77777777" w:rsidR="005957E5" w:rsidRPr="00297569" w:rsidRDefault="005957E5" w:rsidP="002A14AC">
            <w:pPr>
              <w:rPr>
                <w:rFonts w:eastAsiaTheme="minorHAnsi"/>
                <w:bCs/>
                <w:color w:val="000000"/>
                <w:sz w:val="22"/>
                <w:szCs w:val="22"/>
                <w:lang w:eastAsia="en-US"/>
              </w:rPr>
            </w:pPr>
          </w:p>
        </w:tc>
      </w:tr>
      <w:tr w:rsidR="00D5250E" w:rsidRPr="00865593" w14:paraId="179CF623" w14:textId="77777777" w:rsidTr="00813C3F">
        <w:trPr>
          <w:gridBefore w:val="1"/>
          <w:gridAfter w:val="4"/>
          <w:wBefore w:w="2197" w:type="dxa"/>
          <w:wAfter w:w="712" w:type="dxa"/>
        </w:trPr>
        <w:tc>
          <w:tcPr>
            <w:tcW w:w="7156" w:type="dxa"/>
            <w:gridSpan w:val="16"/>
          </w:tcPr>
          <w:p w14:paraId="06B8F376" w14:textId="77777777" w:rsidR="00D5250E" w:rsidRPr="00297569" w:rsidRDefault="00D5250E" w:rsidP="00D5250E">
            <w:pPr>
              <w:tabs>
                <w:tab w:val="left" w:pos="1701"/>
              </w:tabs>
              <w:rPr>
                <w:sz w:val="22"/>
                <w:szCs w:val="22"/>
              </w:rPr>
            </w:pPr>
          </w:p>
          <w:p w14:paraId="0060A65A" w14:textId="77777777" w:rsidR="00D5250E" w:rsidRPr="00297569" w:rsidRDefault="00D5250E" w:rsidP="00D5250E">
            <w:pPr>
              <w:tabs>
                <w:tab w:val="left" w:pos="1701"/>
              </w:tabs>
              <w:rPr>
                <w:sz w:val="22"/>
                <w:szCs w:val="22"/>
              </w:rPr>
            </w:pPr>
            <w:r w:rsidRPr="00297569">
              <w:rPr>
                <w:sz w:val="22"/>
                <w:szCs w:val="22"/>
              </w:rPr>
              <w:t>Vid protokollet</w:t>
            </w:r>
          </w:p>
          <w:p w14:paraId="16DA6BD1" w14:textId="77777777" w:rsidR="00D5250E" w:rsidRPr="00297569" w:rsidRDefault="00D5250E" w:rsidP="00D5250E">
            <w:pPr>
              <w:tabs>
                <w:tab w:val="left" w:pos="1701"/>
              </w:tabs>
              <w:rPr>
                <w:sz w:val="22"/>
                <w:szCs w:val="22"/>
              </w:rPr>
            </w:pPr>
          </w:p>
          <w:p w14:paraId="5466EF57" w14:textId="147F8F28" w:rsidR="00FB0559" w:rsidRDefault="00FB0559" w:rsidP="00D5250E">
            <w:pPr>
              <w:tabs>
                <w:tab w:val="left" w:pos="1701"/>
              </w:tabs>
              <w:rPr>
                <w:sz w:val="22"/>
                <w:szCs w:val="22"/>
              </w:rPr>
            </w:pPr>
          </w:p>
          <w:p w14:paraId="0288544E" w14:textId="77777777" w:rsidR="00CC6E4F" w:rsidRPr="00297569" w:rsidRDefault="00CC6E4F" w:rsidP="00D5250E">
            <w:pPr>
              <w:tabs>
                <w:tab w:val="left" w:pos="1701"/>
              </w:tabs>
              <w:rPr>
                <w:sz w:val="22"/>
                <w:szCs w:val="22"/>
              </w:rPr>
            </w:pPr>
          </w:p>
          <w:p w14:paraId="4135DE1A" w14:textId="1D90EF2E" w:rsidR="00A10EBF" w:rsidRPr="00297569" w:rsidRDefault="00D5250E" w:rsidP="00157E3A">
            <w:pPr>
              <w:tabs>
                <w:tab w:val="left" w:pos="1701"/>
              </w:tabs>
              <w:rPr>
                <w:sz w:val="22"/>
                <w:szCs w:val="22"/>
              </w:rPr>
            </w:pPr>
            <w:r w:rsidRPr="00297569">
              <w:rPr>
                <w:sz w:val="22"/>
                <w:szCs w:val="22"/>
              </w:rPr>
              <w:t>Justeras den</w:t>
            </w:r>
            <w:r w:rsidR="00D60FBE" w:rsidRPr="00297569">
              <w:rPr>
                <w:sz w:val="22"/>
                <w:szCs w:val="22"/>
              </w:rPr>
              <w:t xml:space="preserve"> </w:t>
            </w:r>
            <w:r w:rsidR="00CC6E4F" w:rsidRPr="00297569">
              <w:rPr>
                <w:sz w:val="22"/>
                <w:szCs w:val="22"/>
              </w:rPr>
              <w:t>27</w:t>
            </w:r>
            <w:r w:rsidR="00B16183" w:rsidRPr="00297569">
              <w:rPr>
                <w:sz w:val="22"/>
                <w:szCs w:val="22"/>
              </w:rPr>
              <w:t xml:space="preserve"> </w:t>
            </w:r>
            <w:r w:rsidR="00E5426C" w:rsidRPr="00297569">
              <w:rPr>
                <w:sz w:val="22"/>
                <w:szCs w:val="22"/>
              </w:rPr>
              <w:t>mars</w:t>
            </w:r>
            <w:r w:rsidR="00D919F2" w:rsidRPr="00297569">
              <w:rPr>
                <w:sz w:val="22"/>
                <w:szCs w:val="22"/>
              </w:rPr>
              <w:t xml:space="preserve"> </w:t>
            </w:r>
            <w:r w:rsidR="00CB71B9" w:rsidRPr="00297569">
              <w:rPr>
                <w:sz w:val="22"/>
                <w:szCs w:val="22"/>
              </w:rPr>
              <w:t>202</w:t>
            </w:r>
            <w:r w:rsidR="00A25410" w:rsidRPr="00297569">
              <w:rPr>
                <w:sz w:val="22"/>
                <w:szCs w:val="22"/>
              </w:rPr>
              <w:t>5</w:t>
            </w:r>
          </w:p>
          <w:p w14:paraId="042630D0" w14:textId="2C26D6FC" w:rsidR="00987069" w:rsidRDefault="00987069" w:rsidP="00157E3A">
            <w:pPr>
              <w:tabs>
                <w:tab w:val="left" w:pos="1701"/>
              </w:tabs>
              <w:rPr>
                <w:sz w:val="22"/>
                <w:szCs w:val="22"/>
              </w:rPr>
            </w:pPr>
          </w:p>
          <w:p w14:paraId="69123F36" w14:textId="77777777" w:rsidR="0058016E" w:rsidRPr="00297569" w:rsidRDefault="0058016E" w:rsidP="00157E3A">
            <w:pPr>
              <w:tabs>
                <w:tab w:val="left" w:pos="1701"/>
              </w:tabs>
              <w:rPr>
                <w:sz w:val="22"/>
                <w:szCs w:val="22"/>
              </w:rPr>
            </w:pPr>
          </w:p>
          <w:p w14:paraId="3E257F98" w14:textId="77777777" w:rsidR="00987069" w:rsidRPr="00297569" w:rsidRDefault="00987069" w:rsidP="00157E3A">
            <w:pPr>
              <w:tabs>
                <w:tab w:val="left" w:pos="1701"/>
              </w:tabs>
              <w:rPr>
                <w:sz w:val="22"/>
                <w:szCs w:val="22"/>
              </w:rPr>
            </w:pPr>
          </w:p>
          <w:p w14:paraId="67BEA3C0" w14:textId="041E2BB6" w:rsidR="008321D5" w:rsidRPr="00297569" w:rsidRDefault="008321D5" w:rsidP="00157E3A">
            <w:pPr>
              <w:tabs>
                <w:tab w:val="left" w:pos="1701"/>
              </w:tabs>
              <w:rPr>
                <w:sz w:val="22"/>
                <w:szCs w:val="22"/>
              </w:rPr>
            </w:pPr>
            <w:r>
              <w:rPr>
                <w:sz w:val="22"/>
                <w:szCs w:val="22"/>
              </w:rPr>
              <w:t>Emma Nohrén</w:t>
            </w:r>
          </w:p>
        </w:tc>
      </w:tr>
      <w:tr w:rsidR="00813C3F" w:rsidRPr="00B40F4D" w14:paraId="0E4943FB" w14:textId="722A81B8" w:rsidTr="00813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42" w:type="dxa"/>
        </w:trPr>
        <w:tc>
          <w:tcPr>
            <w:tcW w:w="3968" w:type="dxa"/>
            <w:gridSpan w:val="3"/>
            <w:tcBorders>
              <w:top w:val="nil"/>
              <w:left w:val="nil"/>
              <w:bottom w:val="nil"/>
              <w:right w:val="nil"/>
            </w:tcBorders>
          </w:tcPr>
          <w:p w14:paraId="291CDA16" w14:textId="77777777" w:rsidR="00813C3F" w:rsidRPr="00B40F4D" w:rsidRDefault="00813C3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971" w:type="dxa"/>
            <w:gridSpan w:val="10"/>
            <w:tcBorders>
              <w:top w:val="nil"/>
              <w:left w:val="nil"/>
              <w:bottom w:val="nil"/>
              <w:right w:val="nil"/>
            </w:tcBorders>
          </w:tcPr>
          <w:p w14:paraId="52E737C3" w14:textId="77777777" w:rsidR="00813C3F" w:rsidRPr="00B40F4D" w:rsidRDefault="00813C3F" w:rsidP="002B7AED">
            <w:pPr>
              <w:tabs>
                <w:tab w:val="left" w:pos="1701"/>
              </w:tabs>
              <w:rPr>
                <w:b/>
                <w:sz w:val="22"/>
                <w:szCs w:val="22"/>
              </w:rPr>
            </w:pPr>
            <w:r w:rsidRPr="00B40F4D">
              <w:rPr>
                <w:b/>
                <w:sz w:val="22"/>
                <w:szCs w:val="22"/>
              </w:rPr>
              <w:t>NÄRVAROFÖRTECKNING</w:t>
            </w:r>
          </w:p>
        </w:tc>
        <w:tc>
          <w:tcPr>
            <w:tcW w:w="1984" w:type="dxa"/>
            <w:gridSpan w:val="7"/>
            <w:tcBorders>
              <w:top w:val="nil"/>
              <w:left w:val="nil"/>
              <w:bottom w:val="nil"/>
              <w:right w:val="nil"/>
            </w:tcBorders>
          </w:tcPr>
          <w:p w14:paraId="56233F9E" w14:textId="77777777" w:rsidR="00813C3F" w:rsidRPr="00B40F4D" w:rsidRDefault="00813C3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63BF7716" w14:textId="214C8118" w:rsidR="00813C3F" w:rsidRPr="00B40F4D" w:rsidRDefault="00813C3F" w:rsidP="002B7AED">
            <w:pPr>
              <w:tabs>
                <w:tab w:val="left" w:pos="1701"/>
              </w:tabs>
              <w:rPr>
                <w:b/>
                <w:sz w:val="22"/>
                <w:szCs w:val="22"/>
              </w:rPr>
            </w:pPr>
            <w:r w:rsidRPr="00B40F4D">
              <w:rPr>
                <w:sz w:val="22"/>
                <w:szCs w:val="22"/>
              </w:rPr>
              <w:t>prot. 20</w:t>
            </w:r>
            <w:r>
              <w:rPr>
                <w:sz w:val="22"/>
                <w:szCs w:val="22"/>
              </w:rPr>
              <w:t>24</w:t>
            </w:r>
            <w:r w:rsidRPr="00B40F4D">
              <w:rPr>
                <w:sz w:val="22"/>
                <w:szCs w:val="22"/>
              </w:rPr>
              <w:t>/2</w:t>
            </w:r>
            <w:r>
              <w:rPr>
                <w:sz w:val="22"/>
                <w:szCs w:val="22"/>
              </w:rPr>
              <w:t>5</w:t>
            </w:r>
            <w:r w:rsidRPr="00B40F4D">
              <w:rPr>
                <w:sz w:val="22"/>
                <w:szCs w:val="22"/>
              </w:rPr>
              <w:t>:</w:t>
            </w:r>
            <w:r>
              <w:rPr>
                <w:sz w:val="22"/>
                <w:szCs w:val="22"/>
              </w:rPr>
              <w:t>27</w:t>
            </w:r>
          </w:p>
        </w:tc>
      </w:tr>
      <w:tr w:rsidR="00813C3F" w:rsidRPr="00B40F4D" w14:paraId="5E9D1058" w14:textId="434881F3" w:rsidTr="00813C3F">
        <w:tblPrEx>
          <w:tblLook w:val="0000" w:firstRow="0" w:lastRow="0" w:firstColumn="0" w:lastColumn="0" w:noHBand="0" w:noVBand="0"/>
        </w:tblPrEx>
        <w:trPr>
          <w:gridAfter w:val="1"/>
          <w:wAfter w:w="142" w:type="dxa"/>
          <w:cantSplit/>
        </w:trPr>
        <w:tc>
          <w:tcPr>
            <w:tcW w:w="3968" w:type="dxa"/>
            <w:gridSpan w:val="3"/>
            <w:tcBorders>
              <w:top w:val="single" w:sz="6" w:space="0" w:color="auto"/>
              <w:left w:val="single" w:sz="6" w:space="0" w:color="auto"/>
              <w:bottom w:val="single" w:sz="6" w:space="0" w:color="auto"/>
              <w:right w:val="single" w:sz="6" w:space="0" w:color="auto"/>
            </w:tcBorders>
          </w:tcPr>
          <w:p w14:paraId="2BC1A4A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ED6D53D" w14:textId="315250E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556E24C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4724D3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2"/>
            <w:tcBorders>
              <w:top w:val="single" w:sz="6" w:space="0" w:color="auto"/>
              <w:left w:val="single" w:sz="6" w:space="0" w:color="auto"/>
              <w:bottom w:val="single" w:sz="6" w:space="0" w:color="auto"/>
              <w:right w:val="single" w:sz="6" w:space="0" w:color="auto"/>
            </w:tcBorders>
          </w:tcPr>
          <w:p w14:paraId="5C6187E9" w14:textId="04E235F6"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4–5</w:t>
            </w:r>
          </w:p>
        </w:tc>
        <w:tc>
          <w:tcPr>
            <w:tcW w:w="850" w:type="dxa"/>
            <w:gridSpan w:val="3"/>
            <w:tcBorders>
              <w:top w:val="single" w:sz="6" w:space="0" w:color="auto"/>
              <w:left w:val="single" w:sz="6" w:space="0" w:color="auto"/>
              <w:bottom w:val="single" w:sz="6" w:space="0" w:color="auto"/>
              <w:right w:val="single" w:sz="6" w:space="0" w:color="auto"/>
            </w:tcBorders>
          </w:tcPr>
          <w:p w14:paraId="24A7D435" w14:textId="753CCE8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6AC9D95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§7–8</w:t>
            </w:r>
          </w:p>
        </w:tc>
        <w:tc>
          <w:tcPr>
            <w:tcW w:w="851" w:type="dxa"/>
            <w:gridSpan w:val="4"/>
            <w:tcBorders>
              <w:top w:val="single" w:sz="6" w:space="0" w:color="auto"/>
              <w:left w:val="single" w:sz="6" w:space="0" w:color="auto"/>
              <w:bottom w:val="single" w:sz="4" w:space="0" w:color="auto"/>
              <w:right w:val="single" w:sz="6" w:space="0" w:color="auto"/>
            </w:tcBorders>
          </w:tcPr>
          <w:p w14:paraId="4FAE23E3" w14:textId="599502D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9–11</w:t>
            </w:r>
          </w:p>
        </w:tc>
      </w:tr>
      <w:tr w:rsidR="00813C3F" w:rsidRPr="00B40F4D" w14:paraId="5924FA1B" w14:textId="66A3A8C8"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4A88E5C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5C8891E8" w14:textId="72AD63E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4009BEB8" w14:textId="5F5B0C5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30EA965B" w14:textId="4429C27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4" w:space="0" w:color="auto"/>
            </w:tcBorders>
          </w:tcPr>
          <w:p w14:paraId="6232FD1C" w14:textId="73F3E1B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gridSpan w:val="2"/>
            <w:tcBorders>
              <w:top w:val="single" w:sz="4" w:space="0" w:color="auto"/>
              <w:left w:val="single" w:sz="4" w:space="0" w:color="auto"/>
              <w:bottom w:val="single" w:sz="4" w:space="0" w:color="auto"/>
              <w:right w:val="single" w:sz="4" w:space="0" w:color="auto"/>
            </w:tcBorders>
          </w:tcPr>
          <w:p w14:paraId="4E47C64F" w14:textId="299C4F26" w:rsidR="00813C3F"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N</w:t>
            </w:r>
          </w:p>
        </w:tc>
        <w:tc>
          <w:tcPr>
            <w:tcW w:w="426" w:type="dxa"/>
            <w:gridSpan w:val="2"/>
            <w:tcBorders>
              <w:top w:val="single" w:sz="4" w:space="0" w:color="auto"/>
              <w:left w:val="single" w:sz="4" w:space="0" w:color="auto"/>
              <w:bottom w:val="single" w:sz="4" w:space="0" w:color="auto"/>
              <w:right w:val="single" w:sz="4" w:space="0" w:color="auto"/>
            </w:tcBorders>
          </w:tcPr>
          <w:p w14:paraId="2F8F0162" w14:textId="6C9527CA" w:rsidR="00813C3F"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813C3F" w:rsidRPr="00B40F4D" w14:paraId="5B271E81" w14:textId="1C34E8B1"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7A9BBCF7" w14:textId="77777777" w:rsidR="00813C3F" w:rsidRPr="00070A5C" w:rsidRDefault="00813C3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04E22D1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90EAA8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6009A5B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53ECA03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22461A4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0E89B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26B273E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105DF6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13A0CFA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46C6FEB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5C77119" w14:textId="3124590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34CF8AD8" w14:textId="010FCA1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086B3C" w14:paraId="409490FE" w14:textId="190E5152"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06CA1B26" w14:textId="77777777" w:rsidR="00813C3F" w:rsidRPr="006A6B9D" w:rsidRDefault="00813C3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3090DB0A"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5DBB44CC"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6D26B923"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4507B662"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6882EB4E"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5AF2C71"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27140E2D"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1B2CE19"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2708B1FC"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4" w:space="0" w:color="auto"/>
            </w:tcBorders>
          </w:tcPr>
          <w:p w14:paraId="52A289FD"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3DFBD464" w14:textId="5A7964D9"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gridSpan w:val="2"/>
            <w:tcBorders>
              <w:top w:val="single" w:sz="4" w:space="0" w:color="auto"/>
              <w:left w:val="single" w:sz="4" w:space="0" w:color="auto"/>
              <w:bottom w:val="single" w:sz="4" w:space="0" w:color="auto"/>
              <w:right w:val="single" w:sz="4" w:space="0" w:color="auto"/>
            </w:tcBorders>
          </w:tcPr>
          <w:p w14:paraId="555269E4" w14:textId="1A90BEFE"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13C3F" w:rsidRPr="006B38D7" w14:paraId="410DF905" w14:textId="55B52505"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E8B3133" w14:textId="77777777" w:rsidR="00813C3F" w:rsidRPr="006A6B9D" w:rsidRDefault="00813C3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402FEAA5"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44F45DA8"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01997040"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6DC54C29"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018A0294"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088F6BA"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477097DC"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F414801"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488164E6"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4" w:space="0" w:color="auto"/>
            </w:tcBorders>
          </w:tcPr>
          <w:p w14:paraId="3D7B5F90"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189155AE" w14:textId="7E1EAED9"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gridSpan w:val="2"/>
            <w:tcBorders>
              <w:top w:val="single" w:sz="4" w:space="0" w:color="auto"/>
              <w:left w:val="single" w:sz="4" w:space="0" w:color="auto"/>
              <w:bottom w:val="single" w:sz="4" w:space="0" w:color="auto"/>
              <w:right w:val="single" w:sz="4" w:space="0" w:color="auto"/>
            </w:tcBorders>
          </w:tcPr>
          <w:p w14:paraId="215A1ED0" w14:textId="689789E0"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13C3F" w:rsidRPr="006B38D7" w14:paraId="2B93BAB8" w14:textId="195CDDEB"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50170943" w14:textId="71CA5212" w:rsidR="00813C3F" w:rsidRPr="005C4C18" w:rsidRDefault="00813C3F" w:rsidP="002B7AED">
            <w:pPr>
              <w:spacing w:line="256" w:lineRule="auto"/>
              <w:rPr>
                <w:sz w:val="22"/>
                <w:szCs w:val="22"/>
                <w:lang w:eastAsia="en-US"/>
              </w:rPr>
            </w:pPr>
            <w:r>
              <w:rPr>
                <w:sz w:val="22"/>
                <w:szCs w:val="22"/>
                <w:lang w:eastAsia="en-US"/>
              </w:rPr>
              <w:t>Anna-Caren Sätherberg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094997E2"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714B4EA6"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7673F68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1D9810B2"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2691A92E"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A7C6AD7"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457E9FA6"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26B70035"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D1D911"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4" w:space="0" w:color="auto"/>
            </w:tcBorders>
          </w:tcPr>
          <w:p w14:paraId="086F2965" w14:textId="77777777"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3961661F" w14:textId="7A26A8C0"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gridSpan w:val="2"/>
            <w:tcBorders>
              <w:top w:val="single" w:sz="4" w:space="0" w:color="auto"/>
              <w:left w:val="single" w:sz="4" w:space="0" w:color="auto"/>
              <w:bottom w:val="single" w:sz="4" w:space="0" w:color="auto"/>
              <w:right w:val="single" w:sz="4" w:space="0" w:color="auto"/>
            </w:tcBorders>
          </w:tcPr>
          <w:p w14:paraId="1ABA375F" w14:textId="381C8685" w:rsidR="00813C3F" w:rsidRPr="006A6B9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13C3F" w:rsidRPr="00917BEB" w14:paraId="41695CD6" w14:textId="74EAF76C"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5D6EF311" w14:textId="434B8818" w:rsidR="00813C3F" w:rsidRPr="00B24B9D" w:rsidRDefault="00813C3F" w:rsidP="002B7AED">
            <w:pPr>
              <w:spacing w:line="256" w:lineRule="auto"/>
              <w:rPr>
                <w:sz w:val="22"/>
                <w:szCs w:val="22"/>
                <w:lang w:val="en-US" w:eastAsia="en-US"/>
              </w:rPr>
            </w:pPr>
            <w:r w:rsidRPr="005C4C18">
              <w:rPr>
                <w:sz w:val="22"/>
                <w:szCs w:val="22"/>
                <w:lang w:eastAsia="en-US"/>
              </w:rPr>
              <w:t xml:space="preserve">John Widegren </w:t>
            </w:r>
            <w:r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675467B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4EF09A3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59C58A7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5951438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3D14132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35475D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25BF7D2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1FBAF9A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3A48041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4" w:space="0" w:color="auto"/>
            </w:tcBorders>
          </w:tcPr>
          <w:p w14:paraId="5FD9CBB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4" w:space="0" w:color="auto"/>
              <w:left w:val="single" w:sz="4" w:space="0" w:color="auto"/>
              <w:bottom w:val="single" w:sz="4" w:space="0" w:color="auto"/>
              <w:right w:val="single" w:sz="4" w:space="0" w:color="auto"/>
            </w:tcBorders>
          </w:tcPr>
          <w:p w14:paraId="77A2B591" w14:textId="3824B99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gridSpan w:val="2"/>
            <w:tcBorders>
              <w:top w:val="single" w:sz="4" w:space="0" w:color="auto"/>
              <w:left w:val="single" w:sz="4" w:space="0" w:color="auto"/>
              <w:bottom w:val="single" w:sz="4" w:space="0" w:color="auto"/>
              <w:right w:val="single" w:sz="4" w:space="0" w:color="auto"/>
            </w:tcBorders>
          </w:tcPr>
          <w:p w14:paraId="7522E81C" w14:textId="3495F34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813C3F" w:rsidRPr="00B40F4D" w14:paraId="089368ED" w14:textId="572F805E"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021B556A" w14:textId="77777777" w:rsidR="00813C3F" w:rsidRPr="00B40F4D" w:rsidRDefault="00813C3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2C1B63D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026530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A5E9C9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68DF4B1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462F31B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12DF8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3E30C61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A945D3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6C98BAE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75563DF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388724E" w14:textId="73EFFE9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545C7C46" w14:textId="2962EF7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415E1E27" w14:textId="7B18795F"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A2CF0E4" w14:textId="77777777" w:rsidR="00813C3F" w:rsidRDefault="00813C3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31D22E2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B9CABB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6AA991F6"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4F4D707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1B9335B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BF6977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02D1FE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20A881E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2E7228E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4" w:space="0" w:color="auto"/>
            </w:tcBorders>
          </w:tcPr>
          <w:p w14:paraId="7406BBC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050DE0A" w14:textId="5905C31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tcPr>
          <w:p w14:paraId="74F51996" w14:textId="5F5739C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3E1E3D40" w14:textId="79E374DE"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52B790D0" w14:textId="77777777" w:rsidR="00813C3F" w:rsidRPr="005C4C18" w:rsidRDefault="00813C3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67429D4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C4AAAF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6516D0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1AEE9EC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980671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FA1C0F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0E2E955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75794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4A620BF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3FFF3EE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4E77A9A" w14:textId="4D19144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26075FB6" w14:textId="2B277CB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15BC2CD9" w14:textId="03EF94B9"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2920A5B4" w14:textId="37FA79F6" w:rsidR="00813C3F" w:rsidRPr="005C4C18" w:rsidRDefault="00813C3F" w:rsidP="002B7AED">
            <w:pPr>
              <w:spacing w:line="256" w:lineRule="auto"/>
              <w:rPr>
                <w:sz w:val="22"/>
                <w:szCs w:val="22"/>
                <w:lang w:eastAsia="en-US"/>
              </w:rPr>
            </w:pPr>
            <w:r w:rsidRPr="00467848">
              <w:rPr>
                <w:sz w:val="22"/>
                <w:szCs w:val="22"/>
              </w:rPr>
              <w:t xml:space="preserve">Helena Storckenfeldt </w:t>
            </w:r>
            <w:r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73E918A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60FBA0F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7CD147A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3E5340E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4E001E1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8CD378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2C235CE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580AF6F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37BC35A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4" w:space="0" w:color="auto"/>
            </w:tcBorders>
          </w:tcPr>
          <w:p w14:paraId="233079C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328468E" w14:textId="562ADA7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tcPr>
          <w:p w14:paraId="19293B40" w14:textId="42D6528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7BF82E55" w14:textId="5DD2C902"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6F112FBC" w14:textId="77777777" w:rsidR="00813C3F" w:rsidRPr="005C4C18" w:rsidRDefault="00813C3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135A283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091EB6A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3B72A9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415D961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58E794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7CBEC1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63AFFC4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032729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29EB021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4" w:space="0" w:color="auto"/>
            </w:tcBorders>
          </w:tcPr>
          <w:p w14:paraId="0D93D8F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C79AC5D" w14:textId="450C647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tcPr>
          <w:p w14:paraId="7A764BDB" w14:textId="21B29E9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6D411CB4" w14:textId="2749139C"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7B167D91" w14:textId="6495C4DC" w:rsidR="00813C3F" w:rsidRPr="005C4C18" w:rsidRDefault="00813C3F" w:rsidP="002B7AED">
            <w:pPr>
              <w:spacing w:line="256" w:lineRule="auto"/>
              <w:rPr>
                <w:sz w:val="22"/>
                <w:szCs w:val="22"/>
                <w:lang w:eastAsia="en-US"/>
              </w:rPr>
            </w:pPr>
            <w:r w:rsidRPr="0089370A">
              <w:rPr>
                <w:sz w:val="22"/>
                <w:szCs w:val="22"/>
                <w:lang w:eastAsia="en-US"/>
              </w:rPr>
              <w:t>Mattias Eriksson Falk (SD)</w:t>
            </w:r>
          </w:p>
        </w:tc>
        <w:tc>
          <w:tcPr>
            <w:tcW w:w="425" w:type="dxa"/>
            <w:tcBorders>
              <w:top w:val="single" w:sz="6" w:space="0" w:color="auto"/>
              <w:left w:val="single" w:sz="6" w:space="0" w:color="auto"/>
              <w:bottom w:val="single" w:sz="6" w:space="0" w:color="auto"/>
              <w:right w:val="single" w:sz="6" w:space="0" w:color="auto"/>
            </w:tcBorders>
          </w:tcPr>
          <w:p w14:paraId="28DC2C46" w14:textId="5063E50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19B320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24E990A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62ADD1F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5CF390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E84D54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16D50D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F271CD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095C1C2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12FC1F1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1EED01C" w14:textId="07781E6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398215AC" w14:textId="5DECD68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3C982056" w14:textId="4E8644B2"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75F70871" w14:textId="77777777" w:rsidR="00813C3F" w:rsidRDefault="00813C3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2356A2E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F11219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2F5E966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0134D3C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29CB062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DCC5FE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09C3DC7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199B2C9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6F1164F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1214A20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7FC87A6" w14:textId="2632123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10063902" w14:textId="4139F86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432CA3B1" w14:textId="59C5BB1F"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31D5584" w14:textId="16EF7F18" w:rsidR="00813C3F" w:rsidRPr="00B40F4D" w:rsidRDefault="00813C3F" w:rsidP="002B7AED">
            <w:pPr>
              <w:spacing w:line="256" w:lineRule="auto"/>
              <w:rPr>
                <w:sz w:val="22"/>
                <w:szCs w:val="22"/>
                <w:lang w:val="en-US" w:eastAsia="en-US"/>
              </w:rPr>
            </w:pPr>
            <w:r w:rsidRPr="00467848">
              <w:rPr>
                <w:sz w:val="22"/>
                <w:szCs w:val="22"/>
                <w:lang w:val="en-US"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14:paraId="07666D5E" w14:textId="4DB42B7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F7E5C6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5ABBE6E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441F560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6CB6D1F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B53346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39ECB0B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7E5409F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0665163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4" w:space="0" w:color="auto"/>
            </w:tcBorders>
          </w:tcPr>
          <w:p w14:paraId="70CEA8B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4" w:space="0" w:color="auto"/>
              <w:left w:val="single" w:sz="4" w:space="0" w:color="auto"/>
              <w:bottom w:val="single" w:sz="4" w:space="0" w:color="auto"/>
              <w:right w:val="single" w:sz="4" w:space="0" w:color="auto"/>
            </w:tcBorders>
          </w:tcPr>
          <w:p w14:paraId="30AEE954" w14:textId="69F2349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gridSpan w:val="2"/>
            <w:tcBorders>
              <w:top w:val="single" w:sz="4" w:space="0" w:color="auto"/>
              <w:left w:val="single" w:sz="4" w:space="0" w:color="auto"/>
              <w:bottom w:val="single" w:sz="4" w:space="0" w:color="auto"/>
              <w:right w:val="single" w:sz="4" w:space="0" w:color="auto"/>
            </w:tcBorders>
          </w:tcPr>
          <w:p w14:paraId="11A87359" w14:textId="32F3090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813C3F" w:rsidRPr="00B40F4D" w14:paraId="4A977B8A" w14:textId="065DE411"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2290A454" w14:textId="77777777" w:rsidR="00813C3F" w:rsidRPr="00917BEB" w:rsidRDefault="00813C3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3F4733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13598E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596C3D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017A190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3CA1D07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4A35F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484367B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BB4E13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6627228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4" w:space="0" w:color="auto"/>
            </w:tcBorders>
          </w:tcPr>
          <w:p w14:paraId="7BD2371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C63FD23" w14:textId="0BD8E99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gridSpan w:val="2"/>
            <w:tcBorders>
              <w:top w:val="single" w:sz="4" w:space="0" w:color="auto"/>
              <w:left w:val="single" w:sz="4" w:space="0" w:color="auto"/>
              <w:bottom w:val="single" w:sz="4" w:space="0" w:color="auto"/>
              <w:right w:val="single" w:sz="4" w:space="0" w:color="auto"/>
            </w:tcBorders>
          </w:tcPr>
          <w:p w14:paraId="5B0325A2" w14:textId="50E716D6"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4635683C" w14:textId="22C7A04E"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06B3A6B" w14:textId="77777777" w:rsidR="00813C3F" w:rsidRPr="005C4C18" w:rsidRDefault="00813C3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23F59A1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306925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33E44D0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938574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26C82AA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1CB9B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5CEFBE0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BDD304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3549AAB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4" w:space="0" w:color="auto"/>
            </w:tcBorders>
          </w:tcPr>
          <w:p w14:paraId="5115A3B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C41BC72" w14:textId="1B86F49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gridSpan w:val="2"/>
            <w:tcBorders>
              <w:top w:val="single" w:sz="4" w:space="0" w:color="auto"/>
              <w:left w:val="single" w:sz="4" w:space="0" w:color="auto"/>
              <w:bottom w:val="single" w:sz="4" w:space="0" w:color="auto"/>
              <w:right w:val="single" w:sz="4" w:space="0" w:color="auto"/>
            </w:tcBorders>
          </w:tcPr>
          <w:p w14:paraId="5F5D8BC1" w14:textId="7E89EC7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3ADC78F7" w14:textId="22C74687"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09ECA2B6" w14:textId="58BFEF66" w:rsidR="00813C3F" w:rsidRPr="005C4C18" w:rsidRDefault="00813C3F" w:rsidP="002B7AED">
            <w:pPr>
              <w:spacing w:line="256" w:lineRule="auto"/>
              <w:rPr>
                <w:sz w:val="22"/>
                <w:szCs w:val="22"/>
                <w:lang w:eastAsia="en-US"/>
              </w:rPr>
            </w:pPr>
            <w:r>
              <w:rPr>
                <w:sz w:val="22"/>
                <w:szCs w:val="22"/>
                <w:lang w:eastAsia="en-US"/>
              </w:rPr>
              <w:t>Victoria Tiblom (SD)</w:t>
            </w:r>
          </w:p>
        </w:tc>
        <w:tc>
          <w:tcPr>
            <w:tcW w:w="425" w:type="dxa"/>
            <w:tcBorders>
              <w:top w:val="single" w:sz="6" w:space="0" w:color="auto"/>
              <w:left w:val="single" w:sz="6" w:space="0" w:color="auto"/>
              <w:bottom w:val="single" w:sz="6" w:space="0" w:color="auto"/>
              <w:right w:val="single" w:sz="6" w:space="0" w:color="auto"/>
            </w:tcBorders>
          </w:tcPr>
          <w:p w14:paraId="562ADC95" w14:textId="20244CC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55D305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586CB0E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3DD6EC6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6818D09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6187FB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45958B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D8028D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5D9842D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325325C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004ADBC" w14:textId="236131E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51E97399" w14:textId="2A64971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37FCCDC9" w14:textId="04048429"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7196E61" w14:textId="3DC54311" w:rsidR="00813C3F" w:rsidRPr="00B40F4D" w:rsidRDefault="00813C3F" w:rsidP="002B7AED">
            <w:pPr>
              <w:spacing w:line="256" w:lineRule="auto"/>
              <w:rPr>
                <w:sz w:val="22"/>
                <w:szCs w:val="22"/>
                <w:lang w:eastAsia="en-US"/>
              </w:rPr>
            </w:pPr>
            <w:r w:rsidRPr="00467848">
              <w:rPr>
                <w:sz w:val="22"/>
                <w:szCs w:val="22"/>
                <w:lang w:eastAsia="en-US"/>
              </w:rPr>
              <w:t>Elin Nilsson (L)</w:t>
            </w:r>
          </w:p>
        </w:tc>
        <w:tc>
          <w:tcPr>
            <w:tcW w:w="425" w:type="dxa"/>
            <w:tcBorders>
              <w:top w:val="single" w:sz="6" w:space="0" w:color="auto"/>
              <w:left w:val="single" w:sz="6" w:space="0" w:color="auto"/>
              <w:bottom w:val="single" w:sz="6" w:space="0" w:color="auto"/>
              <w:right w:val="single" w:sz="6" w:space="0" w:color="auto"/>
            </w:tcBorders>
          </w:tcPr>
          <w:p w14:paraId="65AC4020" w14:textId="2BA2368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C24F10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5CCA9AA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1F3B37C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1B07D44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2CB8A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22AC9C2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1D8F318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5B155CD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34EE609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2E15AC8" w14:textId="62C4FD0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3C4EC8A0" w14:textId="61FD70E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6E6F5D3C" w14:textId="357370A7"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786F69B0" w14:textId="77777777" w:rsidR="00813C3F" w:rsidRPr="00B40F4D" w:rsidRDefault="00813C3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8D489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A6E46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6F187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42D7DE1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F26E3C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28B577EF" w14:textId="305A316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3D0A36C1" w14:textId="54C6C751"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4158BAF0" w14:textId="3B957C53" w:rsidR="00813C3F" w:rsidRPr="00B40F4D" w:rsidRDefault="00813C3F" w:rsidP="002B7AED">
            <w:pPr>
              <w:spacing w:line="256" w:lineRule="auto"/>
              <w:rPr>
                <w:b/>
                <w:i/>
                <w:sz w:val="22"/>
                <w:szCs w:val="22"/>
                <w:lang w:eastAsia="en-US"/>
              </w:rPr>
            </w:pPr>
            <w:r>
              <w:rPr>
                <w:sz w:val="22"/>
                <w:szCs w:val="22"/>
                <w:lang w:val="en-US" w:eastAsia="en-US"/>
              </w:rPr>
              <w:t>Runar Filper</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30F33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129B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F602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250146E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C6C433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68D950CE" w14:textId="7430BA6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402B589F" w14:textId="73FDDBA1"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4BE36959" w14:textId="77777777" w:rsidR="00813C3F" w:rsidRDefault="00813C3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2F39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BD653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289B5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23A9B25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3DA2E5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6CDFA5CC" w14:textId="4BE60EF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7FADD730" w14:textId="5AE87C1E"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59F39B42" w14:textId="422E8FCD" w:rsidR="00813C3F" w:rsidRDefault="00813C3F" w:rsidP="002B7AED">
            <w:pPr>
              <w:spacing w:line="256" w:lineRule="auto"/>
              <w:rPr>
                <w:sz w:val="22"/>
                <w:szCs w:val="22"/>
                <w:lang w:eastAsia="en-US"/>
              </w:rPr>
            </w:pPr>
            <w:r w:rsidRPr="007B60B1">
              <w:rPr>
                <w:sz w:val="22"/>
                <w:szCs w:val="22"/>
                <w:lang w:eastAsia="en-US"/>
              </w:rPr>
              <w:t>Joanna Lewerentz</w:t>
            </w:r>
            <w:r>
              <w:rPr>
                <w:sz w:val="22"/>
                <w:szCs w:val="22"/>
                <w:lang w:eastAsia="en-US"/>
              </w:rPr>
              <w:t xml:space="preserve"> </w:t>
            </w:r>
            <w:r w:rsidRPr="0046784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0912906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5552FE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39CD11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13FE562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1666847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609E83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52F0396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2EE65D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1516826"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72FA196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7FACF0D" w14:textId="3A2AFA2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23EE723A" w14:textId="077CC0B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4B4953A3" w14:textId="0DA0E10F"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4B254AFE" w14:textId="77777777" w:rsidR="00813C3F" w:rsidRPr="005C4C18" w:rsidRDefault="00813C3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83B154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80493E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120F1F7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1EBB56D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5F40A8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DAE55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64D6C9B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A4E1DB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4CE7BD2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7F7F220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10B3F00" w14:textId="1DCAE456"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6FE6A296" w14:textId="6B34BB8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6FCD7AA8" w14:textId="7DF83FC9"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571A8009" w14:textId="77777777" w:rsidR="00813C3F" w:rsidRDefault="00813C3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4A91A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BD51C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3133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77A77F5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8CF13B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37B4066B" w14:textId="4287A4E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6E2A7CAF" w14:textId="10670F37"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8E76CA7" w14:textId="77777777" w:rsidR="00813C3F" w:rsidRPr="00917BEB" w:rsidRDefault="00813C3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1709F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FE21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1BDB8A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489A9A9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5EB64D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5CBF6A60" w14:textId="42CD380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1E9862F7" w14:textId="3660C3F6"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6EFE24E1" w14:textId="2497249F" w:rsidR="00813C3F" w:rsidRPr="00B40F4D" w:rsidRDefault="00813C3F"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B6AB3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CA3D7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A1128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59E418C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480F89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394A7B1A" w14:textId="160BF9F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58B571C3" w14:textId="796159E7"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5719662F" w14:textId="77777777" w:rsidR="00813C3F" w:rsidRDefault="00813C3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841E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6C60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C08928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7760D41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6D1B4A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26C2DB5F" w14:textId="01F31DF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2C82CF80" w14:textId="1C668715"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43DA25F9" w14:textId="77777777" w:rsidR="00813C3F" w:rsidRDefault="00813C3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11CE2E5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14:paraId="5D67A14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08755A4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1B45A6E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2E44428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C39381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1F05F64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13BBEAA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6397FF1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40C3A44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9B72428" w14:textId="0BA685F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2458F39E" w14:textId="16A2AC4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63619A32" w14:textId="0386B6B7"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15F3DD0" w14:textId="77777777" w:rsidR="00813C3F" w:rsidRDefault="00813C3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66059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391D7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4CAFB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453A29C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496576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621C3470" w14:textId="79DF3F8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01B3E72B" w14:textId="6F14A219"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2656760" w14:textId="44CD1A2C" w:rsidR="00813C3F" w:rsidRPr="00F367F0" w:rsidRDefault="00813C3F" w:rsidP="002B7AED">
            <w:pPr>
              <w:tabs>
                <w:tab w:val="left" w:pos="2268"/>
                <w:tab w:val="left" w:pos="2977"/>
                <w:tab w:val="left" w:pos="4536"/>
              </w:tabs>
              <w:spacing w:line="256" w:lineRule="auto"/>
              <w:rPr>
                <w:sz w:val="22"/>
                <w:szCs w:val="22"/>
                <w:lang w:eastAsia="en-US"/>
              </w:rPr>
            </w:pPr>
            <w:r>
              <w:rPr>
                <w:sz w:val="22"/>
                <w:szCs w:val="22"/>
                <w:lang w:eastAsia="en-US"/>
              </w:rPr>
              <w:t>Sten Bergheden</w:t>
            </w:r>
            <w:r w:rsidRPr="005C4C18">
              <w:rPr>
                <w:sz w:val="22"/>
                <w:szCs w:val="22"/>
                <w:lang w:eastAsia="en-US"/>
              </w:rPr>
              <w:t xml:space="preserve"> </w:t>
            </w:r>
            <w:r w:rsidRPr="00F367F0">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8F89C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E4AB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B58F9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48D72BB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339C24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059B8B20" w14:textId="0836391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1D90E922" w14:textId="3B350FC9"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6DB80322" w14:textId="77777777" w:rsidR="00813C3F" w:rsidRDefault="00813C3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DAB949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94D2D6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6936576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098A6E6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2DD379F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8CB3A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42C6F35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2A4A56E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D0BE89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262CBE6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92053A9" w14:textId="0E6F377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7DAB5E98" w14:textId="5FECC3C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0C4C6E4D" w14:textId="3258DF7C"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5B4C846B" w14:textId="77777777" w:rsidR="00813C3F" w:rsidRPr="00917BEB" w:rsidRDefault="00813C3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3ED1B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FCD2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D0862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6F4A312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0FCDE6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1682720A" w14:textId="7FE0753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244C36B8" w14:textId="255DA2E1"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6B303E3C" w14:textId="0F112230" w:rsidR="00813C3F" w:rsidRPr="00917BEB" w:rsidRDefault="00813C3F" w:rsidP="002B7AED">
            <w:pPr>
              <w:tabs>
                <w:tab w:val="left" w:pos="2268"/>
                <w:tab w:val="left" w:pos="2977"/>
                <w:tab w:val="left" w:pos="4536"/>
              </w:tabs>
              <w:spacing w:line="256" w:lineRule="auto"/>
              <w:rPr>
                <w:sz w:val="22"/>
                <w:szCs w:val="22"/>
                <w:lang w:eastAsia="en-US"/>
              </w:rPr>
            </w:pPr>
            <w:r w:rsidRPr="007B60B1">
              <w:rPr>
                <w:sz w:val="22"/>
                <w:szCs w:val="22"/>
                <w:lang w:eastAsia="en-US"/>
              </w:rPr>
              <w:t>Helena Lindahl</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1E1ED945"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E11699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64C4792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5F1D7E7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355D30D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D29EB1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657224BF"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FB21E3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537C741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4" w:space="0" w:color="auto"/>
            </w:tcBorders>
          </w:tcPr>
          <w:p w14:paraId="234B8C2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1443960F" w14:textId="5BAEBF8B"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4" w:space="0" w:color="auto"/>
              <w:left w:val="single" w:sz="4" w:space="0" w:color="auto"/>
              <w:bottom w:val="single" w:sz="4" w:space="0" w:color="auto"/>
              <w:right w:val="single" w:sz="4" w:space="0" w:color="auto"/>
            </w:tcBorders>
          </w:tcPr>
          <w:p w14:paraId="143E62E3" w14:textId="251AE80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7BA12293" w14:textId="38646D71"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ADBEB11" w14:textId="06A94DA7" w:rsidR="00813C3F" w:rsidRPr="00917BEB" w:rsidRDefault="00813C3F" w:rsidP="002B7AED">
            <w:pPr>
              <w:tabs>
                <w:tab w:val="left" w:pos="2268"/>
                <w:tab w:val="left" w:pos="2977"/>
                <w:tab w:val="left" w:pos="4536"/>
              </w:tabs>
              <w:spacing w:line="256" w:lineRule="auto"/>
              <w:rPr>
                <w:sz w:val="22"/>
                <w:szCs w:val="22"/>
                <w:lang w:eastAsia="en-US"/>
              </w:rPr>
            </w:pPr>
            <w:r>
              <w:rPr>
                <w:sz w:val="22"/>
                <w:szCs w:val="22"/>
                <w:lang w:eastAsia="en-US"/>
              </w:rPr>
              <w:t>Camilla Mårtensen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A956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A8737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42409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75D15B1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2AC3FD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7FC74CC2" w14:textId="7CEF480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39347E6D" w14:textId="1BD89DF9"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6FB866B2" w14:textId="77777777" w:rsidR="00813C3F" w:rsidRDefault="00813C3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49F1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0F663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ACDCB1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5C0EA74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AD0879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603117B9" w14:textId="7DB1031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0400CB15" w14:textId="5667EBDF"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2DE2EC72" w14:textId="6F9D72FC" w:rsidR="00813C3F" w:rsidRPr="00917BEB" w:rsidRDefault="00813C3F" w:rsidP="002B7AED">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af Sillén </w:t>
            </w:r>
            <w:r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C94EE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A82B0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33139F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0BD84CA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A72B5B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6BD0B7C8" w14:textId="6809C90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1A30A44C" w14:textId="41275177"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00955D3" w14:textId="1F594090" w:rsidR="00813C3F" w:rsidRPr="005C4C18" w:rsidRDefault="00813C3F"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158C0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C653A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C90A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25D93E1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8F2072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1C6D2BF5" w14:textId="19D2040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65EEEE2F" w14:textId="233C14CC"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EBC40DE" w14:textId="00226404" w:rsidR="00813C3F" w:rsidRPr="005C4C18" w:rsidRDefault="00813C3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E7442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056C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67D40F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67C4048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4F4AE5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52F691D4" w14:textId="2CA22F1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230AD9FF" w14:textId="584542F0"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254A5B0D" w14:textId="0597A3DB" w:rsidR="00813C3F" w:rsidRPr="005C4C18" w:rsidRDefault="00813C3F"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DA745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1A3E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928A90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0A7419B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39F950E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7425D19E" w14:textId="3DC7EDC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1BCA4A7E" w14:textId="69E791D5"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2B8569D1" w14:textId="595B6E04" w:rsidR="00813C3F" w:rsidRPr="006A49EA" w:rsidRDefault="00813C3F"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3A712CB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0567143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606828A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2CC3659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53266FE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5411F0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66F8B2E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D9F22A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62B84D5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4" w:space="0" w:color="auto"/>
            </w:tcBorders>
          </w:tcPr>
          <w:p w14:paraId="390BFBD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0F12292" w14:textId="59F71B0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4" w:space="0" w:color="auto"/>
              <w:left w:val="single" w:sz="4" w:space="0" w:color="auto"/>
              <w:bottom w:val="single" w:sz="4" w:space="0" w:color="auto"/>
              <w:right w:val="single" w:sz="4" w:space="0" w:color="auto"/>
            </w:tcBorders>
          </w:tcPr>
          <w:p w14:paraId="73D286E5" w14:textId="68F4586C"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41AF32A6" w14:textId="6E8DFC52"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756C500B" w14:textId="7C836D99" w:rsidR="00813C3F" w:rsidRPr="005C4C18" w:rsidRDefault="00813C3F"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53669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CE325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90C1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0332749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5DF0CA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5815BCD0" w14:textId="33FEED36"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5AA8139E" w14:textId="54F96E79"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20B19C26" w14:textId="73EBD897" w:rsidR="00813C3F" w:rsidRPr="006A49EA" w:rsidRDefault="00813C3F" w:rsidP="002B7AED">
            <w:pPr>
              <w:tabs>
                <w:tab w:val="left" w:pos="2268"/>
                <w:tab w:val="left" w:pos="2977"/>
                <w:tab w:val="left" w:pos="4536"/>
              </w:tabs>
              <w:spacing w:line="256" w:lineRule="auto"/>
              <w:rPr>
                <w:sz w:val="22"/>
                <w:szCs w:val="22"/>
                <w:lang w:val="en-US" w:eastAsia="en-US"/>
              </w:rPr>
            </w:pPr>
            <w:r>
              <w:rPr>
                <w:sz w:val="22"/>
                <w:szCs w:val="22"/>
                <w:lang w:val="en-US" w:eastAsia="en-US"/>
              </w:rPr>
              <w:t>Roland Utbult</w:t>
            </w:r>
            <w:r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631AC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D348E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7E9DE2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59E5A99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2806DB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000FFBEA" w14:textId="390F7ECE"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4F45591F" w14:textId="003FFF54"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B739787" w14:textId="4519AE3C" w:rsidR="00813C3F" w:rsidRPr="006A49EA" w:rsidRDefault="00813C3F"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90437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B4B36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569719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6D8CD7F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0DCFE2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3232D94A" w14:textId="0E7385B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3A26A19E" w14:textId="63C6AD9D"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458C16E0" w14:textId="2D34B6A3" w:rsidR="00813C3F" w:rsidRPr="005C4C18" w:rsidRDefault="00813C3F" w:rsidP="002B7AED">
            <w:pPr>
              <w:tabs>
                <w:tab w:val="left" w:pos="2268"/>
                <w:tab w:val="left" w:pos="2977"/>
                <w:tab w:val="left" w:pos="4536"/>
              </w:tabs>
              <w:spacing w:line="256" w:lineRule="auto"/>
              <w:rPr>
                <w:sz w:val="22"/>
                <w:szCs w:val="22"/>
                <w:lang w:eastAsia="en-US"/>
              </w:rPr>
            </w:pPr>
            <w:r>
              <w:rPr>
                <w:sz w:val="22"/>
                <w:szCs w:val="22"/>
                <w:lang w:eastAsia="en-US"/>
              </w:rPr>
              <w:t xml:space="preserve">Katarina Luhr </w:t>
            </w:r>
            <w:r w:rsidRPr="006A49EA">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492F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CA8FE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EBEB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6AB4EE4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797EBF0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57FF3A9F" w14:textId="5779DF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2AC8F756" w14:textId="7578D6C0"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F8E9E24" w14:textId="6A80C9B1" w:rsidR="00813C3F" w:rsidRPr="005C4C18" w:rsidRDefault="00813C3F"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0706B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A3B87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BD326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4AC60C0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004E96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37D380A8" w14:textId="332A7CDD"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5348602A" w14:textId="47FB7F14"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9F96AA4" w14:textId="1026AE64" w:rsidR="00813C3F" w:rsidRPr="005C4C18" w:rsidRDefault="00813C3F"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2746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3AC5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39E0F7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16B906D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53BDCB3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1646F823" w14:textId="7FD61A5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2B2E99E6" w14:textId="3BAA1056"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3B1B09FA" w14:textId="622F00EF" w:rsidR="00813C3F" w:rsidRPr="006A49EA" w:rsidRDefault="00813C3F" w:rsidP="002B7AED">
            <w:pPr>
              <w:tabs>
                <w:tab w:val="left" w:pos="2268"/>
                <w:tab w:val="left" w:pos="2977"/>
                <w:tab w:val="left" w:pos="4536"/>
              </w:tabs>
              <w:spacing w:line="256" w:lineRule="auto"/>
              <w:rPr>
                <w:sz w:val="22"/>
                <w:szCs w:val="22"/>
                <w:lang w:eastAsia="en-US"/>
              </w:rPr>
            </w:pPr>
            <w:r w:rsidRPr="0040271E">
              <w:rPr>
                <w:sz w:val="22"/>
                <w:szCs w:val="22"/>
                <w:lang w:eastAsia="en-US"/>
              </w:rPr>
              <w:t>Malin Östh</w:t>
            </w:r>
            <w:r>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5B2EE"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D93F8"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91607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4" w:space="0" w:color="auto"/>
            </w:tcBorders>
          </w:tcPr>
          <w:p w14:paraId="0F00C26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48304BBB"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4" w:space="0" w:color="auto"/>
              <w:left w:val="single" w:sz="4" w:space="0" w:color="auto"/>
              <w:bottom w:val="single" w:sz="4" w:space="0" w:color="auto"/>
              <w:right w:val="single" w:sz="4" w:space="0" w:color="auto"/>
            </w:tcBorders>
          </w:tcPr>
          <w:p w14:paraId="064180DF" w14:textId="2FD2E1E1"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B40F4D" w14:paraId="139DAC0E" w14:textId="19F9A562"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12573444" w14:textId="1C166606" w:rsidR="00813C3F" w:rsidRDefault="00813C3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2CE4978"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E294696"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2C0CC3C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5AEC0D34"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04A0EB89"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2D7F7E7"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6DF49AB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AA9AFF3"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6C591BA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4" w:space="0" w:color="auto"/>
            </w:tcBorders>
          </w:tcPr>
          <w:p w14:paraId="32376EAD"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65E225D9" w14:textId="77D3B13A"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gridSpan w:val="2"/>
            <w:tcBorders>
              <w:top w:val="single" w:sz="4" w:space="0" w:color="auto"/>
              <w:left w:val="single" w:sz="4" w:space="0" w:color="auto"/>
              <w:bottom w:val="single" w:sz="4" w:space="0" w:color="auto"/>
              <w:right w:val="single" w:sz="4" w:space="0" w:color="auto"/>
            </w:tcBorders>
          </w:tcPr>
          <w:p w14:paraId="194A6730" w14:textId="0E2CC083"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13C3F" w:rsidRPr="00086B3C" w14:paraId="67D6C8BA" w14:textId="566553F5" w:rsidTr="00813C3F">
        <w:tblPrEx>
          <w:tblLook w:val="0000" w:firstRow="0" w:lastRow="0" w:firstColumn="0" w:lastColumn="0" w:noHBand="0" w:noVBand="0"/>
        </w:tblPrEx>
        <w:trPr>
          <w:gridAfter w:val="1"/>
          <w:wAfter w:w="142" w:type="dxa"/>
        </w:trPr>
        <w:tc>
          <w:tcPr>
            <w:tcW w:w="3968" w:type="dxa"/>
            <w:gridSpan w:val="3"/>
            <w:tcBorders>
              <w:top w:val="single" w:sz="6" w:space="0" w:color="auto"/>
              <w:left w:val="single" w:sz="6" w:space="0" w:color="auto"/>
              <w:bottom w:val="single" w:sz="6" w:space="0" w:color="auto"/>
              <w:right w:val="single" w:sz="6" w:space="0" w:color="auto"/>
            </w:tcBorders>
          </w:tcPr>
          <w:p w14:paraId="25297E1F" w14:textId="56E95AC6" w:rsidR="00813C3F" w:rsidRPr="00A86BF9" w:rsidRDefault="00813C3F" w:rsidP="002B7AED">
            <w:pPr>
              <w:tabs>
                <w:tab w:val="left" w:pos="2268"/>
                <w:tab w:val="left" w:pos="2977"/>
                <w:tab w:val="left" w:pos="4536"/>
              </w:tabs>
              <w:spacing w:line="256" w:lineRule="auto"/>
              <w:rPr>
                <w:i/>
                <w:iCs/>
                <w:sz w:val="18"/>
                <w:szCs w:val="18"/>
                <w:lang w:val="en-GB" w:eastAsia="en-US"/>
              </w:rPr>
            </w:pPr>
            <w:r w:rsidRPr="00A86BF9">
              <w:rPr>
                <w:sz w:val="22"/>
                <w:szCs w:val="22"/>
                <w:lang w:val="en-GB" w:eastAsia="en-US"/>
              </w:rPr>
              <w:t xml:space="preserve">Björn Petersson (S) </w:t>
            </w:r>
            <w:proofErr w:type="spellStart"/>
            <w:r w:rsidRPr="00A86BF9">
              <w:rPr>
                <w:i/>
                <w:iCs/>
                <w:sz w:val="18"/>
                <w:szCs w:val="18"/>
                <w:lang w:val="en-GB" w:eastAsia="en-US"/>
              </w:rPr>
              <w:t>t.o.m</w:t>
            </w:r>
            <w:proofErr w:type="spellEnd"/>
            <w:r w:rsidRPr="00A86BF9">
              <w:rPr>
                <w:i/>
                <w:iCs/>
                <w:sz w:val="18"/>
                <w:szCs w:val="18"/>
                <w:lang w:val="en-GB" w:eastAsia="en-US"/>
              </w:rPr>
              <w:t>. 2503</w:t>
            </w:r>
            <w:r>
              <w:rPr>
                <w:i/>
                <w:iCs/>
                <w:sz w:val="18"/>
                <w:szCs w:val="18"/>
                <w:lang w:val="en-GB" w:eastAsia="en-US"/>
              </w:rPr>
              <w:t>30</w:t>
            </w:r>
          </w:p>
        </w:tc>
        <w:tc>
          <w:tcPr>
            <w:tcW w:w="425" w:type="dxa"/>
            <w:tcBorders>
              <w:top w:val="single" w:sz="6" w:space="0" w:color="auto"/>
              <w:left w:val="single" w:sz="6" w:space="0" w:color="auto"/>
              <w:bottom w:val="single" w:sz="6" w:space="0" w:color="auto"/>
              <w:right w:val="single" w:sz="6" w:space="0" w:color="auto"/>
            </w:tcBorders>
          </w:tcPr>
          <w:p w14:paraId="43D844CD" w14:textId="5EE54F44"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14:paraId="5AD448A2" w14:textId="77777777"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16ED6372"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00BFD8C7"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2C7893BA"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32C22AEC" w14:textId="77777777"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5BDF506A"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14:paraId="2C34BA5D" w14:textId="77777777"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211CE3BA"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4" w:space="0" w:color="auto"/>
            </w:tcBorders>
          </w:tcPr>
          <w:p w14:paraId="51CAB035" w14:textId="77777777"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7F58D693" w14:textId="72BA46B3"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gridSpan w:val="2"/>
            <w:tcBorders>
              <w:top w:val="single" w:sz="4" w:space="0" w:color="auto"/>
              <w:left w:val="single" w:sz="4" w:space="0" w:color="auto"/>
              <w:bottom w:val="single" w:sz="4" w:space="0" w:color="auto"/>
              <w:right w:val="single" w:sz="4" w:space="0" w:color="auto"/>
            </w:tcBorders>
          </w:tcPr>
          <w:p w14:paraId="0852CEB3" w14:textId="20BCA028" w:rsidR="00813C3F" w:rsidRPr="00A86BF9"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813C3F" w:rsidRPr="00B40F4D" w14:paraId="48BA59FD" w14:textId="77777777" w:rsidTr="00813C3F">
        <w:tblPrEx>
          <w:tblLook w:val="0000" w:firstRow="0" w:lastRow="0" w:firstColumn="0" w:lastColumn="0" w:noHBand="0" w:noVBand="0"/>
        </w:tblPrEx>
        <w:trPr>
          <w:trHeight w:val="263"/>
        </w:trPr>
        <w:tc>
          <w:tcPr>
            <w:tcW w:w="3968" w:type="dxa"/>
            <w:gridSpan w:val="3"/>
          </w:tcPr>
          <w:p w14:paraId="2D7B8B25"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851" w:type="dxa"/>
            <w:gridSpan w:val="2"/>
          </w:tcPr>
          <w:p w14:paraId="348D861F"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6" w:type="dxa"/>
            <w:gridSpan w:val="16"/>
          </w:tcPr>
          <w:p w14:paraId="7795CBDA" w14:textId="6BD063B2"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813C3F" w:rsidRPr="00B40F4D" w14:paraId="0CBA6331" w14:textId="77777777" w:rsidTr="00813C3F">
        <w:tblPrEx>
          <w:tblLook w:val="0000" w:firstRow="0" w:lastRow="0" w:firstColumn="0" w:lastColumn="0" w:noHBand="0" w:noVBand="0"/>
        </w:tblPrEx>
        <w:trPr>
          <w:trHeight w:val="262"/>
        </w:trPr>
        <w:tc>
          <w:tcPr>
            <w:tcW w:w="3968" w:type="dxa"/>
            <w:gridSpan w:val="3"/>
          </w:tcPr>
          <w:p w14:paraId="301B190D" w14:textId="10F3284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851" w:type="dxa"/>
            <w:gridSpan w:val="2"/>
          </w:tcPr>
          <w:p w14:paraId="407AA554" w14:textId="77777777"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6" w:type="dxa"/>
            <w:gridSpan w:val="16"/>
          </w:tcPr>
          <w:p w14:paraId="1A9CCEE8" w14:textId="345F20D0" w:rsidR="00813C3F" w:rsidRPr="00B40F4D" w:rsidRDefault="00813C3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D054757" w14:textId="77777777" w:rsidR="00FB07D3" w:rsidRDefault="00FB07D3"/>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49A4453C" w14:textId="77777777" w:rsidTr="005119DB">
        <w:tc>
          <w:tcPr>
            <w:tcW w:w="6532" w:type="dxa"/>
          </w:tcPr>
          <w:p w14:paraId="2193F045" w14:textId="77777777" w:rsidR="00987069" w:rsidRPr="00F01A93" w:rsidRDefault="00987069" w:rsidP="00DC7DFD">
            <w:pPr>
              <w:tabs>
                <w:tab w:val="left" w:pos="1276"/>
              </w:tabs>
              <w:rPr>
                <w:sz w:val="22"/>
                <w:szCs w:val="22"/>
              </w:rPr>
            </w:pPr>
            <w:r w:rsidRPr="00F01A93">
              <w:rPr>
                <w:sz w:val="22"/>
                <w:szCs w:val="22"/>
              </w:rPr>
              <w:br w:type="page"/>
              <w:t>MILJÖ- OCH JORDBRUKSUTSKOTTET</w:t>
            </w:r>
          </w:p>
        </w:tc>
        <w:tc>
          <w:tcPr>
            <w:tcW w:w="2206" w:type="dxa"/>
          </w:tcPr>
          <w:p w14:paraId="43754FAC" w14:textId="77777777" w:rsidR="00987069" w:rsidRPr="00F01A93" w:rsidRDefault="00987069" w:rsidP="00DC7DFD">
            <w:pPr>
              <w:tabs>
                <w:tab w:val="left" w:pos="1276"/>
              </w:tabs>
              <w:rPr>
                <w:sz w:val="22"/>
                <w:szCs w:val="22"/>
              </w:rPr>
            </w:pPr>
          </w:p>
        </w:tc>
        <w:tc>
          <w:tcPr>
            <w:tcW w:w="2036" w:type="dxa"/>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405F45C1"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297569">
              <w:rPr>
                <w:sz w:val="22"/>
                <w:szCs w:val="22"/>
              </w:rPr>
              <w:t>27</w:t>
            </w:r>
          </w:p>
        </w:tc>
      </w:tr>
    </w:tbl>
    <w:p w14:paraId="45DF171B" w14:textId="77777777" w:rsidR="00813C3F" w:rsidRDefault="00813C3F" w:rsidP="00813C3F">
      <w:pPr>
        <w:pStyle w:val="Default"/>
        <w:rPr>
          <w:rFonts w:ascii="Times New Roman" w:hAnsi="Times New Roman" w:cs="Times New Roman"/>
          <w:b/>
          <w:sz w:val="22"/>
          <w:szCs w:val="22"/>
        </w:rPr>
      </w:pPr>
      <w:bookmarkStart w:id="2" w:name="_Hlk184296237"/>
    </w:p>
    <w:p w14:paraId="63F17F90" w14:textId="2D52359A" w:rsidR="00813C3F" w:rsidRPr="00527E05" w:rsidRDefault="00813C3F" w:rsidP="00813C3F">
      <w:pPr>
        <w:pStyle w:val="Default"/>
        <w:rPr>
          <w:rFonts w:ascii="Times New Roman" w:hAnsi="Times New Roman" w:cs="Times New Roman"/>
          <w:b/>
          <w:snapToGrid w:val="0"/>
          <w:sz w:val="22"/>
          <w:szCs w:val="22"/>
        </w:rPr>
      </w:pPr>
      <w:r w:rsidRPr="0010456C">
        <w:rPr>
          <w:rFonts w:ascii="Times New Roman" w:hAnsi="Times New Roman" w:cs="Times New Roman"/>
          <w:b/>
          <w:sz w:val="22"/>
          <w:szCs w:val="22"/>
        </w:rPr>
        <w:t xml:space="preserve">Överläggning den 20 mars 2025 om </w:t>
      </w:r>
      <w:r w:rsidRPr="0010456C">
        <w:rPr>
          <w:rFonts w:ascii="Times New Roman" w:hAnsi="Times New Roman" w:cs="Times New Roman"/>
          <w:b/>
          <w:snapToGrid w:val="0"/>
          <w:sz w:val="22"/>
          <w:szCs w:val="22"/>
        </w:rPr>
        <w:t xml:space="preserve">kommissionens </w:t>
      </w:r>
      <w:r w:rsidRPr="0010456C">
        <w:rPr>
          <w:rFonts w:ascii="Times New Roman" w:hAnsi="Times New Roman" w:cs="Times New Roman"/>
          <w:b/>
          <w:sz w:val="22"/>
          <w:szCs w:val="22"/>
        </w:rPr>
        <w:t xml:space="preserve">meddelande till Europaparlamentet, rådet, </w:t>
      </w:r>
      <w:proofErr w:type="gramStart"/>
      <w:r w:rsidRPr="0010456C">
        <w:rPr>
          <w:rFonts w:ascii="Times New Roman" w:hAnsi="Times New Roman" w:cs="Times New Roman"/>
          <w:b/>
          <w:sz w:val="22"/>
          <w:szCs w:val="22"/>
        </w:rPr>
        <w:t>Europeiska</w:t>
      </w:r>
      <w:proofErr w:type="gramEnd"/>
      <w:r w:rsidRPr="0010456C">
        <w:rPr>
          <w:rFonts w:ascii="Times New Roman" w:hAnsi="Times New Roman" w:cs="Times New Roman"/>
          <w:b/>
          <w:sz w:val="22"/>
          <w:szCs w:val="22"/>
        </w:rPr>
        <w:t xml:space="preserve"> ekonomiska och sociala kommittén SAMT Regionkommittén En vision för jordbruk och livsmedel En attraktiv jordbruks- och livsmedelsindustri för kommande generationer</w:t>
      </w:r>
      <w:r w:rsidRPr="0010456C">
        <w:rPr>
          <w:rFonts w:ascii="Times New Roman" w:hAnsi="Times New Roman" w:cs="Times New Roman"/>
          <w:b/>
          <w:sz w:val="22"/>
          <w:szCs w:val="22"/>
        </w:rPr>
        <w:br/>
      </w:r>
      <w:r>
        <w:rPr>
          <w:b/>
          <w:sz w:val="22"/>
          <w:szCs w:val="22"/>
        </w:rPr>
        <w:br/>
      </w:r>
      <w:r w:rsidRPr="00527E05">
        <w:rPr>
          <w:rFonts w:ascii="Times New Roman" w:hAnsi="Times New Roman" w:cs="Times New Roman"/>
          <w:b/>
          <w:bCs/>
          <w:sz w:val="22"/>
          <w:szCs w:val="22"/>
        </w:rPr>
        <w:t>Preliminär svensk ståndpunkt i överläggningspromemoria:</w:t>
      </w:r>
    </w:p>
    <w:bookmarkEnd w:id="2"/>
    <w:p w14:paraId="42B7AC20" w14:textId="77777777" w:rsidR="00813C3F" w:rsidRPr="00096A66" w:rsidRDefault="00813C3F" w:rsidP="00813C3F">
      <w:pPr>
        <w:rPr>
          <w:sz w:val="22"/>
          <w:szCs w:val="22"/>
        </w:rPr>
      </w:pPr>
      <w:r w:rsidRPr="00096A66">
        <w:rPr>
          <w:sz w:val="22"/>
          <w:szCs w:val="22"/>
        </w:rPr>
        <w:t>Regeringen välkomnar visionen och dess betoning på ökad konkurrenskraft och lönsamhet som i stor utsträckning går i linje med målsättningarna för den svenska livsmedelsstrategin. Regeringen är positiv till horisontella prioriteringar som digitalisering, kunskap och innovation samt regelförenkling. Regeringens övergripande inställning är att företagens regelbörda och administrativa börda ska minska. Sverige driver samtidigt en generell budgetrestriktiv hållning. Eventuella ökade utgifter på EU-budgeten ska finansieras genom omprioritering inom den fleråriga budgetramen.</w:t>
      </w:r>
    </w:p>
    <w:p w14:paraId="1B532849" w14:textId="77777777" w:rsidR="00813C3F" w:rsidRDefault="00813C3F" w:rsidP="00813C3F">
      <w:pPr>
        <w:rPr>
          <w:sz w:val="22"/>
          <w:szCs w:val="22"/>
        </w:rPr>
      </w:pPr>
    </w:p>
    <w:p w14:paraId="603D3822" w14:textId="77777777" w:rsidR="00813C3F" w:rsidRPr="00096A66" w:rsidRDefault="00813C3F" w:rsidP="00813C3F">
      <w:pPr>
        <w:rPr>
          <w:sz w:val="22"/>
          <w:szCs w:val="22"/>
        </w:rPr>
      </w:pPr>
      <w:r w:rsidRPr="00096A66">
        <w:rPr>
          <w:sz w:val="22"/>
          <w:szCs w:val="22"/>
        </w:rPr>
        <w:t xml:space="preserve">Regeringen välkomnar en ökad dialog med sektorns aktörer rörande genomförande av visionen och de föreslagna insatserna. Samtidigt är det viktigt att säkerställa att nya politiska strategier och lagstiftningsförslag föregås av heltäckande konsekvensanalyser. </w:t>
      </w:r>
    </w:p>
    <w:p w14:paraId="279F525C" w14:textId="77777777" w:rsidR="00813C3F" w:rsidRPr="00096A66" w:rsidRDefault="00813C3F" w:rsidP="00813C3F">
      <w:pPr>
        <w:rPr>
          <w:sz w:val="22"/>
          <w:szCs w:val="22"/>
        </w:rPr>
      </w:pPr>
      <w:r>
        <w:rPr>
          <w:i/>
          <w:iCs/>
          <w:sz w:val="22"/>
          <w:szCs w:val="22"/>
        </w:rPr>
        <w:br/>
      </w:r>
      <w:r w:rsidRPr="00096A66">
        <w:rPr>
          <w:i/>
          <w:iCs/>
          <w:sz w:val="22"/>
          <w:szCs w:val="22"/>
        </w:rPr>
        <w:t>En attraktiv sektor</w:t>
      </w:r>
      <w:r>
        <w:rPr>
          <w:i/>
          <w:iCs/>
          <w:sz w:val="22"/>
          <w:szCs w:val="22"/>
        </w:rPr>
        <w:br/>
      </w:r>
      <w:r w:rsidRPr="00096A66" w:rsidDel="00E72080">
        <w:rPr>
          <w:sz w:val="22"/>
          <w:szCs w:val="22"/>
        </w:rPr>
        <w:t>Den gemensamma jordbrukspolitiken bör utvecklas mot mer riktade och effektiva stöd som ökar förutsättningarna för tillväxt, lönsamhet, företagande, sysselsättning och hållbarhet</w:t>
      </w:r>
      <w:r w:rsidRPr="00096A66">
        <w:rPr>
          <w:i/>
          <w:iCs/>
          <w:sz w:val="22"/>
          <w:szCs w:val="22"/>
        </w:rPr>
        <w:t xml:space="preserve">. </w:t>
      </w:r>
      <w:r w:rsidRPr="00096A66">
        <w:rPr>
          <w:sz w:val="22"/>
          <w:szCs w:val="22"/>
        </w:rPr>
        <w:t>Det är viktigt att hänsyn tas till situationen i olika medlemsstater och att tillräcklig flexibilitet ges för det nationella genomförandet. Den prestationsbaserade genomförandemodellen behöver också förenklas ytterligare.</w:t>
      </w:r>
      <w:r w:rsidRPr="00096A66">
        <w:rPr>
          <w:i/>
          <w:iCs/>
          <w:sz w:val="22"/>
          <w:szCs w:val="22"/>
        </w:rPr>
        <w:t xml:space="preserve"> </w:t>
      </w:r>
      <w:r w:rsidRPr="00096A66">
        <w:rPr>
          <w:sz w:val="22"/>
          <w:szCs w:val="22"/>
        </w:rPr>
        <w:t>Regeringen delar kommissionens bedömning om behovet av att åtgärda finansieringsgapet inom sektorn och välkomnar inriktningen mot incitament i stället för villkor. Därtill ser regeringen positivt på att kommissionen under 2025 kommer att ta fram en strategi för generationsväxling.</w:t>
      </w:r>
    </w:p>
    <w:p w14:paraId="26275D61" w14:textId="77777777" w:rsidR="00813C3F" w:rsidRPr="00096A66" w:rsidRDefault="00813C3F" w:rsidP="00813C3F">
      <w:pPr>
        <w:rPr>
          <w:sz w:val="22"/>
          <w:szCs w:val="22"/>
        </w:rPr>
      </w:pPr>
    </w:p>
    <w:p w14:paraId="4F36106E" w14:textId="77777777" w:rsidR="00813C3F" w:rsidRPr="0010456C" w:rsidRDefault="00813C3F" w:rsidP="00813C3F">
      <w:pPr>
        <w:rPr>
          <w:noProof/>
          <w:color w:val="000000" w:themeColor="text1"/>
          <w:sz w:val="22"/>
          <w:szCs w:val="22"/>
        </w:rPr>
      </w:pPr>
      <w:r w:rsidRPr="00096A66">
        <w:rPr>
          <w:sz w:val="22"/>
          <w:szCs w:val="22"/>
        </w:rPr>
        <w:t>Regeringen är positiv till visionens fokus på jordbrukarnas ställning i livsmedelskedjan och anser att den bör stärkas, vilket kan ske genom mer ändamålsenliga regler för producentorganisationer och fortsatt utveckling av lagstiftning om otillbörliga handelsmetoder. Samtidigt bör en bibehållen marknadsorientering och en fungerande inre marknad värnas. Regeringen är tveksam till förslag som syftar till att lantbrukare inte ska tvingas sälja sina produkter under produktionskostnaden.</w:t>
      </w:r>
      <w:r>
        <w:rPr>
          <w:sz w:val="22"/>
          <w:szCs w:val="22"/>
        </w:rPr>
        <w:br/>
      </w:r>
      <w:r>
        <w:rPr>
          <w:sz w:val="22"/>
          <w:szCs w:val="22"/>
        </w:rPr>
        <w:br/>
      </w:r>
      <w:r w:rsidRPr="00096A66">
        <w:rPr>
          <w:sz w:val="22"/>
          <w:szCs w:val="22"/>
        </w:rPr>
        <w:t>Regelförenkling är av central betydelse, men för att nå visionens ambitioner behövs mer genomarbetade konsekvensanalyser av ny lagstiftning och återkommande revideringar av befintlig lagstiftning. Ett attraktivt, hållbart, och konkurrenskraftigt jordbruk kräver därtill en samstämmighet mellan olika initiativ, och minskat överlapp mellan befintlig lagstiftning, olika förslag under förhandling och tillkommande förslag.</w:t>
      </w:r>
      <w:r>
        <w:rPr>
          <w:sz w:val="22"/>
          <w:szCs w:val="22"/>
        </w:rPr>
        <w:br/>
      </w:r>
      <w:r>
        <w:rPr>
          <w:sz w:val="22"/>
          <w:szCs w:val="22"/>
        </w:rPr>
        <w:br/>
      </w:r>
      <w:r w:rsidRPr="0036343C">
        <w:rPr>
          <w:sz w:val="22"/>
          <w:szCs w:val="22"/>
        </w:rPr>
        <w:t xml:space="preserve">Regeringen välkomnar vidare att visionen lyfter de många möjligheter som bioekonomin erbjuder så som att skapa arbetstillfällen på landsbygden, nå klimatmål och minska kritiska beroenden. Även ökad </w:t>
      </w:r>
      <w:proofErr w:type="spellStart"/>
      <w:r w:rsidRPr="0036343C">
        <w:rPr>
          <w:sz w:val="22"/>
          <w:szCs w:val="22"/>
        </w:rPr>
        <w:t>cirkularitet</w:t>
      </w:r>
      <w:proofErr w:type="spellEnd"/>
      <w:r w:rsidRPr="0036343C">
        <w:rPr>
          <w:sz w:val="22"/>
          <w:szCs w:val="22"/>
        </w:rPr>
        <w:t xml:space="preserve"> spelar en viktig roll. Det finns en stor potential i ökad innovation inom bioekonomin och EU bör ha en ledande roll globalt.</w:t>
      </w:r>
      <w:r w:rsidRPr="0036343C">
        <w:rPr>
          <w:noProof/>
          <w:color w:val="000000" w:themeColor="text1"/>
          <w:sz w:val="22"/>
          <w:szCs w:val="22"/>
        </w:rPr>
        <w:t xml:space="preserve"> Frågor gällande markanvädning, inklusive skydd av jordbruksmark, är en nationell kompetens och äganderätten måste värnas. Regeringen är därför tveksam till ett EU-observatorium för jordbruksmark. </w:t>
      </w:r>
      <w:r w:rsidRPr="0036343C">
        <w:rPr>
          <w:noProof/>
          <w:color w:val="000000" w:themeColor="text1"/>
          <w:sz w:val="22"/>
          <w:szCs w:val="22"/>
        </w:rPr>
        <w:br/>
      </w:r>
      <w:r w:rsidRPr="0036343C">
        <w:rPr>
          <w:noProof/>
          <w:color w:val="000000" w:themeColor="text1"/>
          <w:sz w:val="22"/>
          <w:szCs w:val="22"/>
        </w:rPr>
        <w:br/>
      </w:r>
      <w:r w:rsidRPr="0036343C">
        <w:rPr>
          <w:sz w:val="22"/>
          <w:szCs w:val="22"/>
        </w:rPr>
        <w:t xml:space="preserve">Regeringen delar kommissionens syn på att systemet för skyddade beteckningar är en kvalitetsstämpel som har potential att gynna den lokala livsmedelsproduktionen och även stärka besöksnäringen i </w:t>
      </w:r>
      <w:r w:rsidRPr="0010456C">
        <w:rPr>
          <w:sz w:val="22"/>
          <w:szCs w:val="22"/>
        </w:rPr>
        <w:t xml:space="preserve">regioner. Regeringen anser dock att det är viktigt att systemet är attraktivt för samtliga medlemsstater </w:t>
      </w:r>
    </w:p>
    <w:p w14:paraId="68211CA8" w14:textId="77777777" w:rsidR="00813C3F" w:rsidRPr="0010456C" w:rsidRDefault="00813C3F" w:rsidP="00813C3F">
      <w:pPr>
        <w:rPr>
          <w:sz w:val="22"/>
          <w:szCs w:val="22"/>
        </w:rPr>
      </w:pPr>
    </w:p>
    <w:p w14:paraId="59554AEC" w14:textId="77777777" w:rsidR="00813C3F" w:rsidRPr="0036343C" w:rsidRDefault="00813C3F" w:rsidP="00813C3F">
      <w:pPr>
        <w:rPr>
          <w:sz w:val="22"/>
          <w:szCs w:val="22"/>
        </w:rPr>
      </w:pPr>
      <w:r w:rsidRPr="0010456C">
        <w:rPr>
          <w:i/>
          <w:iCs/>
          <w:sz w:val="22"/>
          <w:szCs w:val="22"/>
        </w:rPr>
        <w:t xml:space="preserve">En konkurrenskraftig och </w:t>
      </w:r>
      <w:proofErr w:type="spellStart"/>
      <w:r w:rsidRPr="0010456C">
        <w:rPr>
          <w:i/>
          <w:iCs/>
          <w:sz w:val="22"/>
          <w:szCs w:val="22"/>
        </w:rPr>
        <w:t>resilient</w:t>
      </w:r>
      <w:proofErr w:type="spellEnd"/>
      <w:r w:rsidRPr="0010456C">
        <w:rPr>
          <w:i/>
          <w:iCs/>
          <w:sz w:val="22"/>
          <w:szCs w:val="22"/>
        </w:rPr>
        <w:t xml:space="preserve"> sektor </w:t>
      </w:r>
      <w:r w:rsidRPr="0010456C">
        <w:rPr>
          <w:i/>
          <w:iCs/>
          <w:sz w:val="22"/>
          <w:szCs w:val="22"/>
        </w:rPr>
        <w:br/>
      </w:r>
      <w:r w:rsidRPr="0010456C">
        <w:rPr>
          <w:sz w:val="22"/>
          <w:szCs w:val="22"/>
        </w:rPr>
        <w:t xml:space="preserve">Ökat fokus på livsmedelstrygghet och beredskap, en stärkt konkurrenskraft, robusthet, hållbarhet och </w:t>
      </w:r>
      <w:proofErr w:type="spellStart"/>
      <w:r w:rsidRPr="0010456C">
        <w:rPr>
          <w:sz w:val="22"/>
          <w:szCs w:val="22"/>
        </w:rPr>
        <w:t>resiliens</w:t>
      </w:r>
      <w:proofErr w:type="spellEnd"/>
      <w:r w:rsidRPr="0036343C">
        <w:rPr>
          <w:sz w:val="22"/>
          <w:szCs w:val="22"/>
        </w:rPr>
        <w:t xml:space="preserve"> i jordbruket och för vattenbruket krävs</w:t>
      </w:r>
      <w:r w:rsidRPr="0036343C" w:rsidDel="00E72080">
        <w:rPr>
          <w:sz w:val="22"/>
          <w:szCs w:val="22"/>
        </w:rPr>
        <w:t>.</w:t>
      </w:r>
      <w:r w:rsidRPr="0036343C">
        <w:rPr>
          <w:sz w:val="22"/>
          <w:szCs w:val="22"/>
        </w:rPr>
        <w:t xml:space="preserve"> Det är därför positivt att kommissionen tar initiativ att utarbeta en 2040-vision för fiskeri- och vattenbrukssektorn som ska säkerställa långsiktig konkurrenskraft och hållbarhet. En förutsättning för detta vad gäller fiskesektorn, är att fiskbestånden snabbt återhämtas till säkra biologiska gränser. Regeringen välkomnar att en beredskapsstrategi ska presenteras liksom ambitionen att ta tillvara på det arbete som gjorts inom ramen för EFSCM och utveckla detta för att bättre koppla till den kommande övergripande beredskapsstrategin. Regeringen anser att det är viktigt att samordna arbetet med </w:t>
      </w:r>
      <w:r w:rsidRPr="0036343C">
        <w:rPr>
          <w:sz w:val="22"/>
          <w:szCs w:val="22"/>
        </w:rPr>
        <w:lastRenderedPageBreak/>
        <w:t>krisberedskap och klimatanpassning i jordbruks- och livsmedelssektorn.</w:t>
      </w:r>
    </w:p>
    <w:p w14:paraId="38281D2C" w14:textId="77777777" w:rsidR="00813C3F" w:rsidRPr="003A1548" w:rsidRDefault="00813C3F" w:rsidP="00813C3F">
      <w:pPr>
        <w:rPr>
          <w:sz w:val="22"/>
          <w:szCs w:val="22"/>
        </w:rPr>
      </w:pPr>
      <w:r w:rsidRPr="0036343C">
        <w:rPr>
          <w:sz w:val="22"/>
          <w:szCs w:val="22"/>
        </w:rPr>
        <w:br/>
        <w:t>Regeringen stödjer arbetet med att säkra insatsvaror, som gödsel och foderprotein, både genom ökad produktion och genom mer diversifierade försörjningskedjor. Regeringen anser att det är viktigt att utveckla och öka konkurrenskraften för EU:s produktion av proteingrödor samt att det behövs utveckling av nya sorter som är anpassade till regionala odlingsförhållanden och ett ändrat klimat.</w:t>
      </w:r>
      <w:r w:rsidRPr="0036343C">
        <w:rPr>
          <w:sz w:val="22"/>
          <w:szCs w:val="22"/>
        </w:rPr>
        <w:br/>
      </w:r>
      <w:r w:rsidRPr="0036343C">
        <w:rPr>
          <w:sz w:val="22"/>
          <w:szCs w:val="22"/>
        </w:rPr>
        <w:br/>
        <w:t xml:space="preserve">Regeringen välkomnar kommissionens ambition att fasa ut skadliga växtskyddsmedel samtidigt som förekomsten av alternativ i form av biologiska växtskyddsmedel eller växtskyddsmedel med låg risk </w:t>
      </w:r>
      <w:r w:rsidRPr="003A1548">
        <w:rPr>
          <w:sz w:val="22"/>
          <w:szCs w:val="22"/>
        </w:rPr>
        <w:t>beaktas. Samtidigt bör hänsyn tas till att om införandet av alternativ till dessa växtskyddsmedel inte blir tillgängliga i samma takt som tillbakadragandet av verksamma ämnen från EU-marknaden, kan det negativt påverka EU:s förmåga att säkerställa livsmedelsproduktionen. Sverige har</w:t>
      </w:r>
      <w:r w:rsidRPr="003A1548" w:rsidDel="009E1535">
        <w:rPr>
          <w:sz w:val="22"/>
          <w:szCs w:val="22"/>
        </w:rPr>
        <w:t xml:space="preserve"> </w:t>
      </w:r>
      <w:r w:rsidRPr="003A1548">
        <w:rPr>
          <w:sz w:val="22"/>
          <w:szCs w:val="22"/>
        </w:rPr>
        <w:t>idag brist på tillgång till effektiva växtskyddsmedel för vissa användningsområden. Regeringen välkomnar att kommissionen under år 2025 utvärderar frågan om att förbjuda export av farliga kemikalier såsom bekämpningsmedel som är förbjudna i EU.</w:t>
      </w:r>
      <w:bookmarkStart w:id="3" w:name="_Hlk192770658"/>
      <w:r>
        <w:rPr>
          <w:sz w:val="22"/>
          <w:szCs w:val="22"/>
        </w:rPr>
        <w:br/>
      </w:r>
      <w:r>
        <w:rPr>
          <w:sz w:val="22"/>
          <w:szCs w:val="22"/>
        </w:rPr>
        <w:br/>
      </w:r>
      <w:r w:rsidRPr="003A1548">
        <w:rPr>
          <w:sz w:val="22"/>
          <w:szCs w:val="22"/>
        </w:rPr>
        <w:t>Regeringen välkomnar visionens tydliga fokus på ökad dialog med omvärlden och de nya partnerskapskapsdialoger som ska inrättas med bilaterala och regionala partners.</w:t>
      </w:r>
      <w:r w:rsidRPr="003A1548" w:rsidDel="00A07570">
        <w:rPr>
          <w:sz w:val="22"/>
          <w:szCs w:val="22"/>
        </w:rPr>
        <w:t xml:space="preserve"> </w:t>
      </w:r>
      <w:r w:rsidRPr="003A1548">
        <w:rPr>
          <w:sz w:val="22"/>
          <w:szCs w:val="22"/>
        </w:rPr>
        <w:t xml:space="preserve">Regeringen konstaterar att kommissionen kan komma att föreslå s.k. spegelklausuler (dvs samma krav ska ställas på importerade produkter som sådana producerade i EU), men välkomnar att ansatsen är begränsad och därmed inte aviseras som en generell princip. Regeringen anser att ansatsen om livsmedelssuveränitet och reciprocitet måste balanseras med fördelarna av internationell handel och EU:s förmåga till anpassning i samband med betydande störningar i försörjningskedjorna.  </w:t>
      </w:r>
    </w:p>
    <w:bookmarkEnd w:id="3"/>
    <w:p w14:paraId="75F3E7DD" w14:textId="77777777" w:rsidR="00813C3F" w:rsidRPr="00F04A8B" w:rsidRDefault="00813C3F" w:rsidP="00813C3F">
      <w:pPr>
        <w:rPr>
          <w:sz w:val="22"/>
          <w:szCs w:val="22"/>
        </w:rPr>
      </w:pPr>
      <w:r>
        <w:rPr>
          <w:sz w:val="22"/>
          <w:szCs w:val="22"/>
        </w:rPr>
        <w:br/>
      </w:r>
      <w:r w:rsidRPr="003A1548">
        <w:rPr>
          <w:sz w:val="22"/>
          <w:szCs w:val="22"/>
        </w:rPr>
        <w:t>Regeringen delar uppfattningen om behovet av att se över befintliga risk- och krishanteringsinstrument och vill understryka vikten av att prioritera förebyggande åtgärder och att säkerställa en marknadsorienterad utgångspunkt. Regeringen välkomnar ansatsen att utveckla nötkreatursektorn för att nå en ökad konkurrenskraft och hållbarhet med hänsyn till olika förhållanden inom EU.</w:t>
      </w:r>
      <w:r>
        <w:rPr>
          <w:sz w:val="22"/>
          <w:szCs w:val="22"/>
        </w:rPr>
        <w:br/>
      </w:r>
      <w:r>
        <w:rPr>
          <w:sz w:val="22"/>
          <w:szCs w:val="22"/>
        </w:rPr>
        <w:br/>
      </w:r>
      <w:r w:rsidRPr="00F04A8B">
        <w:rPr>
          <w:sz w:val="22"/>
          <w:szCs w:val="22"/>
        </w:rPr>
        <w:t xml:space="preserve">Regeringen välkomnar kommissionens ambition att röra sig mot ett mer incitamentsbaserat </w:t>
      </w:r>
      <w:r w:rsidRPr="00F04A8B" w:rsidDel="00AC6AF5">
        <w:rPr>
          <w:sz w:val="22"/>
          <w:szCs w:val="22"/>
        </w:rPr>
        <w:t xml:space="preserve">och skräddarsytt </w:t>
      </w:r>
      <w:r w:rsidRPr="00F04A8B">
        <w:rPr>
          <w:sz w:val="22"/>
          <w:szCs w:val="22"/>
        </w:rPr>
        <w:t>system för miljö- och klimatåtgärder inom GJP men vill betona vikten av att konkurrensneutralitet mellan medlemsstater beaktas. En avvägning i förhållande till ambitionen att inrätta effektiva uppföljnings- och kontrollsystem kan också behövas. Regeringen ser även positivt på att utveckla finansieringsformer för miljön som kan komplettera den offentliga finansieringen av sådana åtgärder exempelvis genom frivilliga certifieringssystem inom områden där frivilliga certifieringssystem idag saknas.</w:t>
      </w:r>
    </w:p>
    <w:p w14:paraId="2913030C" w14:textId="77777777" w:rsidR="00813C3F" w:rsidRPr="00F04A8B" w:rsidRDefault="00813C3F" w:rsidP="00813C3F">
      <w:pPr>
        <w:rPr>
          <w:sz w:val="22"/>
          <w:szCs w:val="22"/>
        </w:rPr>
      </w:pPr>
    </w:p>
    <w:p w14:paraId="59689D47" w14:textId="77777777" w:rsidR="00813C3F" w:rsidRPr="00F04A8B" w:rsidRDefault="00813C3F" w:rsidP="00813C3F">
      <w:pPr>
        <w:rPr>
          <w:sz w:val="22"/>
          <w:szCs w:val="22"/>
        </w:rPr>
      </w:pPr>
      <w:r w:rsidRPr="00F04A8B">
        <w:rPr>
          <w:i/>
          <w:iCs/>
          <w:sz w:val="22"/>
          <w:szCs w:val="22"/>
        </w:rPr>
        <w:t>En framtidssäker sektor som arbetar med naturen</w:t>
      </w:r>
      <w:r w:rsidRPr="00F04A8B">
        <w:rPr>
          <w:i/>
          <w:iCs/>
          <w:sz w:val="22"/>
          <w:szCs w:val="22"/>
        </w:rPr>
        <w:br/>
      </w:r>
      <w:r w:rsidRPr="00F04A8B">
        <w:rPr>
          <w:sz w:val="22"/>
          <w:szCs w:val="22"/>
        </w:rPr>
        <w:t xml:space="preserve">Regeringen är positiv till en frivillig marknad för kolkrediter och naturkrediter. För genomslag bör aktiviteter som certifieras vara förenliga med pågående brukande för att inte minska areella näringars produktion. En frivillig marknad för kolkrediter behöver också utformas så att utsläppsläckage minimeras. Därtill behöver metoder anpassas efter nationella och regionala förutsättningar. </w:t>
      </w:r>
    </w:p>
    <w:p w14:paraId="1D66964B" w14:textId="77777777" w:rsidR="00813C3F" w:rsidRPr="00F04A8B" w:rsidRDefault="00813C3F" w:rsidP="00813C3F">
      <w:pPr>
        <w:rPr>
          <w:color w:val="FF0000"/>
          <w:sz w:val="22"/>
          <w:szCs w:val="22"/>
        </w:rPr>
      </w:pPr>
      <w:r w:rsidRPr="00F04A8B">
        <w:rPr>
          <w:sz w:val="22"/>
          <w:szCs w:val="22"/>
        </w:rPr>
        <w:t xml:space="preserve">Det finns behov av nya tekniker, även bioteknologiska, så som nya genomiska metoder, för att ta fram </w:t>
      </w:r>
      <w:proofErr w:type="spellStart"/>
      <w:r w:rsidRPr="00F04A8B">
        <w:rPr>
          <w:sz w:val="22"/>
          <w:szCs w:val="22"/>
        </w:rPr>
        <w:t>klimatresilienta</w:t>
      </w:r>
      <w:proofErr w:type="spellEnd"/>
      <w:r w:rsidRPr="00F04A8B">
        <w:rPr>
          <w:sz w:val="22"/>
          <w:szCs w:val="22"/>
        </w:rPr>
        <w:t xml:space="preserve"> och konkurrenskraftiga växtsorter. Regeringen ser därför positivt på kommissionens ambition att, i nära samarbete med rådet och parlamentet, slutföra och snabbt genomföra lagstiftningen om nya genomiska metoder. Regeringen välkomnar vidare att kommissionen avser att föreslå nya regler för att påskynda godkännande av biologiska växtskyddsmedel som en del av ett förenklingspaket.</w:t>
      </w:r>
      <w:r>
        <w:rPr>
          <w:sz w:val="22"/>
          <w:szCs w:val="22"/>
        </w:rPr>
        <w:br/>
      </w:r>
    </w:p>
    <w:p w14:paraId="03A08B80" w14:textId="77777777" w:rsidR="00813C3F" w:rsidRPr="00F04A8B" w:rsidRDefault="00813C3F" w:rsidP="00813C3F">
      <w:pPr>
        <w:rPr>
          <w:sz w:val="22"/>
          <w:szCs w:val="22"/>
        </w:rPr>
      </w:pPr>
      <w:r w:rsidRPr="00F04A8B">
        <w:rPr>
          <w:sz w:val="22"/>
          <w:szCs w:val="22"/>
        </w:rPr>
        <w:t xml:space="preserve">Regeringen välkomnar ökat fokus på klimatanpassning, bland annat kommande klimatanpassningsplan och </w:t>
      </w:r>
      <w:proofErr w:type="spellStart"/>
      <w:r w:rsidRPr="00F04A8B">
        <w:rPr>
          <w:sz w:val="22"/>
          <w:szCs w:val="22"/>
        </w:rPr>
        <w:t>vattenresiliensstrategi</w:t>
      </w:r>
      <w:proofErr w:type="spellEnd"/>
      <w:r w:rsidRPr="00F04A8B">
        <w:rPr>
          <w:sz w:val="22"/>
          <w:szCs w:val="22"/>
        </w:rPr>
        <w:t xml:space="preserve"> men betonar också vikten av att anpassning till klimatförändringarnas effekter är integrerat i arbetet med att framtidssäkra jordbruks-och livsmedelssektorn. </w:t>
      </w:r>
      <w:bookmarkStart w:id="4" w:name="_Hlk192594473"/>
      <w:r w:rsidRPr="00F04A8B">
        <w:rPr>
          <w:sz w:val="22"/>
          <w:szCs w:val="22"/>
        </w:rPr>
        <w:t xml:space="preserve">Regeringen ser också behovet och välkomnar en ny syn på vatten. Regeringen anser att det är viktigt att kommissionens strategi för </w:t>
      </w:r>
      <w:proofErr w:type="spellStart"/>
      <w:r w:rsidRPr="00F04A8B">
        <w:rPr>
          <w:sz w:val="22"/>
          <w:szCs w:val="22"/>
        </w:rPr>
        <w:t>vattenresiliens</w:t>
      </w:r>
      <w:proofErr w:type="spellEnd"/>
      <w:r w:rsidRPr="00F04A8B">
        <w:rPr>
          <w:sz w:val="22"/>
          <w:szCs w:val="22"/>
        </w:rPr>
        <w:t xml:space="preserve"> även bidrar till att skapa goda förutsättningar för jordbruket att hantera och använda vatten för att säkerställa en konkurrenskraftig livsmedelsproduktion. Det är också viktigt att </w:t>
      </w:r>
      <w:proofErr w:type="spellStart"/>
      <w:r w:rsidRPr="00F04A8B">
        <w:rPr>
          <w:sz w:val="22"/>
          <w:szCs w:val="22"/>
        </w:rPr>
        <w:t>vattenresiliensstrategin</w:t>
      </w:r>
      <w:proofErr w:type="spellEnd"/>
      <w:r w:rsidRPr="00F04A8B">
        <w:rPr>
          <w:sz w:val="22"/>
          <w:szCs w:val="22"/>
        </w:rPr>
        <w:t xml:space="preserve"> hanterar vattenföroreningar</w:t>
      </w:r>
      <w:bookmarkEnd w:id="4"/>
      <w:r w:rsidRPr="00F04A8B">
        <w:rPr>
          <w:sz w:val="22"/>
          <w:szCs w:val="22"/>
        </w:rPr>
        <w:t>. Vattenbrist och vattenkvalitet är nära sammanflätade eftersom minskad tillgång på vatten kan försämra vattenkvaliteten och sämre vattenkvalitet minskar tillgången till vatten. Av särskild vikt är att ett generellt förbud mot PFAS i produkter införs på EU-nivå för att skydda våra vattenresurser, människors hälsa och vår miljö mot allvarliga och långsiktiga effekter till följd av PFAS. Undantag kan enbart göras för samhällsviktig användning.</w:t>
      </w:r>
      <w:r>
        <w:rPr>
          <w:sz w:val="22"/>
          <w:szCs w:val="22"/>
        </w:rPr>
        <w:br/>
      </w:r>
    </w:p>
    <w:p w14:paraId="41144F38" w14:textId="77777777" w:rsidR="00813C3F" w:rsidRPr="00D30993" w:rsidRDefault="00813C3F" w:rsidP="00813C3F">
      <w:pPr>
        <w:rPr>
          <w:sz w:val="22"/>
          <w:szCs w:val="22"/>
        </w:rPr>
      </w:pPr>
      <w:r w:rsidRPr="00F04A8B">
        <w:rPr>
          <w:sz w:val="22"/>
          <w:szCs w:val="22"/>
        </w:rPr>
        <w:t xml:space="preserve">Regeringen bedömer att det finns behov av att kartlägga befintliga initiativ samt utvärdera de möjligheter </w:t>
      </w:r>
      <w:r w:rsidRPr="00F04A8B">
        <w:rPr>
          <w:sz w:val="22"/>
          <w:szCs w:val="22"/>
        </w:rPr>
        <w:lastRenderedPageBreak/>
        <w:t>som finns i befintlig EU-lagstiftning om informationssystem för jordbrukets hållbarhetsarbete. Ett eventuellt införande av ett benchmarkingsystem behöver ske på ett sätt som genererar verklig nytta för jordbruksföretagen, samtidigt som systemet inte innebär ökade kostnader och administrativ börda för företag och myndigheter. Regeringen är tveksam till förslaget om ett EU-observatorium för jordbruksmark bland annat på grund av en ökad risk för administrativ börda.</w:t>
      </w:r>
      <w:bookmarkStart w:id="5" w:name="_Hlk192775776"/>
      <w:r>
        <w:rPr>
          <w:sz w:val="22"/>
          <w:szCs w:val="22"/>
        </w:rPr>
        <w:br/>
      </w:r>
      <w:r>
        <w:rPr>
          <w:sz w:val="22"/>
          <w:szCs w:val="22"/>
        </w:rPr>
        <w:br/>
      </w:r>
      <w:r w:rsidRPr="00D30993">
        <w:rPr>
          <w:sz w:val="22"/>
          <w:szCs w:val="22"/>
        </w:rPr>
        <w:t>Inom ramen för det arbete som sker med EU:s klimatmål för 2040, och översyn av befintlig lagstiftning som reglerar utsläpp och upptag av växthusgaser från jordbruket och LULUCF, stödjer regeringen som utgångspunkt ett mål som innebär att nettoutsläppen minskar med 90 procent till 2040, jämfört med 1990, förutsatt att dess genomförande bedöms vara realistiskt. I det avseendet och i relation till LULUCF anser regeringen att EU inte kan förlita sig på svåruppnåeliga åtaganden för nettoupptaget i sektorn, som präglas av osäkerheter i metod och uppföljning samt naturliga variationer och begränsad möjlighet att på kort sikt påverka genom åtgärder.</w:t>
      </w:r>
      <w:r>
        <w:rPr>
          <w:sz w:val="22"/>
          <w:szCs w:val="22"/>
        </w:rPr>
        <w:br/>
      </w:r>
    </w:p>
    <w:bookmarkEnd w:id="5"/>
    <w:p w14:paraId="432FE724" w14:textId="77777777" w:rsidR="00813C3F" w:rsidRPr="00D30993" w:rsidRDefault="00813C3F" w:rsidP="00813C3F">
      <w:pPr>
        <w:rPr>
          <w:sz w:val="22"/>
          <w:szCs w:val="22"/>
        </w:rPr>
      </w:pPr>
      <w:r w:rsidRPr="00D30993">
        <w:rPr>
          <w:sz w:val="22"/>
          <w:szCs w:val="22"/>
        </w:rPr>
        <w:t xml:space="preserve">Sverige bör verka för att på EU-nivå införa en harmoniserad, träffsäker och kostnadseffektiv styrning mot minskade utsläpp som inte snedvrider konkurrensen på livsmedelsmarknaden, skapar läckage av utsläpp eller hämmar livsmedelsproduktionen. Regeringen välkomnar en översyn av EU:s skolprogram som bör leda till en minskad administrativ börda för medlemsstaterna i genomförandet av programmet. </w:t>
      </w:r>
    </w:p>
    <w:p w14:paraId="1FC33B14" w14:textId="77777777" w:rsidR="00813C3F" w:rsidRDefault="00813C3F" w:rsidP="00813C3F">
      <w:pPr>
        <w:rPr>
          <w:sz w:val="22"/>
          <w:szCs w:val="22"/>
        </w:rPr>
      </w:pPr>
    </w:p>
    <w:p w14:paraId="1FBE306E" w14:textId="77777777" w:rsidR="00813C3F" w:rsidRPr="00D30993" w:rsidRDefault="00813C3F" w:rsidP="00813C3F">
      <w:pPr>
        <w:pStyle w:val="Brdtext"/>
        <w:rPr>
          <w:i/>
          <w:iCs/>
          <w:sz w:val="22"/>
          <w:szCs w:val="22"/>
        </w:rPr>
      </w:pPr>
      <w:r w:rsidRPr="00D30993">
        <w:rPr>
          <w:i/>
          <w:iCs/>
          <w:sz w:val="22"/>
          <w:szCs w:val="22"/>
        </w:rPr>
        <w:t>Uppvärdering av mat och rättvisa villkor i livskraftiga landsbygdsområden (inklusive arbetsvillkor)</w:t>
      </w:r>
      <w:r>
        <w:rPr>
          <w:i/>
          <w:iCs/>
          <w:sz w:val="22"/>
          <w:szCs w:val="22"/>
        </w:rPr>
        <w:br/>
      </w:r>
      <w:r w:rsidRPr="00D30993">
        <w:rPr>
          <w:sz w:val="22"/>
          <w:szCs w:val="22"/>
        </w:rPr>
        <w:t xml:space="preserve">Regeringen välkomnar kommissionens vision på djurskyddsområdet. Det är hög tid att kommissionen lägger fram återstående förslag inom ramen för översynen av EU:s djurskyddslagstiftning. Det är angeläget att denna översyn blir ambitiös och resulterar i ett regelverk som innebär en förbättring av djurvälfärden samtidigt som behov av en likvärdig tillämpning, bättre efterlevnad, minskad administrativ börda och mer jämlika konkurrensvillkor inom unionen beaktas. </w:t>
      </w:r>
    </w:p>
    <w:p w14:paraId="5E54AE59" w14:textId="77777777" w:rsidR="00813C3F" w:rsidRPr="005A7121" w:rsidRDefault="00813C3F" w:rsidP="00813C3F">
      <w:pPr>
        <w:pStyle w:val="Brdtext"/>
        <w:rPr>
          <w:i/>
          <w:iCs/>
          <w:sz w:val="22"/>
          <w:szCs w:val="22"/>
        </w:rPr>
      </w:pPr>
      <w:r w:rsidRPr="00D30993">
        <w:rPr>
          <w:i/>
          <w:iCs/>
          <w:sz w:val="22"/>
          <w:szCs w:val="22"/>
        </w:rPr>
        <w:t>Digitalisering, innovation och kunskapsöverföring jämte förenkling</w:t>
      </w:r>
      <w:r>
        <w:rPr>
          <w:i/>
          <w:iCs/>
          <w:sz w:val="22"/>
          <w:szCs w:val="22"/>
        </w:rPr>
        <w:br/>
      </w:r>
      <w:r w:rsidRPr="00D30993">
        <w:rPr>
          <w:sz w:val="22"/>
          <w:szCs w:val="22"/>
        </w:rPr>
        <w:t xml:space="preserve">Satsningar på kunskap och innovation är avgörande för att sektorn ska uppnå en hållbar produktion med högre produktivitet. Regeringen är positiv till en ny strategisk ansats för forskning och innovation. </w:t>
      </w:r>
    </w:p>
    <w:p w14:paraId="19EEDF1A" w14:textId="7BF1A79B" w:rsidR="00987069" w:rsidRDefault="00987069" w:rsidP="00987069">
      <w:pPr>
        <w:widowControl/>
        <w:rPr>
          <w:sz w:val="22"/>
          <w:szCs w:val="22"/>
        </w:rPr>
      </w:pPr>
    </w:p>
    <w:p w14:paraId="00B7EA3C" w14:textId="2AA1BC44" w:rsidR="00987069" w:rsidRDefault="00987069" w:rsidP="00987069">
      <w:pPr>
        <w:widowControl/>
        <w:rPr>
          <w:sz w:val="22"/>
          <w:szCs w:val="22"/>
        </w:rPr>
      </w:pPr>
    </w:p>
    <w:p w14:paraId="19C04696" w14:textId="0060AB38" w:rsidR="00987069" w:rsidRDefault="00987069" w:rsidP="00987069">
      <w:pPr>
        <w:widowControl/>
        <w:rPr>
          <w:sz w:val="22"/>
          <w:szCs w:val="22"/>
        </w:rPr>
      </w:pPr>
    </w:p>
    <w:p w14:paraId="17954073" w14:textId="53D64758" w:rsidR="00987069" w:rsidRDefault="00987069" w:rsidP="00987069">
      <w:pPr>
        <w:widowControl/>
        <w:rPr>
          <w:sz w:val="22"/>
          <w:szCs w:val="22"/>
        </w:rPr>
      </w:pPr>
    </w:p>
    <w:p w14:paraId="5E7BD713" w14:textId="4FF6CEF1" w:rsidR="00987069" w:rsidRDefault="00987069" w:rsidP="00987069">
      <w:pPr>
        <w:widowControl/>
        <w:rPr>
          <w:sz w:val="22"/>
          <w:szCs w:val="22"/>
        </w:rPr>
      </w:pPr>
    </w:p>
    <w:p w14:paraId="4A6DC1A0" w14:textId="6FA9FB4D" w:rsidR="00987069" w:rsidRDefault="00987069" w:rsidP="00987069">
      <w:pPr>
        <w:widowControl/>
        <w:rPr>
          <w:sz w:val="22"/>
          <w:szCs w:val="22"/>
        </w:rPr>
      </w:pPr>
    </w:p>
    <w:p w14:paraId="671AB38E" w14:textId="06672EB9" w:rsidR="00987069" w:rsidRDefault="00987069" w:rsidP="00987069">
      <w:pPr>
        <w:widowControl/>
        <w:rPr>
          <w:sz w:val="22"/>
          <w:szCs w:val="22"/>
        </w:rPr>
      </w:pPr>
    </w:p>
    <w:p w14:paraId="3F782468" w14:textId="7F198245" w:rsidR="00987069" w:rsidRDefault="00987069" w:rsidP="00987069">
      <w:pPr>
        <w:widowControl/>
        <w:rPr>
          <w:sz w:val="22"/>
          <w:szCs w:val="22"/>
        </w:rPr>
      </w:pPr>
    </w:p>
    <w:p w14:paraId="10A77EC4" w14:textId="04B6D5B0" w:rsidR="00987069" w:rsidRDefault="00987069" w:rsidP="00987069">
      <w:pPr>
        <w:widowControl/>
        <w:rPr>
          <w:sz w:val="22"/>
          <w:szCs w:val="22"/>
        </w:rPr>
      </w:pPr>
    </w:p>
    <w:p w14:paraId="7530620E" w14:textId="5C2E97DD" w:rsidR="00987069" w:rsidRDefault="00987069" w:rsidP="00987069">
      <w:pPr>
        <w:widowControl/>
        <w:rPr>
          <w:sz w:val="22"/>
          <w:szCs w:val="22"/>
        </w:rPr>
      </w:pPr>
    </w:p>
    <w:p w14:paraId="0284DEF8" w14:textId="3E6A6FDD" w:rsidR="00987069" w:rsidRDefault="00987069" w:rsidP="00987069">
      <w:pPr>
        <w:widowControl/>
        <w:rPr>
          <w:sz w:val="22"/>
          <w:szCs w:val="22"/>
        </w:rPr>
      </w:pPr>
    </w:p>
    <w:p w14:paraId="14524BBB" w14:textId="342FF244" w:rsidR="00987069" w:rsidRDefault="00987069" w:rsidP="00987069">
      <w:pPr>
        <w:widowControl/>
        <w:rPr>
          <w:sz w:val="22"/>
          <w:szCs w:val="22"/>
        </w:rPr>
      </w:pPr>
    </w:p>
    <w:p w14:paraId="2E6DF06C" w14:textId="4AAD3148" w:rsidR="00987069" w:rsidRDefault="00987069" w:rsidP="00987069">
      <w:pPr>
        <w:widowControl/>
        <w:rPr>
          <w:sz w:val="22"/>
          <w:szCs w:val="22"/>
        </w:rPr>
      </w:pPr>
    </w:p>
    <w:p w14:paraId="71486D05" w14:textId="028B5F2B" w:rsidR="00987069" w:rsidRDefault="00987069" w:rsidP="00987069">
      <w:pPr>
        <w:widowControl/>
        <w:rPr>
          <w:sz w:val="22"/>
          <w:szCs w:val="22"/>
        </w:rPr>
      </w:pPr>
    </w:p>
    <w:p w14:paraId="37CE9BF6" w14:textId="0C41EDB6" w:rsidR="00987069" w:rsidRDefault="00987069" w:rsidP="00987069">
      <w:pPr>
        <w:widowControl/>
        <w:rPr>
          <w:sz w:val="22"/>
          <w:szCs w:val="22"/>
        </w:rPr>
      </w:pPr>
    </w:p>
    <w:p w14:paraId="58491238" w14:textId="064CC38B" w:rsidR="00987069" w:rsidRDefault="00987069" w:rsidP="00987069">
      <w:pPr>
        <w:widowControl/>
        <w:rPr>
          <w:sz w:val="22"/>
          <w:szCs w:val="22"/>
        </w:rPr>
      </w:pPr>
    </w:p>
    <w:p w14:paraId="49F64CC4" w14:textId="08EBC78F" w:rsidR="00987069" w:rsidRDefault="00987069" w:rsidP="00987069">
      <w:pPr>
        <w:widowControl/>
        <w:rPr>
          <w:sz w:val="22"/>
          <w:szCs w:val="22"/>
        </w:rPr>
      </w:pPr>
    </w:p>
    <w:p w14:paraId="58536FF2" w14:textId="13FA7D32" w:rsidR="00987069" w:rsidRDefault="00987069" w:rsidP="00987069">
      <w:pPr>
        <w:widowControl/>
        <w:rPr>
          <w:sz w:val="22"/>
          <w:szCs w:val="22"/>
        </w:rPr>
      </w:pPr>
    </w:p>
    <w:p w14:paraId="0BA19852" w14:textId="515D3B42" w:rsidR="00987069" w:rsidRDefault="00987069" w:rsidP="00987069">
      <w:pPr>
        <w:widowControl/>
        <w:rPr>
          <w:sz w:val="22"/>
          <w:szCs w:val="22"/>
        </w:rPr>
      </w:pPr>
    </w:p>
    <w:p w14:paraId="00B73908" w14:textId="1013AA85" w:rsidR="00987069" w:rsidRDefault="00987069" w:rsidP="00987069">
      <w:pPr>
        <w:widowControl/>
        <w:rPr>
          <w:sz w:val="22"/>
          <w:szCs w:val="22"/>
        </w:rPr>
      </w:pPr>
    </w:p>
    <w:p w14:paraId="5D817626" w14:textId="4A9E803C" w:rsidR="00987069" w:rsidRDefault="00987069" w:rsidP="00987069">
      <w:pPr>
        <w:widowControl/>
        <w:rPr>
          <w:sz w:val="22"/>
          <w:szCs w:val="22"/>
        </w:rPr>
      </w:pPr>
    </w:p>
    <w:p w14:paraId="3DAA59A9" w14:textId="4B3E7665" w:rsidR="00987069" w:rsidRDefault="00987069" w:rsidP="00987069">
      <w:pPr>
        <w:widowControl/>
        <w:rPr>
          <w:sz w:val="22"/>
          <w:szCs w:val="22"/>
        </w:rPr>
      </w:pPr>
    </w:p>
    <w:p w14:paraId="3650DDE7" w14:textId="575DBF42" w:rsidR="00987069" w:rsidRDefault="00987069" w:rsidP="00987069">
      <w:pPr>
        <w:widowControl/>
        <w:rPr>
          <w:sz w:val="22"/>
          <w:szCs w:val="22"/>
        </w:rPr>
      </w:pPr>
    </w:p>
    <w:p w14:paraId="427F26BC" w14:textId="22FDD962" w:rsidR="00987069" w:rsidRDefault="00987069" w:rsidP="00987069">
      <w:pPr>
        <w:widowControl/>
        <w:rPr>
          <w:sz w:val="22"/>
          <w:szCs w:val="22"/>
        </w:rPr>
      </w:pPr>
    </w:p>
    <w:p w14:paraId="7F894B55" w14:textId="511BE7B3" w:rsidR="00987069" w:rsidRDefault="00987069" w:rsidP="00987069">
      <w:pPr>
        <w:widowControl/>
        <w:rPr>
          <w:sz w:val="22"/>
          <w:szCs w:val="22"/>
        </w:rPr>
      </w:pPr>
    </w:p>
    <w:p w14:paraId="3694A68E" w14:textId="7FC657F8" w:rsidR="00987069" w:rsidRDefault="00987069" w:rsidP="00987069">
      <w:pPr>
        <w:widowControl/>
        <w:rPr>
          <w:sz w:val="22"/>
          <w:szCs w:val="22"/>
        </w:rPr>
      </w:pPr>
    </w:p>
    <w:p w14:paraId="7729C2BF" w14:textId="18210AC2" w:rsidR="00987069" w:rsidRDefault="00987069" w:rsidP="00987069">
      <w:pPr>
        <w:widowControl/>
        <w:rPr>
          <w:sz w:val="22"/>
          <w:szCs w:val="22"/>
        </w:rPr>
      </w:pPr>
    </w:p>
    <w:p w14:paraId="46A66135" w14:textId="77EC18F3" w:rsidR="00987069" w:rsidRDefault="00987069" w:rsidP="00987069">
      <w:pPr>
        <w:widowControl/>
        <w:rPr>
          <w:sz w:val="22"/>
          <w:szCs w:val="22"/>
        </w:rPr>
      </w:pPr>
    </w:p>
    <w:p w14:paraId="3786154B" w14:textId="0FEC4636" w:rsidR="00987069" w:rsidRDefault="00987069" w:rsidP="00987069">
      <w:pPr>
        <w:widowControl/>
        <w:rPr>
          <w:sz w:val="22"/>
          <w:szCs w:val="22"/>
        </w:rPr>
      </w:pPr>
    </w:p>
    <w:p w14:paraId="764E315F" w14:textId="30C90CB6" w:rsidR="00987069" w:rsidRDefault="00987069" w:rsidP="00987069">
      <w:pPr>
        <w:widowControl/>
        <w:rPr>
          <w:sz w:val="22"/>
          <w:szCs w:val="22"/>
        </w:rPr>
      </w:pPr>
    </w:p>
    <w:p w14:paraId="2BF97E0E" w14:textId="1D65B40F" w:rsidR="00987069" w:rsidRDefault="00987069" w:rsidP="00987069">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2D52F455" w14:textId="77777777" w:rsidTr="00DC7DFD">
        <w:tc>
          <w:tcPr>
            <w:tcW w:w="6532" w:type="dxa"/>
          </w:tcPr>
          <w:p w14:paraId="103086D8"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30B1CEC8" w14:textId="77777777" w:rsidR="00987069" w:rsidRPr="00F01A93" w:rsidRDefault="00987069" w:rsidP="00DC7DFD">
            <w:pPr>
              <w:tabs>
                <w:tab w:val="left" w:pos="1276"/>
              </w:tabs>
              <w:rPr>
                <w:sz w:val="22"/>
                <w:szCs w:val="22"/>
              </w:rPr>
            </w:pPr>
          </w:p>
        </w:tc>
        <w:tc>
          <w:tcPr>
            <w:tcW w:w="2036" w:type="dxa"/>
          </w:tcPr>
          <w:p w14:paraId="30569EFB" w14:textId="3B6A2E96" w:rsidR="00987069" w:rsidRPr="00F01A93" w:rsidRDefault="00987069" w:rsidP="00DC7DFD">
            <w:pPr>
              <w:tabs>
                <w:tab w:val="left" w:pos="1276"/>
              </w:tabs>
              <w:ind w:right="-212"/>
              <w:rPr>
                <w:b/>
                <w:sz w:val="22"/>
                <w:szCs w:val="22"/>
              </w:rPr>
            </w:pPr>
            <w:r w:rsidRPr="00F01A93">
              <w:rPr>
                <w:b/>
                <w:sz w:val="22"/>
                <w:szCs w:val="22"/>
              </w:rPr>
              <w:t xml:space="preserve">Bilaga </w:t>
            </w:r>
            <w:r>
              <w:rPr>
                <w:b/>
                <w:sz w:val="22"/>
                <w:szCs w:val="22"/>
              </w:rPr>
              <w:t>3</w:t>
            </w:r>
          </w:p>
          <w:p w14:paraId="061DD23D" w14:textId="77777777" w:rsidR="00987069" w:rsidRPr="00F01A93" w:rsidRDefault="00987069" w:rsidP="00DC7DFD">
            <w:pPr>
              <w:tabs>
                <w:tab w:val="left" w:pos="1276"/>
              </w:tabs>
              <w:ind w:right="-212"/>
              <w:rPr>
                <w:sz w:val="22"/>
                <w:szCs w:val="22"/>
              </w:rPr>
            </w:pPr>
            <w:r w:rsidRPr="00F01A93">
              <w:rPr>
                <w:sz w:val="22"/>
                <w:szCs w:val="22"/>
              </w:rPr>
              <w:t>till protokoll</w:t>
            </w:r>
          </w:p>
          <w:p w14:paraId="4117137A" w14:textId="06C1F2AE" w:rsidR="00987069" w:rsidRPr="00F01A93" w:rsidRDefault="00987069" w:rsidP="00DC7DFD">
            <w:pPr>
              <w:tabs>
                <w:tab w:val="left" w:pos="1276"/>
              </w:tabs>
              <w:ind w:right="-212"/>
              <w:rPr>
                <w:b/>
                <w:sz w:val="22"/>
                <w:szCs w:val="22"/>
              </w:rPr>
            </w:pPr>
            <w:r w:rsidRPr="00F01A93">
              <w:rPr>
                <w:sz w:val="22"/>
                <w:szCs w:val="22"/>
              </w:rPr>
              <w:t>202</w:t>
            </w:r>
            <w:r w:rsidR="006064AF">
              <w:rPr>
                <w:sz w:val="22"/>
                <w:szCs w:val="22"/>
              </w:rPr>
              <w:t>4</w:t>
            </w:r>
            <w:r w:rsidRPr="00F01A93">
              <w:rPr>
                <w:sz w:val="22"/>
                <w:szCs w:val="22"/>
              </w:rPr>
              <w:t>/2</w:t>
            </w:r>
            <w:r w:rsidR="006064AF">
              <w:rPr>
                <w:sz w:val="22"/>
                <w:szCs w:val="22"/>
              </w:rPr>
              <w:t>5</w:t>
            </w:r>
            <w:r w:rsidRPr="00F01A93">
              <w:rPr>
                <w:sz w:val="22"/>
                <w:szCs w:val="22"/>
              </w:rPr>
              <w:t>:</w:t>
            </w:r>
            <w:r w:rsidR="00297569">
              <w:rPr>
                <w:sz w:val="22"/>
                <w:szCs w:val="22"/>
              </w:rPr>
              <w:t>27</w:t>
            </w:r>
          </w:p>
        </w:tc>
      </w:tr>
    </w:tbl>
    <w:p w14:paraId="4C2BE49D" w14:textId="77777777" w:rsidR="00813C3F" w:rsidRDefault="00813C3F" w:rsidP="00813C3F">
      <w:pPr>
        <w:rPr>
          <w:b/>
          <w:bCs/>
          <w:sz w:val="22"/>
          <w:szCs w:val="22"/>
        </w:rPr>
      </w:pPr>
      <w:bookmarkStart w:id="6" w:name="_Hlk184296279"/>
      <w:r w:rsidRPr="00297569">
        <w:rPr>
          <w:b/>
          <w:sz w:val="22"/>
          <w:szCs w:val="22"/>
        </w:rPr>
        <w:t xml:space="preserve">Meddelande från kommissionen till Europaparlamentet, rådet, </w:t>
      </w:r>
      <w:proofErr w:type="gramStart"/>
      <w:r w:rsidRPr="00297569">
        <w:rPr>
          <w:b/>
          <w:sz w:val="22"/>
          <w:szCs w:val="22"/>
        </w:rPr>
        <w:t>Europeiska</w:t>
      </w:r>
      <w:proofErr w:type="gramEnd"/>
      <w:r w:rsidRPr="00297569">
        <w:rPr>
          <w:b/>
          <w:sz w:val="22"/>
          <w:szCs w:val="22"/>
        </w:rPr>
        <w:t xml:space="preserve"> ekonomiska och sociala kommittén SAMT Regionkommittén En vision för jordbruk och livsmedel En attraktiv jordbruks- och livsmedelsindustri för kommande generationer</w:t>
      </w:r>
    </w:p>
    <w:p w14:paraId="4AEE2F1B" w14:textId="77777777" w:rsidR="00813C3F" w:rsidRDefault="00813C3F" w:rsidP="00813C3F">
      <w:pPr>
        <w:rPr>
          <w:rFonts w:eastAsia="Calibri"/>
          <w:b/>
          <w:bCs/>
          <w:color w:val="000000"/>
          <w:sz w:val="22"/>
          <w:szCs w:val="22"/>
          <w:lang w:eastAsia="en-US"/>
        </w:rPr>
      </w:pPr>
    </w:p>
    <w:p w14:paraId="2E91F102" w14:textId="77777777" w:rsidR="00813C3F" w:rsidRPr="0011316E" w:rsidRDefault="00813C3F" w:rsidP="00813C3F">
      <w:pPr>
        <w:tabs>
          <w:tab w:val="left" w:pos="1701"/>
        </w:tabs>
        <w:rPr>
          <w:b/>
          <w:bCs/>
          <w:color w:val="000000"/>
          <w:sz w:val="22"/>
          <w:szCs w:val="22"/>
        </w:rPr>
      </w:pPr>
      <w:r w:rsidRPr="0011316E">
        <w:rPr>
          <w:b/>
          <w:bCs/>
          <w:color w:val="000000"/>
          <w:sz w:val="22"/>
          <w:szCs w:val="22"/>
        </w:rPr>
        <w:t>S-ledamöterna anmälde följande avvikande ståndpunkt:</w:t>
      </w:r>
    </w:p>
    <w:p w14:paraId="2FD7972B" w14:textId="77777777" w:rsidR="00813C3F" w:rsidRPr="005A7121" w:rsidRDefault="00813C3F" w:rsidP="00813C3F">
      <w:pPr>
        <w:rPr>
          <w:sz w:val="22"/>
          <w:szCs w:val="22"/>
        </w:rPr>
      </w:pPr>
      <w:r w:rsidRPr="005A7121">
        <w:rPr>
          <w:sz w:val="22"/>
          <w:szCs w:val="22"/>
        </w:rPr>
        <w:t>Vi vill att ståndpunktens början ändras till detta:</w:t>
      </w:r>
    </w:p>
    <w:p w14:paraId="7CCF245C" w14:textId="77777777" w:rsidR="00813C3F" w:rsidRPr="005A7121" w:rsidRDefault="00813C3F" w:rsidP="00813C3F">
      <w:pPr>
        <w:rPr>
          <w:sz w:val="22"/>
          <w:szCs w:val="22"/>
        </w:rPr>
      </w:pPr>
      <w:r w:rsidRPr="005A7121">
        <w:rPr>
          <w:color w:val="FF0000"/>
          <w:sz w:val="22"/>
          <w:szCs w:val="22"/>
        </w:rPr>
        <w:t xml:space="preserve">Regeringen välkomnar visionen och dess betoning på en attraktiv, konkurrenskraftig, hållbar, </w:t>
      </w:r>
      <w:proofErr w:type="spellStart"/>
      <w:r w:rsidRPr="005A7121">
        <w:rPr>
          <w:color w:val="FF0000"/>
          <w:sz w:val="22"/>
          <w:szCs w:val="22"/>
        </w:rPr>
        <w:t>resilient</w:t>
      </w:r>
      <w:proofErr w:type="spellEnd"/>
      <w:r w:rsidRPr="005A7121">
        <w:rPr>
          <w:color w:val="FF0000"/>
          <w:sz w:val="22"/>
          <w:szCs w:val="22"/>
        </w:rPr>
        <w:t xml:space="preserve"> och framtidssäker sektor som arbetar med naturen; samt uppvärdering av mat och rättvisa villkor i livskraftiga landsbygdsområden inkl. arbetsvillkor som i stor utsträckning går i linje med målsättningarna för den svenska livsmedelsstrategin</w:t>
      </w:r>
      <w:r w:rsidRPr="005A7121">
        <w:rPr>
          <w:sz w:val="22"/>
          <w:szCs w:val="22"/>
        </w:rPr>
        <w:t xml:space="preserve">. </w:t>
      </w:r>
    </w:p>
    <w:p w14:paraId="31B2D229" w14:textId="77777777" w:rsidR="00813C3F" w:rsidRPr="005A7121" w:rsidRDefault="00813C3F" w:rsidP="00813C3F">
      <w:pPr>
        <w:rPr>
          <w:sz w:val="22"/>
          <w:szCs w:val="22"/>
        </w:rPr>
      </w:pPr>
    </w:p>
    <w:p w14:paraId="343548BC" w14:textId="77777777" w:rsidR="00813C3F" w:rsidRDefault="00813C3F" w:rsidP="00813C3F">
      <w:pPr>
        <w:rPr>
          <w:sz w:val="22"/>
          <w:szCs w:val="22"/>
        </w:rPr>
      </w:pPr>
      <w:r w:rsidRPr="005A7121">
        <w:rPr>
          <w:sz w:val="22"/>
          <w:szCs w:val="22"/>
        </w:rPr>
        <w:t>Vi vill att följande nya stycke läggs till efter ståndpunktens fjärde stycke:</w:t>
      </w:r>
    </w:p>
    <w:p w14:paraId="7B3425F7" w14:textId="77777777" w:rsidR="00813C3F" w:rsidRPr="005A7121" w:rsidRDefault="00813C3F" w:rsidP="00813C3F">
      <w:pPr>
        <w:tabs>
          <w:tab w:val="left" w:pos="1701"/>
        </w:tabs>
        <w:rPr>
          <w:color w:val="FF0000"/>
          <w:sz w:val="22"/>
          <w:szCs w:val="22"/>
        </w:rPr>
      </w:pPr>
      <w:r w:rsidRPr="005A7121">
        <w:rPr>
          <w:color w:val="FF0000"/>
          <w:sz w:val="22"/>
          <w:szCs w:val="22"/>
        </w:rPr>
        <w:t>Regeringen välkomnar inriktningen att arealbaserade stöd särskilt ska riktas till områden med geografiska begränsningar, unga och nya jordbrukare samt gårdar med blandad produktion. Regeringen ställer sig däremot tveksam till en ökad nedtrappning och tak för stödbelopp till större jordbruk eftersom det riskerar leda till ökad administration och kan få oönskade tröskeleffekter.</w:t>
      </w:r>
    </w:p>
    <w:p w14:paraId="1AA1747C" w14:textId="77777777" w:rsidR="00813C3F" w:rsidRPr="0011316E" w:rsidRDefault="00813C3F" w:rsidP="00813C3F">
      <w:pPr>
        <w:tabs>
          <w:tab w:val="left" w:pos="1701"/>
        </w:tabs>
        <w:rPr>
          <w:b/>
          <w:bCs/>
          <w:color w:val="000000"/>
          <w:sz w:val="22"/>
          <w:szCs w:val="22"/>
        </w:rPr>
      </w:pPr>
    </w:p>
    <w:p w14:paraId="3EFE8759" w14:textId="77777777" w:rsidR="00813C3F" w:rsidRPr="0011316E" w:rsidRDefault="00813C3F" w:rsidP="00813C3F">
      <w:pPr>
        <w:tabs>
          <w:tab w:val="left" w:pos="1701"/>
        </w:tabs>
        <w:rPr>
          <w:b/>
          <w:bCs/>
          <w:color w:val="000000"/>
          <w:sz w:val="22"/>
          <w:szCs w:val="22"/>
        </w:rPr>
      </w:pPr>
      <w:r w:rsidRPr="0011316E">
        <w:rPr>
          <w:b/>
          <w:bCs/>
          <w:color w:val="000000"/>
          <w:sz w:val="22"/>
          <w:szCs w:val="22"/>
        </w:rPr>
        <w:t>V-ledamoten anmälde följande avvikande ståndpunkt:</w:t>
      </w:r>
    </w:p>
    <w:p w14:paraId="459B340E" w14:textId="77777777" w:rsidR="00813C3F" w:rsidRPr="00234696" w:rsidRDefault="00813C3F" w:rsidP="00813C3F">
      <w:pPr>
        <w:rPr>
          <w:sz w:val="22"/>
          <w:szCs w:val="22"/>
        </w:rPr>
      </w:pPr>
      <w:r w:rsidRPr="00234696">
        <w:rPr>
          <w:sz w:val="22"/>
          <w:szCs w:val="22"/>
        </w:rPr>
        <w:t>I vissa delar har vi en annan syn på den svenska ståndpunkten:</w:t>
      </w:r>
    </w:p>
    <w:p w14:paraId="6E28C4F1" w14:textId="77777777" w:rsidR="00813C3F" w:rsidRPr="00234696" w:rsidRDefault="00813C3F" w:rsidP="00813C3F">
      <w:pPr>
        <w:rPr>
          <w:sz w:val="22"/>
          <w:szCs w:val="22"/>
        </w:rPr>
      </w:pPr>
    </w:p>
    <w:p w14:paraId="2D1832CF" w14:textId="77777777" w:rsidR="00813C3F" w:rsidRPr="00234696" w:rsidRDefault="00813C3F" w:rsidP="00813C3F">
      <w:pPr>
        <w:rPr>
          <w:i/>
          <w:iCs/>
          <w:sz w:val="22"/>
          <w:szCs w:val="22"/>
        </w:rPr>
      </w:pPr>
      <w:r w:rsidRPr="00234696">
        <w:rPr>
          <w:i/>
          <w:iCs/>
          <w:sz w:val="22"/>
          <w:szCs w:val="22"/>
        </w:rPr>
        <w:t>Inledning:</w:t>
      </w:r>
    </w:p>
    <w:p w14:paraId="14620059" w14:textId="77777777" w:rsidR="00813C3F" w:rsidRPr="00234696" w:rsidRDefault="00813C3F" w:rsidP="00813C3F">
      <w:pPr>
        <w:rPr>
          <w:sz w:val="22"/>
          <w:szCs w:val="22"/>
        </w:rPr>
      </w:pPr>
      <w:r w:rsidRPr="00234696">
        <w:rPr>
          <w:sz w:val="22"/>
          <w:szCs w:val="22"/>
        </w:rPr>
        <w:t>Det vore bra om regeringen i ståndpunktens inledning lyfter in begreppet ”hållbarhet” jämte ”ökad konkurrenskraft och lönsamhet”.</w:t>
      </w:r>
    </w:p>
    <w:p w14:paraId="0EB4254F" w14:textId="77777777" w:rsidR="00813C3F" w:rsidRDefault="00813C3F" w:rsidP="00813C3F">
      <w:pPr>
        <w:rPr>
          <w:sz w:val="22"/>
          <w:szCs w:val="22"/>
        </w:rPr>
      </w:pPr>
    </w:p>
    <w:p w14:paraId="30080C69" w14:textId="77777777" w:rsidR="00813C3F" w:rsidRPr="00234696" w:rsidRDefault="00813C3F" w:rsidP="00813C3F">
      <w:pPr>
        <w:rPr>
          <w:sz w:val="22"/>
          <w:szCs w:val="22"/>
        </w:rPr>
      </w:pPr>
      <w:r w:rsidRPr="00234696">
        <w:rPr>
          <w:sz w:val="22"/>
          <w:szCs w:val="22"/>
        </w:rPr>
        <w:t>Vänsterpartiet kan instämma i att regelförenklingar, företagens regelbörda och administrativa börda är bra om det minskar, men det ska inte sänka ambitionsnivåer och inte ske på bekostnad av miljö- och klimatkrav.</w:t>
      </w:r>
    </w:p>
    <w:p w14:paraId="3FD0E146" w14:textId="77777777" w:rsidR="00813C3F" w:rsidRPr="00234696" w:rsidRDefault="00813C3F" w:rsidP="00813C3F">
      <w:pPr>
        <w:rPr>
          <w:sz w:val="22"/>
          <w:szCs w:val="22"/>
        </w:rPr>
      </w:pPr>
    </w:p>
    <w:p w14:paraId="4B5F1F0F" w14:textId="77777777" w:rsidR="00813C3F" w:rsidRPr="00234696" w:rsidRDefault="00813C3F" w:rsidP="00813C3F">
      <w:pPr>
        <w:rPr>
          <w:i/>
          <w:iCs/>
          <w:sz w:val="22"/>
          <w:szCs w:val="22"/>
        </w:rPr>
      </w:pPr>
      <w:r w:rsidRPr="00234696">
        <w:rPr>
          <w:i/>
          <w:iCs/>
          <w:sz w:val="22"/>
          <w:szCs w:val="22"/>
        </w:rPr>
        <w:t>En attraktiv sektor</w:t>
      </w:r>
    </w:p>
    <w:p w14:paraId="1B375A1E" w14:textId="77777777" w:rsidR="00813C3F" w:rsidRPr="00234696" w:rsidRDefault="00813C3F" w:rsidP="00813C3F">
      <w:pPr>
        <w:rPr>
          <w:sz w:val="22"/>
          <w:szCs w:val="22"/>
        </w:rPr>
      </w:pPr>
      <w:r w:rsidRPr="00234696">
        <w:rPr>
          <w:sz w:val="22"/>
          <w:szCs w:val="22"/>
        </w:rPr>
        <w:t>Vänsterpartiet positivt inställd till att livsmedelskedjan ska vara rättvis och jordbrukare ska inte tvingas att sälja sina jordbruksprodukter under produktionskostnader.</w:t>
      </w:r>
    </w:p>
    <w:p w14:paraId="3588F84E" w14:textId="77777777" w:rsidR="00813C3F" w:rsidRPr="00234696" w:rsidRDefault="00813C3F" w:rsidP="00813C3F">
      <w:pPr>
        <w:rPr>
          <w:sz w:val="22"/>
          <w:szCs w:val="22"/>
        </w:rPr>
      </w:pPr>
    </w:p>
    <w:p w14:paraId="62AAA625" w14:textId="77777777" w:rsidR="00813C3F" w:rsidRPr="00234696" w:rsidRDefault="00813C3F" w:rsidP="00813C3F">
      <w:pPr>
        <w:rPr>
          <w:sz w:val="22"/>
          <w:szCs w:val="22"/>
        </w:rPr>
      </w:pPr>
      <w:r w:rsidRPr="00234696">
        <w:rPr>
          <w:sz w:val="22"/>
          <w:szCs w:val="22"/>
        </w:rPr>
        <w:t>När det gäller ”frågor gällande markanvändning”, så ställer vi oss frågande varför regeringen vill sänka ambitionsnivån gällande EU-observatorium för jordbruksmark.</w:t>
      </w:r>
    </w:p>
    <w:p w14:paraId="47B4C32A" w14:textId="77777777" w:rsidR="00813C3F" w:rsidRPr="00234696" w:rsidRDefault="00813C3F" w:rsidP="00813C3F">
      <w:pPr>
        <w:rPr>
          <w:sz w:val="22"/>
          <w:szCs w:val="22"/>
        </w:rPr>
      </w:pPr>
    </w:p>
    <w:p w14:paraId="7CB00768" w14:textId="77777777" w:rsidR="00813C3F" w:rsidRPr="00234696" w:rsidRDefault="00813C3F" w:rsidP="00813C3F">
      <w:pPr>
        <w:rPr>
          <w:i/>
          <w:iCs/>
          <w:sz w:val="22"/>
          <w:szCs w:val="22"/>
        </w:rPr>
      </w:pPr>
      <w:r w:rsidRPr="00234696">
        <w:rPr>
          <w:i/>
          <w:iCs/>
          <w:sz w:val="22"/>
          <w:szCs w:val="22"/>
        </w:rPr>
        <w:t xml:space="preserve">En konkurrenskraftig och </w:t>
      </w:r>
      <w:proofErr w:type="spellStart"/>
      <w:r w:rsidRPr="00234696">
        <w:rPr>
          <w:i/>
          <w:iCs/>
          <w:sz w:val="22"/>
          <w:szCs w:val="22"/>
        </w:rPr>
        <w:t>resilient</w:t>
      </w:r>
      <w:proofErr w:type="spellEnd"/>
      <w:r w:rsidRPr="00234696">
        <w:rPr>
          <w:i/>
          <w:iCs/>
          <w:sz w:val="22"/>
          <w:szCs w:val="22"/>
        </w:rPr>
        <w:t xml:space="preserve"> sektor</w:t>
      </w:r>
    </w:p>
    <w:p w14:paraId="0819293B" w14:textId="77777777" w:rsidR="00813C3F" w:rsidRPr="00234696" w:rsidRDefault="00813C3F" w:rsidP="00813C3F">
      <w:pPr>
        <w:rPr>
          <w:sz w:val="22"/>
          <w:szCs w:val="22"/>
        </w:rPr>
      </w:pPr>
      <w:r w:rsidRPr="00234696">
        <w:rPr>
          <w:sz w:val="22"/>
          <w:szCs w:val="22"/>
        </w:rPr>
        <w:t>Att fasa ut skadliga bekämpningsmedel är viktigt både för den biologiska mångfalden och för att skydda människors hälsa. En ambitiös plan för utfasning skapar incitament för näringen att utveckla hållbara alternativ. Vi vill se höjda ambitioner på området.</w:t>
      </w:r>
    </w:p>
    <w:p w14:paraId="484F6711" w14:textId="77777777" w:rsidR="00813C3F" w:rsidRPr="00234696" w:rsidRDefault="00813C3F" w:rsidP="00813C3F">
      <w:pPr>
        <w:rPr>
          <w:sz w:val="22"/>
          <w:szCs w:val="22"/>
        </w:rPr>
      </w:pPr>
    </w:p>
    <w:p w14:paraId="2931DE94" w14:textId="77777777" w:rsidR="00813C3F" w:rsidRPr="00234696" w:rsidRDefault="00813C3F" w:rsidP="00813C3F">
      <w:pPr>
        <w:rPr>
          <w:sz w:val="22"/>
          <w:szCs w:val="22"/>
        </w:rPr>
      </w:pPr>
      <w:r w:rsidRPr="00234696">
        <w:rPr>
          <w:sz w:val="22"/>
          <w:szCs w:val="22"/>
        </w:rPr>
        <w:t>Vad det gäller regeringens skrivningar om s k spegelklausuler så ser vi en risk med sänkt ambitionsnivå.</w:t>
      </w:r>
    </w:p>
    <w:p w14:paraId="7934A0B7" w14:textId="77777777" w:rsidR="00813C3F" w:rsidRPr="00234696" w:rsidRDefault="00813C3F" w:rsidP="00813C3F">
      <w:pPr>
        <w:rPr>
          <w:b/>
          <w:bCs/>
          <w:sz w:val="22"/>
          <w:szCs w:val="22"/>
        </w:rPr>
      </w:pPr>
    </w:p>
    <w:p w14:paraId="73067B39" w14:textId="77777777" w:rsidR="00813C3F" w:rsidRPr="00234696" w:rsidRDefault="00813C3F" w:rsidP="00813C3F">
      <w:pPr>
        <w:rPr>
          <w:i/>
          <w:iCs/>
          <w:sz w:val="22"/>
          <w:szCs w:val="22"/>
        </w:rPr>
      </w:pPr>
      <w:r w:rsidRPr="00234696">
        <w:rPr>
          <w:i/>
          <w:iCs/>
          <w:sz w:val="22"/>
          <w:szCs w:val="22"/>
        </w:rPr>
        <w:t>En framtidssäker sektor som arbetar med naturen</w:t>
      </w:r>
    </w:p>
    <w:p w14:paraId="5AB22587" w14:textId="77777777" w:rsidR="00813C3F" w:rsidRPr="00234696" w:rsidRDefault="00813C3F" w:rsidP="00813C3F">
      <w:pPr>
        <w:rPr>
          <w:sz w:val="22"/>
          <w:szCs w:val="22"/>
        </w:rPr>
      </w:pPr>
      <w:r w:rsidRPr="00234696">
        <w:rPr>
          <w:sz w:val="22"/>
          <w:szCs w:val="22"/>
        </w:rPr>
        <w:t xml:space="preserve">Vänsterpartiet anser att 2040-målet ska vara </w:t>
      </w:r>
      <w:proofErr w:type="spellStart"/>
      <w:r w:rsidRPr="00234696">
        <w:rPr>
          <w:sz w:val="22"/>
          <w:szCs w:val="22"/>
        </w:rPr>
        <w:t>nettonoll</w:t>
      </w:r>
      <w:proofErr w:type="spellEnd"/>
      <w:r w:rsidRPr="00234696">
        <w:rPr>
          <w:sz w:val="22"/>
          <w:szCs w:val="22"/>
        </w:rPr>
        <w:t>.</w:t>
      </w:r>
    </w:p>
    <w:p w14:paraId="7F569490" w14:textId="77777777" w:rsidR="00813C3F" w:rsidRPr="00234696" w:rsidRDefault="00813C3F" w:rsidP="00813C3F">
      <w:pPr>
        <w:rPr>
          <w:i/>
          <w:iCs/>
          <w:sz w:val="22"/>
          <w:szCs w:val="22"/>
        </w:rPr>
      </w:pPr>
    </w:p>
    <w:p w14:paraId="378E676D" w14:textId="77777777" w:rsidR="00813C3F" w:rsidRPr="00234696" w:rsidRDefault="00813C3F" w:rsidP="00813C3F">
      <w:pPr>
        <w:rPr>
          <w:i/>
          <w:iCs/>
          <w:sz w:val="22"/>
          <w:szCs w:val="22"/>
        </w:rPr>
      </w:pPr>
      <w:r w:rsidRPr="00234696">
        <w:rPr>
          <w:sz w:val="22"/>
          <w:szCs w:val="22"/>
        </w:rPr>
        <w:t>Vi anser även att regeringens skrivningar om LULUCF innehåller en del förbehåll som riskerar att öppna upp för en ambitionssänkning, vilket inte är bra.</w:t>
      </w:r>
    </w:p>
    <w:p w14:paraId="6D229809" w14:textId="77777777" w:rsidR="00813C3F" w:rsidRPr="00234696" w:rsidRDefault="00813C3F" w:rsidP="00813C3F">
      <w:pPr>
        <w:tabs>
          <w:tab w:val="left" w:pos="1701"/>
        </w:tabs>
        <w:rPr>
          <w:b/>
          <w:bCs/>
          <w:color w:val="000000"/>
          <w:sz w:val="22"/>
          <w:szCs w:val="22"/>
        </w:rPr>
      </w:pPr>
    </w:p>
    <w:p w14:paraId="214D790B" w14:textId="732BE6E1" w:rsidR="00813C3F" w:rsidRDefault="00813C3F" w:rsidP="00813C3F">
      <w:pPr>
        <w:tabs>
          <w:tab w:val="left" w:pos="1701"/>
        </w:tabs>
        <w:rPr>
          <w:b/>
          <w:bCs/>
          <w:color w:val="000000"/>
          <w:sz w:val="22"/>
          <w:szCs w:val="22"/>
        </w:rPr>
      </w:pPr>
      <w:r w:rsidRPr="0011316E">
        <w:rPr>
          <w:b/>
          <w:bCs/>
          <w:color w:val="000000"/>
          <w:sz w:val="22"/>
          <w:szCs w:val="22"/>
        </w:rPr>
        <w:t>C-ledamoten anmälde följande avvikande ståndpunkt:</w:t>
      </w:r>
    </w:p>
    <w:p w14:paraId="34295C1C" w14:textId="77777777" w:rsidR="00813C3F" w:rsidRPr="00096A66" w:rsidRDefault="00813C3F" w:rsidP="00813C3F">
      <w:pPr>
        <w:rPr>
          <w:sz w:val="22"/>
          <w:szCs w:val="22"/>
        </w:rPr>
      </w:pPr>
      <w:r w:rsidRPr="00096A66">
        <w:rPr>
          <w:sz w:val="22"/>
          <w:szCs w:val="22"/>
        </w:rPr>
        <w:t>Regeringen välkomnar visionen och dess betoning på ökad konkurrenskraft och lönsamhet som i stor utsträckning går i linje med målsättningarna för den svenska livsmedelsstrategin. Regeringen är positiv till horisontella prioriteringar som digitalisering, kunskap och innovation samt regelförenkling. Regeringens övergripande inställning är att företagens regelbörda och administrativa börda ska minska. Sverige driver samtidigt en generell budgetrestriktiv hållning. Eventuella ökade utgifter på EU-budgeten ska finansieras genom omprioritering inom den fleråriga budgetramen.</w:t>
      </w:r>
    </w:p>
    <w:p w14:paraId="31BF7218" w14:textId="77777777" w:rsidR="00813C3F" w:rsidRDefault="00813C3F" w:rsidP="00813C3F">
      <w:pPr>
        <w:rPr>
          <w:sz w:val="22"/>
          <w:szCs w:val="22"/>
        </w:rPr>
      </w:pPr>
    </w:p>
    <w:p w14:paraId="1888C6FB" w14:textId="77777777" w:rsidR="00813C3F" w:rsidRPr="00096A66" w:rsidRDefault="00813C3F" w:rsidP="00813C3F">
      <w:pPr>
        <w:rPr>
          <w:sz w:val="22"/>
          <w:szCs w:val="22"/>
        </w:rPr>
      </w:pPr>
      <w:r w:rsidRPr="00096A66">
        <w:rPr>
          <w:sz w:val="22"/>
          <w:szCs w:val="22"/>
        </w:rPr>
        <w:t xml:space="preserve">Regeringen välkomnar en ökad dialog med sektorns aktörer rörande genomförande av visionen och de föreslagna insatserna. Samtidigt är det viktigt att säkerställa att nya politiska strategier och </w:t>
      </w:r>
      <w:r w:rsidRPr="00096A66">
        <w:rPr>
          <w:sz w:val="22"/>
          <w:szCs w:val="22"/>
        </w:rPr>
        <w:lastRenderedPageBreak/>
        <w:t xml:space="preserve">lagstiftningsförslag föregås av heltäckande konsekvensanalyser. </w:t>
      </w:r>
    </w:p>
    <w:p w14:paraId="524650DE" w14:textId="77777777" w:rsidR="00813C3F" w:rsidRPr="00096A66" w:rsidRDefault="00813C3F" w:rsidP="00813C3F">
      <w:pPr>
        <w:rPr>
          <w:sz w:val="22"/>
          <w:szCs w:val="22"/>
        </w:rPr>
      </w:pPr>
      <w:r>
        <w:rPr>
          <w:i/>
          <w:iCs/>
          <w:sz w:val="22"/>
          <w:szCs w:val="22"/>
        </w:rPr>
        <w:br/>
      </w:r>
      <w:r w:rsidRPr="00096A66">
        <w:rPr>
          <w:i/>
          <w:iCs/>
          <w:sz w:val="22"/>
          <w:szCs w:val="22"/>
        </w:rPr>
        <w:t>En attraktiv sektor</w:t>
      </w:r>
      <w:r>
        <w:rPr>
          <w:i/>
          <w:iCs/>
          <w:sz w:val="22"/>
          <w:szCs w:val="22"/>
        </w:rPr>
        <w:br/>
      </w:r>
      <w:r w:rsidRPr="00096A66" w:rsidDel="00E72080">
        <w:rPr>
          <w:sz w:val="22"/>
          <w:szCs w:val="22"/>
        </w:rPr>
        <w:t>Den gemensamma jordbrukspolitiken bör utvecklas mot mer riktade och effektiva stöd som ökar förutsättningarna för tillväxt, lönsamhet, företagande, sysselsättning och hållbarhet</w:t>
      </w:r>
      <w:r w:rsidRPr="00096A66">
        <w:rPr>
          <w:i/>
          <w:iCs/>
          <w:sz w:val="22"/>
          <w:szCs w:val="22"/>
        </w:rPr>
        <w:t xml:space="preserve">. </w:t>
      </w:r>
      <w:r w:rsidRPr="00234696">
        <w:rPr>
          <w:color w:val="FF0000"/>
          <w:sz w:val="22"/>
          <w:szCs w:val="22"/>
        </w:rPr>
        <w:t xml:space="preserve">Att det europeiska jordbruket är vinstdrivande är centralt för att möjliggöra investeringar i hållbarhet och grön omställning. </w:t>
      </w:r>
      <w:r w:rsidRPr="00096A66">
        <w:rPr>
          <w:sz w:val="22"/>
          <w:szCs w:val="22"/>
        </w:rPr>
        <w:t>Det är viktigt att hänsyn tas till situationen i olika medlemsstater och att tillräcklig flexibilitet ges för det nationella genomförandet. Den prestationsbaserade genomförandemodellen behöver också förenklas ytterligare.</w:t>
      </w:r>
      <w:r w:rsidRPr="00096A66">
        <w:rPr>
          <w:i/>
          <w:iCs/>
          <w:sz w:val="22"/>
          <w:szCs w:val="22"/>
        </w:rPr>
        <w:t xml:space="preserve"> </w:t>
      </w:r>
      <w:r w:rsidRPr="00096A66">
        <w:rPr>
          <w:sz w:val="22"/>
          <w:szCs w:val="22"/>
        </w:rPr>
        <w:t>Regeringen delar kommissionens bedömning om behovet av att åtgärda finansieringsgapet inom sektorn och välkomnar inriktningen mot incitament i stället för villkor. Därtill ser regeringen positivt på att kommissionen under 2025 kommer att ta fram en strategi för generationsväxling.</w:t>
      </w:r>
    </w:p>
    <w:p w14:paraId="6E992BA3" w14:textId="77777777" w:rsidR="00813C3F" w:rsidRPr="00096A66" w:rsidRDefault="00813C3F" w:rsidP="00813C3F">
      <w:pPr>
        <w:rPr>
          <w:sz w:val="22"/>
          <w:szCs w:val="22"/>
        </w:rPr>
      </w:pPr>
    </w:p>
    <w:p w14:paraId="052C0800" w14:textId="77777777" w:rsidR="00813C3F" w:rsidRDefault="00813C3F" w:rsidP="00813C3F">
      <w:pPr>
        <w:rPr>
          <w:sz w:val="22"/>
          <w:szCs w:val="22"/>
        </w:rPr>
      </w:pPr>
      <w:r w:rsidRPr="00096A66">
        <w:rPr>
          <w:sz w:val="22"/>
          <w:szCs w:val="22"/>
        </w:rPr>
        <w:t xml:space="preserve">Regeringen är positiv till visionens fokus på jordbrukarnas ställning i livsmedelskedjan och anser att den bör stärkas, vilket </w:t>
      </w:r>
      <w:r>
        <w:rPr>
          <w:color w:val="FF0000"/>
          <w:sz w:val="22"/>
          <w:szCs w:val="22"/>
        </w:rPr>
        <w:t xml:space="preserve">exempelvis </w:t>
      </w:r>
      <w:r w:rsidRPr="00096A66">
        <w:rPr>
          <w:sz w:val="22"/>
          <w:szCs w:val="22"/>
        </w:rPr>
        <w:t xml:space="preserve">kan ske genom mer ändamålsenliga regler för producentorganisationer och </w:t>
      </w:r>
      <w:r w:rsidRPr="00234696">
        <w:rPr>
          <w:strike/>
          <w:sz w:val="22"/>
          <w:szCs w:val="22"/>
        </w:rPr>
        <w:t>fortsatt utveckling av</w:t>
      </w:r>
      <w:r w:rsidRPr="00096A66">
        <w:rPr>
          <w:sz w:val="22"/>
          <w:szCs w:val="22"/>
        </w:rPr>
        <w:t xml:space="preserve"> </w:t>
      </w:r>
      <w:r>
        <w:rPr>
          <w:color w:val="FF0000"/>
          <w:sz w:val="22"/>
          <w:szCs w:val="22"/>
        </w:rPr>
        <w:t xml:space="preserve">en mer ändamålsenlig </w:t>
      </w:r>
      <w:r w:rsidRPr="00096A66">
        <w:rPr>
          <w:sz w:val="22"/>
          <w:szCs w:val="22"/>
        </w:rPr>
        <w:t>lagstiftning om otillbörliga handelsmetoder. Samtidigt bör en bibehållen marknadsorientering och en fungerande inre marknad värnas. Regeringen är tveksam till förslag som syftar till att lantbrukare inte ska tvingas sälja sina produkter under produktionskostnaden.</w:t>
      </w:r>
    </w:p>
    <w:p w14:paraId="053B9E2D" w14:textId="77777777" w:rsidR="00813C3F" w:rsidRDefault="00813C3F" w:rsidP="00813C3F">
      <w:pPr>
        <w:rPr>
          <w:sz w:val="22"/>
          <w:szCs w:val="22"/>
        </w:rPr>
      </w:pPr>
    </w:p>
    <w:p w14:paraId="5B2FE456" w14:textId="77777777" w:rsidR="00813C3F" w:rsidRPr="005A7121" w:rsidRDefault="00813C3F" w:rsidP="00813C3F">
      <w:pPr>
        <w:rPr>
          <w:noProof/>
          <w:color w:val="000000" w:themeColor="text1"/>
          <w:sz w:val="22"/>
          <w:szCs w:val="22"/>
        </w:rPr>
      </w:pPr>
      <w:r w:rsidRPr="00234696">
        <w:rPr>
          <w:color w:val="FF0000"/>
          <w:sz w:val="22"/>
          <w:szCs w:val="22"/>
        </w:rPr>
        <w:t xml:space="preserve">Regeringen välkomnar inriktningen att arealbaserade stöd särskilt ska riktas till områden med geografiska begränsningar, unga och nya jordbrukare samt gårdar med blandad produktion. Regeringen ställer sig däremot tveksam till en ökad nedtrappning och tak för stödbelopp till större jordbruk eftersom det riskerar leda till ökad administration och kan få oönskade tröskeleffekter. </w:t>
      </w:r>
      <w:r w:rsidRPr="00234696">
        <w:rPr>
          <w:color w:val="FF0000"/>
          <w:sz w:val="22"/>
          <w:szCs w:val="22"/>
        </w:rPr>
        <w:br/>
      </w:r>
      <w:r>
        <w:rPr>
          <w:sz w:val="22"/>
          <w:szCs w:val="22"/>
        </w:rPr>
        <w:br/>
      </w:r>
      <w:r w:rsidRPr="00096A66">
        <w:rPr>
          <w:sz w:val="22"/>
          <w:szCs w:val="22"/>
        </w:rPr>
        <w:t>Regelförenkling är av central betydelse, men för att nå visionens ambitioner behövs mer genomarbetade konsekvensanalyser av ny lagstiftning och återkommande revideringar av befintlig lagstiftning. Ett attraktivt, hållbart, och konkurrenskraftigt jordbruk kräver därtill en samstämmighet mellan olika initiativ, och minskat överlapp mellan befintlig lagstiftning, olika förslag under förhandling och tillkommande förslag.</w:t>
      </w:r>
      <w:r>
        <w:rPr>
          <w:sz w:val="22"/>
          <w:szCs w:val="22"/>
        </w:rPr>
        <w:br/>
      </w:r>
      <w:r>
        <w:rPr>
          <w:sz w:val="22"/>
          <w:szCs w:val="22"/>
        </w:rPr>
        <w:br/>
      </w:r>
      <w:r w:rsidRPr="0036343C">
        <w:rPr>
          <w:sz w:val="22"/>
          <w:szCs w:val="22"/>
        </w:rPr>
        <w:t xml:space="preserve">Regeringen välkomnar vidare att visionen lyfter de många möjligheter som bioekonomin erbjuder så som att skapa arbetstillfällen på landsbygden, nå klimatmål och minska kritiska beroenden. Även ökad </w:t>
      </w:r>
      <w:proofErr w:type="spellStart"/>
      <w:r w:rsidRPr="0036343C">
        <w:rPr>
          <w:sz w:val="22"/>
          <w:szCs w:val="22"/>
        </w:rPr>
        <w:t>cirkularitet</w:t>
      </w:r>
      <w:proofErr w:type="spellEnd"/>
      <w:r w:rsidRPr="0036343C">
        <w:rPr>
          <w:sz w:val="22"/>
          <w:szCs w:val="22"/>
        </w:rPr>
        <w:t xml:space="preserve"> spelar en viktig roll. Det finns en stor potential i ökad innovation inom bioekonomin och EU bör ha en ledande roll globalt.</w:t>
      </w:r>
      <w:r w:rsidRPr="0036343C">
        <w:rPr>
          <w:noProof/>
          <w:color w:val="000000" w:themeColor="text1"/>
          <w:sz w:val="22"/>
          <w:szCs w:val="22"/>
        </w:rPr>
        <w:t xml:space="preserve"> Frågor gällande markanvädning, inklusive skydd av jordbruksmark, är en nationell kompetens och äganderätten måste värnas. Regeringen är därför tveksam till ett EU-observatorium för jordbruksmark. </w:t>
      </w:r>
      <w:r w:rsidRPr="0036343C">
        <w:rPr>
          <w:noProof/>
          <w:color w:val="000000" w:themeColor="text1"/>
          <w:sz w:val="22"/>
          <w:szCs w:val="22"/>
        </w:rPr>
        <w:br/>
      </w:r>
      <w:r w:rsidRPr="0036343C">
        <w:rPr>
          <w:noProof/>
          <w:color w:val="000000" w:themeColor="text1"/>
          <w:sz w:val="22"/>
          <w:szCs w:val="22"/>
        </w:rPr>
        <w:br/>
      </w:r>
      <w:r w:rsidRPr="0036343C">
        <w:rPr>
          <w:sz w:val="22"/>
          <w:szCs w:val="22"/>
        </w:rPr>
        <w:t xml:space="preserve">Regeringen delar kommissionens syn på att systemet för skyddade beteckningar är en kvalitetsstämpel som har potential att gynna den lokala livsmedelsproduktionen och även stärka besöksnäringen i </w:t>
      </w:r>
      <w:r w:rsidRPr="0010456C">
        <w:rPr>
          <w:sz w:val="22"/>
          <w:szCs w:val="22"/>
        </w:rPr>
        <w:t>regioner. Regeringen anser dock att det är viktigt att systemet är attraktivt för samtliga medlemsstater</w:t>
      </w:r>
      <w:r>
        <w:rPr>
          <w:sz w:val="22"/>
          <w:szCs w:val="22"/>
        </w:rPr>
        <w:t>´.</w:t>
      </w:r>
      <w:r w:rsidRPr="0010456C">
        <w:rPr>
          <w:sz w:val="22"/>
          <w:szCs w:val="22"/>
        </w:rPr>
        <w:t xml:space="preserve"> </w:t>
      </w:r>
    </w:p>
    <w:p w14:paraId="575795BA" w14:textId="77777777" w:rsidR="00813C3F" w:rsidRPr="0010456C" w:rsidRDefault="00813C3F" w:rsidP="00813C3F">
      <w:pPr>
        <w:rPr>
          <w:sz w:val="22"/>
          <w:szCs w:val="22"/>
        </w:rPr>
      </w:pPr>
    </w:p>
    <w:p w14:paraId="5617DC48" w14:textId="77777777" w:rsidR="00813C3F" w:rsidRPr="0036343C" w:rsidRDefault="00813C3F" w:rsidP="00813C3F">
      <w:pPr>
        <w:rPr>
          <w:sz w:val="22"/>
          <w:szCs w:val="22"/>
        </w:rPr>
      </w:pPr>
      <w:r w:rsidRPr="0010456C">
        <w:rPr>
          <w:i/>
          <w:iCs/>
          <w:sz w:val="22"/>
          <w:szCs w:val="22"/>
        </w:rPr>
        <w:t xml:space="preserve">En konkurrenskraftig och </w:t>
      </w:r>
      <w:proofErr w:type="spellStart"/>
      <w:r w:rsidRPr="0010456C">
        <w:rPr>
          <w:i/>
          <w:iCs/>
          <w:sz w:val="22"/>
          <w:szCs w:val="22"/>
        </w:rPr>
        <w:t>resilient</w:t>
      </w:r>
      <w:proofErr w:type="spellEnd"/>
      <w:r w:rsidRPr="0010456C">
        <w:rPr>
          <w:i/>
          <w:iCs/>
          <w:sz w:val="22"/>
          <w:szCs w:val="22"/>
        </w:rPr>
        <w:t xml:space="preserve"> sektor </w:t>
      </w:r>
      <w:r w:rsidRPr="0010456C">
        <w:rPr>
          <w:i/>
          <w:iCs/>
          <w:sz w:val="22"/>
          <w:szCs w:val="22"/>
        </w:rPr>
        <w:br/>
      </w:r>
      <w:r w:rsidRPr="0010456C">
        <w:rPr>
          <w:sz w:val="22"/>
          <w:szCs w:val="22"/>
        </w:rPr>
        <w:t xml:space="preserve">Ökat fokus på livsmedelstrygghet och beredskap, en stärkt konkurrenskraft, robusthet, hållbarhet och </w:t>
      </w:r>
      <w:proofErr w:type="spellStart"/>
      <w:r w:rsidRPr="0010456C">
        <w:rPr>
          <w:sz w:val="22"/>
          <w:szCs w:val="22"/>
        </w:rPr>
        <w:t>resiliens</w:t>
      </w:r>
      <w:proofErr w:type="spellEnd"/>
      <w:r w:rsidRPr="0036343C">
        <w:rPr>
          <w:sz w:val="22"/>
          <w:szCs w:val="22"/>
        </w:rPr>
        <w:t xml:space="preserve"> i jordbruket och för vattenbruket krävs</w:t>
      </w:r>
      <w:r w:rsidRPr="0036343C" w:rsidDel="00E72080">
        <w:rPr>
          <w:sz w:val="22"/>
          <w:szCs w:val="22"/>
        </w:rPr>
        <w:t>.</w:t>
      </w:r>
      <w:r w:rsidRPr="0036343C">
        <w:rPr>
          <w:sz w:val="22"/>
          <w:szCs w:val="22"/>
        </w:rPr>
        <w:t xml:space="preserve"> Det är därför positivt att kommissionen tar initiativ att utarbeta en 2040-vision för fiskeri- och vattenbrukssektorn som ska säkerställa långsiktig konkurrenskraft och hållbarhet. En förutsättning för detta vad gäller fiskesektorn, är att fiskbestånden snabbt återhämtas till säkra biologiska gränser. Regeringen välkomnar att en beredskapsstrategi ska presenteras liksom ambitionen att ta tillvara på det arbete som gjorts inom ramen för EFSCM och utveckla detta för att bättre koppla till den kommande övergripande beredskapsstrategin. Regeringen anser att det är viktigt att samordna arbetet med krisberedskap och klimatanpassning i jordbruks- och livsmedelssektorn.</w:t>
      </w:r>
    </w:p>
    <w:p w14:paraId="6C6A9C95" w14:textId="77777777" w:rsidR="00813C3F" w:rsidRPr="003A1548" w:rsidRDefault="00813C3F" w:rsidP="00813C3F">
      <w:pPr>
        <w:rPr>
          <w:sz w:val="22"/>
          <w:szCs w:val="22"/>
        </w:rPr>
      </w:pPr>
      <w:r w:rsidRPr="0036343C">
        <w:rPr>
          <w:sz w:val="22"/>
          <w:szCs w:val="22"/>
        </w:rPr>
        <w:br/>
        <w:t>Regeringen stödjer arbetet med att säkra insatsvaror, som gödsel och foderprotein, både genom ökad produktion och genom mer diversifierade försörjningskedjor. Regeringen anser att det är viktigt att utveckla och öka konkurrenskraften för EU:s produktion av proteingrödor samt att det behövs utveckling av nya sorter som är anpassade till regionala odlingsförhållanden och ett ändrat klimat.</w:t>
      </w:r>
      <w:r w:rsidRPr="0036343C">
        <w:rPr>
          <w:sz w:val="22"/>
          <w:szCs w:val="22"/>
        </w:rPr>
        <w:br/>
      </w:r>
      <w:r w:rsidRPr="0036343C">
        <w:rPr>
          <w:sz w:val="22"/>
          <w:szCs w:val="22"/>
        </w:rPr>
        <w:br/>
        <w:t xml:space="preserve">Regeringen välkomnar kommissionens ambition att fasa ut skadliga växtskyddsmedel samtidigt som förekomsten av alternativ i form av biologiska växtskyddsmedel eller växtskyddsmedel med låg risk </w:t>
      </w:r>
      <w:r w:rsidRPr="003A1548">
        <w:rPr>
          <w:sz w:val="22"/>
          <w:szCs w:val="22"/>
        </w:rPr>
        <w:t>beaktas. Samtidigt bör hänsyn tas till att om införandet av alternativ till dessa växtskyddsmedel inte blir tillgängliga i samma takt som tillbakadragandet av verksamma ämnen från EU-marknaden, kan det negativt påverka EU:s förmåga att säkerställa livsmedelsproduktionen. Sverige har</w:t>
      </w:r>
      <w:r w:rsidRPr="003A1548" w:rsidDel="009E1535">
        <w:rPr>
          <w:sz w:val="22"/>
          <w:szCs w:val="22"/>
        </w:rPr>
        <w:t xml:space="preserve"> </w:t>
      </w:r>
      <w:r w:rsidRPr="003A1548">
        <w:rPr>
          <w:sz w:val="22"/>
          <w:szCs w:val="22"/>
        </w:rPr>
        <w:t xml:space="preserve">idag brist på tillgång till effektiva växtskyddsmedel för vissa användningsområden. Regeringen välkomnar att kommissionen under år 2025 </w:t>
      </w:r>
      <w:r w:rsidRPr="003A1548">
        <w:rPr>
          <w:sz w:val="22"/>
          <w:szCs w:val="22"/>
        </w:rPr>
        <w:lastRenderedPageBreak/>
        <w:t>utvärderar frågan om att förbjuda export av farliga kemikalier såsom bekämpningsmedel som är förbjudna i EU.</w:t>
      </w:r>
      <w:r>
        <w:rPr>
          <w:sz w:val="22"/>
          <w:szCs w:val="22"/>
        </w:rPr>
        <w:br/>
      </w:r>
      <w:r>
        <w:rPr>
          <w:sz w:val="22"/>
          <w:szCs w:val="22"/>
        </w:rPr>
        <w:br/>
      </w:r>
      <w:r w:rsidRPr="003A1548">
        <w:rPr>
          <w:sz w:val="22"/>
          <w:szCs w:val="22"/>
        </w:rPr>
        <w:t>Regeringen välkomnar visionens tydliga fokus på ökad dialog med omvärlden och de nya partnerskapskapsdialoger som ska inrättas med bilaterala och regionala partners.</w:t>
      </w:r>
      <w:r w:rsidRPr="003A1548" w:rsidDel="00A07570">
        <w:rPr>
          <w:sz w:val="22"/>
          <w:szCs w:val="22"/>
        </w:rPr>
        <w:t xml:space="preserve"> </w:t>
      </w:r>
      <w:r w:rsidRPr="003A1548">
        <w:rPr>
          <w:sz w:val="22"/>
          <w:szCs w:val="22"/>
        </w:rPr>
        <w:t xml:space="preserve">Regeringen konstaterar att kommissionen kan komma att föreslå s.k. spegelklausuler (dvs samma krav ska ställas på importerade produkter som sådana producerade i EU), men välkomnar att ansatsen är begränsad och därmed inte aviseras som en generell princip. Regeringen anser att ansatsen om livsmedelssuveränitet och reciprocitet måste balanseras med fördelarna av internationell handel och EU:s förmåga till anpassning i samband med betydande störningar i försörjningskedjorna.  </w:t>
      </w:r>
    </w:p>
    <w:p w14:paraId="5105E595" w14:textId="77777777" w:rsidR="00813C3F" w:rsidRPr="00F04A8B" w:rsidRDefault="00813C3F" w:rsidP="00813C3F">
      <w:pPr>
        <w:rPr>
          <w:sz w:val="22"/>
          <w:szCs w:val="22"/>
        </w:rPr>
      </w:pPr>
      <w:r>
        <w:rPr>
          <w:sz w:val="22"/>
          <w:szCs w:val="22"/>
        </w:rPr>
        <w:br/>
      </w:r>
      <w:r w:rsidRPr="003A1548">
        <w:rPr>
          <w:sz w:val="22"/>
          <w:szCs w:val="22"/>
        </w:rPr>
        <w:t>Regeringen delar uppfattningen om behovet av att se över befintliga risk- och krishanteringsinstrument och vill understryka vikten av att prioritera förebyggande åtgärder och att säkerställa en marknadsorienterad utgångspunkt. Regeringen välkomnar ansatsen att utveckla nötkreatursektorn för att nå en ökad konkurrenskraft och hållbarhet med hänsyn till olika förhållanden inom EU.</w:t>
      </w:r>
      <w:r>
        <w:rPr>
          <w:sz w:val="22"/>
          <w:szCs w:val="22"/>
        </w:rPr>
        <w:br/>
      </w:r>
      <w:r>
        <w:rPr>
          <w:sz w:val="22"/>
          <w:szCs w:val="22"/>
        </w:rPr>
        <w:br/>
      </w:r>
      <w:r w:rsidRPr="00F04A8B">
        <w:rPr>
          <w:sz w:val="22"/>
          <w:szCs w:val="22"/>
        </w:rPr>
        <w:t xml:space="preserve">Regeringen välkomnar kommissionens ambition att röra sig mot ett mer incitamentsbaserat </w:t>
      </w:r>
      <w:r w:rsidRPr="00F04A8B" w:rsidDel="00AC6AF5">
        <w:rPr>
          <w:sz w:val="22"/>
          <w:szCs w:val="22"/>
        </w:rPr>
        <w:t>och skräddar</w:t>
      </w:r>
      <w:r>
        <w:rPr>
          <w:sz w:val="22"/>
          <w:szCs w:val="22"/>
        </w:rPr>
        <w:softHyphen/>
      </w:r>
      <w:r w:rsidRPr="00F04A8B" w:rsidDel="00AC6AF5">
        <w:rPr>
          <w:sz w:val="22"/>
          <w:szCs w:val="22"/>
        </w:rPr>
        <w:t xml:space="preserve">sytt </w:t>
      </w:r>
      <w:r w:rsidRPr="00F04A8B">
        <w:rPr>
          <w:sz w:val="22"/>
          <w:szCs w:val="22"/>
        </w:rPr>
        <w:t>system för miljö- och klimatåtgärder inom GJP men vill betona vikten av att konkurrensneutralitet mellan medlemsstater beaktas. En avvägning i förhållande till ambitionen att inrätta effektiva uppföljnings- och kontrollsystem kan också behövas. Regeringen ser även positivt på att utveckla finansieringsformer för miljön som kan komplettera den offentliga finansieringen av sådana åtgärder exempelvis genom frivilliga certifieringssystem inom områden där frivilliga certifieringssystem idag saknas.</w:t>
      </w:r>
    </w:p>
    <w:p w14:paraId="6A455CDE" w14:textId="77777777" w:rsidR="00813C3F" w:rsidRPr="00F04A8B" w:rsidRDefault="00813C3F" w:rsidP="00813C3F">
      <w:pPr>
        <w:rPr>
          <w:sz w:val="22"/>
          <w:szCs w:val="22"/>
        </w:rPr>
      </w:pPr>
    </w:p>
    <w:p w14:paraId="0208A564" w14:textId="77777777" w:rsidR="00813C3F" w:rsidRDefault="00813C3F" w:rsidP="00813C3F">
      <w:pPr>
        <w:rPr>
          <w:sz w:val="22"/>
          <w:szCs w:val="22"/>
        </w:rPr>
      </w:pPr>
      <w:r w:rsidRPr="00F04A8B">
        <w:rPr>
          <w:i/>
          <w:iCs/>
          <w:sz w:val="22"/>
          <w:szCs w:val="22"/>
        </w:rPr>
        <w:t>En framtidssäker sektor som arbetar med naturen</w:t>
      </w:r>
      <w:r w:rsidRPr="00F04A8B">
        <w:rPr>
          <w:i/>
          <w:iCs/>
          <w:sz w:val="22"/>
          <w:szCs w:val="22"/>
        </w:rPr>
        <w:br/>
      </w:r>
      <w:r w:rsidRPr="00F04A8B">
        <w:rPr>
          <w:sz w:val="22"/>
          <w:szCs w:val="22"/>
        </w:rPr>
        <w:t xml:space="preserve">Regeringen är positiv till en frivillig marknad för kolkrediter och naturkrediter. För genomslag bör aktiviteter som certifieras vara förenliga med pågående brukande för att inte minska areella näringars produktion. En frivillig marknad för kolkrediter behöver också utformas så att utsläppsläckage minimeras. Därtill behöver metoder anpassas efter nationella och regionala förutsättningar. </w:t>
      </w:r>
    </w:p>
    <w:p w14:paraId="20BDA0A8" w14:textId="77777777" w:rsidR="00813C3F" w:rsidRPr="00F04A8B" w:rsidRDefault="00813C3F" w:rsidP="00813C3F">
      <w:pPr>
        <w:rPr>
          <w:sz w:val="22"/>
          <w:szCs w:val="22"/>
        </w:rPr>
      </w:pPr>
    </w:p>
    <w:p w14:paraId="25C910C5" w14:textId="77777777" w:rsidR="00813C3F" w:rsidRPr="00F04A8B" w:rsidRDefault="00813C3F" w:rsidP="00813C3F">
      <w:pPr>
        <w:rPr>
          <w:color w:val="FF0000"/>
          <w:sz w:val="22"/>
          <w:szCs w:val="22"/>
        </w:rPr>
      </w:pPr>
      <w:r w:rsidRPr="00F04A8B">
        <w:rPr>
          <w:sz w:val="22"/>
          <w:szCs w:val="22"/>
        </w:rPr>
        <w:t xml:space="preserve">Det finns behov av nya tekniker, även bioteknologiska, så som nya genomiska metoder, för att ta fram </w:t>
      </w:r>
      <w:proofErr w:type="spellStart"/>
      <w:r w:rsidRPr="00F04A8B">
        <w:rPr>
          <w:sz w:val="22"/>
          <w:szCs w:val="22"/>
        </w:rPr>
        <w:t>klimatresilienta</w:t>
      </w:r>
      <w:proofErr w:type="spellEnd"/>
      <w:r w:rsidRPr="00F04A8B">
        <w:rPr>
          <w:sz w:val="22"/>
          <w:szCs w:val="22"/>
        </w:rPr>
        <w:t xml:space="preserve"> och konkurrenskraftiga växtsorter. Regeringen ser därför positivt på kommissionens ambition att, i nära samarbete med rådet och parlamentet, slutföra och snabbt genomföra lagstiftningen om nya genomiska metoder. Regeringen välkomnar vidare att kommissionen avser att föreslå nya regler för att påskynda godkännande av biologiska växtskyddsmedel som en del av ett förenklingspaket.</w:t>
      </w:r>
      <w:r>
        <w:rPr>
          <w:sz w:val="22"/>
          <w:szCs w:val="22"/>
        </w:rPr>
        <w:br/>
      </w:r>
    </w:p>
    <w:p w14:paraId="2D9527D7" w14:textId="77777777" w:rsidR="00813C3F" w:rsidRPr="00F04A8B" w:rsidRDefault="00813C3F" w:rsidP="00813C3F">
      <w:pPr>
        <w:rPr>
          <w:sz w:val="22"/>
          <w:szCs w:val="22"/>
        </w:rPr>
      </w:pPr>
      <w:r w:rsidRPr="00F04A8B">
        <w:rPr>
          <w:sz w:val="22"/>
          <w:szCs w:val="22"/>
        </w:rPr>
        <w:t xml:space="preserve">Regeringen välkomnar ökat fokus på klimatanpassning, bland annat kommande klimatanpassningsplan och </w:t>
      </w:r>
      <w:proofErr w:type="spellStart"/>
      <w:r w:rsidRPr="00F04A8B">
        <w:rPr>
          <w:sz w:val="22"/>
          <w:szCs w:val="22"/>
        </w:rPr>
        <w:t>vattenresiliensstrategi</w:t>
      </w:r>
      <w:proofErr w:type="spellEnd"/>
      <w:r w:rsidRPr="00F04A8B">
        <w:rPr>
          <w:sz w:val="22"/>
          <w:szCs w:val="22"/>
        </w:rPr>
        <w:t xml:space="preserve"> men betonar också vikten av att anpassning till klimatförändringarnas effekter är integrerat i arbetet med att framtidssäkra jordbruks-och livsmedelssektorn. Regeringen ser också behovet och välkomnar en ny syn på vatten. Regeringen anser att det är viktigt att kommission</w:t>
      </w:r>
      <w:r>
        <w:rPr>
          <w:sz w:val="22"/>
          <w:szCs w:val="22"/>
        </w:rPr>
        <w:softHyphen/>
      </w:r>
      <w:r w:rsidRPr="00F04A8B">
        <w:rPr>
          <w:sz w:val="22"/>
          <w:szCs w:val="22"/>
        </w:rPr>
        <w:t xml:space="preserve">ens strategi för </w:t>
      </w:r>
      <w:proofErr w:type="spellStart"/>
      <w:r w:rsidRPr="00F04A8B">
        <w:rPr>
          <w:sz w:val="22"/>
          <w:szCs w:val="22"/>
        </w:rPr>
        <w:t>vattenresiliens</w:t>
      </w:r>
      <w:proofErr w:type="spellEnd"/>
      <w:r w:rsidRPr="00F04A8B">
        <w:rPr>
          <w:sz w:val="22"/>
          <w:szCs w:val="22"/>
        </w:rPr>
        <w:t xml:space="preserve"> även bidrar till att skapa goda förutsättningar för jordbruket att hantera och använda vatten för att säkerställa en konkurrenskraftig livsmedelsproduktion. Det är också viktigt att </w:t>
      </w:r>
      <w:proofErr w:type="spellStart"/>
      <w:r w:rsidRPr="00F04A8B">
        <w:rPr>
          <w:sz w:val="22"/>
          <w:szCs w:val="22"/>
        </w:rPr>
        <w:t>vattenresiliensstrategin</w:t>
      </w:r>
      <w:proofErr w:type="spellEnd"/>
      <w:r w:rsidRPr="00F04A8B">
        <w:rPr>
          <w:sz w:val="22"/>
          <w:szCs w:val="22"/>
        </w:rPr>
        <w:t xml:space="preserve"> hanterar vattenföroreningar. Vattenbrist och vattenkvalitet är nära sammanflätade eftersom minskad tillgång på vatten kan försämra vattenkvaliteten och sämre vattenkvalitet minskar tillgången till vatten. Av särskild vikt är att ett generellt förbud mot PFAS i produkter införs på EU-nivå för att skydda våra vattenresurser, människors hälsa och vår miljö mot allvarliga och långsiktiga effekter till följd av PFAS. Undantag kan enbart göras för samhällsviktig användning.</w:t>
      </w:r>
      <w:r>
        <w:rPr>
          <w:sz w:val="22"/>
          <w:szCs w:val="22"/>
        </w:rPr>
        <w:br/>
      </w:r>
    </w:p>
    <w:p w14:paraId="4E262784" w14:textId="77777777" w:rsidR="00813C3F" w:rsidRPr="00D30993" w:rsidRDefault="00813C3F" w:rsidP="00813C3F">
      <w:pPr>
        <w:rPr>
          <w:sz w:val="22"/>
          <w:szCs w:val="22"/>
        </w:rPr>
      </w:pPr>
      <w:r w:rsidRPr="00F04A8B">
        <w:rPr>
          <w:sz w:val="22"/>
          <w:szCs w:val="22"/>
        </w:rPr>
        <w:t>Regeringen bedömer att det finns behov av att kartlägga befintliga initiativ samt utvärdera de möjligheter som finns i befintlig EU-lagstiftning om informationssystem för jordbrukets hållbarhetsarbete. Ett eventuellt införande av ett benchmarkingsystem behöver ske på ett sätt som genererar verklig nytta för jordbruksföretagen, samtidigt som systemet inte innebär ökade kostnader och administrativ börda för företag och myndigheter. Regeringen är tveksam till förslaget om ett EU-observatorium för jordbruksmark bland annat på grund av en ökad risk för administrativ börda.</w:t>
      </w:r>
      <w:r>
        <w:rPr>
          <w:sz w:val="22"/>
          <w:szCs w:val="22"/>
        </w:rPr>
        <w:br/>
      </w:r>
      <w:r>
        <w:rPr>
          <w:sz w:val="22"/>
          <w:szCs w:val="22"/>
        </w:rPr>
        <w:br/>
      </w:r>
      <w:r w:rsidRPr="00D30993">
        <w:rPr>
          <w:sz w:val="22"/>
          <w:szCs w:val="22"/>
        </w:rPr>
        <w:t xml:space="preserve">Inom ramen för det arbete som sker med EU:s klimatmål för 2040, och översyn av befintlig lagstiftning som reglerar utsläpp och upptag av växthusgaser från jordbruket och LULUCF, stödjer regeringen som utgångspunkt ett mål som innebär att nettoutsläppen minskar med 90 procent till 2040, jämfört med 1990, förutsatt att dess genomförande bedöms vara realistiskt. I det avseendet och i relation till LULUCF anser regeringen att EU inte kan förlita sig på svåruppnåeliga åtaganden för nettoupptaget i sektorn, som präglas av osäkerheter i metod och uppföljning samt naturliga variationer och begränsad möjlighet att på kort sikt </w:t>
      </w:r>
      <w:r w:rsidRPr="00D30993">
        <w:rPr>
          <w:sz w:val="22"/>
          <w:szCs w:val="22"/>
        </w:rPr>
        <w:lastRenderedPageBreak/>
        <w:t>påverka genom åtgärder.</w:t>
      </w:r>
      <w:r>
        <w:rPr>
          <w:sz w:val="22"/>
          <w:szCs w:val="22"/>
        </w:rPr>
        <w:br/>
      </w:r>
    </w:p>
    <w:p w14:paraId="28C6C693" w14:textId="77777777" w:rsidR="00813C3F" w:rsidRPr="00D30993" w:rsidRDefault="00813C3F" w:rsidP="00813C3F">
      <w:pPr>
        <w:rPr>
          <w:sz w:val="22"/>
          <w:szCs w:val="22"/>
        </w:rPr>
      </w:pPr>
      <w:r w:rsidRPr="00D30993">
        <w:rPr>
          <w:sz w:val="22"/>
          <w:szCs w:val="22"/>
        </w:rPr>
        <w:t xml:space="preserve">Sverige bör verka för att på EU-nivå införa en harmoniserad, träffsäker och kostnadseffektiv styrning mot minskade utsläpp som inte snedvrider konkurrensen på livsmedelsmarknaden, skapar läckage av utsläpp eller hämmar livsmedelsproduktionen. Regeringen välkomnar en översyn av EU:s skolprogram som bör leda till en minskad administrativ börda för medlemsstaterna i genomförandet av programmet. </w:t>
      </w:r>
    </w:p>
    <w:p w14:paraId="6CBCC426" w14:textId="77777777" w:rsidR="00813C3F" w:rsidRDefault="00813C3F" w:rsidP="00813C3F">
      <w:pPr>
        <w:rPr>
          <w:sz w:val="22"/>
          <w:szCs w:val="22"/>
        </w:rPr>
      </w:pPr>
    </w:p>
    <w:p w14:paraId="20BDE256" w14:textId="77777777" w:rsidR="00813C3F" w:rsidRPr="00D30993" w:rsidRDefault="00813C3F" w:rsidP="00813C3F">
      <w:pPr>
        <w:pStyle w:val="Brdtext"/>
        <w:rPr>
          <w:i/>
          <w:iCs/>
          <w:sz w:val="22"/>
          <w:szCs w:val="22"/>
        </w:rPr>
      </w:pPr>
      <w:r w:rsidRPr="00D30993">
        <w:rPr>
          <w:i/>
          <w:iCs/>
          <w:sz w:val="22"/>
          <w:szCs w:val="22"/>
        </w:rPr>
        <w:t>Uppvärdering av mat och rättvisa villkor i livskraftiga landsbygdsområden (inklusive arbetsvillkor)</w:t>
      </w:r>
      <w:r>
        <w:rPr>
          <w:i/>
          <w:iCs/>
          <w:sz w:val="22"/>
          <w:szCs w:val="22"/>
        </w:rPr>
        <w:br/>
      </w:r>
      <w:r w:rsidRPr="00D30993">
        <w:rPr>
          <w:sz w:val="22"/>
          <w:szCs w:val="22"/>
        </w:rPr>
        <w:t xml:space="preserve">Regeringen välkomnar kommissionens vision på djurskyddsområdet. Det är hög tid att kommissionen lägger fram återstående förslag inom ramen för översynen av EU:s djurskyddslagstiftning. Det är angeläget att denna översyn blir ambitiös och resulterar i ett regelverk som innebär en förbättring av djurvälfärden samtidigt som behov av en likvärdig tillämpning, bättre efterlevnad, minskad administrativ börda och mer jämlika konkurrensvillkor inom unionen beaktas. </w:t>
      </w:r>
    </w:p>
    <w:p w14:paraId="2FA0D2E3" w14:textId="77777777" w:rsidR="00813C3F" w:rsidRPr="005A7121" w:rsidRDefault="00813C3F" w:rsidP="00813C3F">
      <w:pPr>
        <w:pStyle w:val="Brdtext"/>
        <w:rPr>
          <w:i/>
          <w:iCs/>
          <w:sz w:val="22"/>
          <w:szCs w:val="22"/>
        </w:rPr>
      </w:pPr>
      <w:r w:rsidRPr="00D30993">
        <w:rPr>
          <w:i/>
          <w:iCs/>
          <w:sz w:val="22"/>
          <w:szCs w:val="22"/>
        </w:rPr>
        <w:t>Digitalisering, innovation och kunskapsöverföring jämte förenkling</w:t>
      </w:r>
      <w:r>
        <w:rPr>
          <w:i/>
          <w:iCs/>
          <w:sz w:val="22"/>
          <w:szCs w:val="22"/>
        </w:rPr>
        <w:br/>
      </w:r>
      <w:r w:rsidRPr="00D30993">
        <w:rPr>
          <w:sz w:val="22"/>
          <w:szCs w:val="22"/>
        </w:rPr>
        <w:t xml:space="preserve">Satsningar på kunskap och innovation är avgörande för att sektorn ska uppnå en hållbar produktion med högre produktivitet. Regeringen är positiv till en ny strategisk ansats för forskning och innovation. </w:t>
      </w:r>
    </w:p>
    <w:p w14:paraId="47C7198B" w14:textId="77777777" w:rsidR="00813C3F" w:rsidRPr="00D30993" w:rsidRDefault="00813C3F" w:rsidP="00813C3F">
      <w:pPr>
        <w:rPr>
          <w:sz w:val="22"/>
          <w:szCs w:val="22"/>
        </w:rPr>
      </w:pPr>
    </w:p>
    <w:p w14:paraId="3C2BC37C" w14:textId="77777777" w:rsidR="00813C3F" w:rsidRPr="005A7121" w:rsidRDefault="00813C3F" w:rsidP="00813C3F">
      <w:pPr>
        <w:widowControl/>
        <w:rPr>
          <w:sz w:val="22"/>
          <w:szCs w:val="22"/>
        </w:rPr>
      </w:pPr>
      <w:r w:rsidRPr="00F53B0E">
        <w:rPr>
          <w:b/>
          <w:bCs/>
          <w:color w:val="000000"/>
          <w:sz w:val="22"/>
          <w:szCs w:val="22"/>
        </w:rPr>
        <w:t>MP-ledamoten anmälde följande avvikande ståndpunkt:</w:t>
      </w:r>
    </w:p>
    <w:p w14:paraId="75F74BA7" w14:textId="77777777" w:rsidR="00813C3F" w:rsidRPr="00880A14" w:rsidRDefault="00813C3F" w:rsidP="00813C3F">
      <w:pPr>
        <w:rPr>
          <w:sz w:val="22"/>
          <w:szCs w:val="22"/>
        </w:rPr>
      </w:pPr>
      <w:r w:rsidRPr="00880A14">
        <w:rPr>
          <w:sz w:val="22"/>
          <w:szCs w:val="22"/>
        </w:rPr>
        <w:t>Miljöpartiet välkomnar visionen men vi hyser en del oro för att miljö- och klimatåtgärder och hållbarhetsarbete kommer att få stå tillbaka. Vi anser att regeringen bör slå vakt om detta och uttrycka det tydligare i ståndpunkten. Vidare anser miljöpartiet att regeringen bör slå fast att medel för miljöåtgärder behöver öka i relation till nuvarande budget.</w:t>
      </w:r>
    </w:p>
    <w:p w14:paraId="2B1E3D2E" w14:textId="77777777" w:rsidR="00813C3F" w:rsidRPr="00880A14" w:rsidRDefault="00813C3F" w:rsidP="00813C3F">
      <w:pPr>
        <w:rPr>
          <w:sz w:val="22"/>
          <w:szCs w:val="22"/>
        </w:rPr>
      </w:pPr>
    </w:p>
    <w:p w14:paraId="421DDCC3" w14:textId="77777777" w:rsidR="00813C3F" w:rsidRPr="00880A14" w:rsidRDefault="00813C3F" w:rsidP="00813C3F">
      <w:pPr>
        <w:rPr>
          <w:sz w:val="22"/>
          <w:szCs w:val="22"/>
        </w:rPr>
      </w:pPr>
      <w:r w:rsidRPr="00880A14">
        <w:rPr>
          <w:sz w:val="22"/>
          <w:szCs w:val="22"/>
        </w:rPr>
        <w:t>Vi beklagar att regeringen inte driver frågan om behovet av ett omtag i fiskepolitiken och nödvändig</w:t>
      </w:r>
      <w:r>
        <w:rPr>
          <w:sz w:val="22"/>
          <w:szCs w:val="22"/>
        </w:rPr>
        <w:softHyphen/>
      </w:r>
      <w:r w:rsidRPr="00880A14">
        <w:rPr>
          <w:sz w:val="22"/>
          <w:szCs w:val="22"/>
        </w:rPr>
        <w:t>heten av att skifta fokus från maximalt uttag av fisk med ett ensidigt fokus på MSY-ansatsen, till ett ekosystemperspektiv som integrerar miljöeffekter av fisket fullt ut. Vi uppskattar att regeringen sedan en tid tillbaka i de svenska ståndpunkterna om fisket betonar lagstiftningens krav på att bestånden snabbt ska återhämta sig till säkra biologiska gränser, men det är djupt otillräckligt att enbart konsta</w:t>
      </w:r>
      <w:r>
        <w:rPr>
          <w:sz w:val="22"/>
          <w:szCs w:val="22"/>
        </w:rPr>
        <w:softHyphen/>
      </w:r>
      <w:r w:rsidRPr="00880A14">
        <w:rPr>
          <w:sz w:val="22"/>
          <w:szCs w:val="22"/>
        </w:rPr>
        <w:t>tera detta. Regeringen bör slå fast att kommissionens kommande vision för fiskeri- och vattenbruks</w:t>
      </w:r>
      <w:r>
        <w:rPr>
          <w:sz w:val="22"/>
          <w:szCs w:val="22"/>
        </w:rPr>
        <w:softHyphen/>
      </w:r>
      <w:r w:rsidRPr="00880A14">
        <w:rPr>
          <w:sz w:val="22"/>
          <w:szCs w:val="22"/>
        </w:rPr>
        <w:t>sektorn med tydlighet måste konstatera de nuvarande omfattande och oacceptabla prob</w:t>
      </w:r>
      <w:r>
        <w:rPr>
          <w:sz w:val="22"/>
          <w:szCs w:val="22"/>
        </w:rPr>
        <w:softHyphen/>
      </w:r>
      <w:r w:rsidRPr="00880A14">
        <w:rPr>
          <w:sz w:val="22"/>
          <w:szCs w:val="22"/>
        </w:rPr>
        <w:t>lemen med överfiske, och att fiskepolitiken och kvotsättningen måste utgå från en ekosystem</w:t>
      </w:r>
      <w:r>
        <w:rPr>
          <w:sz w:val="22"/>
          <w:szCs w:val="22"/>
        </w:rPr>
        <w:softHyphen/>
      </w:r>
      <w:r w:rsidRPr="00880A14">
        <w:rPr>
          <w:sz w:val="22"/>
          <w:szCs w:val="22"/>
        </w:rPr>
        <w:t xml:space="preserve">ansats. Regeringen bör ta varje tillfälle att deklarera behovet av en långsiktig återhämtningsplan för våra utarmade havsområden, inte minst för Östersjön, men även situationen i Västerhavet är på många sätt akut. </w:t>
      </w:r>
    </w:p>
    <w:p w14:paraId="0EAAF085" w14:textId="77777777" w:rsidR="00813C3F" w:rsidRPr="00880A14" w:rsidRDefault="00813C3F" w:rsidP="00813C3F">
      <w:pPr>
        <w:rPr>
          <w:sz w:val="22"/>
          <w:szCs w:val="22"/>
        </w:rPr>
      </w:pPr>
    </w:p>
    <w:p w14:paraId="4ED9E353" w14:textId="77777777" w:rsidR="00813C3F" w:rsidRPr="00880A14" w:rsidRDefault="00813C3F" w:rsidP="00813C3F">
      <w:pPr>
        <w:rPr>
          <w:sz w:val="22"/>
          <w:szCs w:val="22"/>
        </w:rPr>
      </w:pPr>
      <w:r w:rsidRPr="00880A14">
        <w:rPr>
          <w:sz w:val="22"/>
          <w:szCs w:val="22"/>
        </w:rPr>
        <w:t xml:space="preserve">Vi ser problem med att regeringen inte på något sätt lyfter in riskerna med nya genomiska tekniker, och behovet av strikta kontrollmetoder och riskanalyser även för dessa typer av grödor. Lagstiftningen måste säkerställa en etiskt försvarbar och säker utveckling och användning av gentekniken så att  </w:t>
      </w:r>
    </w:p>
    <w:p w14:paraId="17F2CC29" w14:textId="77777777" w:rsidR="00813C3F" w:rsidRPr="00880A14" w:rsidRDefault="00813C3F" w:rsidP="00813C3F">
      <w:pPr>
        <w:rPr>
          <w:sz w:val="22"/>
          <w:szCs w:val="22"/>
        </w:rPr>
      </w:pPr>
      <w:r w:rsidRPr="00880A14">
        <w:rPr>
          <w:sz w:val="22"/>
          <w:szCs w:val="22"/>
        </w:rPr>
        <w:t>människors och djurs hälsa och miljön skyddas. En grundförutsättning måste vara att tekniken främjar samtliga dimensioner av hållbarhet.</w:t>
      </w:r>
    </w:p>
    <w:p w14:paraId="588EEEAD" w14:textId="77777777" w:rsidR="00813C3F" w:rsidRPr="00880A14" w:rsidRDefault="00813C3F" w:rsidP="00813C3F">
      <w:pPr>
        <w:rPr>
          <w:sz w:val="22"/>
          <w:szCs w:val="22"/>
        </w:rPr>
      </w:pPr>
    </w:p>
    <w:p w14:paraId="7E673C02" w14:textId="77777777" w:rsidR="00813C3F" w:rsidRPr="00880A14" w:rsidRDefault="00813C3F" w:rsidP="00813C3F">
      <w:pPr>
        <w:rPr>
          <w:sz w:val="22"/>
          <w:szCs w:val="22"/>
        </w:rPr>
      </w:pPr>
      <w:r w:rsidRPr="00880A14">
        <w:rPr>
          <w:sz w:val="22"/>
          <w:szCs w:val="22"/>
        </w:rPr>
        <w:t xml:space="preserve">Vi välkomnar att regeringen lyfter in </w:t>
      </w:r>
      <w:proofErr w:type="spellStart"/>
      <w:r w:rsidRPr="00880A14">
        <w:rPr>
          <w:sz w:val="22"/>
          <w:szCs w:val="22"/>
        </w:rPr>
        <w:t>vattenresiliens</w:t>
      </w:r>
      <w:proofErr w:type="spellEnd"/>
      <w:r w:rsidRPr="00880A14">
        <w:rPr>
          <w:sz w:val="22"/>
          <w:szCs w:val="22"/>
        </w:rPr>
        <w:t xml:space="preserve"> i sammanhanget av jordbrukspolitiken, men saknar källa till hav-perspektivet, som är helt centralt även inom jordbrukssektorn, både vad gäller miljögifter och övergödning.</w:t>
      </w:r>
    </w:p>
    <w:p w14:paraId="59761EC6" w14:textId="77777777" w:rsidR="00813C3F" w:rsidRPr="00880A14" w:rsidRDefault="00813C3F" w:rsidP="00813C3F">
      <w:pPr>
        <w:rPr>
          <w:sz w:val="22"/>
          <w:szCs w:val="22"/>
        </w:rPr>
      </w:pPr>
    </w:p>
    <w:p w14:paraId="23876A1F" w14:textId="77777777" w:rsidR="00813C3F" w:rsidRPr="00880A14" w:rsidRDefault="00813C3F" w:rsidP="00813C3F">
      <w:pPr>
        <w:rPr>
          <w:sz w:val="22"/>
          <w:szCs w:val="22"/>
        </w:rPr>
      </w:pPr>
      <w:r w:rsidRPr="00880A14">
        <w:rPr>
          <w:sz w:val="22"/>
          <w:szCs w:val="22"/>
        </w:rPr>
        <w:t>Vi välkomnar även att regeringen är tydlig med att man vill se ett generellt förbud mot PFAS i produkter, men anser att regeringen även bör tydliggöra att man vill se ett generellt förbud mot PFAS i industriprocesser.</w:t>
      </w:r>
    </w:p>
    <w:p w14:paraId="1CFEF916" w14:textId="77777777" w:rsidR="00813C3F" w:rsidRPr="00880A14" w:rsidRDefault="00813C3F" w:rsidP="00813C3F">
      <w:pPr>
        <w:rPr>
          <w:sz w:val="22"/>
          <w:szCs w:val="22"/>
        </w:rPr>
      </w:pPr>
    </w:p>
    <w:p w14:paraId="7CA681F4" w14:textId="77777777" w:rsidR="00813C3F" w:rsidRPr="00880A14" w:rsidRDefault="00813C3F" w:rsidP="00813C3F">
      <w:pPr>
        <w:rPr>
          <w:sz w:val="22"/>
          <w:szCs w:val="22"/>
        </w:rPr>
      </w:pPr>
      <w:r w:rsidRPr="00880A14">
        <w:rPr>
          <w:sz w:val="22"/>
          <w:szCs w:val="22"/>
        </w:rPr>
        <w:t>Vi beklagar att regeringen inte tar tillfället i akt att understryka vikten av kolsänkorna i klimatpolitiken och tydligt backar upp LULUCF-lagstiftningen. Vi anser att regeringen bör betona att det även på kort sikt finns möjligheter att påverka kolsänkorna genom olika åtgärder. Det som saknas från regeringens sida är politisk vilja, möjligheterna finns.</w:t>
      </w:r>
    </w:p>
    <w:p w14:paraId="1AD459FD" w14:textId="77777777" w:rsidR="00813C3F" w:rsidRPr="00880A14" w:rsidRDefault="00813C3F" w:rsidP="00813C3F">
      <w:pPr>
        <w:rPr>
          <w:sz w:val="22"/>
          <w:szCs w:val="22"/>
        </w:rPr>
      </w:pPr>
    </w:p>
    <w:p w14:paraId="5F8D0B8F" w14:textId="77777777" w:rsidR="00813C3F" w:rsidRPr="00880A14" w:rsidRDefault="00813C3F" w:rsidP="00813C3F">
      <w:pPr>
        <w:rPr>
          <w:sz w:val="22"/>
          <w:szCs w:val="22"/>
        </w:rPr>
      </w:pPr>
      <w:r w:rsidRPr="00880A14">
        <w:rPr>
          <w:sz w:val="22"/>
          <w:szCs w:val="22"/>
        </w:rPr>
        <w:t>Vi beklagar djupt att regeringen för fram en lägre målsättning för EU:s klimatmål för 2040, än vad forskningen kräver. Regeringen bör driva att EU antar ett klimatmål för 2040 som innebär att man binder mer kol i skog och mark än vad EU släpper ut.</w:t>
      </w:r>
    </w:p>
    <w:p w14:paraId="4101662F" w14:textId="77777777" w:rsidR="00813C3F" w:rsidRPr="009D76EF" w:rsidRDefault="00813C3F" w:rsidP="00813C3F">
      <w:pPr>
        <w:tabs>
          <w:tab w:val="left" w:pos="1701"/>
        </w:tabs>
        <w:rPr>
          <w:b/>
          <w:bCs/>
          <w:color w:val="000000"/>
          <w:sz w:val="22"/>
          <w:szCs w:val="22"/>
        </w:rPr>
      </w:pPr>
    </w:p>
    <w:bookmarkEnd w:id="6"/>
    <w:p w14:paraId="6DB9EEDD" w14:textId="77777777" w:rsidR="00813C3F" w:rsidRPr="008C3258" w:rsidRDefault="00813C3F" w:rsidP="00813C3F">
      <w:pPr>
        <w:widowControl/>
        <w:autoSpaceDE w:val="0"/>
        <w:autoSpaceDN w:val="0"/>
        <w:adjustRightInd w:val="0"/>
        <w:rPr>
          <w:rFonts w:eastAsia="Calibri"/>
          <w:b/>
          <w:bCs/>
          <w:color w:val="000000"/>
          <w:sz w:val="22"/>
          <w:szCs w:val="22"/>
          <w:lang w:eastAsia="en-US"/>
        </w:rPr>
      </w:pPr>
    </w:p>
    <w:p w14:paraId="1BEA0577" w14:textId="77777777" w:rsidR="00987069" w:rsidRDefault="00987069" w:rsidP="00987069">
      <w:pPr>
        <w:tabs>
          <w:tab w:val="left" w:pos="142"/>
          <w:tab w:val="left" w:pos="7655"/>
        </w:tabs>
        <w:ind w:right="-568"/>
        <w:rPr>
          <w:sz w:val="22"/>
          <w:szCs w:val="22"/>
        </w:rPr>
      </w:pPr>
    </w:p>
    <w:sectPr w:rsidR="00987069"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A"/>
    <w:multiLevelType w:val="hybridMultilevel"/>
    <w:tmpl w:val="0000000A"/>
    <w:lvl w:ilvl="0" w:tplc="19E259AE">
      <w:start w:val="1"/>
      <w:numFmt w:val="bullet"/>
      <w:lvlText w:val=""/>
      <w:lvlJc w:val="left"/>
      <w:pPr>
        <w:tabs>
          <w:tab w:val="num" w:pos="720"/>
        </w:tabs>
        <w:ind w:left="720" w:hanging="160"/>
      </w:pPr>
      <w:rPr>
        <w:rFonts w:ascii="Symbol" w:hAnsi="Symbol"/>
      </w:rPr>
    </w:lvl>
    <w:lvl w:ilvl="1" w:tplc="CB00761A">
      <w:start w:val="1"/>
      <w:numFmt w:val="bullet"/>
      <w:lvlText w:val="o"/>
      <w:lvlJc w:val="left"/>
      <w:pPr>
        <w:tabs>
          <w:tab w:val="num" w:pos="1440"/>
        </w:tabs>
        <w:ind w:left="1440" w:hanging="360"/>
      </w:pPr>
      <w:rPr>
        <w:rFonts w:ascii="Courier New" w:hAnsi="Courier New"/>
      </w:rPr>
    </w:lvl>
    <w:lvl w:ilvl="2" w:tplc="479EEF78">
      <w:start w:val="1"/>
      <w:numFmt w:val="bullet"/>
      <w:lvlText w:val=""/>
      <w:lvlJc w:val="left"/>
      <w:pPr>
        <w:tabs>
          <w:tab w:val="num" w:pos="2160"/>
        </w:tabs>
        <w:ind w:left="2160" w:hanging="360"/>
      </w:pPr>
      <w:rPr>
        <w:rFonts w:ascii="Wingdings" w:hAnsi="Wingdings"/>
      </w:rPr>
    </w:lvl>
    <w:lvl w:ilvl="3" w:tplc="53B82FDC">
      <w:start w:val="1"/>
      <w:numFmt w:val="bullet"/>
      <w:lvlText w:val=""/>
      <w:lvlJc w:val="left"/>
      <w:pPr>
        <w:tabs>
          <w:tab w:val="num" w:pos="2880"/>
        </w:tabs>
        <w:ind w:left="2880" w:hanging="360"/>
      </w:pPr>
      <w:rPr>
        <w:rFonts w:ascii="Symbol" w:hAnsi="Symbol"/>
      </w:rPr>
    </w:lvl>
    <w:lvl w:ilvl="4" w:tplc="52E0D230">
      <w:start w:val="1"/>
      <w:numFmt w:val="bullet"/>
      <w:lvlText w:val="o"/>
      <w:lvlJc w:val="left"/>
      <w:pPr>
        <w:tabs>
          <w:tab w:val="num" w:pos="3600"/>
        </w:tabs>
        <w:ind w:left="3600" w:hanging="360"/>
      </w:pPr>
      <w:rPr>
        <w:rFonts w:ascii="Courier New" w:hAnsi="Courier New"/>
      </w:rPr>
    </w:lvl>
    <w:lvl w:ilvl="5" w:tplc="F5428808">
      <w:start w:val="1"/>
      <w:numFmt w:val="bullet"/>
      <w:lvlText w:val=""/>
      <w:lvlJc w:val="left"/>
      <w:pPr>
        <w:tabs>
          <w:tab w:val="num" w:pos="4320"/>
        </w:tabs>
        <w:ind w:left="4320" w:hanging="360"/>
      </w:pPr>
      <w:rPr>
        <w:rFonts w:ascii="Wingdings" w:hAnsi="Wingdings"/>
      </w:rPr>
    </w:lvl>
    <w:lvl w:ilvl="6" w:tplc="FFC251AA">
      <w:start w:val="1"/>
      <w:numFmt w:val="bullet"/>
      <w:lvlText w:val=""/>
      <w:lvlJc w:val="left"/>
      <w:pPr>
        <w:tabs>
          <w:tab w:val="num" w:pos="5040"/>
        </w:tabs>
        <w:ind w:left="5040" w:hanging="360"/>
      </w:pPr>
      <w:rPr>
        <w:rFonts w:ascii="Symbol" w:hAnsi="Symbol"/>
      </w:rPr>
    </w:lvl>
    <w:lvl w:ilvl="7" w:tplc="6688F23E">
      <w:start w:val="1"/>
      <w:numFmt w:val="bullet"/>
      <w:lvlText w:val="o"/>
      <w:lvlJc w:val="left"/>
      <w:pPr>
        <w:tabs>
          <w:tab w:val="num" w:pos="5760"/>
        </w:tabs>
        <w:ind w:left="5760" w:hanging="360"/>
      </w:pPr>
      <w:rPr>
        <w:rFonts w:ascii="Courier New" w:hAnsi="Courier New"/>
      </w:rPr>
    </w:lvl>
    <w:lvl w:ilvl="8" w:tplc="CA94075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B"/>
    <w:multiLevelType w:val="hybridMultilevel"/>
    <w:tmpl w:val="0000000B"/>
    <w:lvl w:ilvl="0" w:tplc="AF1C7B4A">
      <w:start w:val="1"/>
      <w:numFmt w:val="bullet"/>
      <w:lvlText w:val=""/>
      <w:lvlJc w:val="left"/>
      <w:pPr>
        <w:tabs>
          <w:tab w:val="num" w:pos="720"/>
        </w:tabs>
        <w:ind w:left="720" w:hanging="160"/>
      </w:pPr>
      <w:rPr>
        <w:rFonts w:ascii="Symbol" w:hAnsi="Symbol"/>
      </w:rPr>
    </w:lvl>
    <w:lvl w:ilvl="1" w:tplc="4B1AA16A">
      <w:start w:val="1"/>
      <w:numFmt w:val="bullet"/>
      <w:lvlText w:val="o"/>
      <w:lvlJc w:val="left"/>
      <w:pPr>
        <w:tabs>
          <w:tab w:val="num" w:pos="1440"/>
        </w:tabs>
        <w:ind w:left="1440" w:hanging="360"/>
      </w:pPr>
      <w:rPr>
        <w:rFonts w:ascii="Courier New" w:hAnsi="Courier New"/>
      </w:rPr>
    </w:lvl>
    <w:lvl w:ilvl="2" w:tplc="CE4EFC68">
      <w:start w:val="1"/>
      <w:numFmt w:val="bullet"/>
      <w:lvlText w:val=""/>
      <w:lvlJc w:val="left"/>
      <w:pPr>
        <w:tabs>
          <w:tab w:val="num" w:pos="2160"/>
        </w:tabs>
        <w:ind w:left="2160" w:hanging="360"/>
      </w:pPr>
      <w:rPr>
        <w:rFonts w:ascii="Wingdings" w:hAnsi="Wingdings"/>
      </w:rPr>
    </w:lvl>
    <w:lvl w:ilvl="3" w:tplc="B7D6FCBC">
      <w:start w:val="1"/>
      <w:numFmt w:val="bullet"/>
      <w:lvlText w:val=""/>
      <w:lvlJc w:val="left"/>
      <w:pPr>
        <w:tabs>
          <w:tab w:val="num" w:pos="2880"/>
        </w:tabs>
        <w:ind w:left="2880" w:hanging="360"/>
      </w:pPr>
      <w:rPr>
        <w:rFonts w:ascii="Symbol" w:hAnsi="Symbol"/>
      </w:rPr>
    </w:lvl>
    <w:lvl w:ilvl="4" w:tplc="3BF6BB72">
      <w:start w:val="1"/>
      <w:numFmt w:val="bullet"/>
      <w:lvlText w:val="o"/>
      <w:lvlJc w:val="left"/>
      <w:pPr>
        <w:tabs>
          <w:tab w:val="num" w:pos="3600"/>
        </w:tabs>
        <w:ind w:left="3600" w:hanging="360"/>
      </w:pPr>
      <w:rPr>
        <w:rFonts w:ascii="Courier New" w:hAnsi="Courier New"/>
      </w:rPr>
    </w:lvl>
    <w:lvl w:ilvl="5" w:tplc="75FCA800">
      <w:start w:val="1"/>
      <w:numFmt w:val="bullet"/>
      <w:lvlText w:val=""/>
      <w:lvlJc w:val="left"/>
      <w:pPr>
        <w:tabs>
          <w:tab w:val="num" w:pos="4320"/>
        </w:tabs>
        <w:ind w:left="4320" w:hanging="360"/>
      </w:pPr>
      <w:rPr>
        <w:rFonts w:ascii="Wingdings" w:hAnsi="Wingdings"/>
      </w:rPr>
    </w:lvl>
    <w:lvl w:ilvl="6" w:tplc="864EFAE8">
      <w:start w:val="1"/>
      <w:numFmt w:val="bullet"/>
      <w:lvlText w:val=""/>
      <w:lvlJc w:val="left"/>
      <w:pPr>
        <w:tabs>
          <w:tab w:val="num" w:pos="5040"/>
        </w:tabs>
        <w:ind w:left="5040" w:hanging="360"/>
      </w:pPr>
      <w:rPr>
        <w:rFonts w:ascii="Symbol" w:hAnsi="Symbol"/>
      </w:rPr>
    </w:lvl>
    <w:lvl w:ilvl="7" w:tplc="1BB6588C">
      <w:start w:val="1"/>
      <w:numFmt w:val="bullet"/>
      <w:lvlText w:val="o"/>
      <w:lvlJc w:val="left"/>
      <w:pPr>
        <w:tabs>
          <w:tab w:val="num" w:pos="5760"/>
        </w:tabs>
        <w:ind w:left="5760" w:hanging="360"/>
      </w:pPr>
      <w:rPr>
        <w:rFonts w:ascii="Courier New" w:hAnsi="Courier New"/>
      </w:rPr>
    </w:lvl>
    <w:lvl w:ilvl="8" w:tplc="5D4A5A1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C"/>
    <w:multiLevelType w:val="hybridMultilevel"/>
    <w:tmpl w:val="0000000C"/>
    <w:lvl w:ilvl="0" w:tplc="06E28580">
      <w:start w:val="1"/>
      <w:numFmt w:val="bullet"/>
      <w:lvlText w:val=""/>
      <w:lvlJc w:val="left"/>
      <w:pPr>
        <w:tabs>
          <w:tab w:val="num" w:pos="720"/>
        </w:tabs>
        <w:ind w:left="720" w:hanging="160"/>
      </w:pPr>
      <w:rPr>
        <w:rFonts w:ascii="Symbol" w:hAnsi="Symbol"/>
      </w:rPr>
    </w:lvl>
    <w:lvl w:ilvl="1" w:tplc="251ABCF2">
      <w:start w:val="1"/>
      <w:numFmt w:val="bullet"/>
      <w:lvlText w:val="o"/>
      <w:lvlJc w:val="left"/>
      <w:pPr>
        <w:tabs>
          <w:tab w:val="num" w:pos="1440"/>
        </w:tabs>
        <w:ind w:left="1440" w:hanging="360"/>
      </w:pPr>
      <w:rPr>
        <w:rFonts w:ascii="Courier New" w:hAnsi="Courier New"/>
      </w:rPr>
    </w:lvl>
    <w:lvl w:ilvl="2" w:tplc="12440C28">
      <w:start w:val="1"/>
      <w:numFmt w:val="bullet"/>
      <w:lvlText w:val=""/>
      <w:lvlJc w:val="left"/>
      <w:pPr>
        <w:tabs>
          <w:tab w:val="num" w:pos="2160"/>
        </w:tabs>
        <w:ind w:left="2160" w:hanging="360"/>
      </w:pPr>
      <w:rPr>
        <w:rFonts w:ascii="Wingdings" w:hAnsi="Wingdings"/>
      </w:rPr>
    </w:lvl>
    <w:lvl w:ilvl="3" w:tplc="D64EF7BC">
      <w:start w:val="1"/>
      <w:numFmt w:val="bullet"/>
      <w:lvlText w:val=""/>
      <w:lvlJc w:val="left"/>
      <w:pPr>
        <w:tabs>
          <w:tab w:val="num" w:pos="2880"/>
        </w:tabs>
        <w:ind w:left="2880" w:hanging="360"/>
      </w:pPr>
      <w:rPr>
        <w:rFonts w:ascii="Symbol" w:hAnsi="Symbol"/>
      </w:rPr>
    </w:lvl>
    <w:lvl w:ilvl="4" w:tplc="9EE05E74">
      <w:start w:val="1"/>
      <w:numFmt w:val="bullet"/>
      <w:lvlText w:val="o"/>
      <w:lvlJc w:val="left"/>
      <w:pPr>
        <w:tabs>
          <w:tab w:val="num" w:pos="3600"/>
        </w:tabs>
        <w:ind w:left="3600" w:hanging="360"/>
      </w:pPr>
      <w:rPr>
        <w:rFonts w:ascii="Courier New" w:hAnsi="Courier New"/>
      </w:rPr>
    </w:lvl>
    <w:lvl w:ilvl="5" w:tplc="EB92026A">
      <w:start w:val="1"/>
      <w:numFmt w:val="bullet"/>
      <w:lvlText w:val=""/>
      <w:lvlJc w:val="left"/>
      <w:pPr>
        <w:tabs>
          <w:tab w:val="num" w:pos="4320"/>
        </w:tabs>
        <w:ind w:left="4320" w:hanging="360"/>
      </w:pPr>
      <w:rPr>
        <w:rFonts w:ascii="Wingdings" w:hAnsi="Wingdings"/>
      </w:rPr>
    </w:lvl>
    <w:lvl w:ilvl="6" w:tplc="EE082BC0">
      <w:start w:val="1"/>
      <w:numFmt w:val="bullet"/>
      <w:lvlText w:val=""/>
      <w:lvlJc w:val="left"/>
      <w:pPr>
        <w:tabs>
          <w:tab w:val="num" w:pos="5040"/>
        </w:tabs>
        <w:ind w:left="5040" w:hanging="360"/>
      </w:pPr>
      <w:rPr>
        <w:rFonts w:ascii="Symbol" w:hAnsi="Symbol"/>
      </w:rPr>
    </w:lvl>
    <w:lvl w:ilvl="7" w:tplc="B8FE63A4">
      <w:start w:val="1"/>
      <w:numFmt w:val="bullet"/>
      <w:lvlText w:val="o"/>
      <w:lvlJc w:val="left"/>
      <w:pPr>
        <w:tabs>
          <w:tab w:val="num" w:pos="5760"/>
        </w:tabs>
        <w:ind w:left="5760" w:hanging="360"/>
      </w:pPr>
      <w:rPr>
        <w:rFonts w:ascii="Courier New" w:hAnsi="Courier New"/>
      </w:rPr>
    </w:lvl>
    <w:lvl w:ilvl="8" w:tplc="E07ECC1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hybridMultilevel"/>
    <w:tmpl w:val="0000000D"/>
    <w:lvl w:ilvl="0" w:tplc="BF62B186">
      <w:start w:val="1"/>
      <w:numFmt w:val="bullet"/>
      <w:lvlText w:val=""/>
      <w:lvlJc w:val="left"/>
      <w:pPr>
        <w:tabs>
          <w:tab w:val="num" w:pos="720"/>
        </w:tabs>
        <w:ind w:left="720" w:hanging="160"/>
      </w:pPr>
      <w:rPr>
        <w:rFonts w:ascii="Symbol" w:hAnsi="Symbol"/>
      </w:rPr>
    </w:lvl>
    <w:lvl w:ilvl="1" w:tplc="DC82FE2E">
      <w:start w:val="1"/>
      <w:numFmt w:val="bullet"/>
      <w:lvlText w:val="o"/>
      <w:lvlJc w:val="left"/>
      <w:pPr>
        <w:tabs>
          <w:tab w:val="num" w:pos="1440"/>
        </w:tabs>
        <w:ind w:left="1440" w:hanging="360"/>
      </w:pPr>
      <w:rPr>
        <w:rFonts w:ascii="Courier New" w:hAnsi="Courier New"/>
      </w:rPr>
    </w:lvl>
    <w:lvl w:ilvl="2" w:tplc="EEFAB2DE">
      <w:start w:val="1"/>
      <w:numFmt w:val="bullet"/>
      <w:lvlText w:val=""/>
      <w:lvlJc w:val="left"/>
      <w:pPr>
        <w:tabs>
          <w:tab w:val="num" w:pos="2160"/>
        </w:tabs>
        <w:ind w:left="2160" w:hanging="360"/>
      </w:pPr>
      <w:rPr>
        <w:rFonts w:ascii="Wingdings" w:hAnsi="Wingdings"/>
      </w:rPr>
    </w:lvl>
    <w:lvl w:ilvl="3" w:tplc="6CBA7A5A">
      <w:start w:val="1"/>
      <w:numFmt w:val="bullet"/>
      <w:lvlText w:val=""/>
      <w:lvlJc w:val="left"/>
      <w:pPr>
        <w:tabs>
          <w:tab w:val="num" w:pos="2880"/>
        </w:tabs>
        <w:ind w:left="2880" w:hanging="360"/>
      </w:pPr>
      <w:rPr>
        <w:rFonts w:ascii="Symbol" w:hAnsi="Symbol"/>
      </w:rPr>
    </w:lvl>
    <w:lvl w:ilvl="4" w:tplc="330CAB32">
      <w:start w:val="1"/>
      <w:numFmt w:val="bullet"/>
      <w:lvlText w:val="o"/>
      <w:lvlJc w:val="left"/>
      <w:pPr>
        <w:tabs>
          <w:tab w:val="num" w:pos="3600"/>
        </w:tabs>
        <w:ind w:left="3600" w:hanging="360"/>
      </w:pPr>
      <w:rPr>
        <w:rFonts w:ascii="Courier New" w:hAnsi="Courier New"/>
      </w:rPr>
    </w:lvl>
    <w:lvl w:ilvl="5" w:tplc="30383490">
      <w:start w:val="1"/>
      <w:numFmt w:val="bullet"/>
      <w:lvlText w:val=""/>
      <w:lvlJc w:val="left"/>
      <w:pPr>
        <w:tabs>
          <w:tab w:val="num" w:pos="4320"/>
        </w:tabs>
        <w:ind w:left="4320" w:hanging="360"/>
      </w:pPr>
      <w:rPr>
        <w:rFonts w:ascii="Wingdings" w:hAnsi="Wingdings"/>
      </w:rPr>
    </w:lvl>
    <w:lvl w:ilvl="6" w:tplc="E9B8BF7C">
      <w:start w:val="1"/>
      <w:numFmt w:val="bullet"/>
      <w:lvlText w:val=""/>
      <w:lvlJc w:val="left"/>
      <w:pPr>
        <w:tabs>
          <w:tab w:val="num" w:pos="5040"/>
        </w:tabs>
        <w:ind w:left="5040" w:hanging="360"/>
      </w:pPr>
      <w:rPr>
        <w:rFonts w:ascii="Symbol" w:hAnsi="Symbol"/>
      </w:rPr>
    </w:lvl>
    <w:lvl w:ilvl="7" w:tplc="A112C0E2">
      <w:start w:val="1"/>
      <w:numFmt w:val="bullet"/>
      <w:lvlText w:val="o"/>
      <w:lvlJc w:val="left"/>
      <w:pPr>
        <w:tabs>
          <w:tab w:val="num" w:pos="5760"/>
        </w:tabs>
        <w:ind w:left="5760" w:hanging="360"/>
      </w:pPr>
      <w:rPr>
        <w:rFonts w:ascii="Courier New" w:hAnsi="Courier New"/>
      </w:rPr>
    </w:lvl>
    <w:lvl w:ilvl="8" w:tplc="54409AD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F"/>
    <w:multiLevelType w:val="hybridMultilevel"/>
    <w:tmpl w:val="0000000F"/>
    <w:lvl w:ilvl="0" w:tplc="C5BAE996">
      <w:start w:val="1"/>
      <w:numFmt w:val="bullet"/>
      <w:lvlText w:val=""/>
      <w:lvlJc w:val="left"/>
      <w:pPr>
        <w:tabs>
          <w:tab w:val="num" w:pos="720"/>
        </w:tabs>
        <w:ind w:left="720" w:hanging="160"/>
      </w:pPr>
      <w:rPr>
        <w:rFonts w:ascii="Symbol" w:hAnsi="Symbol"/>
      </w:rPr>
    </w:lvl>
    <w:lvl w:ilvl="1" w:tplc="DC1EFC0A">
      <w:start w:val="1"/>
      <w:numFmt w:val="bullet"/>
      <w:lvlText w:val="o"/>
      <w:lvlJc w:val="left"/>
      <w:pPr>
        <w:tabs>
          <w:tab w:val="num" w:pos="1440"/>
        </w:tabs>
        <w:ind w:left="1440" w:hanging="360"/>
      </w:pPr>
      <w:rPr>
        <w:rFonts w:ascii="Courier New" w:hAnsi="Courier New"/>
      </w:rPr>
    </w:lvl>
    <w:lvl w:ilvl="2" w:tplc="907A338E">
      <w:start w:val="1"/>
      <w:numFmt w:val="bullet"/>
      <w:lvlText w:val=""/>
      <w:lvlJc w:val="left"/>
      <w:pPr>
        <w:tabs>
          <w:tab w:val="num" w:pos="2160"/>
        </w:tabs>
        <w:ind w:left="2160" w:hanging="360"/>
      </w:pPr>
      <w:rPr>
        <w:rFonts w:ascii="Wingdings" w:hAnsi="Wingdings"/>
      </w:rPr>
    </w:lvl>
    <w:lvl w:ilvl="3" w:tplc="53CC54C4">
      <w:start w:val="1"/>
      <w:numFmt w:val="bullet"/>
      <w:lvlText w:val=""/>
      <w:lvlJc w:val="left"/>
      <w:pPr>
        <w:tabs>
          <w:tab w:val="num" w:pos="2880"/>
        </w:tabs>
        <w:ind w:left="2880" w:hanging="360"/>
      </w:pPr>
      <w:rPr>
        <w:rFonts w:ascii="Symbol" w:hAnsi="Symbol"/>
      </w:rPr>
    </w:lvl>
    <w:lvl w:ilvl="4" w:tplc="67EAF5B8">
      <w:start w:val="1"/>
      <w:numFmt w:val="bullet"/>
      <w:lvlText w:val="o"/>
      <w:lvlJc w:val="left"/>
      <w:pPr>
        <w:tabs>
          <w:tab w:val="num" w:pos="3600"/>
        </w:tabs>
        <w:ind w:left="3600" w:hanging="360"/>
      </w:pPr>
      <w:rPr>
        <w:rFonts w:ascii="Courier New" w:hAnsi="Courier New"/>
      </w:rPr>
    </w:lvl>
    <w:lvl w:ilvl="5" w:tplc="16D2B598">
      <w:start w:val="1"/>
      <w:numFmt w:val="bullet"/>
      <w:lvlText w:val=""/>
      <w:lvlJc w:val="left"/>
      <w:pPr>
        <w:tabs>
          <w:tab w:val="num" w:pos="4320"/>
        </w:tabs>
        <w:ind w:left="4320" w:hanging="360"/>
      </w:pPr>
      <w:rPr>
        <w:rFonts w:ascii="Wingdings" w:hAnsi="Wingdings"/>
      </w:rPr>
    </w:lvl>
    <w:lvl w:ilvl="6" w:tplc="1D409042">
      <w:start w:val="1"/>
      <w:numFmt w:val="bullet"/>
      <w:lvlText w:val=""/>
      <w:lvlJc w:val="left"/>
      <w:pPr>
        <w:tabs>
          <w:tab w:val="num" w:pos="5040"/>
        </w:tabs>
        <w:ind w:left="5040" w:hanging="360"/>
      </w:pPr>
      <w:rPr>
        <w:rFonts w:ascii="Symbol" w:hAnsi="Symbol"/>
      </w:rPr>
    </w:lvl>
    <w:lvl w:ilvl="7" w:tplc="AC84DD16">
      <w:start w:val="1"/>
      <w:numFmt w:val="bullet"/>
      <w:lvlText w:val="o"/>
      <w:lvlJc w:val="left"/>
      <w:pPr>
        <w:tabs>
          <w:tab w:val="num" w:pos="5760"/>
        </w:tabs>
        <w:ind w:left="5760" w:hanging="360"/>
      </w:pPr>
      <w:rPr>
        <w:rFonts w:ascii="Courier New" w:hAnsi="Courier New"/>
      </w:rPr>
    </w:lvl>
    <w:lvl w:ilvl="8" w:tplc="362EDE30">
      <w:start w:val="1"/>
      <w:numFmt w:val="bullet"/>
      <w:lvlText w:val=""/>
      <w:lvlJc w:val="left"/>
      <w:pPr>
        <w:tabs>
          <w:tab w:val="num" w:pos="6480"/>
        </w:tabs>
        <w:ind w:left="6480" w:hanging="360"/>
      </w:pPr>
      <w:rPr>
        <w:rFonts w:ascii="Wingdings" w:hAnsi="Wingdings"/>
      </w:rPr>
    </w:lvl>
  </w:abstractNum>
  <w:abstractNum w:abstractNumId="6"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6"/>
  </w:num>
  <w:num w:numId="3">
    <w:abstractNumId w:val="7"/>
  </w:num>
  <w:num w:numId="4">
    <w:abstractNumId w:val="5"/>
  </w:num>
  <w:num w:numId="5">
    <w:abstractNumId w:val="1"/>
  </w:num>
  <w:num w:numId="6">
    <w:abstractNumId w:val="2"/>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6BDD"/>
    <w:rsid w:val="00086A67"/>
    <w:rsid w:val="00086B3C"/>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C4AE7"/>
    <w:rsid w:val="001D3FD1"/>
    <w:rsid w:val="001D7100"/>
    <w:rsid w:val="001D7BA2"/>
    <w:rsid w:val="001E1F27"/>
    <w:rsid w:val="001E2BD1"/>
    <w:rsid w:val="001F0044"/>
    <w:rsid w:val="001F3F30"/>
    <w:rsid w:val="001F641B"/>
    <w:rsid w:val="00200F8B"/>
    <w:rsid w:val="00201E36"/>
    <w:rsid w:val="0021176A"/>
    <w:rsid w:val="00212A8D"/>
    <w:rsid w:val="00214162"/>
    <w:rsid w:val="00216C70"/>
    <w:rsid w:val="002241EF"/>
    <w:rsid w:val="0023053D"/>
    <w:rsid w:val="00231475"/>
    <w:rsid w:val="0023528F"/>
    <w:rsid w:val="002378CC"/>
    <w:rsid w:val="00240F68"/>
    <w:rsid w:val="00243C44"/>
    <w:rsid w:val="0025203B"/>
    <w:rsid w:val="00254C5A"/>
    <w:rsid w:val="0025725D"/>
    <w:rsid w:val="002625E6"/>
    <w:rsid w:val="00267A73"/>
    <w:rsid w:val="002830F4"/>
    <w:rsid w:val="00286C79"/>
    <w:rsid w:val="00287223"/>
    <w:rsid w:val="002968EE"/>
    <w:rsid w:val="00297569"/>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07EA"/>
    <w:rsid w:val="00311886"/>
    <w:rsid w:val="003127B4"/>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6695"/>
    <w:rsid w:val="003F0869"/>
    <w:rsid w:val="003F5018"/>
    <w:rsid w:val="003F7963"/>
    <w:rsid w:val="0040271E"/>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3F37"/>
    <w:rsid w:val="004945A7"/>
    <w:rsid w:val="004A5400"/>
    <w:rsid w:val="004B1E7E"/>
    <w:rsid w:val="004C58F4"/>
    <w:rsid w:val="004D6725"/>
    <w:rsid w:val="004E030E"/>
    <w:rsid w:val="004E0E27"/>
    <w:rsid w:val="004E4C8B"/>
    <w:rsid w:val="004E7DCE"/>
    <w:rsid w:val="00501F97"/>
    <w:rsid w:val="00505A58"/>
    <w:rsid w:val="005118EF"/>
    <w:rsid w:val="005119DB"/>
    <w:rsid w:val="00512799"/>
    <w:rsid w:val="0051377A"/>
    <w:rsid w:val="00515AC5"/>
    <w:rsid w:val="00523D80"/>
    <w:rsid w:val="005249C1"/>
    <w:rsid w:val="00530BD4"/>
    <w:rsid w:val="0055441A"/>
    <w:rsid w:val="005654CA"/>
    <w:rsid w:val="00573E17"/>
    <w:rsid w:val="00573F9E"/>
    <w:rsid w:val="00575332"/>
    <w:rsid w:val="0058016E"/>
    <w:rsid w:val="005855D5"/>
    <w:rsid w:val="005957E5"/>
    <w:rsid w:val="005A3E8B"/>
    <w:rsid w:val="005B0CFF"/>
    <w:rsid w:val="005B1B2C"/>
    <w:rsid w:val="005D2E63"/>
    <w:rsid w:val="005D7C2B"/>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312E"/>
    <w:rsid w:val="006D4530"/>
    <w:rsid w:val="006D5F8F"/>
    <w:rsid w:val="006E15D9"/>
    <w:rsid w:val="006E6D2D"/>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96426"/>
    <w:rsid w:val="00797A27"/>
    <w:rsid w:val="007A1132"/>
    <w:rsid w:val="007B1F72"/>
    <w:rsid w:val="007B26F0"/>
    <w:rsid w:val="007B60B1"/>
    <w:rsid w:val="007C286F"/>
    <w:rsid w:val="007E14E2"/>
    <w:rsid w:val="007F12BB"/>
    <w:rsid w:val="007F7A91"/>
    <w:rsid w:val="00800F79"/>
    <w:rsid w:val="008032FE"/>
    <w:rsid w:val="008072FF"/>
    <w:rsid w:val="008124A2"/>
    <w:rsid w:val="00813C3F"/>
    <w:rsid w:val="00821792"/>
    <w:rsid w:val="008321D5"/>
    <w:rsid w:val="00834E22"/>
    <w:rsid w:val="0084464A"/>
    <w:rsid w:val="008458B4"/>
    <w:rsid w:val="008504EB"/>
    <w:rsid w:val="00856389"/>
    <w:rsid w:val="00865092"/>
    <w:rsid w:val="00865593"/>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87069"/>
    <w:rsid w:val="00994906"/>
    <w:rsid w:val="009A0C25"/>
    <w:rsid w:val="009A6F4A"/>
    <w:rsid w:val="009B0833"/>
    <w:rsid w:val="009B0A47"/>
    <w:rsid w:val="009B1CDF"/>
    <w:rsid w:val="009B1EEE"/>
    <w:rsid w:val="009B38A7"/>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10EBF"/>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72906"/>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26CD"/>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30ABB"/>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C6E4F"/>
    <w:rsid w:val="00CD3D31"/>
    <w:rsid w:val="00CD6A63"/>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01BB"/>
    <w:rsid w:val="00D27454"/>
    <w:rsid w:val="00D27A57"/>
    <w:rsid w:val="00D27BCE"/>
    <w:rsid w:val="00D303F8"/>
    <w:rsid w:val="00D30A97"/>
    <w:rsid w:val="00D46465"/>
    <w:rsid w:val="00D5250E"/>
    <w:rsid w:val="00D5772E"/>
    <w:rsid w:val="00D60FBE"/>
    <w:rsid w:val="00D72821"/>
    <w:rsid w:val="00D7301B"/>
    <w:rsid w:val="00D75A18"/>
    <w:rsid w:val="00D830E6"/>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A5C1E"/>
    <w:rsid w:val="00EB321F"/>
    <w:rsid w:val="00EB5801"/>
    <w:rsid w:val="00EC7E9B"/>
    <w:rsid w:val="00EE0BF7"/>
    <w:rsid w:val="00EE6E7B"/>
    <w:rsid w:val="00EF1B0A"/>
    <w:rsid w:val="00EF4ADF"/>
    <w:rsid w:val="00EF4B6A"/>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 w:val="00FF4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BD26CD"/>
  </w:style>
  <w:style w:type="character" w:customStyle="1" w:styleId="BrdtextChar">
    <w:name w:val="Brödtext Char"/>
    <w:basedOn w:val="Standardstycketeckensnitt"/>
    <w:link w:val="Brdtext"/>
    <w:rsid w:val="00813C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10</Pages>
  <Words>4740</Words>
  <Characters>30591</Characters>
  <Application>Microsoft Office Word</Application>
  <DocSecurity>0</DocSecurity>
  <Lines>1390</Lines>
  <Paragraphs>452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21</cp:revision>
  <cp:lastPrinted>2025-01-15T14:26:00Z</cp:lastPrinted>
  <dcterms:created xsi:type="dcterms:W3CDTF">2025-02-26T10:05:00Z</dcterms:created>
  <dcterms:modified xsi:type="dcterms:W3CDTF">2025-03-27T10:50:00Z</dcterms:modified>
</cp:coreProperties>
</file>