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3722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3AB73725" w14:textId="77777777" w:rsidTr="0096348C">
        <w:tc>
          <w:tcPr>
            <w:tcW w:w="9141" w:type="dxa"/>
          </w:tcPr>
          <w:p w14:paraId="3AB73723" w14:textId="77777777" w:rsidR="0096348C" w:rsidRDefault="0096348C" w:rsidP="0096348C">
            <w:r>
              <w:t>RIKSDAGEN</w:t>
            </w:r>
          </w:p>
          <w:p w14:paraId="3AB73724" w14:textId="78053975" w:rsidR="0096348C" w:rsidRDefault="00964CA7" w:rsidP="0096348C">
            <w:r>
              <w:t>TRAFIK</w:t>
            </w:r>
            <w:r w:rsidR="0096348C">
              <w:t>UTSKOTTET</w:t>
            </w:r>
          </w:p>
        </w:tc>
      </w:tr>
    </w:tbl>
    <w:p w14:paraId="3AB73726" w14:textId="77777777" w:rsidR="0096348C" w:rsidRDefault="0096348C" w:rsidP="0096348C"/>
    <w:p w14:paraId="3AB73727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3AB7372B" w14:textId="77777777" w:rsidTr="00012D39">
        <w:trPr>
          <w:cantSplit/>
          <w:trHeight w:val="742"/>
        </w:trPr>
        <w:tc>
          <w:tcPr>
            <w:tcW w:w="1985" w:type="dxa"/>
          </w:tcPr>
          <w:p w14:paraId="3AB7372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3AB73729" w14:textId="443BEBA3" w:rsidR="0096348C" w:rsidRDefault="000B7C05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964CA7">
              <w:rPr>
                <w:b/>
              </w:rPr>
              <w:t>9</w:t>
            </w:r>
            <w:r>
              <w:rPr>
                <w:b/>
              </w:rPr>
              <w:t>/</w:t>
            </w:r>
            <w:r w:rsidR="00964CA7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A6C1D">
              <w:rPr>
                <w:b/>
              </w:rPr>
              <w:t>6</w:t>
            </w:r>
          </w:p>
          <w:p w14:paraId="3AB7372A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3AB7372E" w14:textId="77777777" w:rsidTr="00012D39">
        <w:tc>
          <w:tcPr>
            <w:tcW w:w="1985" w:type="dxa"/>
          </w:tcPr>
          <w:p w14:paraId="3AB7372C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3AB7372D" w14:textId="3F99AE63" w:rsidR="0096348C" w:rsidRDefault="009D1BB5" w:rsidP="0096348C">
            <w:r>
              <w:t>201</w:t>
            </w:r>
            <w:r w:rsidR="00964CA7">
              <w:t>9</w:t>
            </w:r>
            <w:r w:rsidR="00D52626">
              <w:t>-</w:t>
            </w:r>
            <w:r w:rsidR="00964CA7">
              <w:t>1</w:t>
            </w:r>
            <w:r w:rsidR="001A6C1D">
              <w:t>1-07</w:t>
            </w:r>
          </w:p>
        </w:tc>
      </w:tr>
      <w:tr w:rsidR="0096348C" w14:paraId="3AB73731" w14:textId="77777777" w:rsidTr="00012D39">
        <w:tc>
          <w:tcPr>
            <w:tcW w:w="1985" w:type="dxa"/>
          </w:tcPr>
          <w:p w14:paraId="3AB7372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7F9ABEF5" w14:textId="772A51BA" w:rsidR="0096348C" w:rsidRDefault="00964CA7" w:rsidP="0096348C">
            <w:r>
              <w:t>10:00-1</w:t>
            </w:r>
            <w:r w:rsidR="001A6C1D">
              <w:t>1:</w:t>
            </w:r>
            <w:r w:rsidR="001A36AC">
              <w:t>40</w:t>
            </w:r>
          </w:p>
          <w:p w14:paraId="3AB73730" w14:textId="7ECC530B" w:rsidR="00964CA7" w:rsidRDefault="00964CA7" w:rsidP="0096348C"/>
        </w:tc>
      </w:tr>
      <w:tr w:rsidR="0096348C" w14:paraId="3AB73734" w14:textId="77777777" w:rsidTr="00012D39">
        <w:tc>
          <w:tcPr>
            <w:tcW w:w="1985" w:type="dxa"/>
          </w:tcPr>
          <w:p w14:paraId="3AB73732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3AB73733" w14:textId="77777777" w:rsidR="0096348C" w:rsidRDefault="0096348C" w:rsidP="0096348C">
            <w:r>
              <w:t>Se bilaga 1</w:t>
            </w:r>
          </w:p>
        </w:tc>
      </w:tr>
    </w:tbl>
    <w:p w14:paraId="3AB73735" w14:textId="77777777" w:rsidR="0096348C" w:rsidRDefault="0096348C" w:rsidP="0096348C"/>
    <w:p w14:paraId="3AB73736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AB7373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14:paraId="3AB7373C" w14:textId="77777777" w:rsidTr="00E41D16">
        <w:tc>
          <w:tcPr>
            <w:tcW w:w="567" w:type="dxa"/>
          </w:tcPr>
          <w:p w14:paraId="3AB73738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3AB73739" w14:textId="34BFC951" w:rsidR="00275CD2" w:rsidRDefault="00C3588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9AEC29" w14:textId="7E97DFB6" w:rsidR="00964CA7" w:rsidRDefault="00964CA7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19AAE1" w14:textId="3C850BE7" w:rsidR="00964CA7" w:rsidRDefault="00964CA7" w:rsidP="00964CA7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bCs/>
                <w:lang w:val="en-GB" w:eastAsia="en-US"/>
              </w:rPr>
              <w:t>Utskottet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justerade</w:t>
            </w:r>
            <w:proofErr w:type="spellEnd"/>
            <w:r>
              <w:rPr>
                <w:bCs/>
                <w:lang w:val="en-GB" w:eastAsia="en-US"/>
              </w:rPr>
              <w:t xml:space="preserve"> </w:t>
            </w:r>
            <w:proofErr w:type="spellStart"/>
            <w:r>
              <w:rPr>
                <w:bCs/>
                <w:lang w:val="en-GB" w:eastAsia="en-US"/>
              </w:rPr>
              <w:t>protokoll</w:t>
            </w:r>
            <w:proofErr w:type="spellEnd"/>
            <w:r>
              <w:rPr>
                <w:bCs/>
                <w:lang w:val="en-GB" w:eastAsia="en-US"/>
              </w:rPr>
              <w:t xml:space="preserve"> 2019/20:</w:t>
            </w:r>
            <w:r w:rsidR="001A6C1D">
              <w:rPr>
                <w:bCs/>
                <w:lang w:val="en-GB" w:eastAsia="en-US"/>
              </w:rPr>
              <w:t>5</w:t>
            </w:r>
            <w:r>
              <w:rPr>
                <w:bCs/>
                <w:lang w:val="en-GB" w:eastAsia="en-US"/>
              </w:rPr>
              <w:t>.</w:t>
            </w:r>
          </w:p>
          <w:p w14:paraId="3AB7373B" w14:textId="77777777" w:rsidR="009C51B0" w:rsidRPr="009C51B0" w:rsidRDefault="009C51B0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3AB73741" w14:textId="77777777" w:rsidTr="00E41D16">
        <w:tc>
          <w:tcPr>
            <w:tcW w:w="567" w:type="dxa"/>
          </w:tcPr>
          <w:p w14:paraId="3AB7373D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2EACE0B5" w14:textId="77777777" w:rsidR="00A14406" w:rsidRDefault="00A14406" w:rsidP="00A1440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Skydd av Sveriges säkerhet vid radioanvändning (TU4)</w:t>
            </w:r>
          </w:p>
          <w:p w14:paraId="39355207" w14:textId="77777777" w:rsidR="00A14406" w:rsidRDefault="00A14406" w:rsidP="00A1440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D989AF4" w14:textId="77777777" w:rsidR="00A14406" w:rsidRDefault="00A14406" w:rsidP="00A14406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A6C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2019/20:15 och motioner.</w:t>
            </w:r>
          </w:p>
          <w:p w14:paraId="727D5642" w14:textId="77777777" w:rsidR="00A14406" w:rsidRDefault="00A14406" w:rsidP="00A14406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D631717" w14:textId="77777777" w:rsidR="00A14406" w:rsidRDefault="00A14406" w:rsidP="00A14406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3AB73740" w14:textId="77777777" w:rsidR="009C51B0" w:rsidRPr="009C51B0" w:rsidRDefault="009C51B0" w:rsidP="00E20C1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3AB7374B" w14:textId="77777777" w:rsidTr="00E41D16">
        <w:tc>
          <w:tcPr>
            <w:tcW w:w="567" w:type="dxa"/>
          </w:tcPr>
          <w:p w14:paraId="2329AF6F" w14:textId="61FC3F22" w:rsidR="001A6C1D" w:rsidRDefault="00F712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42563288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D4AFEFE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FEF1E04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84F0AB6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8C34CA5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DDF96CD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B73747" w14:textId="37602105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3EDFA707" w14:textId="77777777" w:rsidR="00E20C19" w:rsidRDefault="00E20C19" w:rsidP="00E20C1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Inkomna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EU-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dokument</w:t>
            </w:r>
            <w:proofErr w:type="spellEnd"/>
          </w:p>
          <w:p w14:paraId="251799B3" w14:textId="77777777" w:rsidR="00E20C19" w:rsidRDefault="00E20C19" w:rsidP="00E20C1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14:paraId="15703FEC" w14:textId="62A7283E" w:rsidR="00E20C19" w:rsidRDefault="00E20C19" w:rsidP="00E20C19">
            <w:pPr>
              <w:tabs>
                <w:tab w:val="left" w:pos="1701"/>
              </w:tabs>
            </w:pPr>
            <w:r>
              <w:t xml:space="preserve">Information lämnades om sammanställningen över </w:t>
            </w:r>
            <w:r w:rsidR="00000788">
              <w:t>inkomna</w:t>
            </w:r>
            <w:r>
              <w:t xml:space="preserve"> EU-dokument inom utskottets verksamhetsområde.</w:t>
            </w:r>
          </w:p>
          <w:p w14:paraId="0E50F6B0" w14:textId="77777777" w:rsidR="00E20C19" w:rsidRDefault="00E20C19" w:rsidP="00E20C19">
            <w:pPr>
              <w:tabs>
                <w:tab w:val="left" w:pos="1701"/>
              </w:tabs>
            </w:pPr>
          </w:p>
          <w:p w14:paraId="53146905" w14:textId="77777777" w:rsidR="00E20C19" w:rsidRDefault="00E20C19" w:rsidP="00E20C1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Sammanställningen lades till handlingarna.</w:t>
            </w:r>
          </w:p>
          <w:p w14:paraId="1DE186B2" w14:textId="77777777" w:rsidR="00E20C19" w:rsidRDefault="00E20C19" w:rsidP="00964CA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C194F03" w14:textId="77777777" w:rsidR="00E20C19" w:rsidRDefault="00E20C19" w:rsidP="00E20C1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Inkommen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skrivelse</w:t>
            </w:r>
            <w:proofErr w:type="spellEnd"/>
          </w:p>
          <w:p w14:paraId="41F8E76D" w14:textId="77777777" w:rsidR="00E20C19" w:rsidRDefault="00E20C19" w:rsidP="00E20C1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14:paraId="04D3296D" w14:textId="77777777" w:rsidR="00E20C19" w:rsidRDefault="00E20C19" w:rsidP="00E20C1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14:paraId="29C4DADA" w14:textId="77777777" w:rsidR="000C62EB" w:rsidRPr="001A6C1D" w:rsidRDefault="000C62E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B7374A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3AB73750" w14:textId="77777777" w:rsidTr="00E41D16">
        <w:tc>
          <w:tcPr>
            <w:tcW w:w="567" w:type="dxa"/>
          </w:tcPr>
          <w:p w14:paraId="7C2B8BBB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  <w:p w14:paraId="692DBB91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824668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3CCAD33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170B66" w14:textId="77777777" w:rsidR="006F2205" w:rsidRDefault="006F22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C73596" w14:textId="77777777" w:rsidR="006F2205" w:rsidRDefault="006F22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BB90C1" w14:textId="161D154F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  <w:p w14:paraId="39D87119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9620038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352C755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D235540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7D1317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BDCA4B1" w14:textId="77777777" w:rsidR="00000788" w:rsidRDefault="0000078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C6DD28" w14:textId="6A12BCAA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14:paraId="49E4D02A" w14:textId="77777777" w:rsidR="00000788" w:rsidRDefault="0000078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6AC391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2F821F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1BAECFF" w14:textId="77777777" w:rsidR="008D463E" w:rsidRDefault="008D46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83D9B62" w14:textId="77777777" w:rsidR="008D463E" w:rsidRDefault="008D46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7E84342" w14:textId="77777777" w:rsidR="008D463E" w:rsidRDefault="008D46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4602917" w14:textId="67477ECF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14:paraId="219F9D18" w14:textId="77777777" w:rsidR="008A13CC" w:rsidRDefault="008A13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BED8C0D" w14:textId="77777777" w:rsidR="008A13CC" w:rsidRDefault="008A13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BD8D15" w14:textId="77777777" w:rsidR="008A13CC" w:rsidRDefault="008A13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D30D48" w14:textId="77777777" w:rsidR="008D286E" w:rsidRDefault="008D286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7B2BAA" w14:textId="77777777" w:rsidR="008D286E" w:rsidRDefault="008D286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2015772" w14:textId="77777777" w:rsidR="00E20C19" w:rsidRDefault="00E20C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0FE515" w14:textId="750F962E" w:rsidR="008A13CC" w:rsidRDefault="008A13C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14:paraId="21940B40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786F25" w14:textId="77777777" w:rsidR="001A6C1D" w:rsidRDefault="001A6C1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</w:t>
            </w:r>
          </w:p>
          <w:p w14:paraId="03408895" w14:textId="77777777" w:rsidR="00E20C19" w:rsidRDefault="00E20C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EC56A6" w14:textId="77777777" w:rsidR="00E20C19" w:rsidRDefault="00E20C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ADAA4D2" w14:textId="77777777" w:rsidR="00E20C19" w:rsidRDefault="00E20C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F175DF" w14:textId="77777777" w:rsidR="00E20C19" w:rsidRDefault="00E20C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F45F0F1" w14:textId="77777777" w:rsidR="00E20C19" w:rsidRDefault="00E20C1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F9C925B" w14:textId="77777777" w:rsidR="00270079" w:rsidRDefault="002700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B7374C" w14:textId="4111B6BF" w:rsidR="006F2205" w:rsidRDefault="006F220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</w:tcPr>
          <w:p w14:paraId="12C63433" w14:textId="77777777" w:rsidR="00E20C19" w:rsidRDefault="00E20C19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Övriga frågor </w:t>
            </w:r>
          </w:p>
          <w:p w14:paraId="5621B169" w14:textId="6C591795" w:rsidR="00E20C19" w:rsidRDefault="00E20C19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61BDBCC" w14:textId="0F3B98DF" w:rsidR="006F2205" w:rsidRDefault="00F359BA" w:rsidP="006F2205">
            <w:pPr>
              <w:rPr>
                <w:sz w:val="22"/>
              </w:rPr>
            </w:pPr>
            <w:r w:rsidRPr="00F359B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</w:t>
            </w:r>
            <w:r w:rsidR="006F220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 </w:t>
            </w:r>
            <w:r w:rsidR="006F2205">
              <w:t>bjuda in infrastrukturministern för att informera om projekt Förbifart Stockholm mot bakgrund av den nyligen aviserade förseningen och fördyrningen av projektet.</w:t>
            </w:r>
          </w:p>
          <w:p w14:paraId="30EA9C00" w14:textId="35581F74" w:rsidR="00F359BA" w:rsidRPr="00F359BA" w:rsidRDefault="00F359BA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5E0EDF3" w14:textId="41BFC96F" w:rsidR="00E20C19" w:rsidRDefault="00E20C19" w:rsidP="00E20C1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 (TU2y)</w:t>
            </w:r>
          </w:p>
          <w:p w14:paraId="759F8B47" w14:textId="77777777" w:rsidR="00000788" w:rsidRDefault="00000788" w:rsidP="00E20C19">
            <w:pPr>
              <w:tabs>
                <w:tab w:val="left" w:pos="1701"/>
              </w:tabs>
              <w:rPr>
                <w:snapToGrid w:val="0"/>
              </w:rPr>
            </w:pPr>
          </w:p>
          <w:p w14:paraId="15F94893" w14:textId="77777777" w:rsidR="00E20C19" w:rsidRDefault="00E20C19" w:rsidP="00E20C1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t xml:space="preserve">Utskottet behandlade frågan om yttrande till konstitutionsutskottet. </w:t>
            </w:r>
          </w:p>
          <w:p w14:paraId="1761E68D" w14:textId="77777777" w:rsidR="00E20C19" w:rsidRDefault="00E20C19" w:rsidP="00E20C1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4309B64" w14:textId="21D67D13" w:rsidR="00E20C19" w:rsidRDefault="00E20C19" w:rsidP="00E20C1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yttrande 2019/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2y.</w:t>
            </w:r>
          </w:p>
          <w:p w14:paraId="24D6F85F" w14:textId="77777777" w:rsidR="00E41D16" w:rsidRDefault="00E41D16" w:rsidP="00E20C1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B90F56C" w14:textId="7B37C03E" w:rsidR="00E20C19" w:rsidRPr="003B4234" w:rsidRDefault="00E20C19" w:rsidP="00E20C19">
            <w:pPr>
              <w:rPr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Arbetet i frågor som rör Kina</w:t>
            </w:r>
          </w:p>
          <w:p w14:paraId="3324286C" w14:textId="77777777" w:rsidR="00E20C19" w:rsidRDefault="00E20C19" w:rsidP="00E20C1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D2F7833" w14:textId="77777777" w:rsidR="00E20C19" w:rsidRDefault="00E20C19" w:rsidP="00E20C1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zCs w:val="24"/>
              </w:rPr>
              <w:lastRenderedPageBreak/>
              <w:t xml:space="preserve">Utskottet behandlade frågan om yttrande till utrikesutskottet över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2019/20:18 och motioner.</w:t>
            </w:r>
          </w:p>
          <w:p w14:paraId="71230282" w14:textId="77777777" w:rsidR="00E20C19" w:rsidRDefault="00E20C19" w:rsidP="00E20C19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7242817" w14:textId="77777777" w:rsidR="00E20C19" w:rsidRDefault="00E20C19" w:rsidP="00E20C19">
            <w:pPr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yttrande 2019/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3y.</w:t>
            </w:r>
          </w:p>
          <w:p w14:paraId="727C4E9E" w14:textId="77777777" w:rsidR="00E20C19" w:rsidRDefault="00E20C19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C001C45" w14:textId="77777777" w:rsidR="00E20C19" w:rsidRDefault="00E20C19" w:rsidP="00E20C1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6C1D">
              <w:rPr>
                <w:b/>
                <w:snapToGrid w:val="0"/>
              </w:rPr>
              <w:t xml:space="preserve">Medgivande att närvara </w:t>
            </w:r>
          </w:p>
          <w:p w14:paraId="3B495543" w14:textId="77777777" w:rsidR="00E20C19" w:rsidRDefault="00E20C19" w:rsidP="00E20C1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758CF26" w14:textId="69E5EAB0" w:rsidR="00E20C19" w:rsidRDefault="00E20C19" w:rsidP="00E20C1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E41D1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Cesar Vargas Iglesias från Socialdemokraternas </w:t>
            </w:r>
            <w:proofErr w:type="spellStart"/>
            <w:r w:rsidR="00E41D16">
              <w:rPr>
                <w:rFonts w:eastAsiaTheme="minorHAnsi"/>
                <w:bCs/>
                <w:color w:val="000000"/>
                <w:szCs w:val="24"/>
                <w:lang w:eastAsia="en-US"/>
              </w:rPr>
              <w:t>gruppkansli</w:t>
            </w:r>
            <w:proofErr w:type="spellEnd"/>
            <w:r w:rsidR="00E41D1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Erik Almqvist och Markus Lagerquist från Moderaternas </w:t>
            </w:r>
            <w:proofErr w:type="spellStart"/>
            <w:r w:rsidR="00E41D16">
              <w:rPr>
                <w:rFonts w:eastAsiaTheme="minorHAnsi"/>
                <w:bCs/>
                <w:color w:val="000000"/>
                <w:szCs w:val="24"/>
                <w:lang w:eastAsia="en-US"/>
              </w:rPr>
              <w:t>gruppkansli</w:t>
            </w:r>
            <w:proofErr w:type="spellEnd"/>
            <w:r w:rsidR="00E41D1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Esbjörn Wahlberg från Centerns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gruppkansli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</w:t>
            </w:r>
            <w:r w:rsidR="00E41D16">
              <w:rPr>
                <w:rFonts w:eastAsiaTheme="minorHAnsi"/>
                <w:bCs/>
                <w:color w:val="000000"/>
                <w:szCs w:val="24"/>
                <w:lang w:eastAsia="en-US"/>
              </w:rPr>
              <w:t>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7820F00D" w14:textId="77777777" w:rsidR="00E20C19" w:rsidRDefault="00E20C19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68632C7" w14:textId="22A62C38" w:rsidR="001A6C1D" w:rsidRDefault="001A6C1D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Trafikverket och Skanska</w:t>
            </w:r>
          </w:p>
          <w:p w14:paraId="2513DE44" w14:textId="7DC23E45" w:rsidR="001A6C1D" w:rsidRDefault="001A6C1D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Per Ling-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Vannerus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, chef Stora Projekt</w:t>
            </w:r>
            <w:r w:rsidR="00000788">
              <w:rPr>
                <w:rFonts w:eastAsiaTheme="minorHAnsi"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Tommy Hansen, projektchef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Mälarbanan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000788">
              <w:rPr>
                <w:rFonts w:eastAsiaTheme="minorHAnsi"/>
                <w:color w:val="000000"/>
                <w:szCs w:val="24"/>
                <w:lang w:eastAsia="en-US"/>
              </w:rPr>
              <w:t xml:space="preserve">och presschefen Bengt Olsson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från Trafikverket samt vd Gunnar Hagman </w:t>
            </w:r>
            <w:r w:rsidR="00BF6C51">
              <w:rPr>
                <w:rFonts w:eastAsiaTheme="minorHAnsi"/>
                <w:color w:val="000000"/>
                <w:szCs w:val="24"/>
                <w:lang w:eastAsia="en-US"/>
              </w:rPr>
              <w:t xml:space="preserve">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Anders Erlandsson, operativ chef</w:t>
            </w:r>
            <w:r w:rsidR="00E41D16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från Skanska informerade med anledning av medierapporteringen om projektet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Mälarbanan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7FB70EEE" w14:textId="2CC4B128" w:rsidR="001A6C1D" w:rsidRDefault="001A6C1D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14:paraId="3232673D" w14:textId="2141901B" w:rsidR="001A6C1D" w:rsidRDefault="001A6C1D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regeringens resultatredovisning inom utgiftsområde 22 Kommunikationer</w:t>
            </w:r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</w:p>
          <w:p w14:paraId="6B4220BE" w14:textId="62EEF70F" w:rsidR="008D463E" w:rsidRDefault="008D463E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14:paraId="0488D2CB" w14:textId="100B6F25" w:rsidR="008D463E" w:rsidRDefault="008D463E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Anders Hansson (M) överlämnade uppföljningsgruppens rapport om uppföljningen av resultatredovisning inom utgiftsområde 22 Kommunikationer till utskottet.</w:t>
            </w:r>
          </w:p>
          <w:p w14:paraId="3AB7374F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2626" w14:paraId="3AB73755" w14:textId="77777777" w:rsidTr="00E41D16">
        <w:tc>
          <w:tcPr>
            <w:tcW w:w="567" w:type="dxa"/>
          </w:tcPr>
          <w:p w14:paraId="3AB73751" w14:textId="1E43DF81" w:rsidR="00D52626" w:rsidRDefault="00D526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A13CC">
              <w:rPr>
                <w:b/>
                <w:snapToGrid w:val="0"/>
              </w:rPr>
              <w:t>1</w:t>
            </w:r>
            <w:r w:rsidR="00E20C1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6EED71AA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sammanträde</w:t>
            </w:r>
            <w:proofErr w:type="spellEnd"/>
          </w:p>
          <w:p w14:paraId="262E6791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14:paraId="5D47F33A" w14:textId="6CC0273A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Torsdagen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den </w:t>
            </w:r>
            <w:r w:rsidR="001A6C1D">
              <w:rPr>
                <w:rFonts w:eastAsiaTheme="minorHAnsi"/>
                <w:color w:val="000000"/>
                <w:szCs w:val="24"/>
                <w:lang w:val="en-GB" w:eastAsia="en-US"/>
              </w:rPr>
              <w:t>14</w:t>
            </w:r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>november</w:t>
            </w:r>
            <w:proofErr w:type="spellEnd"/>
            <w:r>
              <w:rPr>
                <w:rFonts w:eastAsiaTheme="minorHAnsi"/>
                <w:color w:val="000000"/>
                <w:szCs w:val="24"/>
                <w:lang w:val="en-GB" w:eastAsia="en-US"/>
              </w:rPr>
              <w:t xml:space="preserve"> kl 10.00.</w:t>
            </w:r>
          </w:p>
          <w:p w14:paraId="3AB73752" w14:textId="40086DAF" w:rsidR="00D52626" w:rsidRDefault="00D526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64B389" w14:textId="184843E5" w:rsidR="00BF6C51" w:rsidRDefault="00BF6C5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6179B7" w14:textId="61872CEE" w:rsidR="00BF6C51" w:rsidRDefault="00BF6C5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D3A34B" w14:textId="672C3F3F" w:rsidR="00BF6C51" w:rsidRDefault="00BF6C5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834D46" w14:textId="77777777" w:rsidR="00BF6C51" w:rsidRDefault="00BF6C5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83FE41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14:paraId="60BDCCAB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6C6199C7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7556971" w14:textId="14A3F026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bookmarkStart w:id="0" w:name="_GoBack"/>
            <w:bookmarkEnd w:id="0"/>
          </w:p>
          <w:p w14:paraId="22BB0186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B3633B0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6969E81D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1EFA8012" w14:textId="0A3C865F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Justeras</w:t>
            </w:r>
            <w:proofErr w:type="spellEnd"/>
            <w:r>
              <w:rPr>
                <w:lang w:val="en-GB" w:eastAsia="en-US"/>
              </w:rPr>
              <w:t xml:space="preserve"> den </w:t>
            </w:r>
            <w:r w:rsidR="00E20C19">
              <w:rPr>
                <w:lang w:val="en-GB" w:eastAsia="en-US"/>
              </w:rPr>
              <w:t>14</w:t>
            </w:r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november</w:t>
            </w:r>
            <w:proofErr w:type="spellEnd"/>
          </w:p>
          <w:p w14:paraId="0B0FFCB9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F5EF1F0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8746EE2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25CEC71E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08B99CD9" w14:textId="77777777" w:rsidR="00964CA7" w:rsidRDefault="00964CA7" w:rsidP="00964CA7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14:paraId="3AB73753" w14:textId="77777777" w:rsidR="00D52626" w:rsidRDefault="00D5262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AB73754" w14:textId="77777777" w:rsidR="003A729A" w:rsidRPr="00D52626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52626" w14:paraId="3AB7375A" w14:textId="77777777" w:rsidTr="00E41D16">
        <w:tc>
          <w:tcPr>
            <w:tcW w:w="567" w:type="dxa"/>
          </w:tcPr>
          <w:p w14:paraId="3AB73756" w14:textId="733B5D5D" w:rsidR="00D52626" w:rsidRDefault="00D526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AB73757" w14:textId="033E8DF8" w:rsidR="00D52626" w:rsidRDefault="00D5262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B73758" w14:textId="77777777" w:rsidR="00D52626" w:rsidRDefault="00D52626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AB73759" w14:textId="77777777" w:rsidR="003A729A" w:rsidRPr="00D52626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4D994485" w14:textId="77777777" w:rsidR="00964CA7" w:rsidRDefault="00964CA7" w:rsidP="00964CA7">
      <w:pPr>
        <w:rPr>
          <w:szCs w:val="24"/>
        </w:rPr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64CA7" w14:paraId="6376119D" w14:textId="77777777" w:rsidTr="00CA5CEF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6905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B196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AD4D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14:paraId="4ED52EED" w14:textId="67848432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</w:t>
            </w:r>
            <w:r w:rsidR="00553208">
              <w:rPr>
                <w:b/>
                <w:sz w:val="18"/>
                <w:szCs w:val="18"/>
                <w:lang w:val="en-GB" w:eastAsia="en-US"/>
              </w:rPr>
              <w:t>6</w:t>
            </w:r>
          </w:p>
        </w:tc>
      </w:tr>
      <w:tr w:rsidR="00964CA7" w14:paraId="459B1E54" w14:textId="77777777" w:rsidTr="00CA5CEF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93D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B91B3" w14:textId="0DD7953D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16900" w14:textId="7D56D74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BF6C51">
              <w:rPr>
                <w:sz w:val="18"/>
                <w:szCs w:val="18"/>
                <w:lang w:val="en-GB" w:eastAsia="en-US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61131" w14:textId="5B88BA30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  <w:r w:rsidR="00BF6C51">
              <w:rPr>
                <w:sz w:val="18"/>
                <w:szCs w:val="18"/>
                <w:lang w:val="en-GB" w:eastAsia="en-US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9017" w14:textId="69162B7A" w:rsidR="00964CA7" w:rsidRDefault="00BF6C51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5-8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B5F9" w14:textId="46347E78" w:rsidR="00964CA7" w:rsidRDefault="00BF6C51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9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CF59" w14:textId="369F2BD9" w:rsidR="00964CA7" w:rsidRDefault="00BF6C51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10</w:t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6486" w14:textId="0E510231" w:rsidR="00964CA7" w:rsidRDefault="00BF6C51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11</w:t>
            </w:r>
          </w:p>
        </w:tc>
      </w:tr>
      <w:tr w:rsidR="00964CA7" w14:paraId="3DA8FC22" w14:textId="77777777" w:rsidTr="00CA5CEF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7587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2F1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1E6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88C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CE1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AD1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FA1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316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CE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F5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2B9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57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FF8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11459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8FF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00481885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D7DAB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AD06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E91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3C92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281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F005" w14:textId="74F076BD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E9F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C1C" w14:textId="48083090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F06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4735" w14:textId="7D3BE08C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810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2CBC" w14:textId="7D224BB3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E27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5E117" w14:textId="27BF0126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99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3CF1F42B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1452F" w14:textId="77777777" w:rsidR="00964CA7" w:rsidRDefault="00964CA7" w:rsidP="00CA5CEF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815F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3AB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953F9" w14:textId="2C16AA6A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F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7199" w14:textId="659BD0AA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D97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C3F" w14:textId="7C946DEF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C85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BF4B" w14:textId="654A6A53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8CA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4F97" w14:textId="72DDDFC5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3B0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8805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82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0283F9BE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0FAB3" w14:textId="77777777" w:rsidR="00964CA7" w:rsidRDefault="00964CA7" w:rsidP="00CA5CEF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E8024" w14:textId="3C2843D9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BA1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F1752" w14:textId="1FDBE92F" w:rsidR="00964CA7" w:rsidRDefault="00000788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796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813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E1F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E8C" w14:textId="44DE7ECE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34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379D" w14:textId="26B37097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238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D34D" w14:textId="4CF31CD5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01F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716E7E" w14:textId="25A5F843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B1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964CA7" w14:paraId="4A5310A8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08CF9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Anna-Caren Sätherberg (S) 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tredje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CE09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9B5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103D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218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0A64" w14:textId="6B31F6DB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69B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1442" w14:textId="76D82B90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D0B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54E" w14:textId="5E0C24D4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58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5806" w14:textId="12EDBA0D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966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DC38D" w14:textId="450740D1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0E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363A7895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2D119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CA4A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0B7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5663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163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5DD" w14:textId="424E5F54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3F8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DE88" w14:textId="53ABE558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C7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4C2C" w14:textId="048A33EB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362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A3D3" w14:textId="44F674C5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97A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02F92" w14:textId="3DEA7E76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39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275795C0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0BF39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4D867" w14:textId="3A6A34BF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DA6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746" w14:textId="680246FD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DED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3FE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AE2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63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698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33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8E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092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FB6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64BA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A9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28FF1F36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8BC64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039C5" w14:textId="17765F40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148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26B32" w14:textId="3330E840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2E5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820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7E5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D61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7F0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485D" w14:textId="764ABC75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137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9E6B" w14:textId="2C2CD336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39F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A5F94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55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2C5188F6" w14:textId="77777777" w:rsidTr="00CA5CEF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D2997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170E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239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03C7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38B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8BE4" w14:textId="4EAF7816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614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A427" w14:textId="3C9ECA0C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515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98DE" w14:textId="32B9F0F9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73F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7842" w14:textId="225E464B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4D0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25B3BA" w14:textId="15BB69D0" w:rsidR="00964CA7" w:rsidRDefault="00F359BA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D5C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22BD256D" w14:textId="77777777" w:rsidTr="00CA5CEF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00727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4F7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679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AE8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0E9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BFF9" w14:textId="571A0233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9CB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3B7" w14:textId="1BD348DA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AEE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51BF" w14:textId="139EA35F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DC0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2255" w14:textId="47EE34A0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E14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2B6F28" w14:textId="1865B20C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FD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6C4AA50D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8F0E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85D" w14:textId="2311AB72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3E2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2EC0" w14:textId="77EB0B67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2C8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1A66" w14:textId="0F216A34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8F5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3070" w14:textId="0FF40311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E9C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DD12" w14:textId="1F26632B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BF5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A1EF" w14:textId="1EB720BF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172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F12E2" w14:textId="726FF4BC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38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10B24224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AD518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DA67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747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C38F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7B5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1B4F" w14:textId="4C0CB6B9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7EB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0439" w14:textId="1ECABCBD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056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1737" w14:textId="62B756DB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730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5394" w14:textId="2E8BF23E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FB6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17A50" w14:textId="49D8F077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04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6A212873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01F38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6D68" w14:textId="228DEB0F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DBE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7AA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C3F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95A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123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AD1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0A9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28A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6F8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48B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76A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C6494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E36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7282FF36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9BBBE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141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3BF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0B13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C10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F8AB" w14:textId="397F7285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8AC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6874" w14:textId="69592A83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0F8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3204" w14:textId="1CC0C766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8F0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F07E" w14:textId="2AAE456F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D48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E5F8A" w14:textId="7AAA81B2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DD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1BE91141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5B73A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2E23E" w14:textId="7A3E89B7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4AE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B5203" w14:textId="4C361BA7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006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410F" w14:textId="52CFBE58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C2A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5137" w14:textId="06C6064C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8EF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4C81" w14:textId="75EC3A4B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B70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2F14" w14:textId="57FE6793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CEF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6BCB" w14:textId="55D8554F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59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237FC9B5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7AB33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FB3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0AC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51D8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A0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F0EE" w14:textId="674D888B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38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73D6" w14:textId="247C3C53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AF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D4F9" w14:textId="4D231158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393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9867" w14:textId="555D4AF6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669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0A40B1" w14:textId="7711B214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829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051EDE37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9E437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50C6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10D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56CE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02D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A8E1" w14:textId="7CE9ACFC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911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C30D" w14:textId="2B9E4C57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A87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7495" w14:textId="72E364C4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2BD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4A98" w14:textId="189DB821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8D3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59689" w14:textId="75AD8674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7E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4E857784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FA069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9EB9" w14:textId="1D0C0063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2A5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DA06" w14:textId="70778D56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E06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F9E1" w14:textId="3575FF00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0F7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3E0D" w14:textId="0AC46610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341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449E" w14:textId="2B8C3D18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567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D5E3" w14:textId="3E108DEC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3F1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95C565" w14:textId="1C216629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97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292277F9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D94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0F7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567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9E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1CF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788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182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729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77C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CE7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F97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A62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B7B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6F3B3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FF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46E05922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14740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73A23" w14:textId="18A3F87E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53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1F4C7" w14:textId="5BEE199D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3AC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BEE1" w14:textId="58597C64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AEC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F259" w14:textId="7C05F8CB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0E2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F059" w14:textId="0C26763D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671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BDC2" w14:textId="3A92CA9E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995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4D4F1D" w14:textId="2C73DBAD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C9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018D1F99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83AC1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2C9F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F57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BE5E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7D9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36A4" w14:textId="73BF523D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065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6257" w14:textId="0DC2D890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625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BEE7" w14:textId="06FABD18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8F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556E" w14:textId="5C34FEB6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0B3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203369" w14:textId="781C6069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307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18E979FB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1E64F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213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23E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0A2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B32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3E3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2D7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BB0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712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F58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233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1FD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9A5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8C61E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F8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3D659451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95E29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2BC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45D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123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465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04D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984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ED2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B39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DFA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F92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7E8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B25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E1C7B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B7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772A26D3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7CC93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Anne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Oskarsson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2BD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F4D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506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E5D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980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569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464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BD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5B9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817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118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93A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585C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C9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010B2DC2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05D6C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B9F3" w14:textId="73AB833E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5E3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5400" w14:textId="15D6DF55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4CA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9065" w14:textId="6F427274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3CB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4A5E" w14:textId="632DBD48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C4B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DF79" w14:textId="6CC357C8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FEF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6985" w14:textId="1D0B91B0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AD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735FD" w14:textId="5FE0D47E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5F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4FB876BB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70A6D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ABC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B3E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6DAFF" w14:textId="1E26BCCD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2AF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7C9A" w14:textId="4F25C403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EEF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7850" w14:textId="76DD8220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806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0753" w14:textId="2AD5FA11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F5A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2DA3" w14:textId="6DE71C24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868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FED6DB" w14:textId="562F733C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812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6972D65C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FBB4C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14ADE" w14:textId="75649CD6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150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D29A6" w14:textId="2FE1A7FE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E1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DBD9A" w14:textId="7EF684A0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82D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D118" w14:textId="524AE7A8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4EC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DF97" w14:textId="1EA609DA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FA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A3FA" w14:textId="62D4A04C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68C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5E559" w14:textId="121674FB" w:rsidR="00964CA7" w:rsidRDefault="006F2205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A9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4C4FF4E8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672A4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Betty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Malmberg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FB0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584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E8B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ACF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367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E2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B15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C79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23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0DD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26D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B00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B252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75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4CA7" w14:paraId="4B940758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3409F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Ann-Christine From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Utterstedt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F38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146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7A2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EFA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B59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AA2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A87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8DF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0C4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E26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647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D0A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9385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3F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207D4E6E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A8AEC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Dahlqvist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2BF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9CD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80E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07F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3D1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8BF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836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D59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2E3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98B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E4D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308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9E1FA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8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72739DD7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6A6EF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Kjell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-Arne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Ottosson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D18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E6F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786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796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1C1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769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8A8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266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105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E2C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766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1A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A1BE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528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0C1CA575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B4607" w14:textId="77777777" w:rsidR="00964CA7" w:rsidRDefault="00964CA7" w:rsidP="00CA5CEF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Carina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Ödebrink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A5D6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F5C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CCAB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09D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B94F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688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F85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663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3DC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91A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85B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935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49D5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A0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336E1DFA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44016" w14:textId="77777777" w:rsidR="00964CA7" w:rsidRDefault="00964CA7" w:rsidP="00CA5CEF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69E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A71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183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8BB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928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DB2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0AC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991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787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A7B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686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3AF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7CD48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D46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283ADF66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0E041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Jörgen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EB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9DF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15B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092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923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A75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A08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3DE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3E0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94B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37B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88F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0769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53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4C36FC96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10E9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B81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8D7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E80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A61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A89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4F1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579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DA3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EC1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F6D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7BE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53F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7F2A4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5A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4C4AD8CF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D850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5C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2E6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5F6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0C8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68F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674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356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95D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639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F1D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EE3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8CA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03EC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80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56C23877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C4ABF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818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FD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1D4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3F2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BC0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B5E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223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292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3A8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1F3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24D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591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4C147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FB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26415411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14C7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178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161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A3E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B0C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DCC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8CA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2FB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6BE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50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CD2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BC7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DC2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4DAEB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79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1D78EF7C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2CA5C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F3C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7B3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900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869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1ED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512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568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87A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44D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11B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7D9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E27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63DA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9E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0C64E1A0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82F9A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Staffan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Eklöf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12B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F1C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6B8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27F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E2FC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1B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D0C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58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648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F47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80C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F63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AEFCE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1C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2BCF0FC8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0764B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Bäckström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D37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78B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805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69F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CCB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637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109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5A4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B8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0A5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500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A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0A0CB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27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56A93017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D2739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Vasiliki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Tsouplaki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9F0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C4C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3D2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434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F96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C33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2CE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FAF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FB9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29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C74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8B0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7EAD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ABF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581E4DAD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6BFA4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D5E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411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61E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C47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ECF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903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1DF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9AB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66B3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C38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195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267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CA97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6B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5D3467DA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6B9FF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Magnus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Oscarsson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E7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8E6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AA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AD5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CE2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949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4AB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A96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4C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30A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963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CAB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F2CFA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3F9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2677A80B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10FA8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Maria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Gardfjell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645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36C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296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CAA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7DE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9A4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5DD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041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609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34D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1A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D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48DAA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1EAD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5F07864F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675A0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6DD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AE77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F1A9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9F7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2FA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727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B29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7038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0FFB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B892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8F3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9B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08B7E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80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964CA7" w14:paraId="3D89105D" w14:textId="77777777" w:rsidTr="00CA5CEF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5CE4" w14:textId="77777777" w:rsidR="00964CA7" w:rsidRDefault="00964CA7" w:rsidP="00CA5CEF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68A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8FA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FFD6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816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D28F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B44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0890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6C54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C18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6C2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1E75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3AA1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9214E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FFA" w14:textId="77777777" w:rsidR="00964CA7" w:rsidRDefault="00964CA7" w:rsidP="00CA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3AB73A3F" w14:textId="6A12B2E6" w:rsidR="004F680C" w:rsidRDefault="004F680C"/>
    <w:p w14:paraId="6A661DB5" w14:textId="54CDDD2D" w:rsidR="00964CA7" w:rsidRDefault="00964CA7"/>
    <w:p w14:paraId="78AAFD35" w14:textId="52C0CFBE" w:rsidR="00BF6C51" w:rsidRDefault="00BF6C51"/>
    <w:p w14:paraId="49EE7EAB" w14:textId="77777777" w:rsidR="00BF6C51" w:rsidRDefault="00BF6C51"/>
    <w:p w14:paraId="7DD4F218" w14:textId="6D588970" w:rsidR="00964CA7" w:rsidRDefault="00964CA7"/>
    <w:p w14:paraId="789D7E4D" w14:textId="4D035079" w:rsidR="00964CA7" w:rsidRDefault="00964CA7"/>
    <w:p w14:paraId="2B4F40A4" w14:textId="310C5D71" w:rsidR="00964CA7" w:rsidRDefault="00964CA7" w:rsidP="00964CA7">
      <w:r>
        <w:t>TRAFIKUTSKOTTET        2019-1</w:t>
      </w:r>
      <w:r w:rsidR="00553208">
        <w:t>1-07</w:t>
      </w:r>
      <w:r>
        <w:t xml:space="preserve">                                            Bilaga 2 till protokoll</w:t>
      </w:r>
    </w:p>
    <w:p w14:paraId="1A6F9F2F" w14:textId="6DBF15CD" w:rsidR="00964CA7" w:rsidRDefault="00964CA7" w:rsidP="00964CA7">
      <w:r>
        <w:t xml:space="preserve">                                                                                                            2019/20:</w:t>
      </w:r>
      <w:r w:rsidR="00553208">
        <w:t>6</w:t>
      </w:r>
    </w:p>
    <w:p w14:paraId="473A8C1D" w14:textId="77777777" w:rsidR="00964CA7" w:rsidRDefault="00964CA7" w:rsidP="00964CA7">
      <w:pPr>
        <w:rPr>
          <w:szCs w:val="24"/>
        </w:rPr>
      </w:pPr>
    </w:p>
    <w:p w14:paraId="2C1E1DA9" w14:textId="77777777" w:rsidR="00964CA7" w:rsidRDefault="00964CA7" w:rsidP="00964CA7">
      <w:pPr>
        <w:rPr>
          <w:szCs w:val="24"/>
        </w:rPr>
      </w:pPr>
    </w:p>
    <w:p w14:paraId="1A64B02B" w14:textId="77777777" w:rsidR="00964CA7" w:rsidRDefault="00964CA7" w:rsidP="00964CA7">
      <w:pPr>
        <w:rPr>
          <w:szCs w:val="24"/>
        </w:rPr>
      </w:pPr>
    </w:p>
    <w:p w14:paraId="23C717F2" w14:textId="1BE7EE23" w:rsidR="00964CA7" w:rsidRPr="00874563" w:rsidRDefault="00964CA7" w:rsidP="00874563">
      <w:pPr>
        <w:widowControl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szCs w:val="24"/>
        </w:rPr>
        <w:t xml:space="preserve">Skrivelse angående </w:t>
      </w:r>
      <w:r w:rsidR="00874563" w:rsidRPr="00874563">
        <w:rPr>
          <w:szCs w:val="24"/>
        </w:rPr>
        <w:t>framtidens distribution av lokala tidningar</w:t>
      </w:r>
      <w:r w:rsidR="00874563">
        <w:rPr>
          <w:rFonts w:ascii="Calibri" w:hAnsi="Calibri" w:cs="Calibri"/>
          <w:sz w:val="22"/>
          <w:szCs w:val="22"/>
        </w:rPr>
        <w:t xml:space="preserve"> </w:t>
      </w:r>
    </w:p>
    <w:p w14:paraId="27EE6CD7" w14:textId="6BABAD11" w:rsidR="00964CA7" w:rsidRDefault="00964CA7" w:rsidP="00964CA7">
      <w:pPr>
        <w:rPr>
          <w:szCs w:val="24"/>
        </w:rPr>
      </w:pPr>
      <w:r>
        <w:rPr>
          <w:szCs w:val="24"/>
        </w:rPr>
        <w:t xml:space="preserve">dnr: </w:t>
      </w:r>
      <w:proofErr w:type="gramStart"/>
      <w:r w:rsidR="001B1BD5">
        <w:rPr>
          <w:szCs w:val="24"/>
        </w:rPr>
        <w:t>447</w:t>
      </w:r>
      <w:r>
        <w:rPr>
          <w:szCs w:val="24"/>
        </w:rPr>
        <w:t>-2019</w:t>
      </w:r>
      <w:proofErr w:type="gramEnd"/>
      <w:r>
        <w:rPr>
          <w:szCs w:val="24"/>
        </w:rPr>
        <w:t>/20</w:t>
      </w:r>
    </w:p>
    <w:p w14:paraId="13331F95" w14:textId="2F242645" w:rsidR="00964CA7" w:rsidRDefault="00964CA7"/>
    <w:p w14:paraId="6DC4E323" w14:textId="280058E2" w:rsidR="00874563" w:rsidRDefault="00874563" w:rsidP="00874563">
      <w:pPr>
        <w:rPr>
          <w:szCs w:val="24"/>
        </w:rPr>
      </w:pPr>
      <w:r>
        <w:rPr>
          <w:szCs w:val="24"/>
        </w:rPr>
        <w:t>Skrivelse angående kollektivtrafik i Mälardalen</w:t>
      </w:r>
    </w:p>
    <w:p w14:paraId="354AA429" w14:textId="799B7467" w:rsidR="00874563" w:rsidRDefault="00874563" w:rsidP="00874563">
      <w:pPr>
        <w:rPr>
          <w:szCs w:val="24"/>
        </w:rPr>
      </w:pPr>
      <w:r>
        <w:rPr>
          <w:szCs w:val="24"/>
        </w:rPr>
        <w:t xml:space="preserve">dnr: </w:t>
      </w:r>
      <w:proofErr w:type="gramStart"/>
      <w:r>
        <w:rPr>
          <w:szCs w:val="24"/>
        </w:rPr>
        <w:t>514-2019</w:t>
      </w:r>
      <w:proofErr w:type="gramEnd"/>
      <w:r>
        <w:rPr>
          <w:szCs w:val="24"/>
        </w:rPr>
        <w:t>/20</w:t>
      </w:r>
    </w:p>
    <w:p w14:paraId="18DCE834" w14:textId="77777777" w:rsidR="00874563" w:rsidRDefault="00874563"/>
    <w:sectPr w:rsidR="00874563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788"/>
    <w:rsid w:val="0000744F"/>
    <w:rsid w:val="00012D39"/>
    <w:rsid w:val="0003470E"/>
    <w:rsid w:val="00037EDF"/>
    <w:rsid w:val="000A10F5"/>
    <w:rsid w:val="000A69CF"/>
    <w:rsid w:val="000B7C05"/>
    <w:rsid w:val="000C62EB"/>
    <w:rsid w:val="000D4D83"/>
    <w:rsid w:val="00133B7E"/>
    <w:rsid w:val="00161AA6"/>
    <w:rsid w:val="001A1578"/>
    <w:rsid w:val="001A36AC"/>
    <w:rsid w:val="001A6C1D"/>
    <w:rsid w:val="001B1BD5"/>
    <w:rsid w:val="001D50D2"/>
    <w:rsid w:val="001E1FAC"/>
    <w:rsid w:val="002058AC"/>
    <w:rsid w:val="002174A8"/>
    <w:rsid w:val="002373C0"/>
    <w:rsid w:val="002544E0"/>
    <w:rsid w:val="002624FF"/>
    <w:rsid w:val="00270079"/>
    <w:rsid w:val="00275CD2"/>
    <w:rsid w:val="00296D10"/>
    <w:rsid w:val="002B51DB"/>
    <w:rsid w:val="002D2AB5"/>
    <w:rsid w:val="002D460F"/>
    <w:rsid w:val="002F284C"/>
    <w:rsid w:val="003309D5"/>
    <w:rsid w:val="003324FF"/>
    <w:rsid w:val="00360479"/>
    <w:rsid w:val="00394192"/>
    <w:rsid w:val="003952A4"/>
    <w:rsid w:val="0039591D"/>
    <w:rsid w:val="003A48EB"/>
    <w:rsid w:val="003A729A"/>
    <w:rsid w:val="003E3027"/>
    <w:rsid w:val="0041580F"/>
    <w:rsid w:val="004206DB"/>
    <w:rsid w:val="00446353"/>
    <w:rsid w:val="004B6D8F"/>
    <w:rsid w:val="004C5D4F"/>
    <w:rsid w:val="004F1B55"/>
    <w:rsid w:val="004F680C"/>
    <w:rsid w:val="0050040F"/>
    <w:rsid w:val="00502075"/>
    <w:rsid w:val="005108E6"/>
    <w:rsid w:val="00553208"/>
    <w:rsid w:val="00581568"/>
    <w:rsid w:val="005C1541"/>
    <w:rsid w:val="005C2F5F"/>
    <w:rsid w:val="005E28B9"/>
    <w:rsid w:val="005E439C"/>
    <w:rsid w:val="006A511D"/>
    <w:rsid w:val="006B7B0C"/>
    <w:rsid w:val="006C21FA"/>
    <w:rsid w:val="006D3126"/>
    <w:rsid w:val="006F2205"/>
    <w:rsid w:val="00723D66"/>
    <w:rsid w:val="00726EE5"/>
    <w:rsid w:val="00750FF0"/>
    <w:rsid w:val="00767BDA"/>
    <w:rsid w:val="0077724A"/>
    <w:rsid w:val="007F6B0D"/>
    <w:rsid w:val="00834B38"/>
    <w:rsid w:val="008557FA"/>
    <w:rsid w:val="00874563"/>
    <w:rsid w:val="008808A5"/>
    <w:rsid w:val="008A13CC"/>
    <w:rsid w:val="008D286E"/>
    <w:rsid w:val="008D463E"/>
    <w:rsid w:val="008F4D68"/>
    <w:rsid w:val="00906C2D"/>
    <w:rsid w:val="00937BF3"/>
    <w:rsid w:val="00946978"/>
    <w:rsid w:val="0096348C"/>
    <w:rsid w:val="00964CA7"/>
    <w:rsid w:val="00973D8B"/>
    <w:rsid w:val="009815DB"/>
    <w:rsid w:val="009A68FE"/>
    <w:rsid w:val="009B0A01"/>
    <w:rsid w:val="009C3BE7"/>
    <w:rsid w:val="009C51B0"/>
    <w:rsid w:val="009D1BB5"/>
    <w:rsid w:val="009F6E99"/>
    <w:rsid w:val="00A14406"/>
    <w:rsid w:val="00A258F2"/>
    <w:rsid w:val="00A401A5"/>
    <w:rsid w:val="00A744C3"/>
    <w:rsid w:val="00A84DE6"/>
    <w:rsid w:val="00A9262A"/>
    <w:rsid w:val="00AF7C8D"/>
    <w:rsid w:val="00B15788"/>
    <w:rsid w:val="00B54D41"/>
    <w:rsid w:val="00B64A91"/>
    <w:rsid w:val="00B9203B"/>
    <w:rsid w:val="00BA00DE"/>
    <w:rsid w:val="00BF6C51"/>
    <w:rsid w:val="00C35889"/>
    <w:rsid w:val="00C919F3"/>
    <w:rsid w:val="00C92589"/>
    <w:rsid w:val="00C93236"/>
    <w:rsid w:val="00CA39FE"/>
    <w:rsid w:val="00CB6A34"/>
    <w:rsid w:val="00D3507E"/>
    <w:rsid w:val="00D44270"/>
    <w:rsid w:val="00D52626"/>
    <w:rsid w:val="00D67826"/>
    <w:rsid w:val="00D93637"/>
    <w:rsid w:val="00D96F98"/>
    <w:rsid w:val="00DC58D9"/>
    <w:rsid w:val="00DD2E3A"/>
    <w:rsid w:val="00DD7DC3"/>
    <w:rsid w:val="00E20C19"/>
    <w:rsid w:val="00E33857"/>
    <w:rsid w:val="00E41D16"/>
    <w:rsid w:val="00E45D77"/>
    <w:rsid w:val="00E67EBA"/>
    <w:rsid w:val="00E916EA"/>
    <w:rsid w:val="00E92A77"/>
    <w:rsid w:val="00EA7B53"/>
    <w:rsid w:val="00EC735D"/>
    <w:rsid w:val="00F064EF"/>
    <w:rsid w:val="00F30EAF"/>
    <w:rsid w:val="00F359BA"/>
    <w:rsid w:val="00F70370"/>
    <w:rsid w:val="00F71213"/>
    <w:rsid w:val="00F97E87"/>
    <w:rsid w:val="00FA384F"/>
    <w:rsid w:val="00FA4CD9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73722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337</TotalTime>
  <Pages>4</Pages>
  <Words>722</Words>
  <Characters>3793</Characters>
  <Application>Microsoft Office Word</Application>
  <DocSecurity>0</DocSecurity>
  <Lines>1264</Lines>
  <Paragraphs>347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Josefine Tolleman</cp:lastModifiedBy>
  <cp:revision>21</cp:revision>
  <cp:lastPrinted>2015-04-24T09:00:00Z</cp:lastPrinted>
  <dcterms:created xsi:type="dcterms:W3CDTF">2019-11-05T10:03:00Z</dcterms:created>
  <dcterms:modified xsi:type="dcterms:W3CDTF">2019-11-21T11:04:00Z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