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7724E" w:rsidRPr="006234A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7724E" w:rsidRPr="006234AA" w:rsidRDefault="0087724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7724E" w:rsidRPr="006234AA" w:rsidRDefault="0087724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7724E" w:rsidRPr="006234AA" w:rsidRDefault="0087724E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234AA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7724E" w:rsidRPr="006234AA" w:rsidRDefault="0087724E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7724E" w:rsidRPr="006234AA" w:rsidRDefault="0087724E">
            <w:pPr>
              <w:framePr w:w="4400" w:h="1644" w:wrap="notBeside" w:vAnchor="page" w:hAnchor="page" w:x="6573" w:y="721"/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7724E" w:rsidRPr="006234AA" w:rsidRDefault="00734AB9">
            <w:pPr>
              <w:framePr w:w="4400" w:h="1644" w:wrap="notBeside" w:vAnchor="page" w:hAnchor="page" w:x="6573" w:y="721"/>
            </w:pPr>
            <w:r w:rsidRPr="006234AA">
              <w:t>200</w:t>
            </w:r>
            <w:r w:rsidR="000D063C" w:rsidRPr="006234AA">
              <w:t>9-</w:t>
            </w:r>
            <w:r w:rsidR="00FE7D41" w:rsidRPr="006234AA">
              <w:t>11-23</w:t>
            </w:r>
          </w:p>
        </w:tc>
        <w:tc>
          <w:tcPr>
            <w:tcW w:w="2347" w:type="dxa"/>
            <w:gridSpan w:val="2"/>
          </w:tcPr>
          <w:p w:rsidR="0087724E" w:rsidRPr="006234AA" w:rsidRDefault="0087724E">
            <w:pPr>
              <w:framePr w:w="4400" w:h="1644" w:wrap="notBeside" w:vAnchor="page" w:hAnchor="page" w:x="6573" w:y="721"/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7724E" w:rsidRPr="006234AA" w:rsidRDefault="0087724E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7724E" w:rsidRPr="006234AA" w:rsidRDefault="0087724E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7724E" w:rsidRPr="00623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6234AA" w:rsidRDefault="00734AB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234AA">
              <w:rPr>
                <w:b/>
                <w:i w:val="0"/>
                <w:sz w:val="22"/>
              </w:rPr>
              <w:t>Utbildningsdepartementet</w:t>
            </w: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6234AA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6234AA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234AA">
              <w:rPr>
                <w:bCs/>
                <w:iCs/>
              </w:rPr>
              <w:t>Forskningspolitiska enheten</w:t>
            </w:r>
          </w:p>
          <w:p w:rsidR="0087724E" w:rsidRPr="006234AA" w:rsidRDefault="00734AB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234AA">
              <w:rPr>
                <w:bCs/>
                <w:iCs/>
              </w:rPr>
              <w:t>Olof Sandberg</w:t>
            </w:r>
          </w:p>
          <w:p w:rsidR="0087724E" w:rsidRPr="006234AA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6234AA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6234AA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6234AA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6234AA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6234AA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623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6234AA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7724E" w:rsidRPr="006234AA" w:rsidRDefault="0087724E">
      <w:pPr>
        <w:framePr w:w="4400" w:h="2523" w:wrap="notBeside" w:vAnchor="page" w:hAnchor="page" w:x="6453" w:y="2445"/>
        <w:ind w:left="142"/>
        <w:rPr>
          <w:b/>
        </w:rPr>
      </w:pPr>
    </w:p>
    <w:p w:rsidR="00823B4E" w:rsidRPr="006234AA" w:rsidRDefault="00FE64DC" w:rsidP="00FE7D41">
      <w:pPr>
        <w:pStyle w:val="RKrubrik"/>
      </w:pPr>
      <w:bookmarkStart w:id="0" w:name="bRubrik"/>
      <w:bookmarkEnd w:id="0"/>
      <w:r w:rsidRPr="006234AA">
        <w:t>dp</w:t>
      </w:r>
      <w:r w:rsidR="00FE7D41" w:rsidRPr="006234AA">
        <w:t>3</w:t>
      </w:r>
      <w:r w:rsidR="00734AB9" w:rsidRPr="006234AA">
        <w:t xml:space="preserve">.   </w:t>
      </w:r>
      <w:r w:rsidR="00EF7F17" w:rsidRPr="006234AA">
        <w:tab/>
      </w:r>
      <w:r w:rsidR="00FE7D41" w:rsidRPr="006234AA">
        <w:t xml:space="preserve">Guidance on future priorities for European research and </w:t>
      </w:r>
      <w:r w:rsidR="00FE7D41" w:rsidRPr="006234AA">
        <w:tab/>
        <w:t>research based innovation in post-2010 Lisbon strategy</w:t>
      </w:r>
    </w:p>
    <w:p w:rsidR="0087724E" w:rsidRPr="006234AA" w:rsidRDefault="0087724E">
      <w:pPr>
        <w:pStyle w:val="RKrubrik"/>
      </w:pPr>
      <w:r w:rsidRPr="006234AA">
        <w:t>Dokumentbeteckning</w:t>
      </w:r>
    </w:p>
    <w:p w:rsidR="00FE7D41" w:rsidRPr="006234AA" w:rsidRDefault="00976006" w:rsidP="00756FAD">
      <w:pPr>
        <w:pStyle w:val="RKnormal"/>
      </w:pPr>
      <w:r w:rsidRPr="006234AA">
        <w:t>1</w:t>
      </w:r>
      <w:r w:rsidR="00FE7D41" w:rsidRPr="006234AA">
        <w:t>5873/09 RECH 408 COMPET 476</w:t>
      </w:r>
    </w:p>
    <w:p w:rsidR="00765ECF" w:rsidRPr="006234AA" w:rsidRDefault="00FE7D41" w:rsidP="00765ECF">
      <w:pPr>
        <w:pStyle w:val="RKnormal"/>
      </w:pPr>
      <w:r w:rsidRPr="006234AA">
        <w:t>15875/09 RECH 410 COMPET 478</w:t>
      </w:r>
    </w:p>
    <w:p w:rsidR="0087724E" w:rsidRPr="006234AA" w:rsidRDefault="00FE64DC" w:rsidP="00765ECF">
      <w:pPr>
        <w:pStyle w:val="RKrubrik"/>
      </w:pPr>
      <w:r w:rsidRPr="006234AA">
        <w:t xml:space="preserve">I </w:t>
      </w:r>
      <w:r w:rsidR="0087724E" w:rsidRPr="006234AA">
        <w:t>Förslaget</w:t>
      </w:r>
    </w:p>
    <w:p w:rsidR="0062247F" w:rsidRPr="006234AA" w:rsidRDefault="0062247F" w:rsidP="0062247F">
      <w:pPr>
        <w:pStyle w:val="RKnormal"/>
      </w:pPr>
    </w:p>
    <w:p w:rsidR="0062247F" w:rsidRPr="006234AA" w:rsidRDefault="0087724E" w:rsidP="00B65797">
      <w:pPr>
        <w:pStyle w:val="RKrubrik"/>
        <w:spacing w:before="0" w:after="0"/>
      </w:pPr>
      <w:r w:rsidRPr="006234AA">
        <w:t>1. Innehåll</w:t>
      </w:r>
    </w:p>
    <w:p w:rsidR="00595535" w:rsidRPr="006234AA" w:rsidRDefault="0022374F" w:rsidP="00FE7D41">
      <w:r w:rsidRPr="006234AA">
        <w:t>Rådslutsatserna tar sin utgångspunkt i slutsatserna från den stora ordförand</w:t>
      </w:r>
      <w:r w:rsidR="00366585" w:rsidRPr="006234AA">
        <w:t>eskapskonferensen i Lund, Lund d</w:t>
      </w:r>
      <w:r w:rsidRPr="006234AA">
        <w:t>eclaration</w:t>
      </w:r>
      <w:r w:rsidR="0057202B" w:rsidRPr="006234AA">
        <w:t>, och konsekvenserna av den globala utvecklingen för Europa</w:t>
      </w:r>
      <w:r w:rsidRPr="006234AA">
        <w:t xml:space="preserve">. </w:t>
      </w:r>
      <w:r w:rsidR="00366585" w:rsidRPr="006234AA">
        <w:t xml:space="preserve">Inledningsvis lyfts behovet av att öka satsningen på forskning och forskningsbaserad innovation genom att ambitiösa mål och indikatorer </w:t>
      </w:r>
      <w:r w:rsidR="0057202B" w:rsidRPr="006234AA">
        <w:t xml:space="preserve">ska </w:t>
      </w:r>
      <w:r w:rsidR="00366585" w:rsidRPr="006234AA">
        <w:t>identifieras i post-2010 Lisbon strategy. I enlighet med Lund declaration bör den europeiska forskningen framöver mer tydligt inriktas mot de framtida samhällsutmaningarna</w:t>
      </w:r>
      <w:r w:rsidR="0057202B" w:rsidRPr="006234AA">
        <w:t>, s.k. Grand Challenges</w:t>
      </w:r>
      <w:r w:rsidR="00366585" w:rsidRPr="006234AA">
        <w:t>. Dessa ska identifieras i en öppen process där alla intressenter deltar. För att kunna möta de framtida samhällsutmaning</w:t>
      </w:r>
      <w:r w:rsidR="00595535" w:rsidRPr="006234AA">
        <w:t>a</w:t>
      </w:r>
      <w:r w:rsidR="00366585" w:rsidRPr="006234AA">
        <w:t>rna krävs bl</w:t>
      </w:r>
      <w:r w:rsidR="00595535" w:rsidRPr="006234AA">
        <w:t xml:space="preserve"> a satsningar på grundforskning och industrirelevant forskning, möjliggörande tekniker (t ex IT), forskningsutförare liksom forskningsinfrastruktur i världsklass. </w:t>
      </w:r>
    </w:p>
    <w:p w:rsidR="00595535" w:rsidRPr="006234AA" w:rsidRDefault="00595535" w:rsidP="00FE7D41">
      <w:r w:rsidRPr="006234AA">
        <w:t xml:space="preserve">Detta kräver också ett nära samarbete i den s.k. kunskapstriangeln, dvs samverkan högre utbildning, forskning och innovation. </w:t>
      </w:r>
      <w:r w:rsidR="00BB354E" w:rsidRPr="006234AA">
        <w:t>Bl a bör den kommande Innovation Plan ge stöd för den framtida inriktningen av forskningsprogrammen.</w:t>
      </w:r>
    </w:p>
    <w:p w:rsidR="00595535" w:rsidRPr="006234AA" w:rsidRDefault="00595535" w:rsidP="00FE7D41"/>
    <w:p w:rsidR="00BB354E" w:rsidRPr="006234AA" w:rsidRDefault="00595535" w:rsidP="00FE7D41">
      <w:r w:rsidRPr="006234AA">
        <w:t xml:space="preserve">Under 2010 ska </w:t>
      </w:r>
      <w:r w:rsidR="0057202B" w:rsidRPr="006234AA">
        <w:t xml:space="preserve">enligt rådslutsatserna </w:t>
      </w:r>
      <w:r w:rsidRPr="006234AA">
        <w:t xml:space="preserve">öppna processer inledas för att identifiera </w:t>
      </w:r>
      <w:r w:rsidR="0057202B" w:rsidRPr="006234AA">
        <w:t xml:space="preserve">Grand Challenges och tillhörande </w:t>
      </w:r>
      <w:r w:rsidRPr="006234AA">
        <w:t xml:space="preserve">framtida områden för forskning och forskningsbaserad innovation. CREST (rådgivande </w:t>
      </w:r>
      <w:r w:rsidRPr="006234AA">
        <w:lastRenderedPageBreak/>
        <w:t xml:space="preserve">grupp för EU-forskning) ges en </w:t>
      </w:r>
      <w:r w:rsidR="0057202B" w:rsidRPr="006234AA">
        <w:t>väsentlig</w:t>
      </w:r>
      <w:r w:rsidRPr="006234AA">
        <w:t xml:space="preserve"> roll i denna process som ska baseras på framsynsprocesser och </w:t>
      </w:r>
      <w:r w:rsidR="0057202B" w:rsidRPr="006234AA">
        <w:t>utvecklad konsultation mellan kommissionen, medlemsstaterna och intressenter (se även pm Dp 4 om ERA governance). E</w:t>
      </w:r>
      <w:r w:rsidRPr="006234AA">
        <w:t>n ökad samverkan mella</w:t>
      </w:r>
      <w:r w:rsidR="00BB354E" w:rsidRPr="006234AA">
        <w:t>n de olika gemenskapsprogrammen,</w:t>
      </w:r>
      <w:r w:rsidRPr="006234AA">
        <w:t xml:space="preserve"> utöver ramprogram</w:t>
      </w:r>
      <w:r w:rsidR="0057202B" w:rsidRPr="006234AA">
        <w:t>met</w:t>
      </w:r>
      <w:r w:rsidRPr="006234AA">
        <w:t xml:space="preserve"> för forskning också ramprogrammet för konkurrenskraft och innovation liksom </w:t>
      </w:r>
      <w:r w:rsidR="00BB354E" w:rsidRPr="006234AA">
        <w:t xml:space="preserve">programmet </w:t>
      </w:r>
      <w:r w:rsidRPr="006234AA">
        <w:t>för livslångt lärande</w:t>
      </w:r>
      <w:r w:rsidR="0057202B" w:rsidRPr="006234AA">
        <w:t>, är också nödvändig</w:t>
      </w:r>
      <w:r w:rsidR="00BB354E" w:rsidRPr="006234AA">
        <w:t xml:space="preserve">. </w:t>
      </w:r>
    </w:p>
    <w:p w:rsidR="00BB354E" w:rsidRPr="006234AA" w:rsidRDefault="00BB354E" w:rsidP="00FE7D41"/>
    <w:p w:rsidR="00B65797" w:rsidRPr="006234AA" w:rsidRDefault="00BB354E" w:rsidP="00B65797">
      <w:pPr>
        <w:pStyle w:val="RKnormal"/>
        <w:spacing w:line="240" w:lineRule="auto"/>
      </w:pPr>
      <w:r w:rsidRPr="006234AA">
        <w:t>Slutsatserna tar också upp frågan om förenkli</w:t>
      </w:r>
      <w:r w:rsidR="0057202B" w:rsidRPr="006234AA">
        <w:t>n</w:t>
      </w:r>
      <w:r w:rsidRPr="006234AA">
        <w:t xml:space="preserve">g av deltagande i ramprogrammet, bl.a. en avvägning mellan finansiell kontroll och administrativ börda. En sådan bör beaktas när de finansiella reglerna (Financial regulation) </w:t>
      </w:r>
      <w:r w:rsidR="0057202B" w:rsidRPr="006234AA">
        <w:t xml:space="preserve">för EU </w:t>
      </w:r>
      <w:r w:rsidRPr="006234AA">
        <w:t xml:space="preserve">ses över. </w:t>
      </w:r>
    </w:p>
    <w:p w:rsidR="00BB354E" w:rsidRPr="006234AA" w:rsidRDefault="00BB354E" w:rsidP="00B65797">
      <w:pPr>
        <w:pStyle w:val="RKnormal"/>
        <w:spacing w:line="240" w:lineRule="auto"/>
      </w:pPr>
    </w:p>
    <w:p w:rsidR="00BB354E" w:rsidRPr="006234AA" w:rsidRDefault="00BB354E" w:rsidP="00B65797">
      <w:pPr>
        <w:pStyle w:val="RKnormal"/>
        <w:spacing w:line="240" w:lineRule="auto"/>
      </w:pPr>
      <w:r w:rsidRPr="006234AA">
        <w:t>Under dagordningspunkten vill ordförandeskapet ha en politisk debatt om betydelsen av innehållet i slutsatserna. Diskussionen kommer att kretsa kring tre huvudfrågor:</w:t>
      </w:r>
    </w:p>
    <w:p w:rsidR="00BB354E" w:rsidRPr="006234AA" w:rsidRDefault="00BB354E" w:rsidP="00B65797">
      <w:pPr>
        <w:pStyle w:val="RKnormal"/>
        <w:spacing w:line="240" w:lineRule="auto"/>
      </w:pPr>
    </w:p>
    <w:p w:rsidR="008F3F1C" w:rsidRPr="006234AA" w:rsidRDefault="008F3F1C" w:rsidP="00B65797">
      <w:pPr>
        <w:pStyle w:val="RKnormal"/>
        <w:spacing w:line="240" w:lineRule="auto"/>
      </w:pPr>
      <w:r w:rsidRPr="006234AA">
        <w:t>Den första frågan handlar om mål för satsningen på kunskapsuppbyggnad i ”post-2010 Lisbon” strategin.</w:t>
      </w:r>
    </w:p>
    <w:p w:rsidR="008F3F1C" w:rsidRPr="006234AA" w:rsidRDefault="008F3F1C" w:rsidP="00B65797">
      <w:pPr>
        <w:pStyle w:val="RKnormal"/>
        <w:spacing w:line="240" w:lineRule="auto"/>
      </w:pPr>
    </w:p>
    <w:p w:rsidR="008F3F1C" w:rsidRPr="006234AA" w:rsidRDefault="008F3F1C" w:rsidP="00B65797">
      <w:pPr>
        <w:pStyle w:val="RKnormal"/>
        <w:spacing w:line="240" w:lineRule="auto"/>
      </w:pPr>
      <w:r w:rsidRPr="006234AA">
        <w:t>Den andra frågan handlar om åtgärder för att stärka samverkan mellan forskning och forskningsbaserad innovation.</w:t>
      </w:r>
    </w:p>
    <w:p w:rsidR="008F3F1C" w:rsidRPr="006234AA" w:rsidRDefault="008F3F1C" w:rsidP="00B65797">
      <w:pPr>
        <w:pStyle w:val="RKnormal"/>
        <w:spacing w:line="240" w:lineRule="auto"/>
      </w:pPr>
    </w:p>
    <w:p w:rsidR="00BB354E" w:rsidRPr="006234AA" w:rsidRDefault="008F3F1C" w:rsidP="00B65797">
      <w:pPr>
        <w:pStyle w:val="RKnormal"/>
        <w:spacing w:line="240" w:lineRule="auto"/>
      </w:pPr>
      <w:r w:rsidRPr="006234AA">
        <w:t>Den tredje frågan handlar om hur medlemsstaterna kan underlätta för kommissionen vid tillämpningen av reglerna vid genomförandet av ramprogrammet. En anledning till krånglet kan ligga i kommissionens tillämpning av reglerna vilka styrs av krav från parlament och medlemsstater.</w:t>
      </w:r>
      <w:r w:rsidR="00BB354E" w:rsidRPr="006234AA">
        <w:t xml:space="preserve"> </w:t>
      </w:r>
    </w:p>
    <w:p w:rsidR="00B65797" w:rsidRPr="006234AA" w:rsidRDefault="00B65797" w:rsidP="00B65797">
      <w:pPr>
        <w:pStyle w:val="RKrubrik"/>
        <w:spacing w:before="0" w:after="0"/>
        <w:rPr>
          <w:rFonts w:ascii="OrigGarmnd BT" w:hAnsi="OrigGarmnd BT"/>
          <w:b w:val="0"/>
          <w:sz w:val="24"/>
        </w:rPr>
      </w:pPr>
    </w:p>
    <w:p w:rsidR="0087724E" w:rsidRPr="006234AA" w:rsidRDefault="0087724E" w:rsidP="00B65797">
      <w:pPr>
        <w:pStyle w:val="RKrubrik"/>
        <w:spacing w:before="0" w:after="0"/>
      </w:pPr>
      <w:r w:rsidRPr="006234AA">
        <w:t>II Ståndpunkter</w:t>
      </w:r>
    </w:p>
    <w:p w:rsidR="0087724E" w:rsidRPr="006234AA" w:rsidRDefault="0087724E">
      <w:pPr>
        <w:pStyle w:val="RKrubrik"/>
      </w:pPr>
      <w:r w:rsidRPr="006234AA">
        <w:t>1. Svensk ståndpunkt</w:t>
      </w:r>
    </w:p>
    <w:p w:rsidR="0022374F" w:rsidRPr="006234AA" w:rsidRDefault="0022374F" w:rsidP="0022374F">
      <w:r w:rsidRPr="006234AA">
        <w:t>EU:s ramprogram för forskning kommer även framgent att vara det viktigaste forskningssamarbetet på EU-nivå och för utformningen av det Europeiska forskningsområdet, ERA. Ramprogrammet har haft en liknande struktur sedan ramprogram 5, och är i sin uppbyggnad inom det område som avser forskningssamarbeten, i huvudsak tematisk (t.ex. biotek, IT, nano-teknik). Ett bekymmer har också varit att det vid framtagningen av ramprogrammet inte förekommit någon öppen diskussion mellan medlemsstaterna och andra intressenter och kommissionen. Med en förlängd ramprogramsperiod</w:t>
      </w:r>
      <w:r w:rsidR="0057202B" w:rsidRPr="006234AA">
        <w:t xml:space="preserve"> som gäller denna gång</w:t>
      </w:r>
      <w:r w:rsidRPr="006234AA">
        <w:t>, 7 år i st f 4 år, har det blivit möjligt att föra en sådan diskussion</w:t>
      </w:r>
      <w:r w:rsidR="0057202B" w:rsidRPr="006234AA">
        <w:t xml:space="preserve"> inför ramprogram 8</w:t>
      </w:r>
      <w:r w:rsidRPr="006234AA">
        <w:t xml:space="preserve">. </w:t>
      </w:r>
    </w:p>
    <w:p w:rsidR="0022374F" w:rsidRPr="006234AA" w:rsidRDefault="0022374F" w:rsidP="0022374F"/>
    <w:p w:rsidR="0022374F" w:rsidRPr="006234AA" w:rsidRDefault="0022374F" w:rsidP="0022374F">
      <w:pPr>
        <w:pStyle w:val="RKnormal"/>
      </w:pPr>
      <w:r w:rsidRPr="006234AA">
        <w:t xml:space="preserve">Det svenska ordförandeskapet har därför tagit initiativet till att redan under det svenska ordförandeskapet inleda diskussionen om nästa ramprogram som en del i diskussionen om de prioriteringar som bör gälla för framtida forskning inom EU. Vid ordförandeskapskonferensen i Lund lades ett dokument fram, Lund declaration, som ger en grund för de rådslutsatser som nu diskuteras i rådet och innebär att forskning på EU-nivå, såväl inom ramprogrammet som andra gemensamma satsningar, ska inriktas mot de stora samhällsutmaningarna för att på så sätt öka relevansen och forskningens betydelse för Europas innevånare. </w:t>
      </w:r>
    </w:p>
    <w:p w:rsidR="0022374F" w:rsidRPr="006234AA" w:rsidRDefault="0022374F" w:rsidP="0022374F"/>
    <w:p w:rsidR="0022374F" w:rsidRPr="006234AA" w:rsidRDefault="0090028D" w:rsidP="0022374F">
      <w:pPr>
        <w:pStyle w:val="RKnormal"/>
      </w:pPr>
      <w:r w:rsidRPr="006234AA">
        <w:t>För att möta de stora samhällsutmaningarna</w:t>
      </w:r>
      <w:r w:rsidR="0022374F" w:rsidRPr="006234AA">
        <w:t xml:space="preserve"> driver ordförandeskapet linjen att det angeläget att tillräckliga resurser läggs på forskning inom EU och att en större del av EUs budget satsas på forskning. </w:t>
      </w:r>
    </w:p>
    <w:p w:rsidR="0090028D" w:rsidRPr="006234AA" w:rsidRDefault="0090028D" w:rsidP="0022374F">
      <w:pPr>
        <w:pStyle w:val="RKnormal"/>
      </w:pPr>
    </w:p>
    <w:p w:rsidR="0090028D" w:rsidRPr="006234AA" w:rsidRDefault="0090028D" w:rsidP="0022374F">
      <w:pPr>
        <w:pStyle w:val="RKnormal"/>
      </w:pPr>
      <w:r w:rsidRPr="006234AA">
        <w:t>En stärkt samverkan i kunskapstriangeln, samverkan högre utbildning, forskning och innovation, är likaså en prioritet för ordförandeskapet.</w:t>
      </w:r>
    </w:p>
    <w:p w:rsidR="0090028D" w:rsidRPr="006234AA" w:rsidRDefault="0090028D" w:rsidP="0022374F">
      <w:pPr>
        <w:pStyle w:val="RKnormal"/>
      </w:pPr>
    </w:p>
    <w:p w:rsidR="00BB354E" w:rsidRPr="006234AA" w:rsidRDefault="0090028D" w:rsidP="0022374F">
      <w:r w:rsidRPr="006234AA">
        <w:t xml:space="preserve">Ordförandeskapet har, bl.a. till följd av initiativ från Europaparlamentet tagit upp frågan regelförenkling för forskare som en angelägen fråga. </w:t>
      </w:r>
    </w:p>
    <w:sectPr w:rsidR="00BB354E" w:rsidRPr="006234A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02B" w:rsidRPr="006234AA" w:rsidRDefault="0057202B">
      <w:r w:rsidRPr="006234AA">
        <w:separator/>
      </w:r>
    </w:p>
  </w:endnote>
  <w:endnote w:type="continuationSeparator" w:id="0">
    <w:p w:rsidR="0057202B" w:rsidRPr="006234AA" w:rsidRDefault="0057202B">
      <w:r w:rsidRPr="006234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02B" w:rsidRPr="006234AA" w:rsidRDefault="0057202B">
      <w:r w:rsidRPr="006234AA">
        <w:separator/>
      </w:r>
    </w:p>
  </w:footnote>
  <w:footnote w:type="continuationSeparator" w:id="0">
    <w:p w:rsidR="0057202B" w:rsidRPr="006234AA" w:rsidRDefault="0057202B">
      <w:r w:rsidRPr="006234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02B" w:rsidRPr="006234AA" w:rsidRDefault="0057202B">
    <w:pPr>
      <w:pStyle w:val="Sidhuvud"/>
      <w:framePr w:wrap="around" w:vAnchor="text" w:hAnchor="margin" w:xAlign="right" w:y="1"/>
      <w:rPr>
        <w:rStyle w:val="Sidnummer"/>
      </w:rPr>
    </w:pPr>
    <w:r w:rsidRPr="006234AA">
      <w:rPr>
        <w:rStyle w:val="Sidnummer"/>
      </w:rPr>
      <w:fldChar w:fldCharType="begin" w:fldLock="1"/>
    </w:r>
    <w:r w:rsidRPr="006234AA">
      <w:rPr>
        <w:rStyle w:val="Sidnummer"/>
      </w:rPr>
      <w:instrText xml:space="preserve">PAGE  </w:instrText>
    </w:r>
    <w:r w:rsidRPr="006234AA">
      <w:rPr>
        <w:rStyle w:val="Sidnummer"/>
      </w:rPr>
      <w:fldChar w:fldCharType="separate"/>
    </w:r>
    <w:r w:rsidR="00703795" w:rsidRPr="006234AA">
      <w:rPr>
        <w:rStyle w:val="Sidnummer"/>
      </w:rPr>
      <w:t>2</w:t>
    </w:r>
    <w:r w:rsidRPr="006234AA">
      <w:rPr>
        <w:rStyle w:val="Sidnummer"/>
      </w:rPr>
      <w:fldChar w:fldCharType="end"/>
    </w:r>
  </w:p>
  <w:p w:rsidR="0057202B" w:rsidRPr="006234AA" w:rsidRDefault="0057202B">
    <w:pPr>
      <w:pStyle w:val="Sidhuvud"/>
      <w:ind w:right="360"/>
    </w:pPr>
  </w:p>
  <w:p w:rsidR="0057202B" w:rsidRPr="006234AA" w:rsidRDefault="0057202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02B" w:rsidRPr="006234AA" w:rsidRDefault="0057202B">
    <w:pPr>
      <w:pStyle w:val="Sidhuvud"/>
      <w:framePr w:wrap="around" w:vAnchor="text" w:hAnchor="margin" w:xAlign="right" w:y="1"/>
      <w:rPr>
        <w:rStyle w:val="Sidnummer"/>
      </w:rPr>
    </w:pPr>
    <w:r w:rsidRPr="006234AA">
      <w:rPr>
        <w:rStyle w:val="Sidnummer"/>
      </w:rPr>
      <w:fldChar w:fldCharType="begin" w:fldLock="1"/>
    </w:r>
    <w:r w:rsidRPr="006234AA">
      <w:rPr>
        <w:rStyle w:val="Sidnummer"/>
      </w:rPr>
      <w:instrText xml:space="preserve">PAGE  </w:instrText>
    </w:r>
    <w:r w:rsidRPr="006234AA">
      <w:rPr>
        <w:rStyle w:val="Sidnummer"/>
      </w:rPr>
      <w:fldChar w:fldCharType="separate"/>
    </w:r>
    <w:r w:rsidR="00703795" w:rsidRPr="006234AA">
      <w:rPr>
        <w:rStyle w:val="Sidnummer"/>
      </w:rPr>
      <w:t>3</w:t>
    </w:r>
    <w:r w:rsidRPr="006234AA">
      <w:rPr>
        <w:rStyle w:val="Sidnummer"/>
      </w:rPr>
      <w:fldChar w:fldCharType="end"/>
    </w:r>
  </w:p>
  <w:p w:rsidR="0057202B" w:rsidRPr="006234AA" w:rsidRDefault="0057202B">
    <w:pPr>
      <w:pStyle w:val="Sidhuvud"/>
      <w:ind w:right="360"/>
    </w:pPr>
  </w:p>
  <w:p w:rsidR="0057202B" w:rsidRPr="006234AA" w:rsidRDefault="0057202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02B" w:rsidRPr="006234AA" w:rsidRDefault="006234AA">
    <w:pPr>
      <w:framePr w:w="2948" w:h="1321" w:hRule="exact" w:wrap="notBeside" w:vAnchor="page" w:hAnchor="page" w:x="1362" w:y="653"/>
    </w:pPr>
    <w:r w:rsidRPr="006234A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202B" w:rsidRPr="006234AA" w:rsidRDefault="0057202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7202B" w:rsidRPr="006234AA" w:rsidRDefault="0057202B">
    <w:pPr>
      <w:rPr>
        <w:rFonts w:ascii="TradeGothic" w:hAnsi="TradeGothic"/>
        <w:b/>
        <w:bCs/>
        <w:spacing w:val="12"/>
        <w:sz w:val="22"/>
      </w:rPr>
    </w:pPr>
  </w:p>
  <w:p w:rsidR="0057202B" w:rsidRPr="006234AA" w:rsidRDefault="0057202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7202B" w:rsidRPr="006234AA" w:rsidRDefault="0057202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F47"/>
    <w:multiLevelType w:val="hybridMultilevel"/>
    <w:tmpl w:val="115AE748"/>
    <w:lvl w:ilvl="0" w:tplc="C06C6FA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2492"/>
    <w:multiLevelType w:val="hybridMultilevel"/>
    <w:tmpl w:val="50367D64"/>
    <w:lvl w:ilvl="0" w:tplc="C06C6FA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C3EB5"/>
    <w:multiLevelType w:val="hybridMultilevel"/>
    <w:tmpl w:val="32203BE0"/>
    <w:lvl w:ilvl="0" w:tplc="C06C6FA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4677918">
    <w:abstractNumId w:val="0"/>
  </w:num>
  <w:num w:numId="2" w16cid:durableId="615138064">
    <w:abstractNumId w:val="1"/>
  </w:num>
  <w:num w:numId="3" w16cid:durableId="1839232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5B71E4"/>
    <w:rsid w:val="00052F3B"/>
    <w:rsid w:val="000753E7"/>
    <w:rsid w:val="000C25DE"/>
    <w:rsid w:val="000D063C"/>
    <w:rsid w:val="0010230B"/>
    <w:rsid w:val="001256F2"/>
    <w:rsid w:val="001422F6"/>
    <w:rsid w:val="00162C24"/>
    <w:rsid w:val="001E0F11"/>
    <w:rsid w:val="00216E33"/>
    <w:rsid w:val="0022374F"/>
    <w:rsid w:val="002B0EE3"/>
    <w:rsid w:val="00366585"/>
    <w:rsid w:val="003811E7"/>
    <w:rsid w:val="003E6068"/>
    <w:rsid w:val="0040071A"/>
    <w:rsid w:val="0057202B"/>
    <w:rsid w:val="00595535"/>
    <w:rsid w:val="005B71E4"/>
    <w:rsid w:val="0062247F"/>
    <w:rsid w:val="006234AA"/>
    <w:rsid w:val="006C5F7D"/>
    <w:rsid w:val="006F70A7"/>
    <w:rsid w:val="00703795"/>
    <w:rsid w:val="00734AB9"/>
    <w:rsid w:val="00756FAD"/>
    <w:rsid w:val="00765ECF"/>
    <w:rsid w:val="00777A9F"/>
    <w:rsid w:val="00822D4D"/>
    <w:rsid w:val="00823B4E"/>
    <w:rsid w:val="0087724E"/>
    <w:rsid w:val="00890E9D"/>
    <w:rsid w:val="00894531"/>
    <w:rsid w:val="008E03F0"/>
    <w:rsid w:val="008F3F1C"/>
    <w:rsid w:val="0090028D"/>
    <w:rsid w:val="00926367"/>
    <w:rsid w:val="00976006"/>
    <w:rsid w:val="009D287F"/>
    <w:rsid w:val="009D449C"/>
    <w:rsid w:val="00A26ABA"/>
    <w:rsid w:val="00A96131"/>
    <w:rsid w:val="00B17E17"/>
    <w:rsid w:val="00B65797"/>
    <w:rsid w:val="00BB354E"/>
    <w:rsid w:val="00BF2FA9"/>
    <w:rsid w:val="00C6600C"/>
    <w:rsid w:val="00CB40C1"/>
    <w:rsid w:val="00CC349E"/>
    <w:rsid w:val="00D93001"/>
    <w:rsid w:val="00EF7F17"/>
    <w:rsid w:val="00F4027B"/>
    <w:rsid w:val="00F57277"/>
    <w:rsid w:val="00F85A00"/>
    <w:rsid w:val="00FA36DF"/>
    <w:rsid w:val="00FE64DC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045896-2050-4E20-911F-16FE54F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ListParagraph">
    <w:name w:val="List Paragraph"/>
    <w:basedOn w:val="Normal"/>
    <w:rsid w:val="00B17E17"/>
    <w:pPr>
      <w:overflowPunct/>
      <w:autoSpaceDE/>
      <w:autoSpaceDN/>
      <w:adjustRightInd/>
      <w:spacing w:after="200" w:line="240" w:lineRule="auto"/>
      <w:ind w:left="720"/>
      <w:contextualSpacing/>
      <w:textAlignment w:val="auto"/>
    </w:pPr>
    <w:rPr>
      <w:rFonts w:ascii="Cambria" w:hAnsi="Cambr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644</Words>
  <Characters>4100</Characters>
  <Application>Microsoft Office Word</Application>
  <DocSecurity>4</DocSecurity>
  <Lines>117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riksdagen/rådspromemoria</vt:lpstr>
    </vt:vector>
  </TitlesOfParts>
  <Company>Regeringskansliet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riksdagen/rådspromemoria</dc:title>
  <dc:subject>PM Till riksdagen/rådspromemoria</dc:subject>
  <dc:creator>Riksdagen</dc:creator>
  <cp:keywords>Riksdagen</cp:keywords>
  <dc:description/>
  <cp:lastModifiedBy>Lars Brink</cp:lastModifiedBy>
  <cp:revision>2</cp:revision>
  <cp:lastPrinted>2009-09-14T07:41:00Z</cp:lastPrinted>
  <dcterms:created xsi:type="dcterms:W3CDTF">2025-12-17T23:57:00Z</dcterms:created>
  <dcterms:modified xsi:type="dcterms:W3CDTF">2025-12-17T23:57:00Z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4.1. Europeiska unionen</vt:lpwstr>
  </property>
  <property fmtid="{D5CDD505-2E9C-101B-9397-08002B2CF9AE}" pid="7" name="QFMSP source name">
    <vt:lpwstr>Ljubljana disk EUNpm.doc</vt:lpwstr>
  </property>
  <property fmtid="{D5CDD505-2E9C-101B-9397-08002B2CF9AE}" pid="8" name="RKOrdnaDiarienummer">
    <vt:lpwstr/>
  </property>
  <property fmtid="{D5CDD505-2E9C-101B-9397-08002B2CF9AE}" pid="9" name="ContentType">
    <vt:lpwstr>Word</vt:lpwstr>
  </property>
  <property fmtid="{D5CDD505-2E9C-101B-9397-08002B2CF9AE}" pid="10" name="RKOrdnaSearchKeywords">
    <vt:lpwstr/>
  </property>
  <property fmtid="{D5CDD505-2E9C-101B-9397-08002B2CF9AE}" pid="11" name="RKOrdnaSarskildSkyddsvard">
    <vt:lpwstr>0</vt:lpwstr>
  </property>
</Properties>
</file>