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715F07" w14:textId="77777777">
        <w:tc>
          <w:tcPr>
            <w:tcW w:w="2268" w:type="dxa"/>
          </w:tcPr>
          <w:p w14:paraId="79D07B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E10B8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03363F" w14:textId="77777777">
        <w:tc>
          <w:tcPr>
            <w:tcW w:w="2268" w:type="dxa"/>
          </w:tcPr>
          <w:p w14:paraId="025772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BD37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631D85" w14:textId="77777777">
        <w:tc>
          <w:tcPr>
            <w:tcW w:w="3402" w:type="dxa"/>
            <w:gridSpan w:val="2"/>
          </w:tcPr>
          <w:p w14:paraId="1B44F8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0081D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F7EF41" w14:textId="77777777">
        <w:tc>
          <w:tcPr>
            <w:tcW w:w="2268" w:type="dxa"/>
          </w:tcPr>
          <w:p w14:paraId="7F7022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ED2D85" w14:textId="77777777" w:rsidR="006E4E11" w:rsidRPr="00ED583F" w:rsidRDefault="005A2ED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B01443">
              <w:rPr>
                <w:sz w:val="20"/>
              </w:rPr>
              <w:t>01046</w:t>
            </w:r>
            <w:r>
              <w:rPr>
                <w:sz w:val="20"/>
              </w:rPr>
              <w:t>/POL</w:t>
            </w:r>
          </w:p>
        </w:tc>
      </w:tr>
      <w:tr w:rsidR="006E4E11" w14:paraId="085C7A58" w14:textId="77777777">
        <w:tc>
          <w:tcPr>
            <w:tcW w:w="2268" w:type="dxa"/>
          </w:tcPr>
          <w:p w14:paraId="56A263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C9A2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691F759" w14:textId="77777777">
        <w:trPr>
          <w:trHeight w:val="284"/>
        </w:trPr>
        <w:tc>
          <w:tcPr>
            <w:tcW w:w="4911" w:type="dxa"/>
          </w:tcPr>
          <w:p w14:paraId="5ECE2C9A" w14:textId="77777777" w:rsidR="006E4E11" w:rsidRDefault="005A2ED8" w:rsidP="00871A89">
            <w:pPr>
              <w:pStyle w:val="Avsndare"/>
              <w:framePr w:h="2483" w:wrap="notBeside" w:x="1358" w:y="258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9BE5EE7" w14:textId="77777777">
        <w:trPr>
          <w:trHeight w:val="284"/>
        </w:trPr>
        <w:tc>
          <w:tcPr>
            <w:tcW w:w="4911" w:type="dxa"/>
          </w:tcPr>
          <w:p w14:paraId="48CADE48" w14:textId="77777777" w:rsidR="006E4E11" w:rsidRDefault="005A2ED8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2A584D9" w14:textId="77777777">
        <w:trPr>
          <w:trHeight w:val="284"/>
        </w:trPr>
        <w:tc>
          <w:tcPr>
            <w:tcW w:w="4911" w:type="dxa"/>
          </w:tcPr>
          <w:p w14:paraId="074B893B" w14:textId="77777777" w:rsidR="006E4E11" w:rsidRDefault="006E4E11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  <w:p w14:paraId="77DC5095" w14:textId="77777777" w:rsidR="00F87CCF" w:rsidRDefault="00F87CCF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  <w:p w14:paraId="5A0C4E27" w14:textId="77777777" w:rsidR="00F87CCF" w:rsidRDefault="00F87CCF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  <w:p w14:paraId="251F08E8" w14:textId="77777777" w:rsidR="00F87CCF" w:rsidRDefault="00F87CCF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</w:tc>
      </w:tr>
      <w:tr w:rsidR="00871A89" w14:paraId="2743B613" w14:textId="77777777">
        <w:trPr>
          <w:trHeight w:val="284"/>
        </w:trPr>
        <w:tc>
          <w:tcPr>
            <w:tcW w:w="4911" w:type="dxa"/>
          </w:tcPr>
          <w:p w14:paraId="12E64723" w14:textId="77777777" w:rsidR="00871A89" w:rsidRDefault="00871A89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</w:tc>
      </w:tr>
      <w:tr w:rsidR="00871A89" w14:paraId="5D1EF9BB" w14:textId="77777777">
        <w:trPr>
          <w:trHeight w:val="284"/>
        </w:trPr>
        <w:tc>
          <w:tcPr>
            <w:tcW w:w="4911" w:type="dxa"/>
          </w:tcPr>
          <w:p w14:paraId="6BACBEC2" w14:textId="77777777" w:rsidR="00871A89" w:rsidRDefault="00871A89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</w:tc>
      </w:tr>
      <w:tr w:rsidR="00871A89" w14:paraId="50B08EA5" w14:textId="77777777">
        <w:trPr>
          <w:trHeight w:val="284"/>
        </w:trPr>
        <w:tc>
          <w:tcPr>
            <w:tcW w:w="4911" w:type="dxa"/>
          </w:tcPr>
          <w:p w14:paraId="085F724C" w14:textId="77777777" w:rsidR="00871A89" w:rsidRDefault="00871A89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</w:tc>
      </w:tr>
      <w:tr w:rsidR="00871A89" w14:paraId="34EA035C" w14:textId="77777777">
        <w:trPr>
          <w:trHeight w:val="284"/>
        </w:trPr>
        <w:tc>
          <w:tcPr>
            <w:tcW w:w="4911" w:type="dxa"/>
          </w:tcPr>
          <w:p w14:paraId="205D4342" w14:textId="77777777" w:rsidR="00871A89" w:rsidRDefault="00871A89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</w:tc>
      </w:tr>
      <w:tr w:rsidR="00871A89" w14:paraId="71D5D172" w14:textId="77777777">
        <w:trPr>
          <w:trHeight w:val="284"/>
        </w:trPr>
        <w:tc>
          <w:tcPr>
            <w:tcW w:w="4911" w:type="dxa"/>
          </w:tcPr>
          <w:p w14:paraId="108FA5BC" w14:textId="77777777" w:rsidR="00871A89" w:rsidRDefault="00871A89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</w:tc>
      </w:tr>
      <w:tr w:rsidR="006E4E11" w14:paraId="140B5F6E" w14:textId="77777777">
        <w:trPr>
          <w:trHeight w:val="284"/>
        </w:trPr>
        <w:tc>
          <w:tcPr>
            <w:tcW w:w="4911" w:type="dxa"/>
          </w:tcPr>
          <w:p w14:paraId="32D0EC70" w14:textId="77777777" w:rsidR="006E4E11" w:rsidRDefault="006E4E11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</w:tc>
      </w:tr>
      <w:tr w:rsidR="006E4E11" w14:paraId="4C91668F" w14:textId="77777777">
        <w:trPr>
          <w:trHeight w:val="284"/>
        </w:trPr>
        <w:tc>
          <w:tcPr>
            <w:tcW w:w="4911" w:type="dxa"/>
          </w:tcPr>
          <w:p w14:paraId="1358B12A" w14:textId="77777777" w:rsidR="006E4E11" w:rsidRDefault="006E4E11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</w:tc>
      </w:tr>
      <w:tr w:rsidR="006E4E11" w14:paraId="1C8EE458" w14:textId="77777777">
        <w:trPr>
          <w:trHeight w:val="284"/>
        </w:trPr>
        <w:tc>
          <w:tcPr>
            <w:tcW w:w="4911" w:type="dxa"/>
          </w:tcPr>
          <w:p w14:paraId="01184EAD" w14:textId="77777777" w:rsidR="006E4E11" w:rsidRDefault="006E4E11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</w:tc>
      </w:tr>
      <w:tr w:rsidR="006E4E11" w14:paraId="52D900C9" w14:textId="77777777">
        <w:trPr>
          <w:trHeight w:val="284"/>
        </w:trPr>
        <w:tc>
          <w:tcPr>
            <w:tcW w:w="4911" w:type="dxa"/>
          </w:tcPr>
          <w:p w14:paraId="30DABEDD" w14:textId="77777777" w:rsidR="006E4E11" w:rsidRDefault="006E4E11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</w:tc>
      </w:tr>
      <w:tr w:rsidR="006E4E11" w14:paraId="1A756328" w14:textId="77777777">
        <w:trPr>
          <w:trHeight w:val="284"/>
        </w:trPr>
        <w:tc>
          <w:tcPr>
            <w:tcW w:w="4911" w:type="dxa"/>
          </w:tcPr>
          <w:p w14:paraId="69FFEEB4" w14:textId="77777777" w:rsidR="006E4E11" w:rsidRDefault="006E4E11" w:rsidP="00871A89">
            <w:pPr>
              <w:pStyle w:val="Avsndare"/>
              <w:framePr w:h="2483" w:wrap="notBeside" w:x="1358" w:y="2581"/>
              <w:rPr>
                <w:bCs/>
                <w:iCs/>
              </w:rPr>
            </w:pPr>
          </w:p>
        </w:tc>
      </w:tr>
    </w:tbl>
    <w:p w14:paraId="2469C15C" w14:textId="77777777" w:rsidR="006E4E11" w:rsidRDefault="005A2ED8">
      <w:pPr>
        <w:framePr w:w="4400" w:h="2523" w:wrap="notBeside" w:vAnchor="page" w:hAnchor="page" w:x="6453" w:y="2445"/>
        <w:ind w:left="142"/>
      </w:pPr>
      <w:r>
        <w:t>Till riksdagen</w:t>
      </w:r>
    </w:p>
    <w:p w14:paraId="082BB95F" w14:textId="77777777" w:rsidR="00ED4E5D" w:rsidRDefault="00ED4E5D">
      <w:pPr>
        <w:framePr w:w="4400" w:h="2523" w:wrap="notBeside" w:vAnchor="page" w:hAnchor="page" w:x="6453" w:y="2445"/>
        <w:ind w:left="142"/>
      </w:pPr>
    </w:p>
    <w:p w14:paraId="107327EA" w14:textId="77777777" w:rsidR="00ED4E5D" w:rsidRDefault="00ED4E5D">
      <w:pPr>
        <w:framePr w:w="4400" w:h="2523" w:wrap="notBeside" w:vAnchor="page" w:hAnchor="page" w:x="6453" w:y="2445"/>
        <w:ind w:left="142"/>
      </w:pPr>
    </w:p>
    <w:p w14:paraId="2CCEEA8A" w14:textId="77777777" w:rsidR="00ED4E5D" w:rsidRDefault="00ED4E5D">
      <w:pPr>
        <w:framePr w:w="4400" w:h="2523" w:wrap="notBeside" w:vAnchor="page" w:hAnchor="page" w:x="6453" w:y="2445"/>
        <w:ind w:left="142"/>
      </w:pPr>
    </w:p>
    <w:p w14:paraId="19088242" w14:textId="77777777" w:rsidR="006E4E11" w:rsidRDefault="00464B11" w:rsidP="005A2ED8">
      <w:pPr>
        <w:pStyle w:val="RKrubrik"/>
        <w:pBdr>
          <w:bottom w:val="single" w:sz="4" w:space="1" w:color="auto"/>
        </w:pBdr>
        <w:spacing w:before="0" w:after="0"/>
      </w:pPr>
      <w:r>
        <w:t>Svar på fråga 2016/17:781</w:t>
      </w:r>
      <w:r w:rsidR="005A2ED8">
        <w:t xml:space="preserve"> av </w:t>
      </w:r>
      <w:r>
        <w:t>Johan Forssell (M) EU:s omfördelning av flyktingar</w:t>
      </w:r>
    </w:p>
    <w:p w14:paraId="7679D472" w14:textId="77777777" w:rsidR="006E4E11" w:rsidRDefault="006E4E11">
      <w:pPr>
        <w:pStyle w:val="RKnormal"/>
      </w:pPr>
    </w:p>
    <w:p w14:paraId="3AD81BA4" w14:textId="77777777" w:rsidR="00464B11" w:rsidRPr="00464B11" w:rsidRDefault="00464B11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 w:rsidRPr="00464B11">
        <w:rPr>
          <w:szCs w:val="24"/>
        </w:rPr>
        <w:t>Johan Forsell har frågat mig vilka åtgärder eller initiativ regeringen avser att vidta beträffande EU:s omfördelning av asylsökande.</w:t>
      </w:r>
    </w:p>
    <w:p w14:paraId="0FA93095" w14:textId="77777777" w:rsidR="00871A89" w:rsidRPr="00464B11" w:rsidRDefault="00871A89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</w:p>
    <w:p w14:paraId="68B97AF9" w14:textId="77777777" w:rsidR="00464B11" w:rsidRPr="00464B11" w:rsidRDefault="00464B11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 w:rsidRPr="00464B11">
        <w:rPr>
          <w:szCs w:val="24"/>
        </w:rPr>
        <w:t>Sverige</w:t>
      </w:r>
      <w:r w:rsidR="00902E49">
        <w:rPr>
          <w:szCs w:val="24"/>
        </w:rPr>
        <w:t xml:space="preserve"> har varit starkt pådrivande för att </w:t>
      </w:r>
      <w:r w:rsidRPr="00464B11">
        <w:rPr>
          <w:szCs w:val="24"/>
        </w:rPr>
        <w:t>EU ska ta ett samlat europeiskt ansvar för migrationssituationen och solidariskt genomföra de beslut som fattats för att gemensamt lösa migrationssituationen.</w:t>
      </w:r>
    </w:p>
    <w:p w14:paraId="2EAFA12A" w14:textId="77777777" w:rsidR="00871A89" w:rsidRPr="00464B11" w:rsidRDefault="00871A89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</w:p>
    <w:p w14:paraId="22C681A8" w14:textId="77777777" w:rsidR="00902E49" w:rsidRDefault="00464B11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 w:rsidRPr="00464B11">
        <w:rPr>
          <w:szCs w:val="24"/>
        </w:rPr>
        <w:t xml:space="preserve">Takten i omfördelningarna från Grekland och Italien har ökat senaste tiden, även om det fortfarande går alldeles för långsamt. </w:t>
      </w:r>
      <w:r w:rsidR="00902E49">
        <w:rPr>
          <w:szCs w:val="24"/>
        </w:rPr>
        <w:t xml:space="preserve">Hittills har </w:t>
      </w:r>
    </w:p>
    <w:p w14:paraId="3468C2C1" w14:textId="77777777" w:rsidR="00464B11" w:rsidRPr="00464B11" w:rsidRDefault="002F7429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>
        <w:rPr>
          <w:szCs w:val="24"/>
        </w:rPr>
        <w:t>11 886</w:t>
      </w:r>
      <w:r w:rsidR="00902E49">
        <w:rPr>
          <w:szCs w:val="24"/>
        </w:rPr>
        <w:t xml:space="preserve"> asylsökande omfördelats från Grekland och Italien sedan hösten 2015. </w:t>
      </w:r>
    </w:p>
    <w:p w14:paraId="32042CD9" w14:textId="77777777" w:rsidR="00871A89" w:rsidRDefault="00871A89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</w:p>
    <w:p w14:paraId="6539464A" w14:textId="77777777" w:rsidR="0030644B" w:rsidRDefault="00464B11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 w:rsidRPr="00464B11">
        <w:rPr>
          <w:szCs w:val="24"/>
        </w:rPr>
        <w:t xml:space="preserve">Sverige kommer att </w:t>
      </w:r>
      <w:r w:rsidR="00902E49">
        <w:rPr>
          <w:szCs w:val="24"/>
        </w:rPr>
        <w:t>genomföra de</w:t>
      </w:r>
      <w:r w:rsidRPr="00464B11">
        <w:rPr>
          <w:szCs w:val="24"/>
        </w:rPr>
        <w:t xml:space="preserve"> åtaganden</w:t>
      </w:r>
      <w:r w:rsidR="00902E49">
        <w:rPr>
          <w:szCs w:val="24"/>
        </w:rPr>
        <w:t xml:space="preserve"> vi har</w:t>
      </w:r>
      <w:r w:rsidRPr="00464B11">
        <w:rPr>
          <w:szCs w:val="24"/>
        </w:rPr>
        <w:t xml:space="preserve"> i enlighet med omfördelningsbesluten. </w:t>
      </w:r>
      <w:r w:rsidR="00902E49">
        <w:rPr>
          <w:szCs w:val="24"/>
        </w:rPr>
        <w:t xml:space="preserve">Vi </w:t>
      </w:r>
      <w:r w:rsidRPr="00464B11">
        <w:rPr>
          <w:szCs w:val="24"/>
        </w:rPr>
        <w:t>har haft ett uppskov på ett år</w:t>
      </w:r>
      <w:r w:rsidR="00902E49">
        <w:rPr>
          <w:szCs w:val="24"/>
        </w:rPr>
        <w:t xml:space="preserve"> med anledning</w:t>
      </w:r>
      <w:r w:rsidR="0030644B">
        <w:rPr>
          <w:szCs w:val="24"/>
        </w:rPr>
        <w:t xml:space="preserve"> av det stora antal asylsökande</w:t>
      </w:r>
      <w:r w:rsidR="00902E49">
        <w:rPr>
          <w:szCs w:val="24"/>
        </w:rPr>
        <w:t xml:space="preserve"> s</w:t>
      </w:r>
      <w:r w:rsidR="0030644B">
        <w:rPr>
          <w:szCs w:val="24"/>
        </w:rPr>
        <w:t xml:space="preserve">om kom till Sverige under 2015. </w:t>
      </w:r>
      <w:r w:rsidR="00902E49">
        <w:rPr>
          <w:szCs w:val="24"/>
        </w:rPr>
        <w:t xml:space="preserve">Uppskovet löper ut den 16 juni vilket innebär att </w:t>
      </w:r>
      <w:r w:rsidRPr="00464B11">
        <w:rPr>
          <w:szCs w:val="24"/>
        </w:rPr>
        <w:t xml:space="preserve">omfördelning </w:t>
      </w:r>
      <w:r w:rsidR="0030644B">
        <w:rPr>
          <w:szCs w:val="24"/>
        </w:rPr>
        <w:t>till Sverige kommer att ske under perioden</w:t>
      </w:r>
      <w:r w:rsidRPr="00464B11">
        <w:rPr>
          <w:szCs w:val="24"/>
        </w:rPr>
        <w:t xml:space="preserve"> juni till 26 september. </w:t>
      </w:r>
    </w:p>
    <w:p w14:paraId="614A6D55" w14:textId="77777777" w:rsidR="0030644B" w:rsidRDefault="0030644B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</w:p>
    <w:p w14:paraId="7F5137A8" w14:textId="77777777" w:rsidR="00464B11" w:rsidRPr="00464B11" w:rsidRDefault="0030644B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>
        <w:rPr>
          <w:szCs w:val="24"/>
        </w:rPr>
        <w:t xml:space="preserve">Kommissionen har tillskrivit Sverige </w:t>
      </w:r>
      <w:r w:rsidR="00A45D9E">
        <w:rPr>
          <w:szCs w:val="24"/>
        </w:rPr>
        <w:t xml:space="preserve">och frågat </w:t>
      </w:r>
      <w:r>
        <w:rPr>
          <w:szCs w:val="24"/>
        </w:rPr>
        <w:t xml:space="preserve">om vilka förberedelser vi vidtar och vi har svarat att vi </w:t>
      </w:r>
      <w:r w:rsidR="00464B11" w:rsidRPr="00464B11">
        <w:rPr>
          <w:szCs w:val="24"/>
        </w:rPr>
        <w:t xml:space="preserve">under våren </w:t>
      </w:r>
      <w:r>
        <w:rPr>
          <w:szCs w:val="24"/>
        </w:rPr>
        <w:t xml:space="preserve">kommer </w:t>
      </w:r>
      <w:r w:rsidR="00464B11" w:rsidRPr="00464B11">
        <w:rPr>
          <w:szCs w:val="24"/>
        </w:rPr>
        <w:t xml:space="preserve">att påbörja arbetet med att i samarbete med Italien och Grekland utse de personer som ska omfördelas. Ansvaret för att ta </w:t>
      </w:r>
      <w:r>
        <w:rPr>
          <w:szCs w:val="24"/>
        </w:rPr>
        <w:t>emot de omfördelade asylsökande</w:t>
      </w:r>
      <w:r w:rsidR="00464B11" w:rsidRPr="00464B11">
        <w:rPr>
          <w:szCs w:val="24"/>
        </w:rPr>
        <w:t xml:space="preserve"> kommer att fördelas mellan Migrationsverkets Region Öst, Mitt och Norr då dessa regioner har kapacitet och närhet till flygplatser samt relevanta mottagandestrukturer. Om så krävs kommer ytterligare </w:t>
      </w:r>
      <w:r w:rsidR="00464B11" w:rsidRPr="00464B11">
        <w:rPr>
          <w:szCs w:val="24"/>
        </w:rPr>
        <w:lastRenderedPageBreak/>
        <w:t xml:space="preserve">resurser att tillföras asylprocesshanteringen.  Det kommer </w:t>
      </w:r>
      <w:r w:rsidR="00A45D9E">
        <w:rPr>
          <w:szCs w:val="24"/>
        </w:rPr>
        <w:t xml:space="preserve">att </w:t>
      </w:r>
      <w:r w:rsidR="00464B11" w:rsidRPr="00464B11">
        <w:rPr>
          <w:szCs w:val="24"/>
        </w:rPr>
        <w:t xml:space="preserve">finnas reservkapacitet i Region Väst. </w:t>
      </w:r>
    </w:p>
    <w:p w14:paraId="69D129CE" w14:textId="77777777" w:rsidR="00464B11" w:rsidRPr="00464B11" w:rsidRDefault="00464B11" w:rsidP="00464B11">
      <w:pPr>
        <w:overflowPunct/>
        <w:autoSpaceDE/>
        <w:autoSpaceDN/>
        <w:adjustRightInd/>
        <w:spacing w:line="240" w:lineRule="auto"/>
        <w:textAlignment w:val="auto"/>
        <w:rPr>
          <w:rFonts w:ascii="Calibri" w:eastAsiaTheme="minorHAnsi" w:hAnsi="Calibri" w:cstheme="minorBidi"/>
          <w:sz w:val="22"/>
          <w:szCs w:val="21"/>
        </w:rPr>
      </w:pPr>
    </w:p>
    <w:p w14:paraId="183DB4C1" w14:textId="77777777" w:rsidR="00464B11" w:rsidRPr="00464B11" w:rsidRDefault="00464B11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</w:p>
    <w:p w14:paraId="124C1FB1" w14:textId="77777777" w:rsidR="00464B11" w:rsidRPr="00464B11" w:rsidRDefault="00464B11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 w:rsidRPr="00464B11">
        <w:rPr>
          <w:szCs w:val="24"/>
        </w:rPr>
        <w:t>Stockholm den 8 januari 2017</w:t>
      </w:r>
    </w:p>
    <w:p w14:paraId="0D687909" w14:textId="77777777" w:rsidR="00464B11" w:rsidRPr="00464B11" w:rsidRDefault="00464B11" w:rsidP="00464B11">
      <w:pPr>
        <w:tabs>
          <w:tab w:val="left" w:pos="709"/>
          <w:tab w:val="left" w:pos="2835"/>
        </w:tabs>
        <w:spacing w:line="240" w:lineRule="atLeast"/>
      </w:pPr>
    </w:p>
    <w:p w14:paraId="7BF7F66E" w14:textId="77777777" w:rsidR="00464B11" w:rsidRDefault="00464B11" w:rsidP="00464B11">
      <w:pPr>
        <w:tabs>
          <w:tab w:val="left" w:pos="709"/>
          <w:tab w:val="left" w:pos="2835"/>
        </w:tabs>
        <w:spacing w:line="240" w:lineRule="atLeast"/>
      </w:pPr>
    </w:p>
    <w:p w14:paraId="72B5C196" w14:textId="77777777" w:rsidR="00B01443" w:rsidRPr="00464B11" w:rsidRDefault="00B01443" w:rsidP="00464B11">
      <w:pPr>
        <w:tabs>
          <w:tab w:val="left" w:pos="709"/>
          <w:tab w:val="left" w:pos="2835"/>
        </w:tabs>
        <w:spacing w:line="240" w:lineRule="atLeast"/>
      </w:pPr>
    </w:p>
    <w:p w14:paraId="41D0796C" w14:textId="77777777" w:rsidR="00464B11" w:rsidRPr="00464B11" w:rsidRDefault="00464B11" w:rsidP="00464B11">
      <w:pPr>
        <w:tabs>
          <w:tab w:val="left" w:pos="709"/>
          <w:tab w:val="left" w:pos="2835"/>
        </w:tabs>
        <w:spacing w:line="240" w:lineRule="atLeast"/>
      </w:pPr>
    </w:p>
    <w:p w14:paraId="75CF0DA8" w14:textId="77777777" w:rsidR="00464B11" w:rsidRPr="00464B11" w:rsidRDefault="00464B11" w:rsidP="00464B11">
      <w:pPr>
        <w:tabs>
          <w:tab w:val="left" w:pos="709"/>
          <w:tab w:val="left" w:pos="2835"/>
        </w:tabs>
        <w:spacing w:line="240" w:lineRule="atLeast"/>
      </w:pPr>
      <w:r w:rsidRPr="00464B11">
        <w:t>Morgan Johansson</w:t>
      </w:r>
    </w:p>
    <w:p w14:paraId="234BD5AD" w14:textId="77777777" w:rsidR="00D23FB3" w:rsidRDefault="00D23FB3">
      <w:pPr>
        <w:pStyle w:val="RKnormal"/>
      </w:pPr>
    </w:p>
    <w:p w14:paraId="2F511A0D" w14:textId="77777777" w:rsidR="005A2ED8" w:rsidRDefault="005A2ED8">
      <w:pPr>
        <w:pStyle w:val="RKnormal"/>
      </w:pPr>
    </w:p>
    <w:sectPr w:rsidR="005A2ED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F61F8" w14:textId="77777777" w:rsidR="001E0940" w:rsidRDefault="001E0940">
      <w:r>
        <w:separator/>
      </w:r>
    </w:p>
  </w:endnote>
  <w:endnote w:type="continuationSeparator" w:id="0">
    <w:p w14:paraId="71B2DD26" w14:textId="77777777" w:rsidR="001E0940" w:rsidRDefault="001E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13425" w14:textId="77777777" w:rsidR="001E0940" w:rsidRDefault="001E0940">
      <w:r>
        <w:separator/>
      </w:r>
    </w:p>
  </w:footnote>
  <w:footnote w:type="continuationSeparator" w:id="0">
    <w:p w14:paraId="47937D22" w14:textId="77777777" w:rsidR="001E0940" w:rsidRDefault="001E0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4D83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006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DB9C1A" w14:textId="77777777">
      <w:trPr>
        <w:cantSplit/>
      </w:trPr>
      <w:tc>
        <w:tcPr>
          <w:tcW w:w="3119" w:type="dxa"/>
        </w:tcPr>
        <w:p w14:paraId="458731B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8ADF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A8FC15" w14:textId="77777777" w:rsidR="00E80146" w:rsidRDefault="00E80146">
          <w:pPr>
            <w:pStyle w:val="Sidhuvud"/>
            <w:ind w:right="360"/>
          </w:pPr>
        </w:p>
      </w:tc>
    </w:tr>
  </w:tbl>
  <w:p w14:paraId="7D006F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242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35728D" w14:textId="77777777">
      <w:trPr>
        <w:cantSplit/>
      </w:trPr>
      <w:tc>
        <w:tcPr>
          <w:tcW w:w="3119" w:type="dxa"/>
        </w:tcPr>
        <w:p w14:paraId="302C17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8CA2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381974" w14:textId="77777777" w:rsidR="00E80146" w:rsidRDefault="00E80146">
          <w:pPr>
            <w:pStyle w:val="Sidhuvud"/>
            <w:ind w:right="360"/>
          </w:pPr>
        </w:p>
      </w:tc>
    </w:tr>
  </w:tbl>
  <w:p w14:paraId="107844F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FAD3D" w14:textId="77777777" w:rsidR="005A2ED8" w:rsidRDefault="005A2ED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D59903" wp14:editId="655BFAC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59E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630EB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B37E1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C4DC1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D8"/>
    <w:rsid w:val="000857FD"/>
    <w:rsid w:val="000971AF"/>
    <w:rsid w:val="000C2F20"/>
    <w:rsid w:val="00150384"/>
    <w:rsid w:val="00160901"/>
    <w:rsid w:val="001805B7"/>
    <w:rsid w:val="001B32A8"/>
    <w:rsid w:val="001E0940"/>
    <w:rsid w:val="00207C7B"/>
    <w:rsid w:val="002268BB"/>
    <w:rsid w:val="0023076A"/>
    <w:rsid w:val="0027233B"/>
    <w:rsid w:val="002769E9"/>
    <w:rsid w:val="00291D97"/>
    <w:rsid w:val="002F7429"/>
    <w:rsid w:val="0030644B"/>
    <w:rsid w:val="00367B1C"/>
    <w:rsid w:val="00424C0C"/>
    <w:rsid w:val="004265A4"/>
    <w:rsid w:val="00464B11"/>
    <w:rsid w:val="004A328D"/>
    <w:rsid w:val="004D3D19"/>
    <w:rsid w:val="005320E2"/>
    <w:rsid w:val="00584818"/>
    <w:rsid w:val="0058762B"/>
    <w:rsid w:val="005A2ED8"/>
    <w:rsid w:val="005E3567"/>
    <w:rsid w:val="005E6C54"/>
    <w:rsid w:val="006022D8"/>
    <w:rsid w:val="006E4E11"/>
    <w:rsid w:val="007242A3"/>
    <w:rsid w:val="00762FFF"/>
    <w:rsid w:val="007A6855"/>
    <w:rsid w:val="007B22A7"/>
    <w:rsid w:val="007B6978"/>
    <w:rsid w:val="00850113"/>
    <w:rsid w:val="00871A89"/>
    <w:rsid w:val="008A4A6D"/>
    <w:rsid w:val="008C0067"/>
    <w:rsid w:val="008C6291"/>
    <w:rsid w:val="008D736F"/>
    <w:rsid w:val="00902E49"/>
    <w:rsid w:val="0092027A"/>
    <w:rsid w:val="00955E31"/>
    <w:rsid w:val="00970A05"/>
    <w:rsid w:val="00992E72"/>
    <w:rsid w:val="009A6B33"/>
    <w:rsid w:val="009B455D"/>
    <w:rsid w:val="009F30BE"/>
    <w:rsid w:val="00A07249"/>
    <w:rsid w:val="00A1450D"/>
    <w:rsid w:val="00A45D9E"/>
    <w:rsid w:val="00AA0296"/>
    <w:rsid w:val="00AB4502"/>
    <w:rsid w:val="00AF26D1"/>
    <w:rsid w:val="00B01443"/>
    <w:rsid w:val="00B228F2"/>
    <w:rsid w:val="00B4793D"/>
    <w:rsid w:val="00BB2AB9"/>
    <w:rsid w:val="00BF4309"/>
    <w:rsid w:val="00C33634"/>
    <w:rsid w:val="00C5617D"/>
    <w:rsid w:val="00CC46E1"/>
    <w:rsid w:val="00CC4E26"/>
    <w:rsid w:val="00D133D7"/>
    <w:rsid w:val="00D23FB3"/>
    <w:rsid w:val="00D25BA3"/>
    <w:rsid w:val="00D60FA7"/>
    <w:rsid w:val="00D77817"/>
    <w:rsid w:val="00E005D6"/>
    <w:rsid w:val="00E06680"/>
    <w:rsid w:val="00E5440D"/>
    <w:rsid w:val="00E80146"/>
    <w:rsid w:val="00E904D0"/>
    <w:rsid w:val="00EC25F9"/>
    <w:rsid w:val="00ED4E5D"/>
    <w:rsid w:val="00ED583F"/>
    <w:rsid w:val="00F8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8F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3FB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87CCF"/>
    <w:rPr>
      <w:color w:val="0000FF"/>
      <w:u w:val="single"/>
    </w:rPr>
  </w:style>
  <w:style w:type="character" w:styleId="Kommentarsreferens">
    <w:name w:val="annotation reference"/>
    <w:basedOn w:val="Standardstycketeckensnitt"/>
    <w:rsid w:val="00E066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066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66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066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668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3FB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87CCF"/>
    <w:rPr>
      <w:color w:val="0000FF"/>
      <w:u w:val="single"/>
    </w:rPr>
  </w:style>
  <w:style w:type="character" w:styleId="Kommentarsreferens">
    <w:name w:val="annotation reference"/>
    <w:basedOn w:val="Standardstycketeckensnitt"/>
    <w:rsid w:val="00E066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066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66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066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668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97ae3c56-2fde-4573-b5c2-5a94d06fe765</RD_Svarsid>
  </documentManagement>
</p:properties>
</file>

<file path=customXml/itemProps1.xml><?xml version="1.0" encoding="utf-8"?>
<ds:datastoreItem xmlns:ds="http://schemas.openxmlformats.org/officeDocument/2006/customXml" ds:itemID="{0C99BCCE-EED4-4727-AC9F-E878E8C01CCE}"/>
</file>

<file path=customXml/itemProps2.xml><?xml version="1.0" encoding="utf-8"?>
<ds:datastoreItem xmlns:ds="http://schemas.openxmlformats.org/officeDocument/2006/customXml" ds:itemID="{20E4724F-F91B-4B56-BB4D-ADCFA54EDFBE}"/>
</file>

<file path=customXml/itemProps3.xml><?xml version="1.0" encoding="utf-8"?>
<ds:datastoreItem xmlns:ds="http://schemas.openxmlformats.org/officeDocument/2006/customXml" ds:itemID="{0EEE20C6-812D-4B56-9CB7-E92D38264870}"/>
</file>

<file path=customXml/itemProps4.xml><?xml version="1.0" encoding="utf-8"?>
<ds:datastoreItem xmlns:ds="http://schemas.openxmlformats.org/officeDocument/2006/customXml" ds:itemID="{6F198CA8-171C-4739-B0D9-3141FEB9C1C4}"/>
</file>

<file path=customXml/itemProps5.xml><?xml version="1.0" encoding="utf-8"?>
<ds:datastoreItem xmlns:ds="http://schemas.openxmlformats.org/officeDocument/2006/customXml" ds:itemID="{6B73C19C-46E9-43EE-BEA4-570653C45B24}"/>
</file>

<file path=customXml/itemProps6.xml><?xml version="1.0" encoding="utf-8"?>
<ds:datastoreItem xmlns:ds="http://schemas.openxmlformats.org/officeDocument/2006/customXml" ds:itemID="{DEDE02FA-CE61-4E82-8031-CD157FDA4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Roth Olanders</dc:creator>
  <cp:lastModifiedBy>Gunilla Hansson-Böe</cp:lastModifiedBy>
  <cp:revision>2</cp:revision>
  <cp:lastPrinted>2017-02-08T09:18:00Z</cp:lastPrinted>
  <dcterms:created xsi:type="dcterms:W3CDTF">2017-02-08T09:21:00Z</dcterms:created>
  <dcterms:modified xsi:type="dcterms:W3CDTF">2017-02-08T09:21:00Z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8" name="Aktivitetskategori">
    <vt:lpwstr/>
  </property>
  <property fmtid="{D5CDD505-2E9C-101B-9397-08002B2CF9AE}" pid="9" name="_dlc_DocIdItemGuid">
    <vt:lpwstr>47ee0bf2-2dc3-4065-a455-301fc06a7f41</vt:lpwstr>
  </property>
</Properties>
</file>