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2E272F" w:rsidRPr="00305815" w:rsidRDefault="002E272F">
            <w:pPr>
              <w:pStyle w:val="HuvudRubrik"/>
            </w:pPr>
            <w:r w:rsidRPr="00305815">
              <w:t>Regeringskansliet</w:t>
            </w:r>
          </w:p>
          <w:p w:rsidR="002E272F" w:rsidRPr="00305815" w:rsidRDefault="002E272F">
            <w:pPr>
              <w:pStyle w:val="HuvudRubrik"/>
            </w:pPr>
            <w:r w:rsidRPr="00305815">
              <w:t xml:space="preserve">Faktapromemoria  </w:t>
            </w:r>
            <w:r w:rsidRPr="00305815">
              <w:t>2006/07</w:t>
            </w:r>
            <w:r w:rsidRPr="00305815">
              <w:t>:</w:t>
            </w:r>
            <w:r w:rsidRPr="00305815">
              <w:t>FPM116</w:t>
            </w:r>
          </w:p>
        </w:tc>
      </w:tr>
      <w:tr w:rsidR="00000000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2E272F" w:rsidRPr="00305815" w:rsidRDefault="002E272F">
            <w:pPr>
              <w:pStyle w:val="HuvudRubrik"/>
              <w:rPr>
                <w:sz w:val="28"/>
              </w:rPr>
            </w:pPr>
            <w:r w:rsidRPr="00305815">
              <w:t>Meddelande om den övergripande strategin för migration gentemot EU:s östra och sydöstra grannregioner</w:t>
            </w:r>
          </w:p>
        </w:tc>
      </w:tr>
      <w:tr w:rsidR="00290326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290326" w:rsidRPr="00305815" w:rsidRDefault="00D01B3C">
            <w:pPr>
              <w:pStyle w:val="Departement"/>
              <w:rPr>
                <w:sz w:val="28"/>
              </w:rPr>
            </w:pPr>
            <w:r w:rsidRPr="00305815">
              <w:t>Justitiedepartementet</w:t>
            </w:r>
          </w:p>
        </w:tc>
      </w:tr>
      <w:tr w:rsidR="00290326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290326" w:rsidRPr="00305815" w:rsidRDefault="00F53A01">
            <w:pPr>
              <w:pStyle w:val="Dokumentdatum"/>
            </w:pPr>
            <w:r w:rsidRPr="00305815">
              <w:t>2007-08-27</w:t>
            </w:r>
          </w:p>
        </w:tc>
      </w:tr>
      <w:tr w:rsidR="00290326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544A6B" w:rsidRPr="00305815" w:rsidRDefault="00290326">
            <w:pPr>
              <w:pStyle w:val="Dokumentbeteckning"/>
            </w:pPr>
            <w:r w:rsidRPr="00305815">
              <w:t>Dokumentbeteckning</w:t>
            </w:r>
          </w:p>
        </w:tc>
      </w:tr>
      <w:tr w:rsidR="00F53A01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F53A01" w:rsidRPr="00305815" w:rsidRDefault="00D01B3C" w:rsidP="00D01B3C">
            <w:bookmarkStart w:id="0" w:name="KomNr"/>
            <w:bookmarkEnd w:id="0"/>
            <w:r w:rsidRPr="00305815">
              <w:t>KOM (2007) 247 slutlig</w:t>
            </w:r>
          </w:p>
        </w:tc>
      </w:tr>
      <w:tr w:rsidR="00D01B3C" w:rsidRPr="003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D01B3C" w:rsidRPr="00305815" w:rsidRDefault="00D01B3C" w:rsidP="00D01B3C">
            <w:pPr>
              <w:pStyle w:val="Dokumentbeteckning-titel"/>
            </w:pPr>
            <w:r w:rsidRPr="00305815">
              <w:t>Meddelande från kommissionen om tillämpandet av den övergripande strategin för migration på Europeiska unionens östra och sydöstra grannregioner.</w:t>
            </w:r>
          </w:p>
        </w:tc>
      </w:tr>
    </w:tbl>
    <w:p w:rsidR="00290326" w:rsidRPr="00305815" w:rsidRDefault="00290326">
      <w:pPr>
        <w:pStyle w:val="Rubrik1"/>
        <w:numPr>
          <w:ilvl w:val="0"/>
          <w:numId w:val="0"/>
        </w:numPr>
      </w:pPr>
      <w:r w:rsidRPr="00305815">
        <w:t>Sammanfattning</w:t>
      </w:r>
    </w:p>
    <w:p w:rsidR="00EA7EB1" w:rsidRPr="00305815" w:rsidRDefault="00EA7EB1" w:rsidP="00D01B3C"/>
    <w:p w:rsidR="00EA7EB1" w:rsidRPr="00305815" w:rsidRDefault="0070348A" w:rsidP="00D01B3C">
      <w:r w:rsidRPr="00305815">
        <w:t>Kommission</w:t>
      </w:r>
      <w:r w:rsidR="00EA7EB1" w:rsidRPr="00305815">
        <w:t xml:space="preserve">en presenterade den 16 maj ett meddelande </w:t>
      </w:r>
      <w:r w:rsidR="00D91B72" w:rsidRPr="00305815">
        <w:t>om</w:t>
      </w:r>
      <w:r w:rsidR="008E0812" w:rsidRPr="00305815">
        <w:t xml:space="preserve"> </w:t>
      </w:r>
      <w:r w:rsidR="00AF5DA4" w:rsidRPr="00305815">
        <w:t>tillämpandet</w:t>
      </w:r>
      <w:r w:rsidR="008E0812" w:rsidRPr="00305815">
        <w:t xml:space="preserve"> av</w:t>
      </w:r>
      <w:r w:rsidR="00D91B72" w:rsidRPr="00305815">
        <w:t xml:space="preserve"> den övergripande strategin för migration på </w:t>
      </w:r>
      <w:r w:rsidR="00621E5C" w:rsidRPr="00305815">
        <w:t>EU:s</w:t>
      </w:r>
      <w:r w:rsidR="00D91B72" w:rsidRPr="00305815">
        <w:t xml:space="preserve"> östra och sydöstra grannregioner.</w:t>
      </w:r>
    </w:p>
    <w:p w:rsidR="00D91B72" w:rsidRPr="00305815" w:rsidRDefault="00D91B72" w:rsidP="00D01B3C"/>
    <w:p w:rsidR="00EA7EB1" w:rsidRPr="00305815" w:rsidRDefault="00EA7EB1" w:rsidP="00D01B3C">
      <w:r w:rsidRPr="00305815">
        <w:t xml:space="preserve">Meddelandet behandlar främst migrationssamarbete med Turkiet, </w:t>
      </w:r>
      <w:r w:rsidR="00216482" w:rsidRPr="00305815">
        <w:t>V</w:t>
      </w:r>
      <w:r w:rsidRPr="00305815">
        <w:t>ästra Bal</w:t>
      </w:r>
      <w:r w:rsidR="0049205F" w:rsidRPr="00305815">
        <w:t>kan, Ukraina, Vitryssland, Molda</w:t>
      </w:r>
      <w:r w:rsidRPr="00305815">
        <w:t>v</w:t>
      </w:r>
      <w:r w:rsidR="0049205F" w:rsidRPr="00305815">
        <w:t xml:space="preserve">ien, </w:t>
      </w:r>
      <w:r w:rsidR="00216482" w:rsidRPr="00305815">
        <w:t>S</w:t>
      </w:r>
      <w:r w:rsidR="0049205F" w:rsidRPr="00305815">
        <w:t>ödra Kaukasus</w:t>
      </w:r>
      <w:r w:rsidRPr="00305815">
        <w:t xml:space="preserve"> samt Ryssland. </w:t>
      </w:r>
    </w:p>
    <w:p w:rsidR="00EA7EB1" w:rsidRPr="00305815" w:rsidRDefault="00EA7EB1" w:rsidP="00D01B3C">
      <w:r w:rsidRPr="00305815">
        <w:t xml:space="preserve">För att </w:t>
      </w:r>
      <w:r w:rsidR="00A80BB5" w:rsidRPr="00305815">
        <w:t>meddelandet</w:t>
      </w:r>
      <w:r w:rsidR="00216482" w:rsidRPr="00305815">
        <w:t xml:space="preserve"> ska se till </w:t>
      </w:r>
      <w:r w:rsidR="00CF30AF" w:rsidRPr="00305815">
        <w:t>existerande</w:t>
      </w:r>
      <w:r w:rsidR="008B1521" w:rsidRPr="00305815">
        <w:t xml:space="preserve"> </w:t>
      </w:r>
      <w:r w:rsidR="0049062C" w:rsidRPr="00305815">
        <w:t>migrations</w:t>
      </w:r>
      <w:r w:rsidR="00216482" w:rsidRPr="00305815">
        <w:t>rutter</w:t>
      </w:r>
      <w:r w:rsidR="008B1521" w:rsidRPr="00305815">
        <w:t xml:space="preserve"> </w:t>
      </w:r>
      <w:r w:rsidR="00BB3DE6" w:rsidRPr="00305815">
        <w:t xml:space="preserve">i sin helhet </w:t>
      </w:r>
      <w:r w:rsidR="00CF30AF" w:rsidRPr="00305815">
        <w:t>vidgar dock</w:t>
      </w:r>
      <w:r w:rsidR="008B1521" w:rsidRPr="00305815">
        <w:t xml:space="preserve"> </w:t>
      </w:r>
      <w:r w:rsidR="0070348A" w:rsidRPr="00305815">
        <w:t>kommission</w:t>
      </w:r>
      <w:r w:rsidRPr="00305815">
        <w:t>en</w:t>
      </w:r>
      <w:r w:rsidR="00CF30AF" w:rsidRPr="00305815">
        <w:t xml:space="preserve"> perspektivet</w:t>
      </w:r>
      <w:r w:rsidRPr="00305815">
        <w:t xml:space="preserve"> även</w:t>
      </w:r>
      <w:r w:rsidR="00CF30AF" w:rsidRPr="00305815">
        <w:t xml:space="preserve"> till</w:t>
      </w:r>
      <w:r w:rsidRPr="00305815">
        <w:t xml:space="preserve"> länder bortom det östra grannskapet, såsom ENP-länderna Syrien, Jordanien och Libanon, de centralasiatiska OSS-staterna samt ett antal relevanta asiatiska stater (Kina, Indien, Pakistan, Afghanistan, Bangladesh, Sri Lanka, Vietnam, Filip</w:t>
      </w:r>
      <w:r w:rsidR="0049062C" w:rsidRPr="00305815">
        <w:t>p</w:t>
      </w:r>
      <w:r w:rsidRPr="00305815">
        <w:t>inerna och Indonesien) och slutligen Iran och Irak.</w:t>
      </w:r>
      <w:r w:rsidR="00F569E1" w:rsidRPr="00305815">
        <w:t xml:space="preserve"> </w:t>
      </w:r>
      <w:r w:rsidRPr="00305815">
        <w:t xml:space="preserve">Med så gott som samtliga dessa länder har EU redan etablerade institutionella ramverk för dialog som dessutom i de flesta fall redan i någon mån innefattar migrationsfrågor. Allt utvecklande av samarbete skall bygga på hittills genomförda åtgärder, som föreslås utvärderas och intensifieras. </w:t>
      </w:r>
    </w:p>
    <w:p w:rsidR="00EA7EB1" w:rsidRPr="00305815" w:rsidRDefault="00EA7EB1" w:rsidP="00D01B3C"/>
    <w:p w:rsidR="007424E9" w:rsidRPr="00305815" w:rsidRDefault="00EA7EB1" w:rsidP="00D01B3C">
      <w:r w:rsidRPr="00305815">
        <w:t>Meddelandet redogör för etablerade samarbetsformer med ovan nämnda tredje länder och ger rekommendationer för fortsatt arbete.</w:t>
      </w:r>
      <w:r w:rsidR="00AE1AEE" w:rsidRPr="00305815">
        <w:t xml:space="preserve"> </w:t>
      </w:r>
      <w:r w:rsidR="0070348A" w:rsidRPr="00305815">
        <w:t>Kommission</w:t>
      </w:r>
      <w:r w:rsidRPr="00305815">
        <w:t xml:space="preserve">en </w:t>
      </w:r>
      <w:r w:rsidR="00124FF2" w:rsidRPr="00305815">
        <w:lastRenderedPageBreak/>
        <w:t xml:space="preserve">berör </w:t>
      </w:r>
      <w:r w:rsidRPr="00305815">
        <w:t xml:space="preserve">hanteringen av irreguljära migrationsströmmar, asyl- och flyktingfrågor, viseringspolitik, möjligheter till arbetskraftsinvandring, cirkulär migration samt den potential för den ekonomiska utvecklingen i ursprungsländerna som ligger i sänkta transaktionskostnader för </w:t>
      </w:r>
      <w:r w:rsidR="0049062C" w:rsidRPr="00305815">
        <w:t>penningöverföringar</w:t>
      </w:r>
      <w:r w:rsidRPr="00305815">
        <w:t>.</w:t>
      </w:r>
      <w:r w:rsidR="00F64A6F" w:rsidRPr="00305815">
        <w:t xml:space="preserve"> </w:t>
      </w:r>
      <w:r w:rsidR="007424E9" w:rsidRPr="00305815">
        <w:t>Regeringen ser positivt på meddelandets innehåll.</w:t>
      </w:r>
    </w:p>
    <w:p w:rsidR="00290326" w:rsidRPr="00305815" w:rsidRDefault="00290326"/>
    <w:p w:rsidR="00290326" w:rsidRPr="00305815" w:rsidRDefault="00290326">
      <w:pPr>
        <w:pStyle w:val="Rubrik1"/>
      </w:pPr>
      <w:r w:rsidRPr="00305815">
        <w:t>Förslaget</w:t>
      </w:r>
    </w:p>
    <w:p w:rsidR="00EA7EB1" w:rsidRPr="00305815" w:rsidRDefault="00EA7EB1" w:rsidP="00D01B3C"/>
    <w:p w:rsidR="00794CBD" w:rsidRPr="00305815" w:rsidRDefault="00EA7EB1" w:rsidP="00D01B3C">
      <w:r w:rsidRPr="00305815">
        <w:t xml:space="preserve">Europeiska rådet </w:t>
      </w:r>
      <w:r w:rsidR="00794CBD" w:rsidRPr="00305815">
        <w:t>antog i december 2006 slutsatser som fastslog</w:t>
      </w:r>
      <w:r w:rsidRPr="00305815">
        <w:t xml:space="preserve"> att </w:t>
      </w:r>
      <w:r w:rsidR="00794CBD" w:rsidRPr="00305815">
        <w:t xml:space="preserve"> </w:t>
      </w:r>
      <w:r w:rsidRPr="00305815">
        <w:t xml:space="preserve">den </w:t>
      </w:r>
      <w:r w:rsidR="00496205" w:rsidRPr="00305815">
        <w:t xml:space="preserve">s.k. </w:t>
      </w:r>
      <w:r w:rsidRPr="00305815">
        <w:t xml:space="preserve">övergripande strategin </w:t>
      </w:r>
      <w:r w:rsidR="00794CBD" w:rsidRPr="00305815">
        <w:t>(</w:t>
      </w:r>
      <w:r w:rsidR="00BB3DE6" w:rsidRPr="00305815">
        <w:t xml:space="preserve">eng: </w:t>
      </w:r>
      <w:r w:rsidRPr="00305815">
        <w:rPr>
          <w:i/>
        </w:rPr>
        <w:t>Global Approach to Migration</w:t>
      </w:r>
      <w:r w:rsidR="00794CBD" w:rsidRPr="00305815">
        <w:t>)</w:t>
      </w:r>
      <w:r w:rsidR="00CF30AF" w:rsidRPr="00305815">
        <w:t xml:space="preserve"> </w:t>
      </w:r>
      <w:r w:rsidR="00F64A6F" w:rsidRPr="00305815">
        <w:t xml:space="preserve">antagen </w:t>
      </w:r>
      <w:r w:rsidR="00621E5C" w:rsidRPr="00305815">
        <w:t xml:space="preserve">2005 </w:t>
      </w:r>
      <w:r w:rsidR="00F64A6F" w:rsidRPr="00305815">
        <w:t xml:space="preserve">med </w:t>
      </w:r>
      <w:r w:rsidR="00496205" w:rsidRPr="00305815">
        <w:t>fokus på Afrika och Medelhavsregionen</w:t>
      </w:r>
      <w:r w:rsidR="00621E5C" w:rsidRPr="00305815">
        <w:t>,</w:t>
      </w:r>
      <w:r w:rsidRPr="00305815">
        <w:t xml:space="preserve"> </w:t>
      </w:r>
      <w:r w:rsidR="00BB3DE6" w:rsidRPr="00305815">
        <w:t>skall</w:t>
      </w:r>
      <w:r w:rsidRPr="00305815">
        <w:t xml:space="preserve"> tillämpas </w:t>
      </w:r>
      <w:r w:rsidR="00BB3DE6" w:rsidRPr="00305815">
        <w:t xml:space="preserve">även i samarbete med </w:t>
      </w:r>
      <w:r w:rsidRPr="00305815">
        <w:t>de regioner som gränsar till Europeiska unionen</w:t>
      </w:r>
      <w:r w:rsidR="00BB3DE6" w:rsidRPr="00305815">
        <w:t xml:space="preserve"> i öster och sydost</w:t>
      </w:r>
      <w:r w:rsidRPr="00305815">
        <w:t xml:space="preserve">. </w:t>
      </w:r>
      <w:r w:rsidR="0070348A" w:rsidRPr="00305815">
        <w:t>Kommission</w:t>
      </w:r>
      <w:r w:rsidRPr="00305815">
        <w:t>en uppmana</w:t>
      </w:r>
      <w:r w:rsidR="00BB3DE6" w:rsidRPr="00305815">
        <w:t>de</w:t>
      </w:r>
      <w:r w:rsidRPr="00305815">
        <w:t>s att senast i juni 2007 lägga fram förslag till utök</w:t>
      </w:r>
      <w:r w:rsidR="00BB3DE6" w:rsidRPr="00305815">
        <w:t>ad dialog och konkreta åtgärder</w:t>
      </w:r>
      <w:r w:rsidRPr="00305815">
        <w:t>. Med a</w:t>
      </w:r>
      <w:r w:rsidR="00794CBD" w:rsidRPr="00305815">
        <w:t xml:space="preserve">nledning av detta presenterade </w:t>
      </w:r>
      <w:r w:rsidR="0070348A" w:rsidRPr="00305815">
        <w:t>kommission</w:t>
      </w:r>
      <w:r w:rsidRPr="00305815">
        <w:t xml:space="preserve">en den 16 maj ett </w:t>
      </w:r>
      <w:r w:rsidR="00794CBD" w:rsidRPr="00305815">
        <w:t>meddelande om den övergripande strategin för migratio</w:t>
      </w:r>
      <w:r w:rsidR="00BB3DE6" w:rsidRPr="00305815">
        <w:t xml:space="preserve">n </w:t>
      </w:r>
      <w:r w:rsidR="00086E6E" w:rsidRPr="00305815">
        <w:t>gentemot</w:t>
      </w:r>
      <w:r w:rsidR="00BB3DE6" w:rsidRPr="00305815">
        <w:t xml:space="preserve"> e</w:t>
      </w:r>
      <w:r w:rsidR="00794CBD" w:rsidRPr="00305815">
        <w:t>uropeiska unionens östra och sydöstra grannregioner.</w:t>
      </w:r>
    </w:p>
    <w:p w:rsidR="00290326" w:rsidRPr="00305815" w:rsidRDefault="00290326">
      <w:pPr>
        <w:pStyle w:val="Rubrik2"/>
      </w:pPr>
      <w:r w:rsidRPr="00305815">
        <w:t>Innehåll</w:t>
      </w:r>
    </w:p>
    <w:p w:rsidR="00CE1059" w:rsidRPr="00305815" w:rsidRDefault="00CE1059" w:rsidP="00CE1059">
      <w:r w:rsidRPr="00305815">
        <w:t xml:space="preserve">Meddelandet behandlar migrationssamarbete med Turkiet, </w:t>
      </w:r>
      <w:r w:rsidR="00CF30AF" w:rsidRPr="00305815">
        <w:t>V</w:t>
      </w:r>
      <w:r w:rsidRPr="00305815">
        <w:t>ästra Balkan, Ukraina, Vitryssland, Mold</w:t>
      </w:r>
      <w:r w:rsidR="00B5383E" w:rsidRPr="00305815">
        <w:t xml:space="preserve">avien, </w:t>
      </w:r>
      <w:r w:rsidR="00CF30AF" w:rsidRPr="00305815">
        <w:t>S</w:t>
      </w:r>
      <w:r w:rsidR="00B5383E" w:rsidRPr="00305815">
        <w:t xml:space="preserve">ödra Kaukasus, </w:t>
      </w:r>
      <w:r w:rsidR="00BB3DE6" w:rsidRPr="00305815">
        <w:t xml:space="preserve">Ryssland, Syrien, Jordanien, </w:t>
      </w:r>
      <w:r w:rsidRPr="00305815">
        <w:t>Libanon, de centralasiatiska OSS-staterna samt ett antal asiatiska stater (Kina, Indien, Pakistan, Afghanistan, Bangladesh, Sri Lanka, Vietnam, Fili</w:t>
      </w:r>
      <w:r w:rsidR="00D736EF" w:rsidRPr="00305815">
        <w:t>p</w:t>
      </w:r>
      <w:r w:rsidRPr="00305815">
        <w:t>pinerna och Indonesien) och slutligen Iran och Irak.</w:t>
      </w:r>
    </w:p>
    <w:p w:rsidR="00CE1059" w:rsidRPr="00305815" w:rsidRDefault="0070348A" w:rsidP="00CE1059">
      <w:r w:rsidRPr="00305815">
        <w:t>Kommission</w:t>
      </w:r>
      <w:r w:rsidR="00072F07" w:rsidRPr="00305815">
        <w:t xml:space="preserve">en </w:t>
      </w:r>
      <w:r w:rsidR="00EF52DB" w:rsidRPr="00305815">
        <w:t xml:space="preserve">understryker </w:t>
      </w:r>
      <w:r w:rsidR="00072F07" w:rsidRPr="00305815">
        <w:t xml:space="preserve">vikten av samstämmighet i EU:s relationer till de berörda länderna och vikten av att EU upprätthåller sin trovärdighet i samarbetsländernas ögon genom att säkerställa att migrationspolitiken och övriga yttre förbindelser synkroniseras. </w:t>
      </w:r>
    </w:p>
    <w:p w:rsidR="00CE1059" w:rsidRPr="00305815" w:rsidRDefault="00CF30AF" w:rsidP="00CE1059">
      <w:r w:rsidRPr="00305815">
        <w:t xml:space="preserve">När det gäller </w:t>
      </w:r>
      <w:r w:rsidR="00397DE4" w:rsidRPr="00305815">
        <w:rPr>
          <w:b/>
        </w:rPr>
        <w:t>Västra Balkan och Turkiet</w:t>
      </w:r>
      <w:r w:rsidR="00397DE4" w:rsidRPr="00305815">
        <w:t xml:space="preserve">  </w:t>
      </w:r>
      <w:r w:rsidR="00236DF3" w:rsidRPr="00305815">
        <w:t xml:space="preserve">föreslår </w:t>
      </w:r>
      <w:r w:rsidR="00397DE4" w:rsidRPr="00305815">
        <w:t xml:space="preserve">kommissionen </w:t>
      </w:r>
      <w:r w:rsidR="00891ADC" w:rsidRPr="00305815">
        <w:t xml:space="preserve">inrättandet av s.k. </w:t>
      </w:r>
      <w:r w:rsidR="00AB39AC" w:rsidRPr="00305815">
        <w:t>plattformar</w:t>
      </w:r>
      <w:r w:rsidR="00891ADC" w:rsidRPr="00305815">
        <w:t>, dialogfora,</w:t>
      </w:r>
      <w:r w:rsidR="00AB39AC" w:rsidRPr="00305815">
        <w:t xml:space="preserve"> för samarbete </w:t>
      </w:r>
      <w:r w:rsidR="00891ADC" w:rsidRPr="00305815">
        <w:t>på</w:t>
      </w:r>
      <w:r w:rsidR="00AB39AC" w:rsidRPr="00305815">
        <w:t xml:space="preserve"> migration</w:t>
      </w:r>
      <w:r w:rsidR="00891ADC" w:rsidRPr="00305815">
        <w:t>sområdet</w:t>
      </w:r>
      <w:r w:rsidR="00CE1059" w:rsidRPr="00305815">
        <w:t xml:space="preserve"> för att involvera </w:t>
      </w:r>
      <w:r w:rsidR="00891ADC" w:rsidRPr="00305815">
        <w:t>samtliga</w:t>
      </w:r>
      <w:r w:rsidR="00CE1059" w:rsidRPr="00305815">
        <w:t xml:space="preserve"> relevanta regionala och nationella aktörer. </w:t>
      </w:r>
      <w:r w:rsidR="0070348A" w:rsidRPr="00305815">
        <w:t>Kommission</w:t>
      </w:r>
      <w:r w:rsidR="00891ADC" w:rsidRPr="00305815">
        <w:t>en identifierar vidare ett behov att u</w:t>
      </w:r>
      <w:r w:rsidR="00CE1059" w:rsidRPr="00305815">
        <w:t xml:space="preserve">tveckla policy för att undvika </w:t>
      </w:r>
      <w:r w:rsidR="001B66CD" w:rsidRPr="00305815">
        <w:t xml:space="preserve">kompetensflykt </w:t>
      </w:r>
      <w:r w:rsidR="00CE1059" w:rsidRPr="00305815">
        <w:t>genom arbetsskapande åtgärder</w:t>
      </w:r>
      <w:r w:rsidR="00891ADC" w:rsidRPr="00305815">
        <w:t xml:space="preserve"> samt ett behov av att s</w:t>
      </w:r>
      <w:r w:rsidR="00CE1059" w:rsidRPr="00305815">
        <w:t>t</w:t>
      </w:r>
      <w:r w:rsidR="00AB39AC" w:rsidRPr="00305815">
        <w:t xml:space="preserve">ärka </w:t>
      </w:r>
      <w:r w:rsidR="00891ADC" w:rsidRPr="00305815">
        <w:t>remitteringarnas</w:t>
      </w:r>
      <w:r w:rsidR="009E60F7" w:rsidRPr="00305815">
        <w:t xml:space="preserve"> inflytande</w:t>
      </w:r>
      <w:r w:rsidR="00CE1059" w:rsidRPr="00305815">
        <w:t xml:space="preserve"> </w:t>
      </w:r>
      <w:r w:rsidR="009E60F7" w:rsidRPr="00305815">
        <w:t xml:space="preserve">på </w:t>
      </w:r>
      <w:r w:rsidR="00CE1059" w:rsidRPr="00305815">
        <w:t>den ekonomiska utvecklingen</w:t>
      </w:r>
      <w:r w:rsidR="00AB39AC" w:rsidRPr="00305815">
        <w:t xml:space="preserve"> </w:t>
      </w:r>
      <w:r w:rsidR="00891ADC" w:rsidRPr="00305815">
        <w:t>samt</w:t>
      </w:r>
      <w:r w:rsidR="00AB39AC" w:rsidRPr="00305815">
        <w:t xml:space="preserve"> utöka</w:t>
      </w:r>
      <w:r w:rsidR="00CE1059" w:rsidRPr="00305815">
        <w:t xml:space="preserve"> möjligheter</w:t>
      </w:r>
      <w:r w:rsidR="00AB39AC" w:rsidRPr="00305815">
        <w:t>na</w:t>
      </w:r>
      <w:r w:rsidR="00CE1059" w:rsidRPr="00305815">
        <w:t xml:space="preserve"> till cirkulär migration</w:t>
      </w:r>
      <w:r w:rsidR="00AB39AC" w:rsidRPr="00305815">
        <w:t xml:space="preserve">. </w:t>
      </w:r>
      <w:r w:rsidR="0094384B" w:rsidRPr="00305815">
        <w:t xml:space="preserve">Förstärkande av asyllagstiftning och </w:t>
      </w:r>
      <w:r w:rsidR="003F55E8" w:rsidRPr="00305815">
        <w:t xml:space="preserve">genomförande </w:t>
      </w:r>
      <w:r w:rsidR="0094384B" w:rsidRPr="00305815">
        <w:t>av existerande sådan</w:t>
      </w:r>
      <w:r w:rsidR="00891ADC" w:rsidRPr="00305815">
        <w:t xml:space="preserve"> liksom te</w:t>
      </w:r>
      <w:r w:rsidR="00CE1059" w:rsidRPr="00305815">
        <w:t>knis</w:t>
      </w:r>
      <w:r w:rsidR="00D736EF" w:rsidRPr="00305815">
        <w:t>k</w:t>
      </w:r>
      <w:r w:rsidR="00CE1059" w:rsidRPr="00305815">
        <w:t>t stöd</w:t>
      </w:r>
      <w:r w:rsidR="009B006F" w:rsidRPr="00305815">
        <w:t xml:space="preserve"> och </w:t>
      </w:r>
      <w:r w:rsidR="00CE1059" w:rsidRPr="00305815">
        <w:t>utbildning för gränskontroll</w:t>
      </w:r>
      <w:r w:rsidR="00961341" w:rsidRPr="00305815">
        <w:t xml:space="preserve">- och </w:t>
      </w:r>
      <w:r w:rsidR="009B006F" w:rsidRPr="00305815">
        <w:t xml:space="preserve">migrationstjänstemän </w:t>
      </w:r>
      <w:r w:rsidR="00891ADC" w:rsidRPr="00305815">
        <w:t xml:space="preserve">är ytterligare områden där samarbetet med EU kan förstärkas. </w:t>
      </w:r>
    </w:p>
    <w:p w:rsidR="00CE1059" w:rsidRPr="00305815" w:rsidRDefault="00397DE4" w:rsidP="00CE1059">
      <w:r w:rsidRPr="00305815">
        <w:t>K</w:t>
      </w:r>
      <w:r w:rsidR="0070348A" w:rsidRPr="00305815">
        <w:t>ommission</w:t>
      </w:r>
      <w:r w:rsidR="00CE1059" w:rsidRPr="00305815">
        <w:t>en rekommen</w:t>
      </w:r>
      <w:r w:rsidR="00B41168" w:rsidRPr="00305815">
        <w:t>derar en</w:t>
      </w:r>
      <w:r w:rsidR="00B41168" w:rsidRPr="00305815">
        <w:rPr>
          <w:i/>
        </w:rPr>
        <w:t xml:space="preserve"> </w:t>
      </w:r>
      <w:r w:rsidR="00B41168" w:rsidRPr="00305815">
        <w:t>f</w:t>
      </w:r>
      <w:r w:rsidR="00CE1059" w:rsidRPr="00305815">
        <w:t>ördjupning av dialog</w:t>
      </w:r>
      <w:r w:rsidR="00AA4A1E" w:rsidRPr="00305815">
        <w:t>en</w:t>
      </w:r>
      <w:r w:rsidR="00CE1059" w:rsidRPr="00305815">
        <w:t xml:space="preserve"> </w:t>
      </w:r>
      <w:r w:rsidR="0047378B" w:rsidRPr="00305815">
        <w:t xml:space="preserve">om migration och asyl </w:t>
      </w:r>
      <w:r w:rsidR="00CE1059" w:rsidRPr="00305815">
        <w:t xml:space="preserve">med </w:t>
      </w:r>
      <w:r w:rsidR="00CE1059" w:rsidRPr="00305815">
        <w:rPr>
          <w:b/>
        </w:rPr>
        <w:t>Ukraina</w:t>
      </w:r>
      <w:r w:rsidR="00CE1059" w:rsidRPr="00305815">
        <w:t xml:space="preserve"> och </w:t>
      </w:r>
      <w:r w:rsidR="00CE1059" w:rsidRPr="00305815">
        <w:rPr>
          <w:b/>
        </w:rPr>
        <w:t>Mold</w:t>
      </w:r>
      <w:r w:rsidR="00AA4A1E" w:rsidRPr="00305815">
        <w:rPr>
          <w:b/>
        </w:rPr>
        <w:t>avien</w:t>
      </w:r>
      <w:r w:rsidR="00CE1059" w:rsidRPr="00305815">
        <w:t xml:space="preserve"> samt inledande av </w:t>
      </w:r>
      <w:r w:rsidR="00AA4A1E" w:rsidRPr="00305815">
        <w:t xml:space="preserve">en </w:t>
      </w:r>
      <w:r w:rsidR="00CE1059" w:rsidRPr="00305815">
        <w:t xml:space="preserve">dialog med </w:t>
      </w:r>
      <w:r w:rsidR="00B41168" w:rsidRPr="00305815">
        <w:t xml:space="preserve">länderna i </w:t>
      </w:r>
      <w:r w:rsidR="00CE1059" w:rsidRPr="00305815">
        <w:t>södra Kaukasus</w:t>
      </w:r>
      <w:r w:rsidRPr="00305815">
        <w:t xml:space="preserve"> </w:t>
      </w:r>
      <w:r w:rsidRPr="00305815">
        <w:rPr>
          <w:b/>
        </w:rPr>
        <w:t>(Armenien, Georgien och Azerbajdzjan)</w:t>
      </w:r>
      <w:r w:rsidR="00CE1059" w:rsidRPr="00305815">
        <w:t xml:space="preserve"> inom ramen för ENP-handlingsplanerna. </w:t>
      </w:r>
      <w:r w:rsidR="0070348A" w:rsidRPr="00305815">
        <w:t>Kommission</w:t>
      </w:r>
      <w:r w:rsidR="00B37655" w:rsidRPr="00305815">
        <w:t>en anser att tyngdpunkten bör ligga</w:t>
      </w:r>
      <w:r w:rsidR="00735B22" w:rsidRPr="00305815">
        <w:t xml:space="preserve"> på h</w:t>
      </w:r>
      <w:r w:rsidR="00CE1059" w:rsidRPr="00305815">
        <w:t>antering</w:t>
      </w:r>
      <w:r w:rsidR="00735B22" w:rsidRPr="00305815">
        <w:t>en</w:t>
      </w:r>
      <w:r w:rsidR="00B37655" w:rsidRPr="00305815">
        <w:t xml:space="preserve"> av irreguljära migration</w:t>
      </w:r>
      <w:r w:rsidR="00AF5DA4" w:rsidRPr="00305815">
        <w:t>s</w:t>
      </w:r>
      <w:r w:rsidR="00B37655" w:rsidRPr="00305815">
        <w:t>strömmar</w:t>
      </w:r>
      <w:r w:rsidR="00CE1059" w:rsidRPr="00305815">
        <w:t xml:space="preserve"> och respekten för </w:t>
      </w:r>
      <w:r w:rsidR="003949F2" w:rsidRPr="00305815">
        <w:t>migranters</w:t>
      </w:r>
      <w:r w:rsidR="00CE1059" w:rsidRPr="00305815">
        <w:t xml:space="preserve"> mänskliga rättigheter</w:t>
      </w:r>
      <w:r w:rsidR="00735B22" w:rsidRPr="00305815">
        <w:t xml:space="preserve"> samt s</w:t>
      </w:r>
      <w:r w:rsidR="00CE1059" w:rsidRPr="00305815">
        <w:t xml:space="preserve">kydd av offer för människohandel och flyktingar. </w:t>
      </w:r>
      <w:r w:rsidR="00A60FA4" w:rsidRPr="00305815">
        <w:t>Möjligheterna att etablera ett regionalt forum i Svartahavsområdet</w:t>
      </w:r>
      <w:r w:rsidR="00B37655" w:rsidRPr="00305815">
        <w:t xml:space="preserve"> bestående a</w:t>
      </w:r>
      <w:r w:rsidR="00A60FA4" w:rsidRPr="00305815">
        <w:t>v stater, internationella organisationer och andra aktörer för att hantera migrationen, utbyta erfarenheter och samordna övervakning</w:t>
      </w:r>
      <w:r w:rsidR="00F55335" w:rsidRPr="00305815">
        <w:t xml:space="preserve"> bör övervägas</w:t>
      </w:r>
      <w:r w:rsidR="00A60FA4" w:rsidRPr="00305815">
        <w:t>.</w:t>
      </w:r>
      <w:r w:rsidR="00E571BD" w:rsidRPr="00305815">
        <w:t xml:space="preserve"> </w:t>
      </w:r>
      <w:r w:rsidR="0070348A" w:rsidRPr="00305815">
        <w:t>Kommission</w:t>
      </w:r>
      <w:r w:rsidR="00B37655" w:rsidRPr="00305815">
        <w:t>en föreslår vidare i</w:t>
      </w:r>
      <w:r w:rsidR="00D04270" w:rsidRPr="00305815">
        <w:t>nförande av partnerskap</w:t>
      </w:r>
      <w:r w:rsidR="00B37655" w:rsidRPr="00305815">
        <w:t>savtal</w:t>
      </w:r>
      <w:r w:rsidR="00D04270" w:rsidRPr="00305815">
        <w:t xml:space="preserve"> för rörlighet</w:t>
      </w:r>
      <w:r w:rsidR="00D04270" w:rsidRPr="00305815">
        <w:rPr>
          <w:i/>
        </w:rPr>
        <w:t xml:space="preserve">, </w:t>
      </w:r>
      <w:r w:rsidR="00D04270" w:rsidRPr="00305815">
        <w:t>omfattande</w:t>
      </w:r>
      <w:r w:rsidR="00D04270" w:rsidRPr="00305815">
        <w:rPr>
          <w:i/>
        </w:rPr>
        <w:t xml:space="preserve"> </w:t>
      </w:r>
      <w:r w:rsidR="00D04270" w:rsidRPr="00305815">
        <w:t>exempelvis</w:t>
      </w:r>
      <w:r w:rsidR="00D04270" w:rsidRPr="00305815">
        <w:rPr>
          <w:i/>
        </w:rPr>
        <w:t xml:space="preserve"> </w:t>
      </w:r>
      <w:r w:rsidR="00B37655" w:rsidRPr="00305815">
        <w:t>förenklade viseringsförfaranden</w:t>
      </w:r>
      <w:r w:rsidR="00D04270" w:rsidRPr="00305815">
        <w:t>.</w:t>
      </w:r>
      <w:r w:rsidR="00504E33" w:rsidRPr="00305815">
        <w:t xml:space="preserve"> Andra viktiga områden </w:t>
      </w:r>
      <w:r w:rsidR="00307AB6" w:rsidRPr="00305815">
        <w:t xml:space="preserve">enligt </w:t>
      </w:r>
      <w:r w:rsidR="00084C22" w:rsidRPr="00305815">
        <w:t>k</w:t>
      </w:r>
      <w:r w:rsidR="0070348A" w:rsidRPr="00305815">
        <w:t>ommission</w:t>
      </w:r>
      <w:r w:rsidR="00307AB6" w:rsidRPr="00305815">
        <w:t xml:space="preserve">en </w:t>
      </w:r>
      <w:r w:rsidR="00504E33" w:rsidRPr="00305815">
        <w:t>är framförhandlande</w:t>
      </w:r>
      <w:r w:rsidR="00CE1059" w:rsidRPr="00305815">
        <w:t xml:space="preserve"> av återtagandeavtal samt tekniskt stöd gällande dokumentsäkerhet och gränsförvaltning. </w:t>
      </w:r>
    </w:p>
    <w:p w:rsidR="00E82B6D" w:rsidRPr="00305815" w:rsidRDefault="0070348A" w:rsidP="00CE1059">
      <w:r w:rsidRPr="00305815">
        <w:t>Kommission</w:t>
      </w:r>
      <w:r w:rsidR="003949F2" w:rsidRPr="00305815">
        <w:t>en</w:t>
      </w:r>
      <w:r w:rsidR="00CE1059" w:rsidRPr="00305815">
        <w:t xml:space="preserve"> rekommen</w:t>
      </w:r>
      <w:r w:rsidR="00307AB6" w:rsidRPr="00305815">
        <w:t>derar ökat s</w:t>
      </w:r>
      <w:r w:rsidR="00CE1059" w:rsidRPr="00305815">
        <w:t xml:space="preserve">töd till </w:t>
      </w:r>
      <w:r w:rsidR="00CE1059" w:rsidRPr="00305815">
        <w:rPr>
          <w:b/>
        </w:rPr>
        <w:t>R</w:t>
      </w:r>
      <w:r w:rsidR="007A5817" w:rsidRPr="00305815">
        <w:rPr>
          <w:b/>
        </w:rPr>
        <w:t>yssland</w:t>
      </w:r>
      <w:r w:rsidR="007A5817" w:rsidRPr="00305815">
        <w:t xml:space="preserve"> </w:t>
      </w:r>
      <w:r w:rsidR="00307AB6" w:rsidRPr="00305815">
        <w:t xml:space="preserve">för att </w:t>
      </w:r>
      <w:r w:rsidR="00CE1059" w:rsidRPr="00305815">
        <w:t>hantera roll</w:t>
      </w:r>
      <w:r w:rsidR="00307AB6" w:rsidRPr="00305815">
        <w:t>en</w:t>
      </w:r>
      <w:r w:rsidR="00CE1059" w:rsidRPr="00305815">
        <w:t xml:space="preserve"> som </w:t>
      </w:r>
      <w:r w:rsidR="00307AB6" w:rsidRPr="00305815">
        <w:t>såväl</w:t>
      </w:r>
      <w:r w:rsidR="00CE1059" w:rsidRPr="00305815">
        <w:t xml:space="preserve"> ursprungs- transit och mottagarland</w:t>
      </w:r>
      <w:r w:rsidR="00C21CF4" w:rsidRPr="00305815">
        <w:t xml:space="preserve"> samt land med internflyktingar</w:t>
      </w:r>
      <w:r w:rsidR="00265B74" w:rsidRPr="00305815">
        <w:t>.</w:t>
      </w:r>
      <w:r w:rsidR="00161DFA" w:rsidRPr="00305815">
        <w:t xml:space="preserve"> </w:t>
      </w:r>
      <w:r w:rsidR="00BE64B3" w:rsidRPr="00305815">
        <w:t>Vidare föreslås e</w:t>
      </w:r>
      <w:r w:rsidR="00307AB6" w:rsidRPr="00305815">
        <w:t>n fö</w:t>
      </w:r>
      <w:r w:rsidR="00161DFA" w:rsidRPr="00305815">
        <w:t xml:space="preserve">rdjupning av dialogen </w:t>
      </w:r>
      <w:r w:rsidR="00BE64B3" w:rsidRPr="00305815">
        <w:t xml:space="preserve">om </w:t>
      </w:r>
      <w:r w:rsidR="00161DFA" w:rsidRPr="00305815">
        <w:t>migrationsrelaterade frågor,</w:t>
      </w:r>
      <w:r w:rsidR="00307AB6" w:rsidRPr="00305815">
        <w:t xml:space="preserve"> särskilt arbetskraftinvandring, st</w:t>
      </w:r>
      <w:r w:rsidR="00161DFA" w:rsidRPr="00305815">
        <w:t>ärk</w:t>
      </w:r>
      <w:r w:rsidR="00BE64B3" w:rsidRPr="00305815">
        <w:t>t</w:t>
      </w:r>
      <w:r w:rsidR="00161DFA" w:rsidRPr="00305815">
        <w:t xml:space="preserve"> asylsa</w:t>
      </w:r>
      <w:r w:rsidR="003949F2" w:rsidRPr="00305815">
        <w:t xml:space="preserve">marbete, </w:t>
      </w:r>
      <w:r w:rsidR="003113E1" w:rsidRPr="00305815">
        <w:t xml:space="preserve">genomförande </w:t>
      </w:r>
      <w:r w:rsidR="00C21CF4" w:rsidRPr="00305815">
        <w:t>av lagstiftnin</w:t>
      </w:r>
      <w:r w:rsidR="00307AB6" w:rsidRPr="00305815">
        <w:t xml:space="preserve">g baserad på Genèvekonventionen, </w:t>
      </w:r>
      <w:r w:rsidR="003949F2" w:rsidRPr="00305815">
        <w:t>samarbete</w:t>
      </w:r>
      <w:r w:rsidR="00161DFA" w:rsidRPr="00305815">
        <w:t xml:space="preserve"> kring återtagande och förenklade viseringsförfaranden</w:t>
      </w:r>
      <w:r w:rsidR="00C21CF4" w:rsidRPr="00305815">
        <w:t>.</w:t>
      </w:r>
      <w:r w:rsidR="00546E5F" w:rsidRPr="00305815">
        <w:t xml:space="preserve"> </w:t>
      </w:r>
    </w:p>
    <w:p w:rsidR="00CE2A4B" w:rsidRPr="00305815" w:rsidRDefault="0070348A" w:rsidP="00CE1059">
      <w:r w:rsidRPr="00305815">
        <w:t>Kommission</w:t>
      </w:r>
      <w:r w:rsidR="00307AB6" w:rsidRPr="00305815">
        <w:t xml:space="preserve">en anser att </w:t>
      </w:r>
      <w:r w:rsidR="00397DE4" w:rsidRPr="00305815">
        <w:rPr>
          <w:b/>
        </w:rPr>
        <w:t xml:space="preserve">Syrien, Jordanien och Libanon samt Iran och Irak </w:t>
      </w:r>
      <w:r w:rsidR="00CE1059" w:rsidRPr="00305815">
        <w:t xml:space="preserve">bör uppmuntras att </w:t>
      </w:r>
      <w:r w:rsidR="00EE778E" w:rsidRPr="00305815">
        <w:t xml:space="preserve"> ratificera och </w:t>
      </w:r>
      <w:r w:rsidR="00BE64B3" w:rsidRPr="00305815">
        <w:t xml:space="preserve">tillämpa </w:t>
      </w:r>
      <w:r w:rsidR="00CE1059" w:rsidRPr="00305815">
        <w:t>Genèvekonventionen</w:t>
      </w:r>
      <w:r w:rsidR="00CE2A4B" w:rsidRPr="00305815">
        <w:t xml:space="preserve">. </w:t>
      </w:r>
      <w:r w:rsidR="00BE64B3" w:rsidRPr="00305815">
        <w:t>P</w:t>
      </w:r>
      <w:r w:rsidR="00CE1059" w:rsidRPr="00305815">
        <w:t xml:space="preserve">ilotprojekt </w:t>
      </w:r>
      <w:r w:rsidR="00543486" w:rsidRPr="00305815">
        <w:t xml:space="preserve">med Iran </w:t>
      </w:r>
      <w:r w:rsidR="00BE64B3" w:rsidRPr="00305815">
        <w:t xml:space="preserve">för att bekämpa </w:t>
      </w:r>
      <w:r w:rsidR="00CE1059" w:rsidRPr="00305815">
        <w:t xml:space="preserve">människohandel och smuggling </w:t>
      </w:r>
      <w:r w:rsidR="00CE2A4B" w:rsidRPr="00305815">
        <w:t xml:space="preserve">i samarbete med Turkiet, </w:t>
      </w:r>
      <w:r w:rsidR="00BE64B3" w:rsidRPr="00305815">
        <w:t>S</w:t>
      </w:r>
      <w:r w:rsidR="00CE2A4B" w:rsidRPr="00305815">
        <w:t xml:space="preserve">ödra Kaukasus och Afghanistan </w:t>
      </w:r>
      <w:r w:rsidR="00CE1059" w:rsidRPr="00305815">
        <w:t>bör övervägas</w:t>
      </w:r>
      <w:r w:rsidR="00CE2A4B" w:rsidRPr="00305815">
        <w:t>.</w:t>
      </w:r>
      <w:r w:rsidR="00CE1059" w:rsidRPr="00305815">
        <w:t xml:space="preserve"> </w:t>
      </w:r>
      <w:r w:rsidR="00BE64B3" w:rsidRPr="00305815">
        <w:t>I ljuset</w:t>
      </w:r>
      <w:r w:rsidR="00CE1059" w:rsidRPr="00305815">
        <w:t xml:space="preserve"> av de irakiska flyktingströmmarna bör EU även fortsatt </w:t>
      </w:r>
      <w:r w:rsidR="00FD36F3" w:rsidRPr="00305815">
        <w:t xml:space="preserve">stödja och </w:t>
      </w:r>
      <w:r w:rsidR="00CE1059" w:rsidRPr="00305815">
        <w:t>delta i regional</w:t>
      </w:r>
      <w:r w:rsidR="00FD36F3" w:rsidRPr="00305815">
        <w:t>a</w:t>
      </w:r>
      <w:r w:rsidR="00CE1059" w:rsidRPr="00305815">
        <w:t xml:space="preserve"> dialog</w:t>
      </w:r>
      <w:r w:rsidR="00FD36F3" w:rsidRPr="00305815">
        <w:t xml:space="preserve">er och samarbetsinitiativ </w:t>
      </w:r>
      <w:r w:rsidR="00BE64B3" w:rsidRPr="00305815">
        <w:t xml:space="preserve">om </w:t>
      </w:r>
      <w:r w:rsidR="00CE1059" w:rsidRPr="00305815">
        <w:t>den humanitära situationen och verka för att etablera kanaler för humanitär</w:t>
      </w:r>
      <w:r w:rsidR="00BE64B3" w:rsidRPr="00305815">
        <w:t>t</w:t>
      </w:r>
      <w:r w:rsidR="00CE1059" w:rsidRPr="00305815">
        <w:t xml:space="preserve"> </w:t>
      </w:r>
      <w:r w:rsidR="00BE64B3" w:rsidRPr="00305815">
        <w:t>bistånd</w:t>
      </w:r>
      <w:r w:rsidR="00CE1059" w:rsidRPr="00305815">
        <w:t xml:space="preserve">. </w:t>
      </w:r>
    </w:p>
    <w:p w:rsidR="00CE1059" w:rsidRPr="00305815" w:rsidRDefault="00397DE4" w:rsidP="00CE1059">
      <w:r w:rsidRPr="00305815">
        <w:t>K</w:t>
      </w:r>
      <w:r w:rsidR="0070348A" w:rsidRPr="00305815">
        <w:t>ommission</w:t>
      </w:r>
      <w:r w:rsidR="00307AB6" w:rsidRPr="00305815">
        <w:t xml:space="preserve">en </w:t>
      </w:r>
      <w:r w:rsidR="00BE64B3" w:rsidRPr="00305815">
        <w:t xml:space="preserve">menar vidare </w:t>
      </w:r>
      <w:r w:rsidR="00307AB6" w:rsidRPr="00305815">
        <w:t xml:space="preserve">att </w:t>
      </w:r>
      <w:r w:rsidR="006A424A" w:rsidRPr="00305815">
        <w:t>t</w:t>
      </w:r>
      <w:r w:rsidR="00CE1059" w:rsidRPr="00305815">
        <w:t>ätare s</w:t>
      </w:r>
      <w:r w:rsidR="006A424A" w:rsidRPr="00305815">
        <w:t xml:space="preserve">amarbete </w:t>
      </w:r>
      <w:r w:rsidR="00BE64B3" w:rsidRPr="00305815">
        <w:t xml:space="preserve">om </w:t>
      </w:r>
      <w:r w:rsidR="006A424A" w:rsidRPr="00305815">
        <w:t>gränsförvaltning</w:t>
      </w:r>
      <w:r w:rsidR="00307AB6" w:rsidRPr="00305815">
        <w:t xml:space="preserve"> bör övervägas</w:t>
      </w:r>
      <w:r w:rsidRPr="00305815">
        <w:t xml:space="preserve"> med </w:t>
      </w:r>
      <w:r w:rsidRPr="00305815">
        <w:rPr>
          <w:b/>
        </w:rPr>
        <w:t>de centralasiatiska republikerna</w:t>
      </w:r>
      <w:r w:rsidR="00307AB6" w:rsidRPr="00305815">
        <w:t>, liksom</w:t>
      </w:r>
      <w:r w:rsidR="006A424A" w:rsidRPr="00305815">
        <w:t xml:space="preserve"> tekniskt s</w:t>
      </w:r>
      <w:r w:rsidR="00CE1059" w:rsidRPr="00305815">
        <w:t xml:space="preserve">töd </w:t>
      </w:r>
      <w:r w:rsidR="006A424A" w:rsidRPr="00305815">
        <w:t>för att främja</w:t>
      </w:r>
      <w:r w:rsidR="00CE1059" w:rsidRPr="00305815">
        <w:t xml:space="preserve"> </w:t>
      </w:r>
      <w:r w:rsidR="006A424A" w:rsidRPr="00305815">
        <w:t xml:space="preserve">ländernas samarbete </w:t>
      </w:r>
      <w:r w:rsidR="00CE1059" w:rsidRPr="00305815">
        <w:t xml:space="preserve">med Turkiet och östra ENP </w:t>
      </w:r>
      <w:r w:rsidR="00BE64B3" w:rsidRPr="00305815">
        <w:t xml:space="preserve">i kampen mot </w:t>
      </w:r>
      <w:r w:rsidR="00CE1059" w:rsidRPr="00305815">
        <w:t xml:space="preserve">människosmuggling och människohandel. </w:t>
      </w:r>
      <w:r w:rsidR="00EE778E" w:rsidRPr="00305815">
        <w:t>Samtliga länder bör</w:t>
      </w:r>
      <w:r w:rsidR="00307AB6" w:rsidRPr="00305815">
        <w:t xml:space="preserve"> </w:t>
      </w:r>
      <w:r w:rsidR="00EE778E" w:rsidRPr="00305815">
        <w:t xml:space="preserve">uppmuntras att  ratificera och </w:t>
      </w:r>
      <w:r w:rsidR="00BE64B3" w:rsidRPr="00305815">
        <w:t xml:space="preserve">tillämpa </w:t>
      </w:r>
      <w:r w:rsidR="00EE778E" w:rsidRPr="00305815">
        <w:t>Genèvekonventionen.</w:t>
      </w:r>
    </w:p>
    <w:p w:rsidR="003D0E50" w:rsidRPr="00305815" w:rsidRDefault="00BE64B3" w:rsidP="00CE1059">
      <w:pPr>
        <w:rPr>
          <w:b/>
          <w:i/>
        </w:rPr>
      </w:pPr>
      <w:r w:rsidRPr="00305815">
        <w:t xml:space="preserve">När det gäller </w:t>
      </w:r>
      <w:r w:rsidR="00397DE4" w:rsidRPr="00305815">
        <w:rPr>
          <w:b/>
        </w:rPr>
        <w:t xml:space="preserve">asiatiska ursprungsländer </w:t>
      </w:r>
      <w:r w:rsidR="00397DE4" w:rsidRPr="00305815">
        <w:t>föreslår k</w:t>
      </w:r>
      <w:r w:rsidR="0070348A" w:rsidRPr="00305815">
        <w:t>ommission</w:t>
      </w:r>
      <w:r w:rsidR="00307AB6" w:rsidRPr="00305815">
        <w:t>en en intensifiering av</w:t>
      </w:r>
      <w:r w:rsidR="00124FF2" w:rsidRPr="00305815">
        <w:t xml:space="preserve"> pågående återtagande</w:t>
      </w:r>
      <w:r w:rsidR="000A6878" w:rsidRPr="00305815">
        <w:t xml:space="preserve">förhandlingar </w:t>
      </w:r>
      <w:r w:rsidRPr="00305815">
        <w:t>och</w:t>
      </w:r>
      <w:r w:rsidR="00B81203" w:rsidRPr="00305815">
        <w:t xml:space="preserve"> </w:t>
      </w:r>
      <w:r w:rsidR="000A6878" w:rsidRPr="00305815">
        <w:t>initiativ som rör människohandel.</w:t>
      </w:r>
      <w:r w:rsidR="00B81203" w:rsidRPr="00305815">
        <w:t xml:space="preserve"> </w:t>
      </w:r>
      <w:r w:rsidR="0015723B" w:rsidRPr="00305815">
        <w:t>Migrationsdialogen bör</w:t>
      </w:r>
      <w:r w:rsidR="00B81203" w:rsidRPr="00305815">
        <w:t xml:space="preserve"> på sikt bli ett </w:t>
      </w:r>
      <w:r w:rsidR="00496205" w:rsidRPr="00305815">
        <w:t xml:space="preserve">stående inslag </w:t>
      </w:r>
      <w:r w:rsidR="00B81203" w:rsidRPr="00305815">
        <w:t>i den politiska och ekonomiska dialogen med länderna i regionen.</w:t>
      </w:r>
      <w:r w:rsidR="008E34A3" w:rsidRPr="00305815">
        <w:t xml:space="preserve"> D</w:t>
      </w:r>
      <w:r w:rsidR="003D0E50" w:rsidRPr="00305815">
        <w:t xml:space="preserve">en </w:t>
      </w:r>
      <w:r w:rsidR="00307AB6" w:rsidRPr="00305815">
        <w:t>potentiella</w:t>
      </w:r>
      <w:r w:rsidR="003D0E50" w:rsidRPr="00305815">
        <w:t xml:space="preserve"> arbetskraftsinvandringen från regionen</w:t>
      </w:r>
      <w:r w:rsidR="008E34A3" w:rsidRPr="00305815">
        <w:t xml:space="preserve"> bör uppmärksammas</w:t>
      </w:r>
      <w:r w:rsidR="00307AB6" w:rsidRPr="00305815">
        <w:t xml:space="preserve"> och</w:t>
      </w:r>
      <w:r w:rsidR="003D0E50" w:rsidRPr="00305815">
        <w:t xml:space="preserve"> </w:t>
      </w:r>
      <w:r w:rsidR="00496205" w:rsidRPr="00305815">
        <w:t>s.k.</w:t>
      </w:r>
      <w:r w:rsidR="00307AB6" w:rsidRPr="00305815">
        <w:t xml:space="preserve"> </w:t>
      </w:r>
      <w:r w:rsidR="003D0E50" w:rsidRPr="00305815">
        <w:t>partnerskap för rörlighet</w:t>
      </w:r>
      <w:r w:rsidR="00307AB6" w:rsidRPr="00305815">
        <w:t xml:space="preserve"> bör övervägas.</w:t>
      </w:r>
    </w:p>
    <w:p w:rsidR="00B81203" w:rsidRPr="00305815" w:rsidRDefault="003D0E50" w:rsidP="00CE1059">
      <w:r w:rsidRPr="00305815">
        <w:t xml:space="preserve"> </w:t>
      </w:r>
    </w:p>
    <w:p w:rsidR="00290326" w:rsidRPr="00305815" w:rsidRDefault="00290326">
      <w:pPr>
        <w:pStyle w:val="Rubrik2"/>
      </w:pPr>
      <w:r w:rsidRPr="00305815">
        <w:t>Gällande svenska regler och förslagets effekt på dessa</w:t>
      </w:r>
    </w:p>
    <w:p w:rsidR="00CE1059" w:rsidRPr="00305815" w:rsidRDefault="0070348A" w:rsidP="00CE1059">
      <w:r w:rsidRPr="00305815">
        <w:t>Kommission</w:t>
      </w:r>
      <w:r w:rsidR="00CE1059" w:rsidRPr="00305815">
        <w:t>ens meddelande får i sig inga effekter på svenska regler.</w:t>
      </w:r>
    </w:p>
    <w:p w:rsidR="00290326" w:rsidRPr="00305815" w:rsidRDefault="00290326"/>
    <w:p w:rsidR="00290326" w:rsidRPr="00305815" w:rsidRDefault="00290326">
      <w:pPr>
        <w:pStyle w:val="Rubrik2"/>
      </w:pPr>
      <w:r w:rsidRPr="00305815">
        <w:t>Budgetära konsekvenser</w:t>
      </w:r>
    </w:p>
    <w:p w:rsidR="00CE1059" w:rsidRPr="00305815" w:rsidRDefault="0070348A" w:rsidP="00CE1059">
      <w:r w:rsidRPr="00305815">
        <w:t>Kommission</w:t>
      </w:r>
      <w:r w:rsidR="00CE1059" w:rsidRPr="00305815">
        <w:t xml:space="preserve">ens meddelande </w:t>
      </w:r>
      <w:r w:rsidR="00B37655" w:rsidRPr="00305815">
        <w:t>får</w:t>
      </w:r>
      <w:r w:rsidR="00CE1059" w:rsidRPr="00305815">
        <w:t xml:space="preserve"> i sig inga budgetära konsekvenser. </w:t>
      </w:r>
    </w:p>
    <w:p w:rsidR="00290326" w:rsidRPr="00305815" w:rsidRDefault="00290326"/>
    <w:p w:rsidR="00290326" w:rsidRPr="00305815" w:rsidRDefault="00290326">
      <w:pPr>
        <w:pStyle w:val="Rubrik1"/>
      </w:pPr>
      <w:r w:rsidRPr="00305815">
        <w:t>Ståndpunkter</w:t>
      </w:r>
    </w:p>
    <w:p w:rsidR="00290326" w:rsidRPr="00305815" w:rsidRDefault="00290326">
      <w:pPr>
        <w:pStyle w:val="Rubrik2"/>
      </w:pPr>
      <w:r w:rsidRPr="00305815">
        <w:t>Svensk ståndpunkt</w:t>
      </w:r>
    </w:p>
    <w:p w:rsidR="00EA7EB1" w:rsidRPr="00305815" w:rsidRDefault="00EA7EB1" w:rsidP="00D01B3C"/>
    <w:p w:rsidR="00EA7EB1" w:rsidRPr="00305815" w:rsidRDefault="002624BD" w:rsidP="00D01B3C">
      <w:r w:rsidRPr="00305815">
        <w:t>Regeringen</w:t>
      </w:r>
      <w:r w:rsidR="00EA7EB1" w:rsidRPr="00305815">
        <w:t xml:space="preserve"> välkomnar att den breda och ömsesidigt gynnande ansats som</w:t>
      </w:r>
      <w:r w:rsidR="007951E5" w:rsidRPr="00305815">
        <w:t xml:space="preserve"> antogs</w:t>
      </w:r>
      <w:r w:rsidR="00EA7EB1" w:rsidRPr="00305815">
        <w:t xml:space="preserve"> i den </w:t>
      </w:r>
      <w:r w:rsidR="00496205" w:rsidRPr="00305815">
        <w:t>s.k.</w:t>
      </w:r>
      <w:r w:rsidR="00EA7EB1" w:rsidRPr="00305815">
        <w:t xml:space="preserve"> övergripande strategin</w:t>
      </w:r>
      <w:r w:rsidR="007951E5" w:rsidRPr="00305815">
        <w:t xml:space="preserve"> för migration</w:t>
      </w:r>
      <w:r w:rsidR="00EA7EB1" w:rsidRPr="00305815">
        <w:t xml:space="preserve"> </w:t>
      </w:r>
      <w:r w:rsidR="0046680B" w:rsidRPr="00305815">
        <w:t xml:space="preserve">med fokus på Afrika och Medelhavsregionen, </w:t>
      </w:r>
      <w:r w:rsidR="00EA7EB1" w:rsidRPr="00305815">
        <w:t>vidgas till</w:t>
      </w:r>
      <w:r w:rsidR="007951E5" w:rsidRPr="00305815">
        <w:t xml:space="preserve"> att även </w:t>
      </w:r>
      <w:r w:rsidR="00621E5C" w:rsidRPr="00305815">
        <w:t>tillämpas i samarbetet med de regioner som gränsar till EU i öster och sydost</w:t>
      </w:r>
      <w:r w:rsidR="00621E5C" w:rsidRPr="00305815" w:rsidDel="00621E5C">
        <w:t xml:space="preserve"> </w:t>
      </w:r>
      <w:r w:rsidR="00C40E09" w:rsidRPr="00305815">
        <w:t>samt</w:t>
      </w:r>
      <w:r w:rsidR="00EA7EB1" w:rsidRPr="00305815">
        <w:t xml:space="preserve"> ursprungs</w:t>
      </w:r>
      <w:r w:rsidR="00F36A7F" w:rsidRPr="00305815">
        <w:t>regioner bortom dess</w:t>
      </w:r>
      <w:r w:rsidR="00EA7EB1" w:rsidRPr="00305815">
        <w:t>a.</w:t>
      </w:r>
      <w:r w:rsidR="00621E5C" w:rsidRPr="00305815">
        <w:t xml:space="preserve"> </w:t>
      </w:r>
    </w:p>
    <w:p w:rsidR="00F36A7F" w:rsidRPr="00305815" w:rsidRDefault="002624BD" w:rsidP="00F36A7F">
      <w:pPr>
        <w:spacing w:line="240" w:lineRule="auto"/>
        <w:rPr>
          <w:szCs w:val="19"/>
        </w:rPr>
      </w:pPr>
      <w:r w:rsidRPr="00305815">
        <w:t xml:space="preserve">Regeringen </w:t>
      </w:r>
      <w:r w:rsidR="00F36A7F" w:rsidRPr="00305815">
        <w:t xml:space="preserve">ser positivt på att </w:t>
      </w:r>
      <w:r w:rsidR="0070348A" w:rsidRPr="00305815">
        <w:t>kommission</w:t>
      </w:r>
      <w:r w:rsidR="00F36A7F" w:rsidRPr="00305815">
        <w:t xml:space="preserve">en </w:t>
      </w:r>
      <w:r w:rsidR="00E45A1D" w:rsidRPr="00305815">
        <w:t>föreslår</w:t>
      </w:r>
      <w:r w:rsidR="00F36A7F" w:rsidRPr="00305815">
        <w:t xml:space="preserve"> </w:t>
      </w:r>
      <w:r w:rsidR="003949F2" w:rsidRPr="00305815">
        <w:t>a</w:t>
      </w:r>
      <w:r w:rsidR="00F36A7F" w:rsidRPr="00305815">
        <w:t xml:space="preserve">tt </w:t>
      </w:r>
      <w:r w:rsidR="00E45A1D" w:rsidRPr="00305815">
        <w:t xml:space="preserve">inkludera såväl laglig och irreguljär migration som asyl och flyktingfrågor. </w:t>
      </w:r>
      <w:r w:rsidR="00F36A7F" w:rsidRPr="00305815">
        <w:t xml:space="preserve"> </w:t>
      </w:r>
    </w:p>
    <w:p w:rsidR="00290326" w:rsidRPr="00305815" w:rsidRDefault="00290326">
      <w:pPr>
        <w:pStyle w:val="Rubrik2"/>
      </w:pPr>
      <w:r w:rsidRPr="00305815">
        <w:t>Medlemsstaternas ståndpunkter</w:t>
      </w:r>
    </w:p>
    <w:p w:rsidR="00E47AA8" w:rsidRPr="00305815" w:rsidRDefault="00A00C5F">
      <w:r w:rsidRPr="00305815">
        <w:t xml:space="preserve">Vid </w:t>
      </w:r>
      <w:r w:rsidR="003949F2" w:rsidRPr="00305815">
        <w:t>e</w:t>
      </w:r>
      <w:r w:rsidRPr="00305815">
        <w:t>uropeiska r</w:t>
      </w:r>
      <w:r w:rsidR="00E47AA8" w:rsidRPr="00305815">
        <w:t>ådet</w:t>
      </w:r>
      <w:r w:rsidRPr="00305815">
        <w:t>s möte den 21-22 juni välkomnades det aktuella meddelandet</w:t>
      </w:r>
      <w:r w:rsidR="00215330" w:rsidRPr="00305815">
        <w:t xml:space="preserve"> av medlemsstat</w:t>
      </w:r>
      <w:r w:rsidR="008521B5" w:rsidRPr="00305815">
        <w:t>erna</w:t>
      </w:r>
      <w:r w:rsidR="00D25ADC" w:rsidRPr="00305815">
        <w:t>.</w:t>
      </w:r>
      <w:r w:rsidRPr="00305815">
        <w:t xml:space="preserve"> </w:t>
      </w:r>
    </w:p>
    <w:p w:rsidR="00290326" w:rsidRPr="00305815" w:rsidRDefault="00290326">
      <w:pPr>
        <w:pStyle w:val="Rubrik2"/>
      </w:pPr>
      <w:r w:rsidRPr="00305815">
        <w:t>Institutionernas ståndpunkter</w:t>
      </w:r>
    </w:p>
    <w:p w:rsidR="00290326" w:rsidRPr="00305815" w:rsidRDefault="00F36A7F">
      <w:r w:rsidRPr="00305815">
        <w:t>Institutionernas ståndpunkter är</w:t>
      </w:r>
      <w:r w:rsidR="00EA7EB1" w:rsidRPr="00305815">
        <w:t xml:space="preserve"> ännu inte kända. </w:t>
      </w:r>
    </w:p>
    <w:p w:rsidR="00EA7EB1" w:rsidRPr="00305815" w:rsidRDefault="00290326" w:rsidP="00EA7EB1">
      <w:pPr>
        <w:pStyle w:val="Rubrik2"/>
      </w:pPr>
      <w:r w:rsidRPr="00305815">
        <w:t>Remissinstansernas ståndpunkter</w:t>
      </w:r>
    </w:p>
    <w:p w:rsidR="00EA7EB1" w:rsidRPr="00305815" w:rsidRDefault="00EA7EB1" w:rsidP="00EA7EB1">
      <w:r w:rsidRPr="00305815">
        <w:t>Meddelande</w:t>
      </w:r>
      <w:r w:rsidR="00215330" w:rsidRPr="00305815">
        <w:t>t har inte remitterats.</w:t>
      </w:r>
    </w:p>
    <w:p w:rsidR="00290326" w:rsidRPr="00305815" w:rsidRDefault="00290326">
      <w:pPr>
        <w:pStyle w:val="Rubrik1"/>
      </w:pPr>
      <w:r w:rsidRPr="00305815">
        <w:t>Övrigt</w:t>
      </w:r>
    </w:p>
    <w:p w:rsidR="00290326" w:rsidRPr="00305815" w:rsidRDefault="00290326">
      <w:pPr>
        <w:pStyle w:val="Rubrik2"/>
      </w:pPr>
      <w:r w:rsidRPr="00305815">
        <w:t>Fortsatt behandling av ärendet</w:t>
      </w:r>
    </w:p>
    <w:p w:rsidR="00D25ADC" w:rsidRPr="00305815" w:rsidRDefault="00D25ADC" w:rsidP="00D01B3C"/>
    <w:p w:rsidR="0023571C" w:rsidRPr="00305815" w:rsidRDefault="0023571C" w:rsidP="00D01B3C">
      <w:r w:rsidRPr="00305815">
        <w:t xml:space="preserve">Meddelandet i sig kommer inte att bli föremål för ytterligare behandling i rådet, däremot väntas konkreta förslag från </w:t>
      </w:r>
      <w:r w:rsidR="003949F2" w:rsidRPr="00305815">
        <w:t>k</w:t>
      </w:r>
      <w:r w:rsidR="0070348A" w:rsidRPr="00305815">
        <w:t>ommission</w:t>
      </w:r>
      <w:r w:rsidRPr="00305815">
        <w:t xml:space="preserve">en på basis av </w:t>
      </w:r>
      <w:r w:rsidR="003F55E8" w:rsidRPr="00305815">
        <w:t>meddelandet</w:t>
      </w:r>
      <w:r w:rsidRPr="00305815">
        <w:t xml:space="preserve">. </w:t>
      </w:r>
    </w:p>
    <w:p w:rsidR="00290326" w:rsidRPr="00305815" w:rsidRDefault="00290326">
      <w:pPr>
        <w:pStyle w:val="Rubrik2"/>
      </w:pPr>
      <w:r w:rsidRPr="00305815">
        <w:t>Rättslig grund och beslutsförfarande</w:t>
      </w:r>
    </w:p>
    <w:p w:rsidR="00EA7EB1" w:rsidRPr="00305815" w:rsidRDefault="00EA7EB1" w:rsidP="00EA7EB1">
      <w:r w:rsidRPr="00305815">
        <w:t xml:space="preserve">Meddelandet i sig föranleder inga beslut. </w:t>
      </w:r>
    </w:p>
    <w:p w:rsidR="00290326" w:rsidRPr="00305815" w:rsidRDefault="00290326">
      <w:pPr>
        <w:pStyle w:val="Rubrik2"/>
      </w:pPr>
      <w:r w:rsidRPr="00305815">
        <w:t>Fackuttryck/termer</w:t>
      </w:r>
    </w:p>
    <w:p w:rsidR="00496205" w:rsidRPr="00305815" w:rsidRDefault="00B41168" w:rsidP="00496205">
      <w:r w:rsidRPr="00305815">
        <w:t>ENP: (European Neighbo</w:t>
      </w:r>
      <w:r w:rsidR="00F64A6F" w:rsidRPr="00305815">
        <w:t>u</w:t>
      </w:r>
      <w:r w:rsidRPr="00305815">
        <w:t>rhood Policy) Den europeiska grannskapspolitiken.</w:t>
      </w:r>
    </w:p>
    <w:p w:rsidR="00496205" w:rsidRPr="00305815" w:rsidRDefault="00496205" w:rsidP="00496205">
      <w:r w:rsidRPr="00305815">
        <w:t>Genèvekonventionen: 1951 års konvention om flyktingars rättsliga ställning.</w:t>
      </w:r>
    </w:p>
    <w:sectPr w:rsidR="00496205" w:rsidRPr="00305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72F" w:rsidRPr="00305815" w:rsidRDefault="002E272F">
      <w:r w:rsidRPr="00305815">
        <w:separator/>
      </w:r>
    </w:p>
  </w:endnote>
  <w:endnote w:type="continuationSeparator" w:id="0">
    <w:p w:rsidR="002E272F" w:rsidRPr="00305815" w:rsidRDefault="002E272F">
      <w:r w:rsidRPr="00305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D01B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2E272F">
    <w:pPr>
      <w:pStyle w:val="SidfotH"/>
      <w:framePr w:wrap="around"/>
    </w:pPr>
    <w:r w:rsidRPr="00305815">
      <w:t>2</w:t>
    </w:r>
  </w:p>
  <w:p w:rsidR="00D01B3C" w:rsidRPr="00305815" w:rsidRDefault="00D01B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2E272F">
    <w:pPr>
      <w:pStyle w:val="SidfotH"/>
      <w:framePr w:wrap="around"/>
    </w:pPr>
    <w:r w:rsidRPr="00305815">
      <w:t>1</w:t>
    </w:r>
  </w:p>
  <w:p w:rsidR="00D01B3C" w:rsidRPr="00305815" w:rsidRDefault="00D01B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72F" w:rsidRPr="00305815" w:rsidRDefault="002E272F">
      <w:r w:rsidRPr="00305815">
        <w:separator/>
      </w:r>
    </w:p>
  </w:footnote>
  <w:footnote w:type="continuationSeparator" w:id="0">
    <w:p w:rsidR="002E272F" w:rsidRPr="00305815" w:rsidRDefault="002E272F">
      <w:r w:rsidRPr="003058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D01B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D01B3C">
    <w:pPr>
      <w:pStyle w:val="Kantrubrik"/>
      <w:framePr w:h="1157" w:hRule="exact" w:wrap="around" w:y="738"/>
    </w:pPr>
    <w:r w:rsidRPr="00305815">
      <w:t>2006/07:FPM116</w:t>
    </w:r>
  </w:p>
  <w:p w:rsidR="00D01B3C" w:rsidRPr="00305815" w:rsidRDefault="00D01B3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B3C" w:rsidRPr="00305815" w:rsidRDefault="00305815">
    <w:pPr>
      <w:pStyle w:val="Sidhuvud"/>
    </w:pPr>
    <w:r w:rsidRPr="00305815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19073993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B3C" w:rsidRDefault="00D01B3C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459416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D01B3C" w:rsidRDefault="00D01B3C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459416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98032150">
    <w:abstractNumId w:val="4"/>
  </w:num>
  <w:num w:numId="2" w16cid:durableId="1723627193">
    <w:abstractNumId w:val="1"/>
  </w:num>
  <w:num w:numId="3" w16cid:durableId="1999458049">
    <w:abstractNumId w:val="2"/>
  </w:num>
  <w:num w:numId="4" w16cid:durableId="523635690">
    <w:abstractNumId w:val="3"/>
  </w:num>
  <w:num w:numId="5" w16cid:durableId="791440576">
    <w:abstractNumId w:val="5"/>
  </w:num>
  <w:num w:numId="6" w16cid:durableId="154363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7-08-27"/>
    <w:docVar w:name="Ar" w:val="2006/07"/>
    <w:docVar w:name="Dep" w:val="Justitiedepartementet"/>
    <w:docVar w:name="DepWeb" w:val="Justitiedepartementet"/>
    <w:docVar w:name="GDB1" w:val="KOM (2007) 247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om tillämpandet av den övergripande strategin för migration på Europeiska unionens östra och sydöstra grannregioner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7) 247 slutlig"/>
    <w:docVar w:name="Nr" w:val="116"/>
    <w:docVar w:name="RD_APPVERSION" w:val="3.00"/>
    <w:docVar w:name="Rub" w:val="Meddelande om den övergripande strategin för migration gentemot EU:s östra och sydöstra grannregioner"/>
    <w:docVar w:name="UppDat" w:val="2007-08-27"/>
    <w:docVar w:name="Utsk" w:val="Socialförsäkringsutskottet"/>
  </w:docVars>
  <w:rsids>
    <w:rsidRoot w:val="00305815"/>
    <w:rsid w:val="000121C5"/>
    <w:rsid w:val="00072F07"/>
    <w:rsid w:val="00083332"/>
    <w:rsid w:val="00084C22"/>
    <w:rsid w:val="00086E6E"/>
    <w:rsid w:val="000A4390"/>
    <w:rsid w:val="000A6878"/>
    <w:rsid w:val="000C4053"/>
    <w:rsid w:val="00124FF2"/>
    <w:rsid w:val="00132E1F"/>
    <w:rsid w:val="0015723B"/>
    <w:rsid w:val="00161DFA"/>
    <w:rsid w:val="00184FE3"/>
    <w:rsid w:val="00194405"/>
    <w:rsid w:val="001970B2"/>
    <w:rsid w:val="001A4548"/>
    <w:rsid w:val="001B66CD"/>
    <w:rsid w:val="001E7CBC"/>
    <w:rsid w:val="00205EA0"/>
    <w:rsid w:val="00206DB2"/>
    <w:rsid w:val="00215330"/>
    <w:rsid w:val="00216482"/>
    <w:rsid w:val="00216FC1"/>
    <w:rsid w:val="0023571C"/>
    <w:rsid w:val="00236DF3"/>
    <w:rsid w:val="002624BD"/>
    <w:rsid w:val="00265B74"/>
    <w:rsid w:val="00277FB9"/>
    <w:rsid w:val="00280AB5"/>
    <w:rsid w:val="00290326"/>
    <w:rsid w:val="002A13BC"/>
    <w:rsid w:val="002A2D1A"/>
    <w:rsid w:val="002A2F76"/>
    <w:rsid w:val="002C0CF2"/>
    <w:rsid w:val="002C57F9"/>
    <w:rsid w:val="002E272F"/>
    <w:rsid w:val="00305815"/>
    <w:rsid w:val="00307AB6"/>
    <w:rsid w:val="003113E1"/>
    <w:rsid w:val="003627F8"/>
    <w:rsid w:val="003949F2"/>
    <w:rsid w:val="00397DE4"/>
    <w:rsid w:val="003A76BF"/>
    <w:rsid w:val="003B0DFD"/>
    <w:rsid w:val="003C3AD2"/>
    <w:rsid w:val="003D0E50"/>
    <w:rsid w:val="003F10BD"/>
    <w:rsid w:val="003F55E8"/>
    <w:rsid w:val="004000CB"/>
    <w:rsid w:val="0046680B"/>
    <w:rsid w:val="0047378B"/>
    <w:rsid w:val="0049062C"/>
    <w:rsid w:val="0049205F"/>
    <w:rsid w:val="00496205"/>
    <w:rsid w:val="004A1D44"/>
    <w:rsid w:val="004A5D2F"/>
    <w:rsid w:val="00504E33"/>
    <w:rsid w:val="00543486"/>
    <w:rsid w:val="00544A6B"/>
    <w:rsid w:val="00546E5F"/>
    <w:rsid w:val="005A733E"/>
    <w:rsid w:val="005F2444"/>
    <w:rsid w:val="00604EDF"/>
    <w:rsid w:val="00614FBB"/>
    <w:rsid w:val="00621E5C"/>
    <w:rsid w:val="00681E9B"/>
    <w:rsid w:val="006A1777"/>
    <w:rsid w:val="006A424A"/>
    <w:rsid w:val="006C2375"/>
    <w:rsid w:val="006C3793"/>
    <w:rsid w:val="006E6304"/>
    <w:rsid w:val="0070348A"/>
    <w:rsid w:val="00710CB2"/>
    <w:rsid w:val="007138B0"/>
    <w:rsid w:val="00717D72"/>
    <w:rsid w:val="00734851"/>
    <w:rsid w:val="00735B22"/>
    <w:rsid w:val="00736057"/>
    <w:rsid w:val="007424E9"/>
    <w:rsid w:val="00743A17"/>
    <w:rsid w:val="00747EF8"/>
    <w:rsid w:val="00794CBD"/>
    <w:rsid w:val="007951E5"/>
    <w:rsid w:val="007A5817"/>
    <w:rsid w:val="007B4A61"/>
    <w:rsid w:val="007F0DCC"/>
    <w:rsid w:val="00820B84"/>
    <w:rsid w:val="008521B5"/>
    <w:rsid w:val="00891ADC"/>
    <w:rsid w:val="008A6012"/>
    <w:rsid w:val="008B1521"/>
    <w:rsid w:val="008C73D7"/>
    <w:rsid w:val="008E0812"/>
    <w:rsid w:val="008E34A3"/>
    <w:rsid w:val="008E3979"/>
    <w:rsid w:val="008E3D70"/>
    <w:rsid w:val="0093473F"/>
    <w:rsid w:val="0094384B"/>
    <w:rsid w:val="00961341"/>
    <w:rsid w:val="009B006F"/>
    <w:rsid w:val="009D3583"/>
    <w:rsid w:val="009D5A13"/>
    <w:rsid w:val="009E60F7"/>
    <w:rsid w:val="009E78CE"/>
    <w:rsid w:val="009F5278"/>
    <w:rsid w:val="00A00C5F"/>
    <w:rsid w:val="00A60FA4"/>
    <w:rsid w:val="00A80BB5"/>
    <w:rsid w:val="00AA4A1E"/>
    <w:rsid w:val="00AA540D"/>
    <w:rsid w:val="00AB39AC"/>
    <w:rsid w:val="00AC54EE"/>
    <w:rsid w:val="00AE1AEE"/>
    <w:rsid w:val="00AF5DA4"/>
    <w:rsid w:val="00B1111D"/>
    <w:rsid w:val="00B37655"/>
    <w:rsid w:val="00B41168"/>
    <w:rsid w:val="00B4357E"/>
    <w:rsid w:val="00B5383E"/>
    <w:rsid w:val="00B6642B"/>
    <w:rsid w:val="00B81203"/>
    <w:rsid w:val="00BB347B"/>
    <w:rsid w:val="00BB3DE6"/>
    <w:rsid w:val="00BE5AF3"/>
    <w:rsid w:val="00BE64B3"/>
    <w:rsid w:val="00C21CF4"/>
    <w:rsid w:val="00C40E09"/>
    <w:rsid w:val="00C704AB"/>
    <w:rsid w:val="00C754B0"/>
    <w:rsid w:val="00CB0D5D"/>
    <w:rsid w:val="00CD7616"/>
    <w:rsid w:val="00CE1059"/>
    <w:rsid w:val="00CE2A4B"/>
    <w:rsid w:val="00CF30AF"/>
    <w:rsid w:val="00D0194A"/>
    <w:rsid w:val="00D01B3C"/>
    <w:rsid w:val="00D04270"/>
    <w:rsid w:val="00D25ADC"/>
    <w:rsid w:val="00D32F0E"/>
    <w:rsid w:val="00D578A2"/>
    <w:rsid w:val="00D6185C"/>
    <w:rsid w:val="00D736EF"/>
    <w:rsid w:val="00D91B72"/>
    <w:rsid w:val="00D94F0B"/>
    <w:rsid w:val="00DA32AC"/>
    <w:rsid w:val="00DB3092"/>
    <w:rsid w:val="00DD6DA5"/>
    <w:rsid w:val="00DE0950"/>
    <w:rsid w:val="00DE0EFC"/>
    <w:rsid w:val="00E2239B"/>
    <w:rsid w:val="00E269F2"/>
    <w:rsid w:val="00E45A1D"/>
    <w:rsid w:val="00E47AA8"/>
    <w:rsid w:val="00E571BD"/>
    <w:rsid w:val="00E63634"/>
    <w:rsid w:val="00E82B6D"/>
    <w:rsid w:val="00EA7EB1"/>
    <w:rsid w:val="00EB7213"/>
    <w:rsid w:val="00ED4EF3"/>
    <w:rsid w:val="00EE0735"/>
    <w:rsid w:val="00EE778E"/>
    <w:rsid w:val="00EF52DB"/>
    <w:rsid w:val="00F244D2"/>
    <w:rsid w:val="00F36A7F"/>
    <w:rsid w:val="00F4425F"/>
    <w:rsid w:val="00F522B2"/>
    <w:rsid w:val="00F53A01"/>
    <w:rsid w:val="00F55335"/>
    <w:rsid w:val="00F569E1"/>
    <w:rsid w:val="00F64A6F"/>
    <w:rsid w:val="00FB3DE2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75199A-20F2-410A-A081-E747910B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EA7EB1"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rsid w:val="00EA7EB1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</w:pPr>
    <w:rPr>
      <w:rFonts w:ascii="OrigGarmnd BT" w:hAnsi="OrigGarmnd BT"/>
      <w:sz w:val="24"/>
      <w:lang w:eastAsia="en-US"/>
    </w:rPr>
  </w:style>
  <w:style w:type="paragraph" w:customStyle="1" w:styleId="CharCharChar">
    <w:name w:val=" Char Char Char"/>
    <w:basedOn w:val="Normal"/>
    <w:rsid w:val="00CE105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1120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977</Words>
  <Characters>6796</Characters>
  <Application>Microsoft Office Word</Application>
  <DocSecurity>4</DocSecurity>
  <Lines>141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FPM_200607__116</vt:lpstr>
    </vt:vector>
  </TitlesOfParts>
  <Company>RD-DTSL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FPM_200607__116</dc:title>
  <dc:subject>FPM_200607__116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2007-08-27T09:16:00Z</cp:lastPrinted>
  <dcterms:created xsi:type="dcterms:W3CDTF">2025-12-17T03:09:00Z</dcterms:created>
  <dcterms:modified xsi:type="dcterms:W3CDTF">2025-12-17T03:09:00Z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116</vt:lpwstr>
  </property>
  <property fmtid="{D5CDD505-2E9C-101B-9397-08002B2CF9AE}" pid="4" name="GDB1">
    <vt:lpwstr>KOM (2007) 247 slutlig</vt:lpwstr>
  </property>
  <property fmtid="{D5CDD505-2E9C-101B-9397-08002B2CF9AE}" pid="5" name="GDT1">
    <vt:lpwstr> </vt:lpwstr>
  </property>
  <property fmtid="{D5CDD505-2E9C-101B-9397-08002B2CF9AE}" pid="6" name="Dep">
    <vt:lpwstr>Justitiedepartementet</vt:lpwstr>
  </property>
  <property fmtid="{D5CDD505-2E9C-101B-9397-08002B2CF9AE}" pid="7" name="Rub">
    <vt:lpwstr>Meddelande om den övergripande strategin för migration gentemot EU:s östra och sydöstra grannregioner</vt:lpwstr>
  </property>
  <property fmtid="{D5CDD505-2E9C-101B-9397-08002B2CF9AE}" pid="8" name="UppDat">
    <vt:lpwstr>2007-08-27</vt:lpwstr>
  </property>
  <property fmtid="{D5CDD505-2E9C-101B-9397-08002B2CF9AE}" pid="9" name="AnkDat">
    <vt:lpwstr>2007-08-27</vt:lpwstr>
  </property>
  <property fmtid="{D5CDD505-2E9C-101B-9397-08002B2CF9AE}" pid="10" name="Utsk">
    <vt:lpwstr>Socialförsäkringsutskottet</vt:lpwstr>
  </property>
  <property fmtid="{D5CDD505-2E9C-101B-9397-08002B2CF9AE}" pid="11" name="Ar">
    <vt:lpwstr>2006/07</vt:lpwstr>
  </property>
  <property fmtid="{D5CDD505-2E9C-101B-9397-08002B2CF9AE}" pid="12" name="Dokumenttyp">
    <vt:lpwstr> FaktaPM</vt:lpwstr>
  </property>
  <property fmtid="{D5CDD505-2E9C-101B-9397-08002B2CF9AE}" pid="13" name="Epostadress">
    <vt:lpwstr>ml1120aa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JA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2;0;0;443</vt:lpwstr>
  </property>
  <property fmtid="{D5CDD505-2E9C-101B-9397-08002B2CF9AE}" pid="41" name="Sprak">
    <vt:lpwstr>Svenska</vt:lpwstr>
  </property>
  <property fmtid="{D5CDD505-2E9C-101B-9397-08002B2CF9AE}" pid="42" name="DokID">
    <vt:i4>80</vt:i4>
  </property>
</Properties>
</file>