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2021/22</w:t>
      </w:r>
      <w:bookmarkEnd w:id="0"/>
      <w:r>
        <w:t>:</w:t>
      </w:r>
      <w:bookmarkStart w:id="1" w:name="DocumentNumber"/>
      <w:r>
        <w:t>64</w:t>
      </w:r>
      <w:bookmarkEnd w:id="1"/>
    </w:p>
    <w:p w:rsidR="006E04A4">
      <w:pPr>
        <w:pStyle w:val="Date"/>
        <w:outlineLvl w:val="0"/>
      </w:pPr>
      <w:bookmarkStart w:id="2" w:name="DocumentDate"/>
      <w:r>
        <w:t>Torsdagen den 3 februari 2022</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12.00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14.00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Frågestund</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sammanträdet torsdagen den 13 januari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fördröjt svar på interpellation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2021/22:310 av Amineh Kakabaveh (-) </w:t>
            </w:r>
            <w:r>
              <w:rPr>
                <w:rtl w:val="0"/>
              </w:rPr>
              <w:br/>
            </w:r>
            <w:r>
              <w:rPr>
                <w:rtl w:val="0"/>
              </w:rPr>
              <w:t>Kurdernas kamp mot IS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2021/22:92 Ändrade regler för att möjliggöra utlämning av uppgifter för inkomststudier</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COM(2021) 721 Förslag till Europaparlamentets och rådets direktiv om ändring av direktiven 2011/61/EU och 2009/65/EG vad gäller delegeringsarrangemang, hantering av likviditetsrisker, tillsynsrapportering, tillhandahållande av förvarings- och depåförvaringstjänster samt låneutgivning från alternativa investeringsfonder </w:t>
            </w:r>
            <w:r>
              <w:rPr>
                <w:rtl w:val="0"/>
              </w:rPr>
              <w:br/>
            </w:r>
            <w:r>
              <w:rPr>
                <w:i/>
                <w:iCs/>
                <w:rtl w:val="0"/>
              </w:rPr>
              <w:t>Åttaveckorsfristen för att avge ett motiverat yttrande går ut den 29 mars 2022</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COM(2021) 722 Förslag till Europaparlamentets och rådets förordning om ändring av förordning (EU) 2015/760 vad gäller omfattningen av godtagbara tillgångar och investeringar, kraven på portföljsammansättning och diversifiering, penninglån och andra fondbestämmelser samt vad gäller kraven avseende auktorisation, investeringsstrategi och driftsvillkor för europeiska långsiktiga investeringsfonder </w:t>
            </w:r>
            <w:r>
              <w:rPr>
                <w:rtl w:val="0"/>
              </w:rPr>
              <w:br/>
            </w:r>
            <w:r>
              <w:rPr>
                <w:i/>
                <w:iCs/>
                <w:rtl w:val="0"/>
              </w:rPr>
              <w:t>Åttaveckorsfristen för att avge ett motiverat yttrande går ut den 29 mars 2022</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COM(2021) 723 Förslag till Europaparlamentets och rådets förordning om inrättande av en europeisk gemensam kontaktpunkt som ger centraliserad tillgång till offentlig information som rör finansiella tjänster, kapitalmarknader och hållbarhet </w:t>
            </w:r>
            <w:r>
              <w:rPr>
                <w:rtl w:val="0"/>
              </w:rPr>
              <w:br/>
            </w:r>
            <w:r>
              <w:rPr>
                <w:i/>
                <w:iCs/>
                <w:rtl w:val="0"/>
              </w:rPr>
              <w:t>Åttaveckorsfristen för att avge ett motiverat yttrande går ut den 30 mars 2022</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COM(2021) 725 Förslag till Europaparlamentets och rådets förordning om ändring av vissa förordningar vad gäller inrättandet av den europeiska gemensamma kontaktpunkten och denna kontaktpunkts funktionssätt </w:t>
            </w:r>
            <w:r>
              <w:rPr>
                <w:rtl w:val="0"/>
              </w:rPr>
              <w:br/>
            </w:r>
            <w:r>
              <w:rPr>
                <w:i/>
                <w:iCs/>
                <w:rtl w:val="0"/>
              </w:rPr>
              <w:t>Åttaveckorsfristen för att avge ett motiverat yttrande går ut den 30 mars 2022</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COM(2021) 782 Förslag till Europaparlamentets och rådets direktiv om informationsutbyte mellan medlemsstaternas brottsbekämpande myndigheter och om upphävande av rådets rambeslut 2006/960/RIF </w:t>
            </w:r>
            <w:r>
              <w:rPr>
                <w:rtl w:val="0"/>
              </w:rPr>
              <w:br/>
            </w:r>
            <w:r>
              <w:rPr>
                <w:i/>
                <w:iCs/>
                <w:rtl w:val="0"/>
              </w:rPr>
              <w:t>Åttaveckorsfristen för att avge ett motiverat yttrande går ut den 29 mars 2022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COM(2021) 784 Förslag till Europaparlamentets och rådets förordning om automatiskt utbyte av uppgifter för polissamarbete (”Prüm II”) och om ändring av rådets beslut 2008/615/RIF och 2008/616/RIF samt Europaparlamentets och rådets förordningar (EU) 2018/1726, 2019/817 och 2019/818 </w:t>
            </w:r>
            <w:r>
              <w:rPr>
                <w:rtl w:val="0"/>
              </w:rPr>
              <w:br/>
            </w:r>
            <w:r>
              <w:rPr>
                <w:i/>
                <w:iCs/>
                <w:rtl w:val="0"/>
              </w:rPr>
              <w:t>Åttaveckorsfristen för att avge ett motiverat yttrande går ut den 29 mars 2022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COM(2021) 851 Förslag till Europaparlamentets och rådets direktiv om skydd för miljön genom straffrättsliga bestämmelser och om upphävande av direktiv 2008/99/EG </w:t>
            </w:r>
            <w:r>
              <w:rPr>
                <w:rtl w:val="0"/>
              </w:rPr>
              <w:br/>
            </w:r>
            <w:r>
              <w:rPr>
                <w:i/>
                <w:iCs/>
                <w:rtl w:val="0"/>
              </w:rPr>
              <w:t>Åttaveckorsfristen för att avge ett motiverat yttrande går ut den 29 mars 2022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Anna-Caren Sätherberg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2021/22:296 av Mikael Larsson (C)</w:t>
            </w:r>
            <w:r>
              <w:rPr>
                <w:rtl w:val="0"/>
              </w:rPr>
              <w:br/>
            </w:r>
            <w:r>
              <w:rPr>
                <w:rtl w:val="0"/>
              </w:rPr>
              <w:t>Livsmedelsstrategins genomslag på gårdsplanen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Johan Danielsson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2021/22:263 av Ulrik Bergman (M)</w:t>
            </w:r>
            <w:r>
              <w:rPr>
                <w:rtl w:val="0"/>
              </w:rPr>
              <w:br/>
            </w:r>
            <w:r>
              <w:rPr>
                <w:rtl w:val="0"/>
              </w:rPr>
              <w:t>Lantmäteriets effektivitet samt möjligheten för kommuner att bli lantmäterimyndighet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Frågestund kl. 14.00</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Frågor besvaras av:</w:t>
            </w:r>
            <w:r>
              <w:rPr>
                <w:rtl w:val="0"/>
              </w:rPr>
              <w:br/>
            </w:r>
            <w:r>
              <w:rPr>
                <w:rtl w:val="0"/>
              </w:rPr>
              <w:t>Utbildningsminister Anna Ekström (S)</w:t>
            </w:r>
            <w:r>
              <w:rPr>
                <w:rtl w:val="0"/>
              </w:rPr>
              <w:br/>
            </w:r>
            <w:r>
              <w:rPr>
                <w:rtl w:val="0"/>
              </w:rPr>
              <w:t>Statsrådet Anna-Caren Sätherberg (S)</w:t>
            </w:r>
            <w:r>
              <w:rPr>
                <w:rtl w:val="0"/>
              </w:rPr>
              <w:br/>
            </w:r>
            <w:r>
              <w:rPr>
                <w:rtl w:val="0"/>
              </w:rPr>
              <w:t>Näringsminister Karl-Petter Thorwaldsson (S)</w:t>
            </w:r>
            <w:r>
              <w:rPr>
                <w:rtl w:val="0"/>
              </w:rPr>
              <w:br/>
            </w:r>
            <w:r>
              <w:rPr>
                <w:rtl w:val="0"/>
              </w:rPr>
              <w:t>Statsrådet Lina Axelsson Kihlblom (S)</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Torsdagen den 3 februari 2022</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2022-02-03</SAFIR_Sammantradesdatum_Doc>
    <SAFIR_SammantradeID xmlns="C07A1A6C-0B19-41D9-BDF8-F523BA3921EB">f38c0fe8-5584-4ecd-8d2a-a7aeaf193d35</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9216D-5B3F-4131-9B2B-7BFD1B4BFC7B}"/>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3 februari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