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B5A6B" w:rsidRDefault="00472F09" w14:paraId="5C1DDED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28453151C664ADB921B6DCDC1A098D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53447f-031c-4cc2-8d02-3b75c5b6e93e"/>
        <w:id w:val="2127119355"/>
        <w:lock w:val="sdtLocked"/>
      </w:sdtPr>
      <w:sdtEndPr/>
      <w:sdtContent>
        <w:p w:rsidR="003F3177" w:rsidRDefault="000840E9" w14:paraId="52DF7CF3" w14:textId="77777777">
          <w:pPr>
            <w:pStyle w:val="Frslagstext"/>
          </w:pPr>
          <w:r>
            <w:t>Riksdagen ställer sig bakom det som anförs i motionen om att även grovt bokföringsbrott, grovt penningtvättsbrott och näringspenningtvätt, grovt brott, i enlighet med utredningens förslag bör läggas till uppräkningen av brott som kan utlösa s.k. utvidgat förverkande och tillkännager detta för regeringen.</w:t>
          </w:r>
        </w:p>
      </w:sdtContent>
    </w:sdt>
    <w:sdt>
      <w:sdtPr>
        <w:alias w:val="Yrkande 2"/>
        <w:tag w:val="d8506911-1d43-4003-97af-9f1510093754"/>
        <w:id w:val="-967735631"/>
        <w:lock w:val="sdtLocked"/>
      </w:sdtPr>
      <w:sdtEndPr/>
      <w:sdtContent>
        <w:p w:rsidR="003F3177" w:rsidRDefault="000840E9" w14:paraId="2227926E" w14:textId="77777777">
          <w:pPr>
            <w:pStyle w:val="Frslagstext"/>
          </w:pPr>
          <w:r>
            <w:t>Riksdagen ställer sig bakom det som anförs i motionen om rättssäkerhetsgarantier och en tydlig och förutsebar lagstiftning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419E6DBF8E344E588E7CB631556B2D0"/>
        </w:placeholder>
        <w:text/>
      </w:sdtPr>
      <w:sdtEndPr/>
      <w:sdtContent>
        <w:p w:rsidRPr="009B062B" w:rsidR="006D79C9" w:rsidP="00333E95" w:rsidRDefault="006D79C9" w14:paraId="2B6D07B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43499" w:rsidP="00472F09" w:rsidRDefault="00651231" w14:paraId="2765EB45" w14:textId="4543379B">
      <w:pPr>
        <w:pStyle w:val="Normalutanindragellerluft"/>
        <w:rPr>
          <w:sz w:val="22"/>
          <w:szCs w:val="22"/>
        </w:rPr>
      </w:pPr>
      <w:r>
        <w:t xml:space="preserve">Regeringens förslag till ny förverkandelagstiftning är välkommen och efterlängtad – det har länge funnits behov av en revidering och uppdatering av </w:t>
      </w:r>
      <w:r w:rsidR="008E0D5E">
        <w:t>förverkande</w:t>
      </w:r>
      <w:r>
        <w:t xml:space="preserve">lagstiftningen vad gäller såväl dess sammansättning som dess innehåll. </w:t>
      </w:r>
      <w:r w:rsidR="009C0234">
        <w:t>Centerpartiet är i stora drag positiv till förslaget, med följande förbehåll.</w:t>
      </w:r>
    </w:p>
    <w:p w:rsidRPr="00FA34BB" w:rsidR="00301A87" w:rsidP="00FA34BB" w:rsidRDefault="0023325F" w14:paraId="094CC8E7" w14:textId="352DB9D6">
      <w:pPr>
        <w:pStyle w:val="Rubrik2"/>
      </w:pPr>
      <w:r w:rsidRPr="00FA34BB">
        <w:t xml:space="preserve">Den grova </w:t>
      </w:r>
      <w:r w:rsidRPr="00FA34BB" w:rsidR="00301A87">
        <w:t>ekonomiska brottsligheten</w:t>
      </w:r>
      <w:r w:rsidRPr="00FA34BB">
        <w:t xml:space="preserve"> måste tas på allvar</w:t>
      </w:r>
    </w:p>
    <w:p w:rsidR="00F854EF" w:rsidP="00472F09" w:rsidRDefault="00E43499" w14:paraId="7CB2866E" w14:textId="2B8DBA91">
      <w:pPr>
        <w:pStyle w:val="Normalutanindragellerluft"/>
      </w:pPr>
      <w:r>
        <w:t xml:space="preserve">I </w:t>
      </w:r>
      <w:r w:rsidR="00910C52">
        <w:t>det utredningsbetänkande</w:t>
      </w:r>
      <w:r w:rsidR="00FA34BB">
        <w:t>, SOU 2001:100,</w:t>
      </w:r>
      <w:r w:rsidR="00910C52">
        <w:t xml:space="preserve"> som ligger till grund för </w:t>
      </w:r>
      <w:r>
        <w:t>propositionen</w:t>
      </w:r>
      <w:r w:rsidR="00FA34BB">
        <w:t xml:space="preserve">, </w:t>
      </w:r>
      <w:r>
        <w:t xml:space="preserve">föreslogs </w:t>
      </w:r>
      <w:r w:rsidR="002B33CA">
        <w:t xml:space="preserve">att </w:t>
      </w:r>
      <w:bookmarkStart w:name="_Hlk169647631" w:id="5"/>
      <w:r w:rsidR="008E4909">
        <w:t xml:space="preserve">även </w:t>
      </w:r>
      <w:r w:rsidR="002B33CA">
        <w:t>grovt bokföringsbrott, grovt penningtvättsbrott och</w:t>
      </w:r>
      <w:r w:rsidR="008E4909">
        <w:t xml:space="preserve"> </w:t>
      </w:r>
      <w:r w:rsidR="002B33CA">
        <w:t>näringspenning</w:t>
      </w:r>
      <w:r w:rsidR="00472F09">
        <w:softHyphen/>
      </w:r>
      <w:r w:rsidR="002B33CA">
        <w:t>tvätt, grovt brott</w:t>
      </w:r>
      <w:r w:rsidR="00B95DBC">
        <w:t xml:space="preserve">, skulle läggas till uppräkningen av brott </w:t>
      </w:r>
      <w:r w:rsidR="00E34513">
        <w:t xml:space="preserve">(s.k. listbrott) </w:t>
      </w:r>
      <w:r w:rsidR="00B95DBC">
        <w:t xml:space="preserve">som kan utlösa </w:t>
      </w:r>
      <w:r w:rsidRPr="00472F09" w:rsidR="00B95DBC">
        <w:rPr>
          <w:spacing w:val="-1"/>
        </w:rPr>
        <w:t>utvidgat förverkande</w:t>
      </w:r>
      <w:bookmarkEnd w:id="5"/>
      <w:r w:rsidRPr="00472F09" w:rsidR="009E2741">
        <w:rPr>
          <w:spacing w:val="-1"/>
        </w:rPr>
        <w:t xml:space="preserve"> enligt blivande 36 kap</w:t>
      </w:r>
      <w:r w:rsidRPr="00472F09" w:rsidR="000840E9">
        <w:rPr>
          <w:spacing w:val="-1"/>
        </w:rPr>
        <w:t>.</w:t>
      </w:r>
      <w:r w:rsidRPr="00472F09" w:rsidR="009E2741">
        <w:rPr>
          <w:spacing w:val="-1"/>
        </w:rPr>
        <w:t xml:space="preserve"> 6 § brottsbalken</w:t>
      </w:r>
      <w:r w:rsidRPr="00472F09" w:rsidR="00FA0170">
        <w:rPr>
          <w:spacing w:val="-1"/>
        </w:rPr>
        <w:t xml:space="preserve"> (BrB)</w:t>
      </w:r>
      <w:r w:rsidRPr="00472F09" w:rsidR="00301A87">
        <w:rPr>
          <w:spacing w:val="-1"/>
        </w:rPr>
        <w:t>.</w:t>
      </w:r>
      <w:r w:rsidRPr="00472F09" w:rsidR="00F854EF">
        <w:rPr>
          <w:spacing w:val="-1"/>
        </w:rPr>
        <w:t xml:space="preserve"> Som t.ex Ekobrotts</w:t>
      </w:r>
      <w:r w:rsidRPr="00472F09" w:rsidR="00472F09">
        <w:rPr>
          <w:spacing w:val="-1"/>
        </w:rPr>
        <w:softHyphen/>
      </w:r>
      <w:r w:rsidRPr="00472F09" w:rsidR="00F854EF">
        <w:rPr>
          <w:spacing w:val="-1"/>
        </w:rPr>
        <w:t>myndigheten</w:t>
      </w:r>
      <w:r w:rsidR="00F854EF">
        <w:t xml:space="preserve"> framhöll i sitt remissvar skulle förslag</w:t>
      </w:r>
      <w:r w:rsidR="008E4909">
        <w:t>et</w:t>
      </w:r>
      <w:r w:rsidR="00F854EF">
        <w:t xml:space="preserve"> bl.a. </w:t>
      </w:r>
      <w:r w:rsidR="00D22719">
        <w:t xml:space="preserve">vara ett välkommet tillskott för </w:t>
      </w:r>
      <w:r w:rsidR="00F854EF">
        <w:t xml:space="preserve">att </w:t>
      </w:r>
      <w:r w:rsidR="00D22719">
        <w:t xml:space="preserve">bl.a. </w:t>
      </w:r>
      <w:r w:rsidR="00F854EF">
        <w:t xml:space="preserve">minska utredningsinsatser för </w:t>
      </w:r>
      <w:r w:rsidR="008E4909">
        <w:t>grov ekonomisk brottslighet</w:t>
      </w:r>
      <w:r w:rsidR="00F854EF">
        <w:t>.</w:t>
      </w:r>
    </w:p>
    <w:p w:rsidR="008E0D5E" w:rsidP="00472F09" w:rsidRDefault="00301A87" w14:paraId="086251E6" w14:textId="4E3A26EF">
      <w:r>
        <w:t>Regeringen har dock valt att inte gå vidare med det förslaget, bl.a</w:t>
      </w:r>
      <w:r w:rsidR="00B14C76">
        <w:t>.</w:t>
      </w:r>
      <w:r>
        <w:t xml:space="preserve"> med motiveringen att </w:t>
      </w:r>
      <w:r w:rsidR="00B95DBC">
        <w:t xml:space="preserve">en sådan ändring skulle </w:t>
      </w:r>
      <w:r w:rsidR="00A36841">
        <w:t xml:space="preserve">göra bestämmelsen alltför </w:t>
      </w:r>
      <w:r w:rsidR="00B95DBC">
        <w:t xml:space="preserve">komplicerad. </w:t>
      </w:r>
      <w:r w:rsidR="00D22719">
        <w:t>I</w:t>
      </w:r>
      <w:r w:rsidR="000840E9">
        <w:t xml:space="preserve"> </w:t>
      </w:r>
      <w:r w:rsidR="00D22719">
        <w:t>stället anser r</w:t>
      </w:r>
      <w:r w:rsidR="00A36841">
        <w:t xml:space="preserve">egeringen att </w:t>
      </w:r>
      <w:r w:rsidR="00D22719">
        <w:t xml:space="preserve">det nya förslaget om </w:t>
      </w:r>
      <w:r w:rsidR="00B95DBC">
        <w:t>självständigt förverkande</w:t>
      </w:r>
      <w:r w:rsidR="009E2741">
        <w:t xml:space="preserve"> </w:t>
      </w:r>
      <w:r w:rsidR="00FA0170">
        <w:t>(</w:t>
      </w:r>
      <w:r w:rsidR="009E2741">
        <w:t>blivande 36 kap</w:t>
      </w:r>
      <w:r w:rsidR="000840E9">
        <w:t>.</w:t>
      </w:r>
      <w:r w:rsidR="009E2741">
        <w:t xml:space="preserve"> 5 § </w:t>
      </w:r>
      <w:r w:rsidR="00FA0170">
        <w:t>BrB)</w:t>
      </w:r>
      <w:r w:rsidR="00B95DBC">
        <w:t xml:space="preserve"> </w:t>
      </w:r>
      <w:r w:rsidR="00A36841">
        <w:t xml:space="preserve">ger </w:t>
      </w:r>
      <w:r w:rsidR="00B95DBC">
        <w:t xml:space="preserve">så pass stora och effektiva </w:t>
      </w:r>
      <w:r w:rsidR="00A36841">
        <w:t>möjligheter till förverkande</w:t>
      </w:r>
      <w:r w:rsidR="00FA0170">
        <w:t>,</w:t>
      </w:r>
      <w:r w:rsidR="00A36841">
        <w:t xml:space="preserve"> att någon </w:t>
      </w:r>
      <w:r w:rsidR="006125EA">
        <w:t>breddning</w:t>
      </w:r>
      <w:r w:rsidR="00A36841">
        <w:t xml:space="preserve"> av </w:t>
      </w:r>
      <w:r w:rsidR="00A36841">
        <w:lastRenderedPageBreak/>
        <w:t>bestämmelsen om utvidgat förverkande inte är nödvändig</w:t>
      </w:r>
      <w:r w:rsidR="00FA0170">
        <w:t xml:space="preserve">. Man framhåller också behovet av </w:t>
      </w:r>
      <w:r w:rsidR="006125EA">
        <w:t xml:space="preserve">enkla och tydliga </w:t>
      </w:r>
      <w:r w:rsidR="00B95DBC">
        <w:t>regler</w:t>
      </w:r>
      <w:r w:rsidR="006125EA">
        <w:t xml:space="preserve">, men samtidigt påpekar </w:t>
      </w:r>
      <w:r w:rsidR="008F5494">
        <w:t xml:space="preserve">bl.a. Lagrådet att den föreslagna regleringen </w:t>
      </w:r>
      <w:r w:rsidR="00FA0170">
        <w:t xml:space="preserve">om </w:t>
      </w:r>
      <w:r w:rsidR="008F5494">
        <w:t xml:space="preserve">självständigt förverkande präglas av ökad otydlighet, inte mindre. Att säkerställa en tydlig och lättillämpad lagstiftning är såklart en lovvärd ambition, som </w:t>
      </w:r>
      <w:r w:rsidR="006112FD">
        <w:t>Centerpartiet givetvis står bakom</w:t>
      </w:r>
      <w:r w:rsidR="003C06BC">
        <w:t>. Me</w:t>
      </w:r>
      <w:r w:rsidR="006112FD">
        <w:t xml:space="preserve">n att utesluta grov ekonomisk brottslighet från </w:t>
      </w:r>
      <w:r w:rsidR="003C06BC">
        <w:t>en central reglering</w:t>
      </w:r>
      <w:r w:rsidR="00DE7E1B">
        <w:t xml:space="preserve"> </w:t>
      </w:r>
      <w:r w:rsidR="006125EA">
        <w:t xml:space="preserve">som tar sikte på om </w:t>
      </w:r>
      <w:r w:rsidR="007F5D80">
        <w:t xml:space="preserve">brottsvinster från </w:t>
      </w:r>
      <w:r w:rsidR="006125EA">
        <w:t xml:space="preserve">organiserad brottslighet </w:t>
      </w:r>
      <w:r w:rsidR="00DE7E1B">
        <w:t xml:space="preserve">för </w:t>
      </w:r>
      <w:r w:rsidR="006112FD">
        <w:t>tydlighetens skull</w:t>
      </w:r>
      <w:r w:rsidR="00BF3BA2">
        <w:t>,</w:t>
      </w:r>
      <w:r w:rsidR="006112FD">
        <w:t xml:space="preserve"> samtidigt som man skapar en ny ännu otydligare </w:t>
      </w:r>
      <w:r w:rsidR="003C06BC">
        <w:t>reglering</w:t>
      </w:r>
      <w:r w:rsidR="000840E9">
        <w:t>,</w:t>
      </w:r>
      <w:r w:rsidR="006112FD">
        <w:t xml:space="preserve"> </w:t>
      </w:r>
      <w:r w:rsidR="007F5D80">
        <w:t xml:space="preserve">riskerar att skapa mer oreda. </w:t>
      </w:r>
      <w:r w:rsidR="00DE7E1B">
        <w:t xml:space="preserve">Det </w:t>
      </w:r>
      <w:r w:rsidR="00BF3BA2">
        <w:t xml:space="preserve">indikerar också att </w:t>
      </w:r>
      <w:r w:rsidR="006112FD">
        <w:t>regering</w:t>
      </w:r>
      <w:r w:rsidR="003C06BC">
        <w:t>en</w:t>
      </w:r>
      <w:r w:rsidR="006112FD">
        <w:t xml:space="preserve"> </w:t>
      </w:r>
      <w:r w:rsidR="00BF3BA2">
        <w:t xml:space="preserve">inte fullt förmår att </w:t>
      </w:r>
      <w:r w:rsidR="006112FD">
        <w:t xml:space="preserve">möta upp den stora utmaning och de omfattande risker </w:t>
      </w:r>
      <w:r w:rsidR="00DE7E1B">
        <w:t xml:space="preserve">som </w:t>
      </w:r>
      <w:r w:rsidR="006112FD">
        <w:t xml:space="preserve">den grova </w:t>
      </w:r>
      <w:r w:rsidR="003F3C99">
        <w:t>organiserade</w:t>
      </w:r>
      <w:r w:rsidR="00DE7E1B">
        <w:t xml:space="preserve"> </w:t>
      </w:r>
      <w:r w:rsidR="006112FD">
        <w:t>brottsligheten</w:t>
      </w:r>
      <w:r w:rsidR="003C06BC">
        <w:t xml:space="preserve"> utgör</w:t>
      </w:r>
      <w:r w:rsidR="00DE7E1B">
        <w:t xml:space="preserve">. Här måste mer göras. </w:t>
      </w:r>
    </w:p>
    <w:p w:rsidR="0023325F" w:rsidP="00472F09" w:rsidRDefault="00DE7E1B" w14:paraId="33ADD21F" w14:textId="13B17C97">
      <w:r>
        <w:t xml:space="preserve">Centerpartiet anser, i likhet med Ekobrottsmyndigheten, att </w:t>
      </w:r>
      <w:r w:rsidR="0023325F">
        <w:t>även grovt bokförings</w:t>
      </w:r>
      <w:r w:rsidR="00472F09">
        <w:softHyphen/>
      </w:r>
      <w:r w:rsidR="0023325F">
        <w:t xml:space="preserve">brott, grovt penningtvättsbrott och näringspenningtvätt, grovt brott, bör läggas till uppräkningen av brott som kan utlösa s.k. utvidgat förverkande. </w:t>
      </w:r>
      <w:r w:rsidR="008F4EB4">
        <w:t xml:space="preserve">En sådan ändring skulle också </w:t>
      </w:r>
      <w:r w:rsidR="00BF3BA2">
        <w:t xml:space="preserve">hjälpa </w:t>
      </w:r>
      <w:r w:rsidR="008F4EB4">
        <w:t xml:space="preserve">de brottsbekämpande myndigheterna att samordna resurser och förenkla utredningarna i komplexa ärenden. </w:t>
      </w:r>
      <w:r w:rsidR="00A73AD9">
        <w:t xml:space="preserve">Samordningsmöjligheterna vad gäller självständigt förverkande </w:t>
      </w:r>
      <w:r w:rsidR="004C6FB3">
        <w:t xml:space="preserve">med </w:t>
      </w:r>
      <w:r w:rsidR="00BF3BA2">
        <w:t xml:space="preserve">andra processer </w:t>
      </w:r>
      <w:r w:rsidR="004C6FB3">
        <w:t xml:space="preserve">inom ramen för brottsutredningar är heller inte så stora som regeringen verkar förutsätta. </w:t>
      </w:r>
      <w:r w:rsidR="0023325F">
        <w:t xml:space="preserve">Regeringen bör </w:t>
      </w:r>
      <w:r w:rsidR="004C6FB3">
        <w:t xml:space="preserve">därför </w:t>
      </w:r>
      <w:r w:rsidR="0023325F">
        <w:t>skyndsamt vidta de åtgärder som behövs för att genomföra utredningens förslag</w:t>
      </w:r>
      <w:r w:rsidR="004C6FB3">
        <w:t xml:space="preserve"> vad gäller </w:t>
      </w:r>
      <w:r w:rsidR="00552F3E">
        <w:t>breddningen</w:t>
      </w:r>
      <w:r w:rsidR="004C6FB3">
        <w:t xml:space="preserve"> av de s.k. listbrotten</w:t>
      </w:r>
      <w:r w:rsidR="00552F3E">
        <w:t xml:space="preserve"> vid utvidgat förverkande</w:t>
      </w:r>
      <w:r w:rsidR="0023325F">
        <w:t>.</w:t>
      </w:r>
      <w:r w:rsidR="004C6FB3">
        <w:t xml:space="preserve"> </w:t>
      </w:r>
    </w:p>
    <w:p w:rsidRPr="003D6ABB" w:rsidR="00D83B55" w:rsidP="003D6ABB" w:rsidRDefault="00296A6C" w14:paraId="40C6312F" w14:textId="18D73679">
      <w:pPr>
        <w:pStyle w:val="Rubrik2"/>
      </w:pPr>
      <w:r w:rsidRPr="003D6ABB">
        <w:t>Rättssäkerhetsgarantier</w:t>
      </w:r>
    </w:p>
    <w:p w:rsidR="001D5B24" w:rsidP="00472F09" w:rsidRDefault="00D83B55" w14:paraId="0220AD4B" w14:textId="152EBD08">
      <w:pPr>
        <w:pStyle w:val="Normalutanindragellerluft"/>
      </w:pPr>
      <w:r>
        <w:t>Som Justitieombudsmannen (JO</w:t>
      </w:r>
      <w:r w:rsidR="00296A6C">
        <w:t>)</w:t>
      </w:r>
      <w:r>
        <w:t xml:space="preserve"> konstaterar</w:t>
      </w:r>
      <w:r w:rsidR="00BF3BA2">
        <w:t xml:space="preserve"> i sitt remissvar</w:t>
      </w:r>
      <w:r>
        <w:t xml:space="preserve"> innebär f</w:t>
      </w:r>
      <w:r w:rsidR="0028766B">
        <w:t>örslaget om själv</w:t>
      </w:r>
      <w:r w:rsidR="00472F09">
        <w:softHyphen/>
      </w:r>
      <w:r w:rsidR="0028766B">
        <w:t>ständigt f</w:t>
      </w:r>
      <w:r>
        <w:t>ör</w:t>
      </w:r>
      <w:r w:rsidR="0028766B">
        <w:t xml:space="preserve">verkande en </w:t>
      </w:r>
      <w:r w:rsidR="00BF3BA2">
        <w:t xml:space="preserve">påtaglig </w:t>
      </w:r>
      <w:r w:rsidR="0028766B">
        <w:t>risk för intrång i den personliga integriteten</w:t>
      </w:r>
      <w:r w:rsidR="00552F3E">
        <w:t xml:space="preserve"> – särskilt</w:t>
      </w:r>
      <w:r w:rsidR="0028766B">
        <w:t xml:space="preserve"> f</w:t>
      </w:r>
      <w:r>
        <w:t>ö</w:t>
      </w:r>
      <w:r w:rsidR="0028766B">
        <w:t>r den som, utan att vara misstänkt för brott, blir föremål f</w:t>
      </w:r>
      <w:r>
        <w:t>ör</w:t>
      </w:r>
      <w:r w:rsidR="0028766B">
        <w:t xml:space="preserve"> en utredning </w:t>
      </w:r>
      <w:r w:rsidR="00552F3E">
        <w:t xml:space="preserve">som </w:t>
      </w:r>
      <w:r w:rsidR="001816A5">
        <w:t xml:space="preserve">i stort sett kommer </w:t>
      </w:r>
      <w:r w:rsidR="000840E9">
        <w:t xml:space="preserve">att </w:t>
      </w:r>
      <w:r w:rsidR="0028766B">
        <w:t xml:space="preserve">bedrivas på samma sätt som en förundersökning om brott. </w:t>
      </w:r>
      <w:r>
        <w:t xml:space="preserve">För att kunna motivera sådana </w:t>
      </w:r>
      <w:r w:rsidR="0028766B">
        <w:t xml:space="preserve">långtgående åtgärder </w:t>
      </w:r>
      <w:r>
        <w:t xml:space="preserve">måste de vara </w:t>
      </w:r>
      <w:r w:rsidR="0028766B">
        <w:t>nödvändiga och proportionerliga.</w:t>
      </w:r>
      <w:r>
        <w:t xml:space="preserve"> </w:t>
      </w:r>
      <w:r w:rsidRPr="00472F09">
        <w:rPr>
          <w:spacing w:val="-1"/>
        </w:rPr>
        <w:t xml:space="preserve">JO framhåller att </w:t>
      </w:r>
      <w:r w:rsidRPr="00472F09" w:rsidR="004529C9">
        <w:rPr>
          <w:spacing w:val="-1"/>
        </w:rPr>
        <w:t xml:space="preserve">förslaget brister i </w:t>
      </w:r>
      <w:r w:rsidRPr="00472F09" w:rsidR="0028766B">
        <w:rPr>
          <w:spacing w:val="-1"/>
        </w:rPr>
        <w:t>analys</w:t>
      </w:r>
      <w:r w:rsidRPr="00472F09" w:rsidR="004529C9">
        <w:rPr>
          <w:spacing w:val="-1"/>
        </w:rPr>
        <w:t xml:space="preserve"> i </w:t>
      </w:r>
      <w:r w:rsidRPr="00472F09" w:rsidR="00C47F20">
        <w:rPr>
          <w:spacing w:val="-1"/>
        </w:rPr>
        <w:t xml:space="preserve">såväl </w:t>
      </w:r>
      <w:r w:rsidRPr="00472F09" w:rsidR="004529C9">
        <w:rPr>
          <w:spacing w:val="-1"/>
        </w:rPr>
        <w:t>dessa aspekter</w:t>
      </w:r>
      <w:r w:rsidRPr="00472F09" w:rsidR="0028766B">
        <w:rPr>
          <w:spacing w:val="-1"/>
        </w:rPr>
        <w:t xml:space="preserve"> </w:t>
      </w:r>
      <w:r w:rsidRPr="00472F09" w:rsidR="00C47F20">
        <w:rPr>
          <w:spacing w:val="-1"/>
        </w:rPr>
        <w:t xml:space="preserve">som </w:t>
      </w:r>
      <w:r w:rsidRPr="00472F09" w:rsidR="0028766B">
        <w:rPr>
          <w:spacing w:val="-1"/>
        </w:rPr>
        <w:t>ur ett rättssäker</w:t>
      </w:r>
      <w:r w:rsidRPr="00472F09" w:rsidR="00472F09">
        <w:rPr>
          <w:spacing w:val="-1"/>
        </w:rPr>
        <w:softHyphen/>
      </w:r>
      <w:r w:rsidRPr="00472F09" w:rsidR="0028766B">
        <w:rPr>
          <w:spacing w:val="-1"/>
        </w:rPr>
        <w:t>hets</w:t>
      </w:r>
      <w:r w:rsidRPr="00472F09" w:rsidR="00472F09">
        <w:rPr>
          <w:spacing w:val="-1"/>
        </w:rPr>
        <w:softHyphen/>
      </w:r>
      <w:r w:rsidRPr="00472F09" w:rsidR="0028766B">
        <w:rPr>
          <w:spacing w:val="-1"/>
        </w:rPr>
        <w:t>perspektiv</w:t>
      </w:r>
      <w:r w:rsidR="00296A6C">
        <w:t xml:space="preserve"> och</w:t>
      </w:r>
      <w:r w:rsidR="00C47F20">
        <w:t xml:space="preserve"> </w:t>
      </w:r>
      <w:r w:rsidR="00296A6C">
        <w:t>anser</w:t>
      </w:r>
      <w:r w:rsidR="00C47F20">
        <w:t xml:space="preserve"> också att </w:t>
      </w:r>
      <w:r w:rsidR="0028766B">
        <w:t xml:space="preserve">de rättssäkerhetsgarantier som utredningen presenterat </w:t>
      </w:r>
      <w:r w:rsidR="004529C9">
        <w:t xml:space="preserve">är </w:t>
      </w:r>
      <w:r w:rsidR="0028766B">
        <w:t xml:space="preserve">otillräckliga. </w:t>
      </w:r>
      <w:r w:rsidR="00927DD7">
        <w:t xml:space="preserve">Även Lagrådet uttrycker oro över huruvida </w:t>
      </w:r>
      <w:r w:rsidR="0028766B">
        <w:t>f</w:t>
      </w:r>
      <w:r w:rsidR="006418C5">
        <w:t>ör</w:t>
      </w:r>
      <w:r w:rsidR="0028766B">
        <w:t>slaget är f</w:t>
      </w:r>
      <w:r w:rsidR="006418C5">
        <w:t>ör</w:t>
      </w:r>
      <w:r w:rsidR="0028766B">
        <w:t>enligt med rätten till f</w:t>
      </w:r>
      <w:r w:rsidR="00F453E0">
        <w:t>ör</w:t>
      </w:r>
      <w:r w:rsidR="0028766B">
        <w:t>utsebarhet och rättssäkerhet som kommer till uttryck genom retroaktivitets</w:t>
      </w:r>
      <w:r w:rsidR="00472F09">
        <w:softHyphen/>
      </w:r>
      <w:r w:rsidR="0028766B">
        <w:t>f</w:t>
      </w:r>
      <w:r w:rsidR="006418C5">
        <w:t>ör</w:t>
      </w:r>
      <w:r w:rsidR="0028766B">
        <w:t xml:space="preserve">budet i 2 kap. 10 § RF. </w:t>
      </w:r>
      <w:r w:rsidR="00932027">
        <w:t xml:space="preserve"> Lagrådet </w:t>
      </w:r>
      <w:r w:rsidR="00057F66">
        <w:t xml:space="preserve">lyfter också fram </w:t>
      </w:r>
      <w:r w:rsidR="00AF5E53">
        <w:t xml:space="preserve">att trots att </w:t>
      </w:r>
      <w:r w:rsidR="001816A5">
        <w:t xml:space="preserve">det uttalade syftet med </w:t>
      </w:r>
      <w:r w:rsidR="00932027">
        <w:t>förslaget</w:t>
      </w:r>
      <w:r w:rsidR="00057F66">
        <w:t xml:space="preserve"> </w:t>
      </w:r>
      <w:r w:rsidR="001816A5">
        <w:t>är</w:t>
      </w:r>
      <w:r w:rsidR="009639C6">
        <w:t xml:space="preserve"> att </w:t>
      </w:r>
      <w:r w:rsidR="00057F66">
        <w:t xml:space="preserve">skapa en tydligare </w:t>
      </w:r>
      <w:r w:rsidR="00932027">
        <w:t xml:space="preserve">och mera enhetlig utformning, </w:t>
      </w:r>
      <w:r w:rsidR="00AF5E53">
        <w:t xml:space="preserve">präglas </w:t>
      </w:r>
      <w:r w:rsidR="009639C6">
        <w:t xml:space="preserve">det </w:t>
      </w:r>
      <w:r w:rsidR="001816A5">
        <w:t xml:space="preserve">till alltför stor del </w:t>
      </w:r>
      <w:r w:rsidR="009639C6">
        <w:t xml:space="preserve">av </w:t>
      </w:r>
      <w:r w:rsidR="000E7E1D">
        <w:t xml:space="preserve">ett </w:t>
      </w:r>
      <w:r w:rsidR="001816A5">
        <w:t xml:space="preserve">ensidigt </w:t>
      </w:r>
      <w:r w:rsidR="00932027">
        <w:t xml:space="preserve">intresse av att </w:t>
      </w:r>
      <w:r w:rsidR="000E7E1D">
        <w:t xml:space="preserve">tillhandahålla flexibla instrument till </w:t>
      </w:r>
      <w:r w:rsidR="00932027">
        <w:t>de brotts</w:t>
      </w:r>
      <w:r w:rsidR="00472F09">
        <w:softHyphen/>
      </w:r>
      <w:r w:rsidR="00932027">
        <w:t xml:space="preserve">bekämpande myndigheterna </w:t>
      </w:r>
      <w:r w:rsidR="000E7E1D">
        <w:t>på bekostnad av andra intressen</w:t>
      </w:r>
      <w:r w:rsidR="003D6ABB">
        <w:t xml:space="preserve"> såsom integritet och rätts</w:t>
      </w:r>
      <w:r w:rsidR="00472F09">
        <w:softHyphen/>
      </w:r>
      <w:r w:rsidR="003D6ABB">
        <w:t>säkerhet</w:t>
      </w:r>
      <w:r w:rsidR="00932027">
        <w:t xml:space="preserve">. </w:t>
      </w:r>
      <w:r w:rsidR="000E7E1D">
        <w:t xml:space="preserve">Samtidigt </w:t>
      </w:r>
      <w:r w:rsidR="00192088">
        <w:t xml:space="preserve">skapar </w:t>
      </w:r>
      <w:r w:rsidR="000E7E1D">
        <w:t>d</w:t>
      </w:r>
      <w:r w:rsidR="00932027">
        <w:t>en föreslagna regleringen</w:t>
      </w:r>
      <w:r w:rsidR="008B188E">
        <w:t>,</w:t>
      </w:r>
      <w:r w:rsidR="00932027">
        <w:t xml:space="preserve"> </w:t>
      </w:r>
      <w:r w:rsidR="008B188E">
        <w:t xml:space="preserve">till inte obetydliga delar, </w:t>
      </w:r>
      <w:r w:rsidR="00932027">
        <w:t>snara</w:t>
      </w:r>
      <w:r w:rsidR="000E7E1D">
        <w:t>re</w:t>
      </w:r>
      <w:r w:rsidR="00932027">
        <w:t xml:space="preserve"> ökad</w:t>
      </w:r>
      <w:r w:rsidR="00192088">
        <w:t xml:space="preserve"> </w:t>
      </w:r>
      <w:r w:rsidR="00932027">
        <w:t>otydlighet kring förutsättningarna för förverkande</w:t>
      </w:r>
      <w:r w:rsidR="00192088">
        <w:t xml:space="preserve"> än nuvarande reglering</w:t>
      </w:r>
      <w:r w:rsidR="00932027">
        <w:t xml:space="preserve">. </w:t>
      </w:r>
      <w:r w:rsidR="00192088">
        <w:t xml:space="preserve">Denna otydlighet innebär en uppenbar risk för att </w:t>
      </w:r>
      <w:r w:rsidR="00932027">
        <w:t>rättstillämpningen inte blir enhetlig</w:t>
      </w:r>
      <w:r w:rsidR="003D6ABB">
        <w:t xml:space="preserve"> och att </w:t>
      </w:r>
      <w:r w:rsidR="000840E9">
        <w:t xml:space="preserve">en </w:t>
      </w:r>
      <w:r w:rsidRPr="00472F09" w:rsidR="003D6ABB">
        <w:rPr>
          <w:spacing w:val="-1"/>
        </w:rPr>
        <w:t>alltför stor börda kommer att läggas på domstolarna att utarbeta lagstiftningens egentliga</w:t>
      </w:r>
      <w:r w:rsidR="003D6ABB">
        <w:t xml:space="preserve"> innebörd. </w:t>
      </w:r>
      <w:r w:rsidR="00192088">
        <w:t xml:space="preserve">Lagrådet konstaterar att de </w:t>
      </w:r>
      <w:r w:rsidR="00932027">
        <w:t xml:space="preserve">brottsbekämpande myndigheternas intresse av flexibla regler </w:t>
      </w:r>
      <w:r w:rsidR="00192088">
        <w:t xml:space="preserve">inte </w:t>
      </w:r>
      <w:r w:rsidR="00932027">
        <w:t xml:space="preserve">får gå ut över den enskildes behov av en tydlig </w:t>
      </w:r>
      <w:r w:rsidR="00192088">
        <w:t xml:space="preserve">och förutsebar </w:t>
      </w:r>
      <w:r w:rsidR="00932027">
        <w:t>lag</w:t>
      </w:r>
      <w:r w:rsidR="00472F09">
        <w:softHyphen/>
      </w:r>
      <w:r w:rsidR="00932027">
        <w:t>stiftning</w:t>
      </w:r>
      <w:r w:rsidR="00192088">
        <w:t xml:space="preserve"> och att </w:t>
      </w:r>
      <w:r w:rsidR="00932027">
        <w:t xml:space="preserve">innebörden </w:t>
      </w:r>
      <w:r w:rsidR="00192088">
        <w:t xml:space="preserve">av </w:t>
      </w:r>
      <w:r w:rsidR="00932027">
        <w:t xml:space="preserve">regleringen </w:t>
      </w:r>
      <w:r w:rsidR="00192088">
        <w:t xml:space="preserve">därför behöver </w:t>
      </w:r>
      <w:r w:rsidR="00932027">
        <w:t xml:space="preserve">tydliggöras i flera </w:t>
      </w:r>
      <w:r w:rsidR="00192088">
        <w:t>a</w:t>
      </w:r>
      <w:r w:rsidR="00932027">
        <w:t>vseenden.</w:t>
      </w:r>
      <w:r w:rsidR="00192088">
        <w:t xml:space="preserve"> </w:t>
      </w:r>
      <w:r w:rsidR="00B3301C">
        <w:t xml:space="preserve">För Centerpartiet är det uppenbart att detta </w:t>
      </w:r>
      <w:r w:rsidR="00192088">
        <w:t xml:space="preserve">ansvar inte </w:t>
      </w:r>
      <w:r w:rsidR="00B3301C">
        <w:t xml:space="preserve">kan </w:t>
      </w:r>
      <w:r w:rsidR="00192088">
        <w:t xml:space="preserve">överlämnas till domstolar och rättsvårdande myndigheter att </w:t>
      </w:r>
      <w:r w:rsidR="00634A1C">
        <w:t>klargöra, utan är ett ansvar som vilar på</w:t>
      </w:r>
      <w:r w:rsidR="00B3301C">
        <w:t xml:space="preserve"> regeringen</w:t>
      </w:r>
      <w:r w:rsidR="00634A1C">
        <w:t xml:space="preserve">. Regeringen måste därför skyndsamt utreda och åtgärda denna problematik </w:t>
      </w:r>
      <w:r w:rsidR="008B188E">
        <w:t xml:space="preserve">och dessa oklarheter </w:t>
      </w:r>
      <w:r w:rsidR="00634A1C">
        <w:t xml:space="preserve">för att säkerställa att den nya förverkandelagstiftningen får den effekt som </w:t>
      </w:r>
      <w:r w:rsidR="00634A1C">
        <w:lastRenderedPageBreak/>
        <w:t>avses</w:t>
      </w:r>
      <w:r w:rsidR="00B3301C">
        <w:t xml:space="preserve"> och på så sätt blir ett användbart, ändamålsenligt och rättssäkert verktyg i kampen mot den grova organiserade brottsligheten.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6516094B8E084464974C6AFED1A5EA17"/>
        </w:placeholder>
      </w:sdtPr>
      <w:sdtEndPr/>
      <w:sdtContent>
        <w:p w:rsidR="004B5A6B" w:rsidP="004B5A6B" w:rsidRDefault="004B5A6B" w14:paraId="584346F6" w14:textId="77777777"/>
        <w:p w:rsidRPr="008E0FE2" w:rsidR="004801AC" w:rsidP="004B5A6B" w:rsidRDefault="00472F09" w14:paraId="5CC1ADF8" w14:textId="240CDA8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3177" w14:paraId="51749DDB" w14:textId="77777777">
        <w:trPr>
          <w:cantSplit/>
        </w:trPr>
        <w:tc>
          <w:tcPr>
            <w:tcW w:w="50" w:type="pct"/>
            <w:vAlign w:val="bottom"/>
          </w:tcPr>
          <w:p w:rsidR="003F3177" w:rsidRDefault="000840E9" w14:paraId="442224DB" w14:textId="77777777">
            <w:pPr>
              <w:pStyle w:val="Underskrifter"/>
              <w:spacing w:after="0"/>
            </w:pPr>
            <w:r>
              <w:t>Ulrika Liljeberg (C)</w:t>
            </w:r>
          </w:p>
        </w:tc>
        <w:tc>
          <w:tcPr>
            <w:tcW w:w="50" w:type="pct"/>
            <w:vAlign w:val="bottom"/>
          </w:tcPr>
          <w:p w:rsidR="003F3177" w:rsidRDefault="003F3177" w14:paraId="6CECBF52" w14:textId="77777777">
            <w:pPr>
              <w:pStyle w:val="Underskrifter"/>
              <w:spacing w:after="0"/>
            </w:pPr>
          </w:p>
        </w:tc>
      </w:tr>
      <w:tr w:rsidR="003F3177" w14:paraId="66042D7E" w14:textId="77777777">
        <w:trPr>
          <w:cantSplit/>
        </w:trPr>
        <w:tc>
          <w:tcPr>
            <w:tcW w:w="50" w:type="pct"/>
            <w:vAlign w:val="bottom"/>
          </w:tcPr>
          <w:p w:rsidR="003F3177" w:rsidRDefault="000840E9" w14:paraId="01D8B826" w14:textId="77777777">
            <w:pPr>
              <w:pStyle w:val="Underskrifter"/>
              <w:spacing w:after="0"/>
            </w:pPr>
            <w:r>
              <w:t>Malin Björk (C)</w:t>
            </w:r>
          </w:p>
        </w:tc>
        <w:tc>
          <w:tcPr>
            <w:tcW w:w="50" w:type="pct"/>
            <w:vAlign w:val="bottom"/>
          </w:tcPr>
          <w:p w:rsidR="003F3177" w:rsidRDefault="000840E9" w14:paraId="721D3842" w14:textId="77777777">
            <w:pPr>
              <w:pStyle w:val="Underskrifter"/>
              <w:spacing w:after="0"/>
            </w:pPr>
            <w:r>
              <w:t>Helena Vilhelmsson (C)</w:t>
            </w:r>
          </w:p>
        </w:tc>
      </w:tr>
    </w:tbl>
    <w:p w:rsidR="00D47628" w:rsidRDefault="00D47628" w14:paraId="435470A6" w14:textId="77777777"/>
    <w:sectPr w:rsidR="00D4762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AC502" w14:textId="77777777" w:rsidR="00000C52" w:rsidRDefault="00000C52" w:rsidP="000C1CAD">
      <w:pPr>
        <w:spacing w:line="240" w:lineRule="auto"/>
      </w:pPr>
      <w:r>
        <w:separator/>
      </w:r>
    </w:p>
  </w:endnote>
  <w:endnote w:type="continuationSeparator" w:id="0">
    <w:p w14:paraId="5317D191" w14:textId="77777777" w:rsidR="00000C52" w:rsidRDefault="00000C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CD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2E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3449" w14:textId="05C1BC92" w:rsidR="00262EA3" w:rsidRPr="004B5A6B" w:rsidRDefault="00262EA3" w:rsidP="004B5A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6869" w14:textId="77777777" w:rsidR="00000C52" w:rsidRDefault="00000C52" w:rsidP="000C1CAD">
      <w:pPr>
        <w:spacing w:line="240" w:lineRule="auto"/>
      </w:pPr>
      <w:r>
        <w:separator/>
      </w:r>
    </w:p>
  </w:footnote>
  <w:footnote w:type="continuationSeparator" w:id="0">
    <w:p w14:paraId="29496797" w14:textId="77777777" w:rsidR="00000C52" w:rsidRDefault="00000C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BA5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3A9936" wp14:editId="7114A2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95EFC" w14:textId="3F260C54" w:rsidR="00262EA3" w:rsidRDefault="00472F0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5AD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A993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A95EFC" w14:textId="3F260C54" w:rsidR="00262EA3" w:rsidRDefault="00472F0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5AD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509D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E605" w14:textId="77777777" w:rsidR="00262EA3" w:rsidRDefault="00262EA3" w:rsidP="008563AC">
    <w:pPr>
      <w:jc w:val="right"/>
    </w:pPr>
  </w:p>
  <w:p w14:paraId="7BDD1F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3E15" w14:textId="77777777" w:rsidR="00262EA3" w:rsidRDefault="00472F0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A17832" wp14:editId="308CF5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8C6600" w14:textId="3C2C46F6" w:rsidR="00262EA3" w:rsidRDefault="00472F0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5A6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5AD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231D495" w14:textId="77777777" w:rsidR="00262EA3" w:rsidRPr="008227B3" w:rsidRDefault="00472F0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B53604" w14:textId="03A6783E" w:rsidR="00262EA3" w:rsidRPr="008227B3" w:rsidRDefault="00472F0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A6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5A6B">
          <w:t>:2921</w:t>
        </w:r>
      </w:sdtContent>
    </w:sdt>
  </w:p>
  <w:p w14:paraId="1EE601C9" w14:textId="4EE99E39" w:rsidR="00262EA3" w:rsidRDefault="00472F0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4B5A6B">
          <w:t>av Ulrika Liljeberg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8B47400102242049E1583255A91BF36"/>
      </w:placeholder>
      <w:text/>
    </w:sdtPr>
    <w:sdtEndPr/>
    <w:sdtContent>
      <w:p w14:paraId="78DF36AF" w14:textId="3C94C1D8" w:rsidR="00262EA3" w:rsidRDefault="003B6B8C" w:rsidP="00283E0F">
        <w:pPr>
          <w:pStyle w:val="FSHRub2"/>
        </w:pPr>
        <w:r>
          <w:t>med anledning av prop. 2023/24:144 En ny förverkandelagstiftning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641E06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95ADF"/>
    <w:rsid w:val="000000E0"/>
    <w:rsid w:val="00000761"/>
    <w:rsid w:val="00000C52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1C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F66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547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0E9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E1D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6A5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088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B24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25F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66B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A6C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CA"/>
    <w:rsid w:val="002B33E4"/>
    <w:rsid w:val="002B375C"/>
    <w:rsid w:val="002B3E98"/>
    <w:rsid w:val="002B62C9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8B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A87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073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B8C"/>
    <w:rsid w:val="003B7796"/>
    <w:rsid w:val="003C06BC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ABB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177"/>
    <w:rsid w:val="003F3C99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9C9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2F09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A6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FB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2F3E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4BF"/>
    <w:rsid w:val="006108D0"/>
    <w:rsid w:val="00611260"/>
    <w:rsid w:val="006112FD"/>
    <w:rsid w:val="0061176B"/>
    <w:rsid w:val="006119A5"/>
    <w:rsid w:val="006125EA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A1C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8C5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231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4CE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2DF1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D80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AD7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188E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5E"/>
    <w:rsid w:val="008E0FE2"/>
    <w:rsid w:val="008E1B42"/>
    <w:rsid w:val="008E26ED"/>
    <w:rsid w:val="008E2C46"/>
    <w:rsid w:val="008E33D1"/>
    <w:rsid w:val="008E41BD"/>
    <w:rsid w:val="008E46E9"/>
    <w:rsid w:val="008E490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EB4"/>
    <w:rsid w:val="008F5117"/>
    <w:rsid w:val="008F5494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C52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D7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027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9C6"/>
    <w:rsid w:val="00964828"/>
    <w:rsid w:val="00965ED6"/>
    <w:rsid w:val="0096633E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234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74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41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AD9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E53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46B"/>
    <w:rsid w:val="00B109A9"/>
    <w:rsid w:val="00B10DEF"/>
    <w:rsid w:val="00B112C4"/>
    <w:rsid w:val="00B1172B"/>
    <w:rsid w:val="00B11C78"/>
    <w:rsid w:val="00B120BF"/>
    <w:rsid w:val="00B133E6"/>
    <w:rsid w:val="00B142B9"/>
    <w:rsid w:val="00B14C76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01C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DBC"/>
    <w:rsid w:val="00B96246"/>
    <w:rsid w:val="00B968D9"/>
    <w:rsid w:val="00B96D9C"/>
    <w:rsid w:val="00B9785B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BA2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F20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719"/>
    <w:rsid w:val="00D22922"/>
    <w:rsid w:val="00D2384D"/>
    <w:rsid w:val="00D23B5C"/>
    <w:rsid w:val="00D24C75"/>
    <w:rsid w:val="00D26C5C"/>
    <w:rsid w:val="00D27684"/>
    <w:rsid w:val="00D27FA7"/>
    <w:rsid w:val="00D30098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628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B55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E1B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513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499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3E0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4EF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ADF"/>
    <w:rsid w:val="00F960A6"/>
    <w:rsid w:val="00F960DC"/>
    <w:rsid w:val="00F96272"/>
    <w:rsid w:val="00F962A3"/>
    <w:rsid w:val="00F96563"/>
    <w:rsid w:val="00F96E32"/>
    <w:rsid w:val="00F9776D"/>
    <w:rsid w:val="00FA0170"/>
    <w:rsid w:val="00FA05DC"/>
    <w:rsid w:val="00FA16DC"/>
    <w:rsid w:val="00FA17D9"/>
    <w:rsid w:val="00FA1D00"/>
    <w:rsid w:val="00FA1FBF"/>
    <w:rsid w:val="00FA2425"/>
    <w:rsid w:val="00FA30BF"/>
    <w:rsid w:val="00FA338F"/>
    <w:rsid w:val="00FA34BB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BB2D61"/>
  <w15:chartTrackingRefBased/>
  <w15:docId w15:val="{2DF8430E-551C-44F4-82DB-BE63EA34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8453151C664ADB921B6DCDC1A09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86422-8953-4827-B9D3-7D2F0356A07B}"/>
      </w:docPartPr>
      <w:docPartBody>
        <w:p w:rsidR="00846E01" w:rsidRDefault="005664EB">
          <w:pPr>
            <w:pStyle w:val="628453151C664ADB921B6DCDC1A098D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19E6DBF8E344E588E7CB631556B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7A365-953D-4905-B7F5-C4763D1EDD04}"/>
      </w:docPartPr>
      <w:docPartBody>
        <w:p w:rsidR="00846E01" w:rsidRDefault="005664EB">
          <w:pPr>
            <w:pStyle w:val="E419E6DBF8E344E588E7CB631556B2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9E2F4-3B20-4951-9980-CB0251C982D2}"/>
      </w:docPartPr>
      <w:docPartBody>
        <w:p w:rsidR="00846E01" w:rsidRDefault="00DD1A10">
          <w:r w:rsidRPr="00CF276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8B47400102242049E1583255A91B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95F43-E861-457D-B64A-B4EE23E9721E}"/>
      </w:docPartPr>
      <w:docPartBody>
        <w:p w:rsidR="00846E01" w:rsidRDefault="00DD1A10">
          <w:r w:rsidRPr="00CF2766">
            <w:rPr>
              <w:rStyle w:val="Platshllartext"/>
            </w:rPr>
            <w:t>[ange din text här]</w:t>
          </w:r>
        </w:p>
      </w:docPartBody>
    </w:docPart>
    <w:docPart>
      <w:docPartPr>
        <w:name w:val="6516094B8E084464974C6AFED1A5E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FB964-39D9-44B3-B1DF-561D5657B6E3}"/>
      </w:docPartPr>
      <w:docPartBody>
        <w:p w:rsidR="00B25B74" w:rsidRDefault="00B25B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10"/>
    <w:rsid w:val="005664EB"/>
    <w:rsid w:val="006E17E0"/>
    <w:rsid w:val="00846E01"/>
    <w:rsid w:val="00B25B74"/>
    <w:rsid w:val="00D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1A10"/>
    <w:rPr>
      <w:color w:val="F4B083" w:themeColor="accent2" w:themeTint="99"/>
    </w:rPr>
  </w:style>
  <w:style w:type="paragraph" w:customStyle="1" w:styleId="628453151C664ADB921B6DCDC1A098DC">
    <w:name w:val="628453151C664ADB921B6DCDC1A098DC"/>
  </w:style>
  <w:style w:type="paragraph" w:customStyle="1" w:styleId="E419E6DBF8E344E588E7CB631556B2D0">
    <w:name w:val="E419E6DBF8E344E588E7CB631556B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806d8f82bd1e3906c6bafdaa23519cf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3eb5f714692b3807142a40002655ca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38F917-926C-4652-9C8A-1DEA55147961}"/>
</file>

<file path=customXml/itemProps2.xml><?xml version="1.0" encoding="utf-8"?>
<ds:datastoreItem xmlns:ds="http://schemas.openxmlformats.org/officeDocument/2006/customXml" ds:itemID="{AFD7E2EC-81FB-4EBC-A3CF-AF9E43DAB351}"/>
</file>

<file path=customXml/itemProps3.xml><?xml version="1.0" encoding="utf-8"?>
<ds:datastoreItem xmlns:ds="http://schemas.openxmlformats.org/officeDocument/2006/customXml" ds:itemID="{3846D4CD-BFC3-43A3-9A4C-2E3D90257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772</Words>
  <Characters>4832</Characters>
  <Application>Microsoft Office Word</Application>
  <DocSecurity>0</DocSecurity>
  <Lines>84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 2023 24 144 En ny förverkandelagstiftning</vt:lpstr>
      <vt:lpstr>
      </vt:lpstr>
    </vt:vector>
  </TitlesOfParts>
  <Company>Sveriges riksdag</Company>
  <LinksUpToDate>false</LinksUpToDate>
  <CharactersWithSpaces>5588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