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57FC" w14:textId="77777777" w:rsidR="007B55DB" w:rsidRDefault="007B55DB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337AAC8A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E1052F">
              <w:rPr>
                <w:b/>
              </w:rPr>
              <w:t>6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EDFCE57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442DA1">
              <w:t>2</w:t>
            </w:r>
            <w:r>
              <w:t>-</w:t>
            </w:r>
            <w:r w:rsidR="000D5599">
              <w:t>1</w:t>
            </w:r>
            <w:r w:rsidR="00E1052F">
              <w:t>9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229F4938" w:rsidR="00631CFE" w:rsidRPr="00EB5651" w:rsidRDefault="000D5599" w:rsidP="002F3121">
            <w:pPr>
              <w:rPr>
                <w:szCs w:val="24"/>
              </w:rPr>
            </w:pPr>
            <w:r>
              <w:t>1</w:t>
            </w:r>
            <w:r w:rsidR="00E1052F">
              <w:t>0</w:t>
            </w:r>
            <w:r w:rsidR="000B7DD3">
              <w:t>.</w:t>
            </w:r>
            <w:r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E1052F">
              <w:rPr>
                <w:szCs w:val="24"/>
              </w:rPr>
              <w:t>0</w:t>
            </w:r>
            <w:r w:rsidR="00D20EB8" w:rsidRPr="00003487">
              <w:rPr>
                <w:szCs w:val="24"/>
              </w:rPr>
              <w:t>.</w:t>
            </w:r>
            <w:r w:rsidR="00862296" w:rsidRPr="00862296">
              <w:rPr>
                <w:szCs w:val="24"/>
              </w:rPr>
              <w:t>55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62296" w:rsidRPr="00213B15" w14:paraId="637F6E36" w14:textId="77777777" w:rsidTr="002F3121">
        <w:tc>
          <w:tcPr>
            <w:tcW w:w="567" w:type="dxa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65CB9B64" w14:textId="77777777" w:rsidR="00862296" w:rsidRDefault="00862296" w:rsidP="0086229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4F15277D" w14:textId="77777777" w:rsidR="00862296" w:rsidRDefault="00862296" w:rsidP="00862296">
            <w:pPr>
              <w:tabs>
                <w:tab w:val="left" w:pos="1701"/>
              </w:tabs>
              <w:rPr>
                <w:b/>
              </w:rPr>
            </w:pPr>
          </w:p>
          <w:p w14:paraId="7998D048" w14:textId="1132B0DF" w:rsidR="00862296" w:rsidRPr="000B3CE3" w:rsidRDefault="00862296" w:rsidP="0086229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tre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>
              <w:rPr>
                <w:bCs/>
                <w:snapToGrid w:val="0"/>
                <w:szCs w:val="24"/>
              </w:rPr>
              <w:t>er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:rsidRPr="00213B15" w14:paraId="3260B1F9" w14:textId="77777777" w:rsidTr="002F3121">
        <w:tc>
          <w:tcPr>
            <w:tcW w:w="567" w:type="dxa"/>
          </w:tcPr>
          <w:p w14:paraId="4DB3D2DB" w14:textId="6B11D3B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5F37149F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F1F0CF3" w14:textId="77777777" w:rsidR="00862296" w:rsidRPr="00BC1BCA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540A36A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25. </w:t>
            </w:r>
          </w:p>
          <w:p w14:paraId="06ACE884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14:paraId="37B23156" w14:textId="77777777" w:rsidTr="002F3121">
        <w:tc>
          <w:tcPr>
            <w:tcW w:w="567" w:type="dxa"/>
          </w:tcPr>
          <w:p w14:paraId="0AE930C2" w14:textId="13779BE6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1F99943A" w14:textId="77777777" w:rsidR="00862296" w:rsidRPr="00213B15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213B15">
              <w:rPr>
                <w:b/>
                <w:bCs/>
                <w:szCs w:val="23"/>
              </w:rPr>
              <w:t>Ett utvidgat straffansvar för försök, förberedelse och stämpling till brott (JuU19)</w:t>
            </w:r>
          </w:p>
          <w:p w14:paraId="61D83C8D" w14:textId="77777777" w:rsidR="00862296" w:rsidRPr="001C4673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  <w:p w14:paraId="3F97D200" w14:textId="7816325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2025/26:49.</w:t>
            </w:r>
          </w:p>
          <w:p w14:paraId="035F79F9" w14:textId="77777777" w:rsidR="00862296" w:rsidRPr="001C4673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  <w:p w14:paraId="2F00405E" w14:textId="7CCD810B" w:rsidR="00862296" w:rsidRPr="00003487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2025/26:JuU19.</w:t>
            </w:r>
          </w:p>
        </w:tc>
      </w:tr>
      <w:tr w:rsidR="00862296" w14:paraId="0B931A9F" w14:textId="77777777" w:rsidTr="002F3121">
        <w:tc>
          <w:tcPr>
            <w:tcW w:w="567" w:type="dxa"/>
          </w:tcPr>
          <w:p w14:paraId="44BFCA3F" w14:textId="0AAC17CE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CBEB785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45F9A780" w14:textId="77777777" w:rsidTr="002F3121">
        <w:tc>
          <w:tcPr>
            <w:tcW w:w="567" w:type="dxa"/>
          </w:tcPr>
          <w:p w14:paraId="068E3F23" w14:textId="3971197B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08EBD598" w14:textId="77777777" w:rsidR="00862296" w:rsidRPr="001D470C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1D470C">
              <w:rPr>
                <w:b/>
                <w:bCs/>
                <w:szCs w:val="23"/>
              </w:rPr>
              <w:t>En modern lagstiftning för Kriminalvårdens personuppgiftsbehandling (JuU20)</w:t>
            </w:r>
          </w:p>
          <w:p w14:paraId="5A6DE489" w14:textId="77777777" w:rsidR="00862296" w:rsidRDefault="00862296" w:rsidP="00862296">
            <w:pPr>
              <w:spacing w:line="276" w:lineRule="auto"/>
              <w:rPr>
                <w:szCs w:val="23"/>
              </w:rPr>
            </w:pPr>
          </w:p>
          <w:p w14:paraId="44E53E13" w14:textId="5C3E5E92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2025/26:48.</w:t>
            </w:r>
          </w:p>
          <w:p w14:paraId="4C1D68FC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3041D9C" w14:textId="69863F32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2025/26:JuU20.</w:t>
            </w:r>
          </w:p>
          <w:p w14:paraId="1A18D6EB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4B3DC1AA" w14:textId="77777777" w:rsidTr="002F3121">
        <w:tc>
          <w:tcPr>
            <w:tcW w:w="567" w:type="dxa"/>
          </w:tcPr>
          <w:p w14:paraId="63A132C4" w14:textId="59673B40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14:paraId="2E31ADA2" w14:textId="77777777" w:rsidR="00862296" w:rsidRPr="003A012B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3A012B">
              <w:rPr>
                <w:b/>
                <w:bCs/>
                <w:szCs w:val="23"/>
              </w:rPr>
              <w:t>Genomförande av direktivet om skydd för personer som deltar i den offentliga debatten samt införande av en ny tredskodomssanktion (JuU23)</w:t>
            </w:r>
          </w:p>
          <w:p w14:paraId="42DEDA12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7A60C38B" w14:textId="7F78AF26" w:rsidR="00862296" w:rsidRDefault="00862296" w:rsidP="00862296">
            <w:pPr>
              <w:spacing w:line="276" w:lineRule="auto"/>
              <w:rPr>
                <w:szCs w:val="23"/>
              </w:rPr>
            </w:pPr>
            <w:r w:rsidRPr="009E5FE8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 beredningen av proposition 2025/26:64.</w:t>
            </w:r>
          </w:p>
          <w:p w14:paraId="6D3AB7FC" w14:textId="77777777" w:rsidR="00862296" w:rsidRDefault="00862296" w:rsidP="00862296">
            <w:pPr>
              <w:spacing w:line="276" w:lineRule="auto"/>
              <w:rPr>
                <w:szCs w:val="23"/>
              </w:rPr>
            </w:pPr>
          </w:p>
          <w:p w14:paraId="00B12E92" w14:textId="77777777" w:rsidR="00862296" w:rsidRPr="009E5FE8" w:rsidRDefault="00862296" w:rsidP="00862296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3A257D1E" w14:textId="77777777" w:rsidR="00862296" w:rsidRPr="001D470C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240C6F6D" w14:textId="77777777" w:rsidTr="002F3121">
        <w:tc>
          <w:tcPr>
            <w:tcW w:w="567" w:type="dxa"/>
          </w:tcPr>
          <w:p w14:paraId="58F712B7" w14:textId="33DBEC90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</w:tcPr>
          <w:p w14:paraId="0E2B4AA3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0B35AA">
              <w:rPr>
                <w:b/>
                <w:bCs/>
                <w:szCs w:val="23"/>
              </w:rPr>
              <w:t>Straffrättsliga frågor (JuU11)</w:t>
            </w:r>
          </w:p>
          <w:p w14:paraId="2ED8524E" w14:textId="77777777" w:rsidR="00862296" w:rsidRPr="000B35AA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0C1B7122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 xml:space="preserve">Utskottet inledde beredningen av motioner. </w:t>
            </w:r>
          </w:p>
          <w:p w14:paraId="13CFD23D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</w:p>
          <w:p w14:paraId="26C11A12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lastRenderedPageBreak/>
              <w:t>Ärendet bordlades.</w:t>
            </w:r>
          </w:p>
          <w:p w14:paraId="1995D4AB" w14:textId="77777777" w:rsidR="00862296" w:rsidRPr="003A012B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49ED82B" w14:textId="77777777" w:rsidTr="002F3121">
        <w:tc>
          <w:tcPr>
            <w:tcW w:w="567" w:type="dxa"/>
          </w:tcPr>
          <w:p w14:paraId="23C1BCB2" w14:textId="3C43E6AB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</w:tcPr>
          <w:p w14:paraId="771D1DCD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0B35AA">
              <w:rPr>
                <w:b/>
                <w:bCs/>
                <w:szCs w:val="23"/>
              </w:rPr>
              <w:t>Våldsbrott och brottsoffer (JuU12)</w:t>
            </w:r>
          </w:p>
          <w:p w14:paraId="08BCF6EE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7338F50B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 xml:space="preserve">Utskottet inledde beredningen av motioner. </w:t>
            </w:r>
          </w:p>
          <w:p w14:paraId="6B1D9237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</w:p>
          <w:p w14:paraId="687F457C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>Ärendet bordlades.</w:t>
            </w:r>
          </w:p>
          <w:p w14:paraId="5A70CE15" w14:textId="77777777" w:rsidR="00862296" w:rsidRPr="000B35AA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76E297E2" w14:textId="77777777" w:rsidTr="002F3121">
        <w:tc>
          <w:tcPr>
            <w:tcW w:w="567" w:type="dxa"/>
          </w:tcPr>
          <w:p w14:paraId="05ECFDEB" w14:textId="38790E79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</w:tcPr>
          <w:p w14:paraId="39DD51C3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0B35AA">
              <w:rPr>
                <w:b/>
                <w:bCs/>
                <w:szCs w:val="23"/>
              </w:rPr>
              <w:t>Polisfrågor (JuU16)</w:t>
            </w:r>
          </w:p>
          <w:p w14:paraId="29B987B2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7CF4443E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 xml:space="preserve">Utskottet inledde beredningen av motioner. </w:t>
            </w:r>
          </w:p>
          <w:p w14:paraId="41EB0099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</w:p>
          <w:p w14:paraId="455DA819" w14:textId="090C362F" w:rsidR="00862296" w:rsidRPr="000B35AA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>Ärendet bordlades.</w:t>
            </w:r>
          </w:p>
          <w:p w14:paraId="6FD5C48F" w14:textId="77777777" w:rsidR="00862296" w:rsidRPr="000B35AA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04ADE29" w14:textId="77777777" w:rsidTr="002F3121">
        <w:tc>
          <w:tcPr>
            <w:tcW w:w="567" w:type="dxa"/>
          </w:tcPr>
          <w:p w14:paraId="24FE6CAE" w14:textId="36D7135E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</w:tcPr>
          <w:p w14:paraId="5A1C5B7F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0B35AA">
              <w:rPr>
                <w:b/>
                <w:bCs/>
                <w:szCs w:val="23"/>
              </w:rPr>
              <w:t xml:space="preserve">Säkerhetsförvaring – en ny </w:t>
            </w:r>
            <w:proofErr w:type="spellStart"/>
            <w:r w:rsidRPr="000B35AA">
              <w:rPr>
                <w:b/>
                <w:bCs/>
                <w:szCs w:val="23"/>
              </w:rPr>
              <w:t>tidsobestämd</w:t>
            </w:r>
            <w:proofErr w:type="spellEnd"/>
            <w:r w:rsidRPr="000B35AA">
              <w:rPr>
                <w:b/>
                <w:bCs/>
                <w:szCs w:val="23"/>
              </w:rPr>
              <w:t xml:space="preserve"> frihetsberövande påföljd (JuU27)</w:t>
            </w:r>
          </w:p>
          <w:p w14:paraId="6B5E275C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11D596C8" w14:textId="6F68BDB6" w:rsidR="00862296" w:rsidRPr="00AA54EC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 xml:space="preserve">Utskottet inledde beredningen av </w:t>
            </w:r>
            <w:r>
              <w:rPr>
                <w:szCs w:val="23"/>
              </w:rPr>
              <w:t>proposition 2025/26:95 och motioner</w:t>
            </w:r>
            <w:r w:rsidRPr="00AA54EC">
              <w:rPr>
                <w:szCs w:val="23"/>
              </w:rPr>
              <w:t xml:space="preserve">. </w:t>
            </w:r>
          </w:p>
          <w:p w14:paraId="4A06244A" w14:textId="77777777" w:rsidR="00862296" w:rsidRPr="00AA54EC" w:rsidRDefault="00862296" w:rsidP="00862296">
            <w:pPr>
              <w:spacing w:line="276" w:lineRule="auto"/>
              <w:rPr>
                <w:szCs w:val="23"/>
              </w:rPr>
            </w:pPr>
          </w:p>
          <w:p w14:paraId="56ACAD07" w14:textId="33BBCAFA" w:rsidR="00862296" w:rsidRPr="00B6677E" w:rsidRDefault="00862296" w:rsidP="00862296">
            <w:pPr>
              <w:spacing w:line="276" w:lineRule="auto"/>
              <w:rPr>
                <w:szCs w:val="23"/>
              </w:rPr>
            </w:pPr>
            <w:r w:rsidRPr="00AA54EC">
              <w:rPr>
                <w:szCs w:val="23"/>
              </w:rPr>
              <w:t>Ärendet bordlades.</w:t>
            </w:r>
          </w:p>
          <w:p w14:paraId="4F9C0A7B" w14:textId="77777777" w:rsidR="00862296" w:rsidRPr="000B35AA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0D168367" w14:textId="77777777" w:rsidTr="002F3121">
        <w:tc>
          <w:tcPr>
            <w:tcW w:w="567" w:type="dxa"/>
          </w:tcPr>
          <w:p w14:paraId="1DFDB13B" w14:textId="693816DD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</w:tcPr>
          <w:p w14:paraId="7912A942" w14:textId="77777777" w:rsidR="00862296" w:rsidRPr="007C2FBF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 w:rsidRPr="007C2FBF">
              <w:rPr>
                <w:b/>
                <w:bCs/>
                <w:szCs w:val="23"/>
              </w:rPr>
              <w:t>Återrapport från JPSG-möte</w:t>
            </w:r>
          </w:p>
          <w:p w14:paraId="5BF44EDF" w14:textId="77777777" w:rsidR="00862296" w:rsidRPr="0001354B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4682B1A1" w14:textId="306A58F1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Cs/>
              </w:rPr>
              <w:t xml:space="preserve">Adam Marttinen (SD) lämnade muntlig återrapport från </w:t>
            </w:r>
            <w:r w:rsidRPr="00054F67">
              <w:rPr>
                <w:szCs w:val="23"/>
              </w:rPr>
              <w:t>JPSG-möte</w:t>
            </w:r>
            <w:r w:rsidR="007A6F47">
              <w:rPr>
                <w:szCs w:val="23"/>
              </w:rPr>
              <w:t>t</w:t>
            </w:r>
            <w:r w:rsidRPr="00054F67">
              <w:rPr>
                <w:szCs w:val="23"/>
              </w:rPr>
              <w:t xml:space="preserve"> den </w:t>
            </w:r>
            <w:r>
              <w:rPr>
                <w:szCs w:val="23"/>
              </w:rPr>
              <w:t>4</w:t>
            </w:r>
            <w:r w:rsidRPr="00054F67">
              <w:rPr>
                <w:szCs w:val="23"/>
              </w:rPr>
              <w:t>–</w:t>
            </w:r>
            <w:r>
              <w:rPr>
                <w:szCs w:val="23"/>
              </w:rPr>
              <w:t>5</w:t>
            </w:r>
            <w:r w:rsidRPr="00054F67">
              <w:rPr>
                <w:szCs w:val="23"/>
              </w:rPr>
              <w:t xml:space="preserve"> </w:t>
            </w:r>
            <w:r>
              <w:rPr>
                <w:szCs w:val="23"/>
              </w:rPr>
              <w:t>februari</w:t>
            </w:r>
            <w:r w:rsidRPr="00054F67">
              <w:rPr>
                <w:szCs w:val="23"/>
              </w:rPr>
              <w:t xml:space="preserve"> 202</w:t>
            </w:r>
            <w:r>
              <w:rPr>
                <w:szCs w:val="23"/>
              </w:rPr>
              <w:t>6</w:t>
            </w:r>
            <w:r>
              <w:rPr>
                <w:bCs/>
              </w:rPr>
              <w:t>.</w:t>
            </w:r>
            <w:r>
              <w:rPr>
                <w:b/>
                <w:snapToGrid w:val="0"/>
              </w:rPr>
              <w:t xml:space="preserve"> </w:t>
            </w:r>
          </w:p>
          <w:p w14:paraId="2884E373" w14:textId="77777777" w:rsidR="00862296" w:rsidRPr="000B35AA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63AEBE58" w14:textId="77777777" w:rsidTr="002F3121">
        <w:tc>
          <w:tcPr>
            <w:tcW w:w="567" w:type="dxa"/>
          </w:tcPr>
          <w:p w14:paraId="5F3FE0F4" w14:textId="3F0F61F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</w:tcPr>
          <w:p w14:paraId="5135DF38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Inkomna skrivelser </w:t>
            </w:r>
          </w:p>
          <w:p w14:paraId="0175EAB1" w14:textId="77777777" w:rsidR="00862296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  <w:p w14:paraId="14421197" w14:textId="0F0D6DBB" w:rsidR="00862296" w:rsidRPr="007B1F2C" w:rsidRDefault="00862296" w:rsidP="00862296">
            <w:pPr>
              <w:spacing w:line="276" w:lineRule="auto"/>
              <w:rPr>
                <w:szCs w:val="23"/>
              </w:rPr>
            </w:pPr>
            <w:r w:rsidRPr="007B1F2C">
              <w:rPr>
                <w:szCs w:val="23"/>
              </w:rPr>
              <w:t xml:space="preserve">Inkomna skrivelser anmäldes (dnr </w:t>
            </w:r>
            <w:proofErr w:type="gramStart"/>
            <w:r>
              <w:rPr>
                <w:szCs w:val="23"/>
              </w:rPr>
              <w:t>1251-2025</w:t>
            </w:r>
            <w:proofErr w:type="gramEnd"/>
            <w:r>
              <w:rPr>
                <w:szCs w:val="23"/>
              </w:rPr>
              <w:t xml:space="preserve">/26 och </w:t>
            </w:r>
            <w:proofErr w:type="gramStart"/>
            <w:r>
              <w:rPr>
                <w:szCs w:val="23"/>
              </w:rPr>
              <w:t>1255-2025</w:t>
            </w:r>
            <w:proofErr w:type="gramEnd"/>
            <w:r>
              <w:rPr>
                <w:szCs w:val="23"/>
              </w:rPr>
              <w:t>/26).</w:t>
            </w:r>
          </w:p>
          <w:p w14:paraId="30A5CCCE" w14:textId="74045DBE" w:rsidR="00862296" w:rsidRPr="007C2FBF" w:rsidRDefault="00862296" w:rsidP="00862296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1766D6A1" w14:textId="77777777" w:rsidTr="002F3121">
        <w:tc>
          <w:tcPr>
            <w:tcW w:w="567" w:type="dxa"/>
          </w:tcPr>
          <w:p w14:paraId="6E7BA422" w14:textId="085D71F9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  <w:p w14:paraId="45AECFF7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854AF2E" w14:textId="77777777" w:rsidR="00862296" w:rsidRPr="00F1130C" w:rsidRDefault="00862296" w:rsidP="00862296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862296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  <w:p w14:paraId="4D2F1BA3" w14:textId="0E9FC2BC" w:rsidR="009B4F0C" w:rsidRDefault="009B4F0C" w:rsidP="00862296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bjuda in Polismyndigheten och Åklagarmyndigheten</w:t>
            </w:r>
            <w:r w:rsidR="00886499">
              <w:rPr>
                <w:bCs/>
                <w:snapToGrid w:val="0"/>
              </w:rPr>
              <w:t xml:space="preserve"> till ett kommande sammanträde</w:t>
            </w:r>
            <w:r>
              <w:rPr>
                <w:bCs/>
                <w:snapToGrid w:val="0"/>
              </w:rPr>
              <w:t>.</w:t>
            </w:r>
          </w:p>
          <w:p w14:paraId="041D9F23" w14:textId="77777777" w:rsidR="009B4F0C" w:rsidRDefault="009B4F0C" w:rsidP="00862296">
            <w:pPr>
              <w:spacing w:line="276" w:lineRule="auto"/>
              <w:rPr>
                <w:bCs/>
                <w:snapToGrid w:val="0"/>
              </w:rPr>
            </w:pPr>
          </w:p>
          <w:p w14:paraId="41337E96" w14:textId="6ABBE641" w:rsidR="00862296" w:rsidRPr="009B4F0C" w:rsidRDefault="009B4F0C" w:rsidP="00862296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förfrågan till utskottet om att ta emot ett besök från Stortingets </w:t>
            </w:r>
            <w:proofErr w:type="spellStart"/>
            <w:r>
              <w:rPr>
                <w:bCs/>
                <w:snapToGrid w:val="0"/>
              </w:rPr>
              <w:t>justiskomite</w:t>
            </w:r>
            <w:proofErr w:type="spellEnd"/>
            <w:r>
              <w:rPr>
                <w:bCs/>
                <w:snapToGrid w:val="0"/>
              </w:rPr>
              <w:t>.</w:t>
            </w:r>
          </w:p>
          <w:p w14:paraId="5E6D0507" w14:textId="6EC20CD2" w:rsidR="00862296" w:rsidRPr="00F1130C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862296" w14:paraId="336A19AF" w14:textId="77777777" w:rsidTr="002F3121">
        <w:tc>
          <w:tcPr>
            <w:tcW w:w="567" w:type="dxa"/>
          </w:tcPr>
          <w:p w14:paraId="12A0CD89" w14:textId="43878A4B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2B1DCC3C" w:rsidR="00862296" w:rsidRPr="00F71A52" w:rsidRDefault="00862296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tis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24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februari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>
              <w:rPr>
                <w:bCs/>
              </w:rPr>
              <w:t>11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862296" w14:paraId="15967061" w14:textId="77777777" w:rsidTr="002F3121">
        <w:tc>
          <w:tcPr>
            <w:tcW w:w="567" w:type="dxa"/>
          </w:tcPr>
          <w:p w14:paraId="35D2AD10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595DFAC" w14:textId="5554FAC9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1B27098" w14:textId="7318FA44" w:rsidR="00862296" w:rsidRPr="00ED2E15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6E2EA804" w14:textId="77777777" w:rsidR="00C175DE" w:rsidRDefault="00C175DE" w:rsidP="000B7DD3"/>
    <w:tbl>
      <w:tblPr>
        <w:tblW w:w="86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1649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</w:tblGrid>
      <w:tr w:rsidR="000B7DD3" w14:paraId="5C2D9E56" w14:textId="77777777" w:rsidTr="00F71A52">
        <w:trPr>
          <w:gridBefore w:val="1"/>
          <w:wBefore w:w="1488" w:type="dxa"/>
        </w:trPr>
        <w:tc>
          <w:tcPr>
            <w:tcW w:w="7156" w:type="dxa"/>
            <w:gridSpan w:val="15"/>
          </w:tcPr>
          <w:p w14:paraId="1776E2A9" w14:textId="77777777" w:rsidR="007B55DB" w:rsidRDefault="007B55DB" w:rsidP="002F3121">
            <w:pPr>
              <w:tabs>
                <w:tab w:val="left" w:pos="1701"/>
              </w:tabs>
            </w:pPr>
          </w:p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68C804C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66307B">
              <w:t>24</w:t>
            </w:r>
            <w:r w:rsidR="0046391A" w:rsidRPr="00387D9E">
              <w:rPr>
                <w:snapToGrid w:val="0"/>
              </w:rPr>
              <w:t xml:space="preserve"> </w:t>
            </w:r>
            <w:r w:rsidR="003A012B">
              <w:rPr>
                <w:snapToGrid w:val="0"/>
              </w:rPr>
              <w:t>febr</w:t>
            </w:r>
            <w:r w:rsidR="003E2224">
              <w:rPr>
                <w:snapToGrid w:val="0"/>
              </w:rPr>
              <w:t>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1DB37DB3" w14:textId="36FD746F" w:rsidR="00003487" w:rsidRDefault="002D76F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Adam Marttinen</w:t>
            </w:r>
          </w:p>
          <w:p w14:paraId="71AF55D7" w14:textId="77777777" w:rsidR="00862296" w:rsidRDefault="0086229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220DFE8" w14:textId="77777777" w:rsidR="00862296" w:rsidRDefault="0086229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D2D207A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FD5358A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F4888C7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6077BE0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CB37F7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9922197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C9F431C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0BA7096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85A1204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6ADBED8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8607908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AA3F399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FF6C436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360AF50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1A47493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2D9D97C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48B028E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102FB97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C4EC00C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8AE0F10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5D7C191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3C61213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A4F8F1F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318D588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315A70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324C28B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2EC32A0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875A797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CDBEB07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4BE5E80" w14:textId="77777777" w:rsidR="00933EF1" w:rsidRDefault="00933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A53E852" w14:textId="77777777" w:rsidR="00F576D1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04F2EA8" w14:textId="77777777" w:rsidR="001C56E8" w:rsidRDefault="001C56E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2DF8B5" w14:textId="77777777" w:rsidR="001C56E8" w:rsidRDefault="001C56E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4D55F2F" w14:textId="77777777" w:rsidR="001C56E8" w:rsidRDefault="001C56E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77CA7EE1" w:rsidR="00F576D1" w:rsidRPr="00ED345C" w:rsidRDefault="00F576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F7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14D542C5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66307B">
              <w:t>6</w:t>
            </w:r>
          </w:p>
        </w:tc>
      </w:tr>
      <w:tr w:rsidR="00125C12" w14:paraId="365E24E1" w14:textId="77777777" w:rsidTr="00F71A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11DA2F6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AD2A3B">
              <w:rPr>
                <w:sz w:val="22"/>
              </w:rPr>
              <w:t>–</w:t>
            </w:r>
            <w:r w:rsidR="00862296">
              <w:rPr>
                <w:sz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EC28D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38B44374" w:rsidR="00D82362" w:rsidRPr="00F72CCB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A2E2E5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DC375F" w14:paraId="2220A53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2D65ECEF" w:rsidR="00D82362" w:rsidRPr="002E7293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768C89AF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88B08E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58E0F8A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9B019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3BFCCA5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4694EE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01A93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FE70D87" w:rsidR="00D82362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E51AF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DFEDA0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54FED3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F110F9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C9091D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4C3F4C8" w:rsidR="00D82362" w:rsidRDefault="0061098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1389BF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3C4DE1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12885C57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 xml:space="preserve">Mats </w:t>
            </w:r>
            <w:proofErr w:type="spellStart"/>
            <w:r>
              <w:t>Hellhoff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3965CB4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144B3C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314710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55C5AC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93FE6F4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2241958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5272834D" w:rsidR="00D82362" w:rsidRPr="0078232D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912306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0E23FA3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1542D046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 xml:space="preserve">Pia </w:t>
            </w:r>
            <w:proofErr w:type="spellStart"/>
            <w:r>
              <w:t>Trollehjelm</w:t>
            </w:r>
            <w:proofErr w:type="spellEnd"/>
            <w:r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6709D050" w:rsidR="00D82362" w:rsidRPr="0078232D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388406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 xml:space="preserve">Lars </w:t>
            </w:r>
            <w:proofErr w:type="spellStart"/>
            <w:r>
              <w:t>Jilmstad</w:t>
            </w:r>
            <w:proofErr w:type="spellEnd"/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17E1200B" w:rsidR="0096189F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297078F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F71A52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F71A52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03F78079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54CE2893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5BD9FD10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56E8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3E38"/>
    <w:rsid w:val="002C7C0F"/>
    <w:rsid w:val="002D0684"/>
    <w:rsid w:val="002D0716"/>
    <w:rsid w:val="002D76F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C67B0"/>
    <w:rsid w:val="004E3CF1"/>
    <w:rsid w:val="004E5EE0"/>
    <w:rsid w:val="004E6B2E"/>
    <w:rsid w:val="004E7F7B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296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1200"/>
    <w:rsid w:val="009D744F"/>
    <w:rsid w:val="009D756B"/>
    <w:rsid w:val="009E00D2"/>
    <w:rsid w:val="009E3529"/>
    <w:rsid w:val="009E3EF0"/>
    <w:rsid w:val="009E498D"/>
    <w:rsid w:val="009E580F"/>
    <w:rsid w:val="009E5FE8"/>
    <w:rsid w:val="009E6DED"/>
    <w:rsid w:val="00A12DB8"/>
    <w:rsid w:val="00A14C12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63606"/>
    <w:rsid w:val="00B6677E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92FF9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175DE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362"/>
    <w:rsid w:val="00D825A0"/>
    <w:rsid w:val="00D8377E"/>
    <w:rsid w:val="00D8468E"/>
    <w:rsid w:val="00D86851"/>
    <w:rsid w:val="00D8768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375F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6CF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264</TotalTime>
  <Pages>5</Pages>
  <Words>575</Words>
  <Characters>3430</Characters>
  <Application>Microsoft Office Word</Application>
  <DocSecurity>0</DocSecurity>
  <Lines>1143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12</cp:revision>
  <cp:lastPrinted>2026-02-19T13:34:00Z</cp:lastPrinted>
  <dcterms:created xsi:type="dcterms:W3CDTF">2026-02-18T13:03:00Z</dcterms:created>
  <dcterms:modified xsi:type="dcterms:W3CDTF">2026-03-12T10:27:00Z</dcterms:modified>
</cp:coreProperties>
</file>