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EE5F89" w:rsidR="0046595A" w:rsidP="00EE5F89" w:rsidRDefault="0046595A" w14:paraId="06D22D28" w14:textId="629F6C9D">
          <w:pPr>
            <w:pStyle w:val="Rubrik1numrerat"/>
          </w:pPr>
          <w:r w:rsidRPr="00EE5F89">
            <w:t>Innehåll</w:t>
          </w:r>
          <w:r w:rsidRPr="00EE5F89" w:rsidR="00EE5F89">
            <w:t>sförteckning</w:t>
          </w:r>
        </w:p>
        <w:p w:rsidR="0001709E" w:rsidRDefault="0046595A" w14:paraId="343E772F" w14:textId="337C6A34">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7241263">
            <w:r w:rsidRPr="00EA77F4" w:rsidR="0001709E">
              <w:rPr>
                <w:rStyle w:val="Hyperlnk"/>
                <w:noProof/>
              </w:rPr>
              <w:t>2</w:t>
            </w:r>
            <w:r w:rsidR="0001709E">
              <w:rPr>
                <w:rFonts w:eastAsiaTheme="minorEastAsia"/>
                <w:noProof/>
                <w:kern w:val="0"/>
                <w:sz w:val="22"/>
                <w:szCs w:val="22"/>
                <w:lang w:eastAsia="sv-SE"/>
                <w14:numSpacing w14:val="default"/>
              </w:rPr>
              <w:tab/>
            </w:r>
            <w:r w:rsidRPr="00EA77F4" w:rsidR="0001709E">
              <w:rPr>
                <w:rStyle w:val="Hyperlnk"/>
                <w:noProof/>
              </w:rPr>
              <w:t>Förslag till riksdagsbeslut</w:t>
            </w:r>
            <w:r w:rsidR="0001709E">
              <w:rPr>
                <w:noProof/>
                <w:webHidden/>
              </w:rPr>
              <w:tab/>
            </w:r>
            <w:r w:rsidR="0001709E">
              <w:rPr>
                <w:noProof/>
                <w:webHidden/>
              </w:rPr>
              <w:fldChar w:fldCharType="begin"/>
            </w:r>
            <w:r w:rsidR="0001709E">
              <w:rPr>
                <w:noProof/>
                <w:webHidden/>
              </w:rPr>
              <w:instrText xml:space="preserve"> PAGEREF _Toc147241263 \h </w:instrText>
            </w:r>
            <w:r w:rsidR="0001709E">
              <w:rPr>
                <w:noProof/>
                <w:webHidden/>
              </w:rPr>
            </w:r>
            <w:r w:rsidR="0001709E">
              <w:rPr>
                <w:noProof/>
                <w:webHidden/>
              </w:rPr>
              <w:fldChar w:fldCharType="separate"/>
            </w:r>
            <w:r w:rsidR="00A1477F">
              <w:rPr>
                <w:noProof/>
                <w:webHidden/>
              </w:rPr>
              <w:t>2</w:t>
            </w:r>
            <w:r w:rsidR="0001709E">
              <w:rPr>
                <w:noProof/>
                <w:webHidden/>
              </w:rPr>
              <w:fldChar w:fldCharType="end"/>
            </w:r>
          </w:hyperlink>
        </w:p>
        <w:p w:rsidR="0001709E" w:rsidRDefault="00A1477F" w14:paraId="5B6F22E9" w14:textId="26C3FDBB">
          <w:pPr>
            <w:pStyle w:val="Innehll1"/>
            <w:tabs>
              <w:tab w:val="left" w:pos="567"/>
              <w:tab w:val="right" w:leader="dot" w:pos="8494"/>
            </w:tabs>
            <w:rPr>
              <w:rFonts w:eastAsiaTheme="minorEastAsia"/>
              <w:noProof/>
              <w:kern w:val="0"/>
              <w:sz w:val="22"/>
              <w:szCs w:val="22"/>
              <w:lang w:eastAsia="sv-SE"/>
              <w14:numSpacing w14:val="default"/>
            </w:rPr>
          </w:pPr>
          <w:hyperlink w:history="1" w:anchor="_Toc147241264">
            <w:r w:rsidRPr="00EA77F4" w:rsidR="0001709E">
              <w:rPr>
                <w:rStyle w:val="Hyperlnk"/>
                <w:noProof/>
              </w:rPr>
              <w:t>3</w:t>
            </w:r>
            <w:r w:rsidR="0001709E">
              <w:rPr>
                <w:rFonts w:eastAsiaTheme="minorEastAsia"/>
                <w:noProof/>
                <w:kern w:val="0"/>
                <w:sz w:val="22"/>
                <w:szCs w:val="22"/>
                <w:lang w:eastAsia="sv-SE"/>
                <w14:numSpacing w14:val="default"/>
              </w:rPr>
              <w:tab/>
            </w:r>
            <w:r w:rsidRPr="00EA77F4" w:rsidR="0001709E">
              <w:rPr>
                <w:rStyle w:val="Hyperlnk"/>
                <w:noProof/>
              </w:rPr>
              <w:t>Inledning</w:t>
            </w:r>
            <w:r w:rsidR="0001709E">
              <w:rPr>
                <w:noProof/>
                <w:webHidden/>
              </w:rPr>
              <w:tab/>
            </w:r>
            <w:r w:rsidR="0001709E">
              <w:rPr>
                <w:noProof/>
                <w:webHidden/>
              </w:rPr>
              <w:fldChar w:fldCharType="begin"/>
            </w:r>
            <w:r w:rsidR="0001709E">
              <w:rPr>
                <w:noProof/>
                <w:webHidden/>
              </w:rPr>
              <w:instrText xml:space="preserve"> PAGEREF _Toc147241264 \h </w:instrText>
            </w:r>
            <w:r w:rsidR="0001709E">
              <w:rPr>
                <w:noProof/>
                <w:webHidden/>
              </w:rPr>
            </w:r>
            <w:r w:rsidR="0001709E">
              <w:rPr>
                <w:noProof/>
                <w:webHidden/>
              </w:rPr>
              <w:fldChar w:fldCharType="separate"/>
            </w:r>
            <w:r>
              <w:rPr>
                <w:noProof/>
                <w:webHidden/>
              </w:rPr>
              <w:t>2</w:t>
            </w:r>
            <w:r w:rsidR="0001709E">
              <w:rPr>
                <w:noProof/>
                <w:webHidden/>
              </w:rPr>
              <w:fldChar w:fldCharType="end"/>
            </w:r>
          </w:hyperlink>
        </w:p>
        <w:p w:rsidR="0001709E" w:rsidRDefault="00A1477F" w14:paraId="519B2082" w14:textId="37721E6E">
          <w:pPr>
            <w:pStyle w:val="Innehll1"/>
            <w:tabs>
              <w:tab w:val="left" w:pos="567"/>
              <w:tab w:val="right" w:leader="dot" w:pos="8494"/>
            </w:tabs>
            <w:rPr>
              <w:rFonts w:eastAsiaTheme="minorEastAsia"/>
              <w:noProof/>
              <w:kern w:val="0"/>
              <w:sz w:val="22"/>
              <w:szCs w:val="22"/>
              <w:lang w:eastAsia="sv-SE"/>
              <w14:numSpacing w14:val="default"/>
            </w:rPr>
          </w:pPr>
          <w:hyperlink w:history="1" w:anchor="_Toc147241265">
            <w:r w:rsidRPr="00EA77F4" w:rsidR="0001709E">
              <w:rPr>
                <w:rStyle w:val="Hyperlnk"/>
                <w:noProof/>
              </w:rPr>
              <w:t>4</w:t>
            </w:r>
            <w:r w:rsidR="0001709E">
              <w:rPr>
                <w:rFonts w:eastAsiaTheme="minorEastAsia"/>
                <w:noProof/>
                <w:kern w:val="0"/>
                <w:sz w:val="22"/>
                <w:szCs w:val="22"/>
                <w:lang w:eastAsia="sv-SE"/>
                <w14:numSpacing w14:val="default"/>
              </w:rPr>
              <w:tab/>
            </w:r>
            <w:r w:rsidRPr="00EA77F4" w:rsidR="0001709E">
              <w:rPr>
                <w:rStyle w:val="Hyperlnk"/>
                <w:noProof/>
              </w:rPr>
              <w:t>Ökad jämlikhet och tillgänglighet</w:t>
            </w:r>
            <w:r w:rsidR="0001709E">
              <w:rPr>
                <w:noProof/>
                <w:webHidden/>
              </w:rPr>
              <w:tab/>
            </w:r>
            <w:r w:rsidR="0001709E">
              <w:rPr>
                <w:noProof/>
                <w:webHidden/>
              </w:rPr>
              <w:fldChar w:fldCharType="begin"/>
            </w:r>
            <w:r w:rsidR="0001709E">
              <w:rPr>
                <w:noProof/>
                <w:webHidden/>
              </w:rPr>
              <w:instrText xml:space="preserve"> PAGEREF _Toc147241265 \h </w:instrText>
            </w:r>
            <w:r w:rsidR="0001709E">
              <w:rPr>
                <w:noProof/>
                <w:webHidden/>
              </w:rPr>
            </w:r>
            <w:r w:rsidR="0001709E">
              <w:rPr>
                <w:noProof/>
                <w:webHidden/>
              </w:rPr>
              <w:fldChar w:fldCharType="separate"/>
            </w:r>
            <w:r>
              <w:rPr>
                <w:noProof/>
                <w:webHidden/>
              </w:rPr>
              <w:t>3</w:t>
            </w:r>
            <w:r w:rsidR="0001709E">
              <w:rPr>
                <w:noProof/>
                <w:webHidden/>
              </w:rPr>
              <w:fldChar w:fldCharType="end"/>
            </w:r>
          </w:hyperlink>
        </w:p>
        <w:p w:rsidR="0001709E" w:rsidRDefault="00A1477F" w14:paraId="473AE93A" w14:textId="7B059D54">
          <w:pPr>
            <w:pStyle w:val="Innehll2"/>
            <w:tabs>
              <w:tab w:val="left" w:pos="851"/>
              <w:tab w:val="right" w:leader="dot" w:pos="8494"/>
            </w:tabs>
            <w:rPr>
              <w:rFonts w:eastAsiaTheme="minorEastAsia"/>
              <w:noProof/>
              <w:kern w:val="0"/>
              <w:sz w:val="22"/>
              <w:szCs w:val="22"/>
              <w:lang w:eastAsia="sv-SE"/>
              <w14:numSpacing w14:val="default"/>
            </w:rPr>
          </w:pPr>
          <w:hyperlink w:history="1" w:anchor="_Toc147241266">
            <w:r w:rsidRPr="00EA77F4" w:rsidR="0001709E">
              <w:rPr>
                <w:rStyle w:val="Hyperlnk"/>
                <w:noProof/>
              </w:rPr>
              <w:t>4.1</w:t>
            </w:r>
            <w:r w:rsidR="0001709E">
              <w:rPr>
                <w:rFonts w:eastAsiaTheme="minorEastAsia"/>
                <w:noProof/>
                <w:kern w:val="0"/>
                <w:sz w:val="22"/>
                <w:szCs w:val="22"/>
                <w:lang w:eastAsia="sv-SE"/>
                <w14:numSpacing w14:val="default"/>
              </w:rPr>
              <w:tab/>
            </w:r>
            <w:r w:rsidRPr="00EA77F4" w:rsidR="0001709E">
              <w:rPr>
                <w:rStyle w:val="Hyperlnk"/>
                <w:noProof/>
              </w:rPr>
              <w:t>Behovs-solidaritetsprincipen i tandvårdslagen</w:t>
            </w:r>
            <w:r w:rsidR="0001709E">
              <w:rPr>
                <w:noProof/>
                <w:webHidden/>
              </w:rPr>
              <w:tab/>
            </w:r>
            <w:r w:rsidR="0001709E">
              <w:rPr>
                <w:noProof/>
                <w:webHidden/>
              </w:rPr>
              <w:fldChar w:fldCharType="begin"/>
            </w:r>
            <w:r w:rsidR="0001709E">
              <w:rPr>
                <w:noProof/>
                <w:webHidden/>
              </w:rPr>
              <w:instrText xml:space="preserve"> PAGEREF _Toc147241266 \h </w:instrText>
            </w:r>
            <w:r w:rsidR="0001709E">
              <w:rPr>
                <w:noProof/>
                <w:webHidden/>
              </w:rPr>
            </w:r>
            <w:r w:rsidR="0001709E">
              <w:rPr>
                <w:noProof/>
                <w:webHidden/>
              </w:rPr>
              <w:fldChar w:fldCharType="separate"/>
            </w:r>
            <w:r>
              <w:rPr>
                <w:noProof/>
                <w:webHidden/>
              </w:rPr>
              <w:t>3</w:t>
            </w:r>
            <w:r w:rsidR="0001709E">
              <w:rPr>
                <w:noProof/>
                <w:webHidden/>
              </w:rPr>
              <w:fldChar w:fldCharType="end"/>
            </w:r>
          </w:hyperlink>
        </w:p>
        <w:p w:rsidR="0001709E" w:rsidRDefault="00A1477F" w14:paraId="3A123348" w14:textId="7AE2CA8B">
          <w:pPr>
            <w:pStyle w:val="Innehll2"/>
            <w:tabs>
              <w:tab w:val="left" w:pos="851"/>
              <w:tab w:val="right" w:leader="dot" w:pos="8494"/>
            </w:tabs>
            <w:rPr>
              <w:rFonts w:eastAsiaTheme="minorEastAsia"/>
              <w:noProof/>
              <w:kern w:val="0"/>
              <w:sz w:val="22"/>
              <w:szCs w:val="22"/>
              <w:lang w:eastAsia="sv-SE"/>
              <w14:numSpacing w14:val="default"/>
            </w:rPr>
          </w:pPr>
          <w:hyperlink w:history="1" w:anchor="_Toc147241267">
            <w:r w:rsidRPr="00EA77F4" w:rsidR="0001709E">
              <w:rPr>
                <w:rStyle w:val="Hyperlnk"/>
                <w:noProof/>
              </w:rPr>
              <w:t>4.2</w:t>
            </w:r>
            <w:r w:rsidR="0001709E">
              <w:rPr>
                <w:rFonts w:eastAsiaTheme="minorEastAsia"/>
                <w:noProof/>
                <w:kern w:val="0"/>
                <w:sz w:val="22"/>
                <w:szCs w:val="22"/>
                <w:lang w:eastAsia="sv-SE"/>
                <w14:numSpacing w14:val="default"/>
              </w:rPr>
              <w:tab/>
            </w:r>
            <w:r w:rsidRPr="00EA77F4" w:rsidR="0001709E">
              <w:rPr>
                <w:rStyle w:val="Hyperlnk"/>
                <w:noProof/>
              </w:rPr>
              <w:t>Nationell målsättning om minst ett tandläkarbesök per år</w:t>
            </w:r>
            <w:r w:rsidR="0001709E">
              <w:rPr>
                <w:noProof/>
                <w:webHidden/>
              </w:rPr>
              <w:tab/>
            </w:r>
            <w:r w:rsidR="0001709E">
              <w:rPr>
                <w:noProof/>
                <w:webHidden/>
              </w:rPr>
              <w:fldChar w:fldCharType="begin"/>
            </w:r>
            <w:r w:rsidR="0001709E">
              <w:rPr>
                <w:noProof/>
                <w:webHidden/>
              </w:rPr>
              <w:instrText xml:space="preserve"> PAGEREF _Toc147241267 \h </w:instrText>
            </w:r>
            <w:r w:rsidR="0001709E">
              <w:rPr>
                <w:noProof/>
                <w:webHidden/>
              </w:rPr>
            </w:r>
            <w:r w:rsidR="0001709E">
              <w:rPr>
                <w:noProof/>
                <w:webHidden/>
              </w:rPr>
              <w:fldChar w:fldCharType="separate"/>
            </w:r>
            <w:r>
              <w:rPr>
                <w:noProof/>
                <w:webHidden/>
              </w:rPr>
              <w:t>4</w:t>
            </w:r>
            <w:r w:rsidR="0001709E">
              <w:rPr>
                <w:noProof/>
                <w:webHidden/>
              </w:rPr>
              <w:fldChar w:fldCharType="end"/>
            </w:r>
          </w:hyperlink>
        </w:p>
        <w:p w:rsidR="0001709E" w:rsidRDefault="00A1477F" w14:paraId="6746297F" w14:textId="451D98F7">
          <w:pPr>
            <w:pStyle w:val="Innehll2"/>
            <w:tabs>
              <w:tab w:val="left" w:pos="851"/>
              <w:tab w:val="right" w:leader="dot" w:pos="8494"/>
            </w:tabs>
            <w:rPr>
              <w:rFonts w:eastAsiaTheme="minorEastAsia"/>
              <w:noProof/>
              <w:kern w:val="0"/>
              <w:sz w:val="22"/>
              <w:szCs w:val="22"/>
              <w:lang w:eastAsia="sv-SE"/>
              <w14:numSpacing w14:val="default"/>
            </w:rPr>
          </w:pPr>
          <w:hyperlink w:history="1" w:anchor="_Toc147241268">
            <w:r w:rsidRPr="00EA77F4" w:rsidR="0001709E">
              <w:rPr>
                <w:rStyle w:val="Hyperlnk"/>
                <w:noProof/>
              </w:rPr>
              <w:t>4.3</w:t>
            </w:r>
            <w:r w:rsidR="0001709E">
              <w:rPr>
                <w:rFonts w:eastAsiaTheme="minorEastAsia"/>
                <w:noProof/>
                <w:kern w:val="0"/>
                <w:sz w:val="22"/>
                <w:szCs w:val="22"/>
                <w:lang w:eastAsia="sv-SE"/>
                <w14:numSpacing w14:val="default"/>
              </w:rPr>
              <w:tab/>
            </w:r>
            <w:r w:rsidRPr="00EA77F4" w:rsidR="0001709E">
              <w:rPr>
                <w:rStyle w:val="Hyperlnk"/>
                <w:noProof/>
              </w:rPr>
              <w:t>Regionsöverskridande arbete inom tandvården</w:t>
            </w:r>
            <w:r w:rsidR="0001709E">
              <w:rPr>
                <w:noProof/>
                <w:webHidden/>
              </w:rPr>
              <w:tab/>
            </w:r>
            <w:r w:rsidR="0001709E">
              <w:rPr>
                <w:noProof/>
                <w:webHidden/>
              </w:rPr>
              <w:fldChar w:fldCharType="begin"/>
            </w:r>
            <w:r w:rsidR="0001709E">
              <w:rPr>
                <w:noProof/>
                <w:webHidden/>
              </w:rPr>
              <w:instrText xml:space="preserve"> PAGEREF _Toc147241268 \h </w:instrText>
            </w:r>
            <w:r w:rsidR="0001709E">
              <w:rPr>
                <w:noProof/>
                <w:webHidden/>
              </w:rPr>
            </w:r>
            <w:r w:rsidR="0001709E">
              <w:rPr>
                <w:noProof/>
                <w:webHidden/>
              </w:rPr>
              <w:fldChar w:fldCharType="separate"/>
            </w:r>
            <w:r>
              <w:rPr>
                <w:noProof/>
                <w:webHidden/>
              </w:rPr>
              <w:t>5</w:t>
            </w:r>
            <w:r w:rsidR="0001709E">
              <w:rPr>
                <w:noProof/>
                <w:webHidden/>
              </w:rPr>
              <w:fldChar w:fldCharType="end"/>
            </w:r>
          </w:hyperlink>
        </w:p>
        <w:p w:rsidR="0001709E" w:rsidRDefault="00A1477F" w14:paraId="09B2CCE6" w14:textId="13FA1EEC">
          <w:pPr>
            <w:pStyle w:val="Innehll1"/>
            <w:tabs>
              <w:tab w:val="left" w:pos="567"/>
              <w:tab w:val="right" w:leader="dot" w:pos="8494"/>
            </w:tabs>
            <w:rPr>
              <w:rFonts w:eastAsiaTheme="minorEastAsia"/>
              <w:noProof/>
              <w:kern w:val="0"/>
              <w:sz w:val="22"/>
              <w:szCs w:val="22"/>
              <w:lang w:eastAsia="sv-SE"/>
              <w14:numSpacing w14:val="default"/>
            </w:rPr>
          </w:pPr>
          <w:hyperlink w:history="1" w:anchor="_Toc147241269">
            <w:r w:rsidRPr="00EA77F4" w:rsidR="0001709E">
              <w:rPr>
                <w:rStyle w:val="Hyperlnk"/>
                <w:noProof/>
              </w:rPr>
              <w:t>5</w:t>
            </w:r>
            <w:r w:rsidR="0001709E">
              <w:rPr>
                <w:rFonts w:eastAsiaTheme="minorEastAsia"/>
                <w:noProof/>
                <w:kern w:val="0"/>
                <w:sz w:val="22"/>
                <w:szCs w:val="22"/>
                <w:lang w:eastAsia="sv-SE"/>
                <w14:numSpacing w14:val="default"/>
              </w:rPr>
              <w:tab/>
            </w:r>
            <w:r w:rsidRPr="00EA77F4" w:rsidR="0001709E">
              <w:rPr>
                <w:rStyle w:val="Hyperlnk"/>
                <w:noProof/>
              </w:rPr>
              <w:t>Stärkt kompetensförsörjning och utbildning</w:t>
            </w:r>
            <w:r w:rsidR="0001709E">
              <w:rPr>
                <w:noProof/>
                <w:webHidden/>
              </w:rPr>
              <w:tab/>
            </w:r>
            <w:r w:rsidR="0001709E">
              <w:rPr>
                <w:noProof/>
                <w:webHidden/>
              </w:rPr>
              <w:fldChar w:fldCharType="begin"/>
            </w:r>
            <w:r w:rsidR="0001709E">
              <w:rPr>
                <w:noProof/>
                <w:webHidden/>
              </w:rPr>
              <w:instrText xml:space="preserve"> PAGEREF _Toc147241269 \h </w:instrText>
            </w:r>
            <w:r w:rsidR="0001709E">
              <w:rPr>
                <w:noProof/>
                <w:webHidden/>
              </w:rPr>
            </w:r>
            <w:r w:rsidR="0001709E">
              <w:rPr>
                <w:noProof/>
                <w:webHidden/>
              </w:rPr>
              <w:fldChar w:fldCharType="separate"/>
            </w:r>
            <w:r>
              <w:rPr>
                <w:noProof/>
                <w:webHidden/>
              </w:rPr>
              <w:t>5</w:t>
            </w:r>
            <w:r w:rsidR="0001709E">
              <w:rPr>
                <w:noProof/>
                <w:webHidden/>
              </w:rPr>
              <w:fldChar w:fldCharType="end"/>
            </w:r>
          </w:hyperlink>
        </w:p>
        <w:p w:rsidR="0001709E" w:rsidRDefault="00A1477F" w14:paraId="2B6B4C47" w14:textId="1234D954">
          <w:pPr>
            <w:pStyle w:val="Innehll1"/>
            <w:tabs>
              <w:tab w:val="left" w:pos="567"/>
              <w:tab w:val="right" w:leader="dot" w:pos="8494"/>
            </w:tabs>
            <w:rPr>
              <w:rFonts w:eastAsiaTheme="minorEastAsia"/>
              <w:noProof/>
              <w:kern w:val="0"/>
              <w:sz w:val="22"/>
              <w:szCs w:val="22"/>
              <w:lang w:eastAsia="sv-SE"/>
              <w14:numSpacing w14:val="default"/>
            </w:rPr>
          </w:pPr>
          <w:hyperlink w:history="1" w:anchor="_Toc147241270">
            <w:r w:rsidRPr="00EA77F4" w:rsidR="0001709E">
              <w:rPr>
                <w:rStyle w:val="Hyperlnk"/>
                <w:noProof/>
              </w:rPr>
              <w:t>6</w:t>
            </w:r>
            <w:r w:rsidR="0001709E">
              <w:rPr>
                <w:rFonts w:eastAsiaTheme="minorEastAsia"/>
                <w:noProof/>
                <w:kern w:val="0"/>
                <w:sz w:val="22"/>
                <w:szCs w:val="22"/>
                <w:lang w:eastAsia="sv-SE"/>
                <w14:numSpacing w14:val="default"/>
              </w:rPr>
              <w:tab/>
            </w:r>
            <w:r w:rsidRPr="00EA77F4" w:rsidR="0001709E">
              <w:rPr>
                <w:rStyle w:val="Hyperlnk"/>
                <w:noProof/>
              </w:rPr>
              <w:t>Reglering av den privata tandvårdsmarknaden</w:t>
            </w:r>
            <w:r w:rsidR="0001709E">
              <w:rPr>
                <w:noProof/>
                <w:webHidden/>
              </w:rPr>
              <w:tab/>
            </w:r>
            <w:r w:rsidR="0001709E">
              <w:rPr>
                <w:noProof/>
                <w:webHidden/>
              </w:rPr>
              <w:fldChar w:fldCharType="begin"/>
            </w:r>
            <w:r w:rsidR="0001709E">
              <w:rPr>
                <w:noProof/>
                <w:webHidden/>
              </w:rPr>
              <w:instrText xml:space="preserve"> PAGEREF _Toc147241270 \h </w:instrText>
            </w:r>
            <w:r w:rsidR="0001709E">
              <w:rPr>
                <w:noProof/>
                <w:webHidden/>
              </w:rPr>
            </w:r>
            <w:r w:rsidR="0001709E">
              <w:rPr>
                <w:noProof/>
                <w:webHidden/>
              </w:rPr>
              <w:fldChar w:fldCharType="separate"/>
            </w:r>
            <w:r>
              <w:rPr>
                <w:noProof/>
                <w:webHidden/>
              </w:rPr>
              <w:t>6</w:t>
            </w:r>
            <w:r w:rsidR="0001709E">
              <w:rPr>
                <w:noProof/>
                <w:webHidden/>
              </w:rPr>
              <w:fldChar w:fldCharType="end"/>
            </w:r>
          </w:hyperlink>
        </w:p>
        <w:p w:rsidR="0046595A" w:rsidRDefault="0046595A" w14:paraId="382E9756" w14:textId="4E5A0686">
          <w:r>
            <w:rPr>
              <w:b/>
              <w:bCs/>
            </w:rPr>
            <w:fldChar w:fldCharType="end"/>
          </w:r>
        </w:p>
      </w:sdtContent>
    </w:sdt>
    <w:p w:rsidR="00EE5F89" w:rsidRDefault="00EE5F89" w14:paraId="3CB4B688" w14:textId="1916AD7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7241263" w:displacedByCustomXml="next" w:id="0"/>
    <w:bookmarkStart w:name="_Toc106800475" w:displacedByCustomXml="next" w:id="1"/>
    <w:sdt>
      <w:sdtPr>
        <w:alias w:val="CC_Boilerplate_4"/>
        <w:tag w:val="CC_Boilerplate_4"/>
        <w:id w:val="-1644581176"/>
        <w:lock w:val="sdtLocked"/>
        <w:placeholder>
          <w:docPart w:val="3432B39576F54F69B08F154148AD9BED"/>
        </w:placeholder>
        <w:text/>
      </w:sdtPr>
      <w:sdtEndPr/>
      <w:sdtContent>
        <w:p w:rsidRPr="009B062B" w:rsidR="00AF30DD" w:rsidP="00EE5F89" w:rsidRDefault="00AF30DD" w14:paraId="7BCB5DF6" w14:textId="77777777">
          <w:pPr>
            <w:pStyle w:val="Rubrik1numrerat"/>
            <w:spacing w:after="300"/>
          </w:pPr>
          <w:r w:rsidRPr="009B062B">
            <w:t>Förslag till riksdagsbeslut</w:t>
          </w:r>
        </w:p>
      </w:sdtContent>
    </w:sdt>
    <w:bookmarkStart w:name="_Hlk152849343" w:displacedByCustomXml="next" w:id="2"/>
    <w:sdt>
      <w:sdtPr>
        <w:alias w:val="Yrkande 1"/>
        <w:tag w:val="0f462c81-ad32-459d-8cd5-b2bff7dd363e"/>
        <w:id w:val="-231853889"/>
        <w:lock w:val="sdtLocked"/>
      </w:sdtPr>
      <w:sdtEndPr/>
      <w:sdtContent>
        <w:p w:rsidR="00F5066B" w:rsidRDefault="000B2B2A" w14:paraId="68C0A05D" w14:textId="77777777">
          <w:pPr>
            <w:pStyle w:val="Frslagstext"/>
          </w:pPr>
          <w:r>
            <w:t>Riksdagen ställer sig bakom det som anförs i motionen om att regeringen bör återkomma med förslag på hur behovs- och solidaritetsprincipen kan föras in i tandvårdslagen (1985:125) utifrån förslagen i SOU 2021:8 och tillkännager detta för regeringen.</w:t>
          </w:r>
        </w:p>
      </w:sdtContent>
    </w:sdt>
    <w:bookmarkEnd w:displacedByCustomXml="next" w:id="2"/>
    <w:sdt>
      <w:sdtPr>
        <w:alias w:val="Yrkande 2"/>
        <w:tag w:val="72dfaf86-7a21-4ca2-81da-6dd551c86d43"/>
        <w:id w:val="1000164473"/>
        <w:lock w:val="sdtLocked"/>
      </w:sdtPr>
      <w:sdtEndPr/>
      <w:sdtContent>
        <w:p w:rsidR="00F5066B" w:rsidRDefault="000B2B2A" w14:paraId="30A3FA87" w14:textId="77777777">
          <w:pPr>
            <w:pStyle w:val="Frslagstext"/>
          </w:pPr>
          <w:r>
            <w:t>Riksdagen ställer sig bakom det som anförs i motionen om att en nationell målsättning bör införas som innebär att alla personer i Sverige ska kunna besöka tandläkaren minst en gång per år och tillkännager detta för regeringen.</w:t>
          </w:r>
        </w:p>
      </w:sdtContent>
    </w:sdt>
    <w:sdt>
      <w:sdtPr>
        <w:alias w:val="Yrkande 3"/>
        <w:tag w:val="205fc084-becc-4985-9f46-92d6c4f6cbfa"/>
        <w:id w:val="-1582441225"/>
        <w:lock w:val="sdtLocked"/>
      </w:sdtPr>
      <w:sdtEndPr/>
      <w:sdtContent>
        <w:p w:rsidR="00F5066B" w:rsidRDefault="000B2B2A" w14:paraId="06C864FF" w14:textId="77777777">
          <w:pPr>
            <w:pStyle w:val="Frslagstext"/>
          </w:pPr>
          <w:r>
            <w:t>Riksdagen ställer sig bakom det som anförs i motionen om att regeringen bör tillsätta en utredning med uppdrag att ta fram förslag på hur tandvården kan arbeta mer regionöverskridande och tillkännager detta för regeringen.</w:t>
          </w:r>
        </w:p>
      </w:sdtContent>
    </w:sdt>
    <w:sdt>
      <w:sdtPr>
        <w:alias w:val="Yrkande 4"/>
        <w:tag w:val="966851d8-95bf-4358-bd42-96eaff3093ee"/>
        <w:id w:val="-454108533"/>
        <w:lock w:val="sdtLocked"/>
      </w:sdtPr>
      <w:sdtEndPr/>
      <w:sdtContent>
        <w:p w:rsidR="00F5066B" w:rsidRDefault="000B2B2A" w14:paraId="29D52EF7" w14:textId="77777777">
          <w:pPr>
            <w:pStyle w:val="Frslagstext"/>
          </w:pPr>
          <w:r>
            <w:t>Riksdagen ställer sig bakom det som anförs i motionen om att regeringen bör återkomma med förslag om förstärkt uppdrag för Nationella vårdkompetensrådet att utforma och dimensionera tandvårdens kompetensbehov och tillkännager detta för regeringen.</w:t>
          </w:r>
        </w:p>
      </w:sdtContent>
    </w:sdt>
    <w:sdt>
      <w:sdtPr>
        <w:alias w:val="Yrkande 5"/>
        <w:tag w:val="57e97ae3-b81b-4edf-ba1c-277ad2c375dc"/>
        <w:id w:val="-997731880"/>
        <w:lock w:val="sdtLocked"/>
      </w:sdtPr>
      <w:sdtEndPr/>
      <w:sdtContent>
        <w:p w:rsidR="00F5066B" w:rsidRDefault="000B2B2A" w14:paraId="312136E7" w14:textId="77777777">
          <w:pPr>
            <w:pStyle w:val="Frslagstext"/>
          </w:pPr>
          <w:r>
            <w:t>Riksdagen ställer sig bakom det som anförs i motionen om att regeringen bör återkomma med förslag som säkerställer att privat tandvård har samma krav som offentlig tandvård vad gäller akuttandvård, barntandvård och tandvård till äldre och multisjuka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47241264" w:displacedByCustomXml="next" w:id="4"/>
    <w:bookmarkStart w:name="_Toc106800476" w:displacedByCustomXml="next" w:id="5"/>
    <w:sdt>
      <w:sdtPr>
        <w:alias w:val="CC_Motivering_Rubrik"/>
        <w:tag w:val="CC_Motivering_Rubrik"/>
        <w:id w:val="1433397530"/>
        <w:lock w:val="sdtLocked"/>
        <w:placeholder>
          <w:docPart w:val="D94E0712926F49E582E1D8C37D834714"/>
        </w:placeholder>
        <w:text/>
      </w:sdtPr>
      <w:sdtEndPr/>
      <w:sdtContent>
        <w:p w:rsidRPr="005224D6" w:rsidR="006D79C9" w:rsidP="00EE5F89" w:rsidRDefault="00476C01" w14:paraId="1DB63187" w14:textId="11BFE868">
          <w:pPr>
            <w:pStyle w:val="Rubrik1numrerat"/>
          </w:pPr>
          <w:r w:rsidRPr="005224D6">
            <w:t>Inledning</w:t>
          </w:r>
        </w:p>
      </w:sdtContent>
    </w:sdt>
    <w:bookmarkEnd w:displacedByCustomXml="prev" w:id="4"/>
    <w:bookmarkEnd w:displacedByCustomXml="prev" w:id="5"/>
    <w:p w:rsidRPr="00FB17C7" w:rsidR="00FB17C7" w:rsidP="00EE5F89" w:rsidRDefault="008F5FFE" w14:paraId="32C038FE" w14:textId="1B2B5B8C">
      <w:pPr>
        <w:pStyle w:val="Normalutanindragellerluft"/>
      </w:pPr>
      <w:r w:rsidRPr="00EE5F89">
        <w:rPr>
          <w:spacing w:val="-2"/>
        </w:rPr>
        <w:t>Alla ska ha råd att ha bra tänder, inte bara de som kan betala dyra behandlingar. Tänder</w:t>
      </w:r>
      <w:r w:rsidRPr="00EE5F89" w:rsidR="00EE5F89">
        <w:rPr>
          <w:spacing w:val="-2"/>
        </w:rPr>
        <w:softHyphen/>
      </w:r>
      <w:r w:rsidRPr="00EE5F89">
        <w:rPr>
          <w:spacing w:val="-2"/>
        </w:rPr>
        <w:t>na</w:t>
      </w:r>
      <w:r w:rsidRPr="008F5FFE">
        <w:t xml:space="preserve"> </w:t>
      </w:r>
      <w:r w:rsidRPr="00EE5F89">
        <w:rPr>
          <w:spacing w:val="-2"/>
        </w:rPr>
        <w:t>är en del av kroppen och bör på sikt ingå i sjukvården. I</w:t>
      </w:r>
      <w:r w:rsidRPr="00EE5F89" w:rsidR="00B271FB">
        <w:rPr>
          <w:spacing w:val="-2"/>
        </w:rPr>
        <w:t> </w:t>
      </w:r>
      <w:r w:rsidRPr="00EE5F89">
        <w:rPr>
          <w:spacing w:val="-2"/>
        </w:rPr>
        <w:t>dag har tandhälsan blivit en klass</w:t>
      </w:r>
      <w:r w:rsidRPr="00EE5F89" w:rsidR="00EE5F89">
        <w:rPr>
          <w:spacing w:val="-2"/>
        </w:rPr>
        <w:softHyphen/>
      </w:r>
      <w:r w:rsidRPr="00EE5F89">
        <w:rPr>
          <w:spacing w:val="-2"/>
        </w:rPr>
        <w:t>markör.</w:t>
      </w:r>
      <w:r w:rsidRPr="008F5FFE">
        <w:t xml:space="preserve"> </w:t>
      </w:r>
      <w:r w:rsidRPr="00FB17C7" w:rsidR="00FB17C7">
        <w:t>Tandvårdens finansieringsmodell där patienten själv betalar en stor del av kostnaden</w:t>
      </w:r>
      <w:r w:rsidR="00D06126">
        <w:t xml:space="preserve"> är ett hinder</w:t>
      </w:r>
      <w:r w:rsidRPr="00FB17C7" w:rsidR="00FB17C7">
        <w:t xml:space="preserve"> för personer som helt eller delvis saknar betalningsförmåga. </w:t>
      </w:r>
      <w:r w:rsidRPr="00EE5F89" w:rsidR="00FB17C7">
        <w:rPr>
          <w:spacing w:val="-2"/>
        </w:rPr>
        <w:t>Detta gör att socioekonomiska skillnader påverkar besöksfrekvens</w:t>
      </w:r>
      <w:r w:rsidRPr="00EE5F89" w:rsidR="00973057">
        <w:rPr>
          <w:spacing w:val="-2"/>
        </w:rPr>
        <w:t>en</w:t>
      </w:r>
      <w:r w:rsidRPr="00EE5F89" w:rsidR="00FB17C7">
        <w:rPr>
          <w:spacing w:val="-2"/>
        </w:rPr>
        <w:t>, val av behandlings</w:t>
      </w:r>
      <w:r w:rsidRPr="00EE5F89" w:rsidR="00EE5F89">
        <w:rPr>
          <w:spacing w:val="-2"/>
        </w:rPr>
        <w:softHyphen/>
      </w:r>
      <w:r w:rsidRPr="00EE5F89" w:rsidR="00FB17C7">
        <w:rPr>
          <w:spacing w:val="-2"/>
        </w:rPr>
        <w:t>alternativ</w:t>
      </w:r>
      <w:r w:rsidRPr="00FB17C7" w:rsidR="00FB17C7">
        <w:t xml:space="preserve"> och ytterst även tandhälsan</w:t>
      </w:r>
      <w:r w:rsidR="00D06126">
        <w:t>. På så sätt är tandhälsan tätt förknippa</w:t>
      </w:r>
      <w:r w:rsidR="00973057">
        <w:t>d</w:t>
      </w:r>
      <w:r w:rsidR="00D06126">
        <w:t xml:space="preserve"> med samhällsutvecklingen i stort. </w:t>
      </w:r>
      <w:r w:rsidRPr="00844A0E" w:rsidR="00844A0E">
        <w:t xml:space="preserve">Med en ojämlikhet som har ökat sedan mitten av 1980-talet i Sverige </w:t>
      </w:r>
      <w:r w:rsidR="00844A0E">
        <w:t xml:space="preserve">går det att konstatera relaterade ojämlikheter i tand- och munhälsa hos </w:t>
      </w:r>
      <w:r w:rsidRPr="00EE5F89" w:rsidR="00844A0E">
        <w:rPr>
          <w:spacing w:val="-2"/>
        </w:rPr>
        <w:t>befolk</w:t>
      </w:r>
      <w:r w:rsidRPr="00EE5F89" w:rsidR="00EE5F89">
        <w:rPr>
          <w:spacing w:val="-2"/>
        </w:rPr>
        <w:softHyphen/>
      </w:r>
      <w:r w:rsidRPr="00EE5F89" w:rsidR="00844A0E">
        <w:rPr>
          <w:spacing w:val="-2"/>
        </w:rPr>
        <w:t>ningen.</w:t>
      </w:r>
      <w:r w:rsidRPr="00EE5F89" w:rsidR="00196802">
        <w:rPr>
          <w:spacing w:val="-2"/>
        </w:rPr>
        <w:t xml:space="preserve"> </w:t>
      </w:r>
      <w:r w:rsidRPr="00EE5F89" w:rsidR="00FB17C7">
        <w:rPr>
          <w:spacing w:val="-2"/>
        </w:rPr>
        <w:t>Ökade inkomst- och kapitalskillnader, kvalitetsskillnader i skolsystemet, bostads</w:t>
      </w:r>
      <w:r w:rsidRPr="00EE5F89" w:rsidR="00EE5F89">
        <w:rPr>
          <w:spacing w:val="-2"/>
        </w:rPr>
        <w:softHyphen/>
      </w:r>
      <w:r w:rsidRPr="00EE5F89" w:rsidR="00FB17C7">
        <w:rPr>
          <w:spacing w:val="-2"/>
        </w:rPr>
        <w:t>brist,</w:t>
      </w:r>
      <w:r w:rsidRPr="00FB17C7" w:rsidR="00FB17C7">
        <w:t xml:space="preserve"> segregation och sjunkande tillit till samhällets centrala funktioner ökar de socio</w:t>
      </w:r>
      <w:r w:rsidR="00EE5F89">
        <w:softHyphen/>
      </w:r>
      <w:r w:rsidRPr="00FB17C7" w:rsidR="00FB17C7">
        <w:t xml:space="preserve">ekonomiska skillnaderna i samhället. </w:t>
      </w:r>
      <w:r w:rsidR="00657CD7">
        <w:t>D</w:t>
      </w:r>
      <w:r w:rsidR="00196802">
        <w:t xml:space="preserve">en </w:t>
      </w:r>
      <w:r w:rsidRPr="00FB17C7" w:rsidR="00FB17C7">
        <w:t>ökade ojämlikhet</w:t>
      </w:r>
      <w:r w:rsidR="008D258D">
        <w:t>en</w:t>
      </w:r>
      <w:r w:rsidRPr="00FB17C7" w:rsidR="00FB17C7">
        <w:t xml:space="preserve"> i samhället </w:t>
      </w:r>
      <w:r w:rsidR="00196802">
        <w:t xml:space="preserve">generellt </w:t>
      </w:r>
      <w:r w:rsidR="00657CD7">
        <w:t xml:space="preserve">riskerar </w:t>
      </w:r>
      <w:r w:rsidRPr="00FB17C7" w:rsidR="00FB17C7">
        <w:t>att befästa skillnaderna i tandhälsa</w:t>
      </w:r>
      <w:r w:rsidR="00DC52BF">
        <w:t>;</w:t>
      </w:r>
      <w:r w:rsidR="00657CD7">
        <w:t xml:space="preserve"> samtidigt går det att göra mycket inom tandvårdssystemet som sådant</w:t>
      </w:r>
      <w:r w:rsidR="008D258D">
        <w:t xml:space="preserve"> för att motverka ojämlikheten.</w:t>
      </w:r>
    </w:p>
    <w:p w:rsidR="00422B9E" w:rsidP="00EE5F89" w:rsidRDefault="008F5FFE" w14:paraId="7196CE79" w14:textId="6963B7DD">
      <w:r>
        <w:t xml:space="preserve">Vänsterpartiet har drivit igenom progressiva reformer inom tandvården de senaste åren. </w:t>
      </w:r>
      <w:r w:rsidRPr="008F5FFE">
        <w:t xml:space="preserve">För personer </w:t>
      </w:r>
      <w:r>
        <w:t xml:space="preserve">över 65 år och </w:t>
      </w:r>
      <w:r w:rsidRPr="008F5FFE">
        <w:t>mellan 23 och 29 år fördubblades tandvårdsbidraget till 600 kronor. För vuxna mellan 30 och 65 år höjdes det till 300 kronor.</w:t>
      </w:r>
      <w:r>
        <w:t xml:space="preserve"> Åldersgränsen för </w:t>
      </w:r>
      <w:r w:rsidR="00FA712B">
        <w:t>avgifts</w:t>
      </w:r>
      <w:r>
        <w:t>fri tandvård höjdes till 23 år.</w:t>
      </w:r>
      <w:r w:rsidRPr="008F5FFE">
        <w:t xml:space="preserve"> Men vi behöver göra mycket mer. Vänsterpartiet har därför lagt fram ett förslag på ett riktigt högkostnadsskydd i tandvården. Det skulle innebära att patienten betalar maximalt 1</w:t>
      </w:r>
      <w:r w:rsidR="00834458">
        <w:t> </w:t>
      </w:r>
      <w:r w:rsidRPr="008F5FFE">
        <w:t>200 kronor under 12 månader</w:t>
      </w:r>
      <w:r w:rsidR="00FA712B">
        <w:t>, likt det system som finns inom hälso- och sjukvården</w:t>
      </w:r>
      <w:r w:rsidRPr="008F5FFE">
        <w:t xml:space="preserve">. Kostnader över det ska subventioneras fullt ut. </w:t>
      </w:r>
      <w:r w:rsidR="00FA712B">
        <w:t>Förslaget har utretts och är i ordning att införas.</w:t>
      </w:r>
      <w:r w:rsidR="00FA712B">
        <w:rPr>
          <w:rStyle w:val="Fotnotsreferens"/>
        </w:rPr>
        <w:footnoteReference w:id="1"/>
      </w:r>
      <w:r w:rsidR="00FA712B">
        <w:t xml:space="preserve"> </w:t>
      </w:r>
      <w:r w:rsidRPr="008F5FFE">
        <w:t xml:space="preserve">Vi vill även att de vanligaste </w:t>
      </w:r>
      <w:r w:rsidRPr="008F5FFE">
        <w:lastRenderedPageBreak/>
        <w:t xml:space="preserve">behandlingarna får en nationell taxa som innebär ett tak </w:t>
      </w:r>
      <w:r w:rsidR="00C27C2D">
        <w:t>för</w:t>
      </w:r>
      <w:r w:rsidRPr="008F5FFE">
        <w:t xml:space="preserve"> vad respektive behandling får kosta oavsett vårdgivare. Det skulle skapa förutsebarhet och i många fall även ge billigare tandvård.</w:t>
      </w:r>
      <w:r w:rsidR="00FA712B">
        <w:t xml:space="preserve"> Se Vänsterpartiets budgetmotion för 2024 för </w:t>
      </w:r>
      <w:r w:rsidR="00C27C2D">
        <w:t xml:space="preserve">en </w:t>
      </w:r>
      <w:r w:rsidR="00FA712B">
        <w:t>närmare beskriv</w:t>
      </w:r>
      <w:r w:rsidR="00EE5F89">
        <w:softHyphen/>
      </w:r>
      <w:r w:rsidR="00FA712B">
        <w:t>ning av förslaget</w:t>
      </w:r>
      <w:r w:rsidR="0096292D">
        <w:t xml:space="preserve"> om ett nytt högkostnadsskydd</w:t>
      </w:r>
      <w:r w:rsidR="00FA712B">
        <w:t>.</w:t>
      </w:r>
    </w:p>
    <w:p w:rsidR="00CA1C73" w:rsidP="00EE5F89" w:rsidRDefault="00256D94" w14:paraId="0BAF6EDE" w14:textId="00233594">
      <w:pPr>
        <w:pStyle w:val="Rubrik1numrerat"/>
      </w:pPr>
      <w:bookmarkStart w:name="_Toc147241265" w:id="6"/>
      <w:r>
        <w:t>Ökad j</w:t>
      </w:r>
      <w:r w:rsidR="00CA1C73">
        <w:t>ämlikhet</w:t>
      </w:r>
      <w:r w:rsidR="006362E9">
        <w:t xml:space="preserve"> och tillgänglighet</w:t>
      </w:r>
      <w:bookmarkEnd w:id="6"/>
    </w:p>
    <w:p w:rsidR="00FA712B" w:rsidP="00EE5F89" w:rsidRDefault="00FA712B" w14:paraId="3734F2A8" w14:textId="762A3F7A">
      <w:pPr>
        <w:pStyle w:val="Normalutanindragellerluft"/>
      </w:pPr>
      <w:r w:rsidRPr="00FA712B">
        <w:t>Sedan tandvårdsmarknaden avreglerades har priserna stigit kraftigt. De höga kostnad</w:t>
      </w:r>
      <w:r w:rsidR="00EE5F89">
        <w:softHyphen/>
      </w:r>
      <w:r w:rsidRPr="00FA712B">
        <w:t xml:space="preserve">erna för undersökning och behandling gör att de som tjänar minst besöker tandläkaren mer sällan eller tvingas </w:t>
      </w:r>
      <w:r w:rsidR="00743060">
        <w:t xml:space="preserve">att </w:t>
      </w:r>
      <w:r w:rsidRPr="00FA712B">
        <w:t>avstå från tandläkarbesök. De med väldigt låga inkomster har ingen nytta av dagens högkostnadsskydd eftersom det bara gäller kostnader över 3</w:t>
      </w:r>
      <w:r w:rsidR="00C35053">
        <w:t> </w:t>
      </w:r>
      <w:r w:rsidRPr="00FA712B">
        <w:t xml:space="preserve">000 kronor och </w:t>
      </w:r>
      <w:r w:rsidR="00BB30AC">
        <w:t xml:space="preserve">det </w:t>
      </w:r>
      <w:r w:rsidRPr="00FA712B">
        <w:t xml:space="preserve">endast är halva kostnaden som ersätts. </w:t>
      </w:r>
      <w:r w:rsidRPr="008F5FFE" w:rsidR="00FB17C7">
        <w:t xml:space="preserve">Många unga vuxna slutar att </w:t>
      </w:r>
      <w:r w:rsidRPr="00EE5F89" w:rsidR="00FB17C7">
        <w:rPr>
          <w:spacing w:val="-1"/>
        </w:rPr>
        <w:t>besöka tandvården i förebyggande syfte när de inte längre har tillgång till avgiftsfri tand</w:t>
      </w:r>
      <w:r w:rsidRPr="00EE5F89" w:rsidR="00EE5F89">
        <w:rPr>
          <w:spacing w:val="-1"/>
        </w:rPr>
        <w:softHyphen/>
      </w:r>
      <w:r w:rsidRPr="00EE5F89" w:rsidR="00FB17C7">
        <w:rPr>
          <w:spacing w:val="-1"/>
        </w:rPr>
        <w:t>vård.</w:t>
      </w:r>
      <w:r w:rsidR="00FB17C7">
        <w:t xml:space="preserve"> </w:t>
      </w:r>
      <w:r w:rsidRPr="00FA712B">
        <w:t>Undersökningar visar att sviktande munhälsa påverkar individens förutsättningar på exempelvis arbetsmarknaden.</w:t>
      </w:r>
      <w:r w:rsidR="00A23824">
        <w:rPr>
          <w:rStyle w:val="Fotnotsreferens"/>
        </w:rPr>
        <w:footnoteReference w:id="2"/>
      </w:r>
      <w:r w:rsidRPr="00FA712B">
        <w:t xml:space="preserve"> Det är även dokumenterat att olika slags arbeten leder till ojämlikheter, såsom att industriarbetare som jobbar natt har en sämre munhälsa.</w:t>
      </w:r>
      <w:r w:rsidR="005730CB">
        <w:rPr>
          <w:rStyle w:val="Fotnotsreferens"/>
        </w:rPr>
        <w:footnoteReference w:id="3"/>
      </w:r>
      <w:r w:rsidRPr="00FA712B">
        <w:t xml:space="preserve"> </w:t>
      </w:r>
      <w:r w:rsidRPr="00EE5F89">
        <w:rPr>
          <w:spacing w:val="-2"/>
        </w:rPr>
        <w:t>Vänsterpartiets reformplaner för tandvården i Sverige syftar till ökad jämlikhet, förbättrad</w:t>
      </w:r>
      <w:r w:rsidRPr="00FA712B">
        <w:t xml:space="preserve"> tillgänglighet och en bättre generell tandhälsa i </w:t>
      </w:r>
      <w:r w:rsidRPr="008F36E6">
        <w:t xml:space="preserve">befolkningen. En god tandhälsa </w:t>
      </w:r>
      <w:r w:rsidRPr="00EE5F89">
        <w:rPr>
          <w:spacing w:val="-1"/>
        </w:rPr>
        <w:t>före</w:t>
      </w:r>
      <w:r w:rsidRPr="00EE5F89" w:rsidR="00EE5F89">
        <w:rPr>
          <w:spacing w:val="-1"/>
        </w:rPr>
        <w:softHyphen/>
      </w:r>
      <w:r w:rsidRPr="00EE5F89">
        <w:rPr>
          <w:spacing w:val="-1"/>
        </w:rPr>
        <w:t>bygger allvarlig infektionssjukdom med risk för bl</w:t>
      </w:r>
      <w:r w:rsidRPr="00EE5F89" w:rsidR="008E1533">
        <w:rPr>
          <w:spacing w:val="-1"/>
        </w:rPr>
        <w:t>.a.</w:t>
      </w:r>
      <w:r w:rsidRPr="00EE5F89">
        <w:rPr>
          <w:spacing w:val="-1"/>
        </w:rPr>
        <w:t xml:space="preserve"> hjärt-kärlsjukdomar samt allvarliga</w:t>
      </w:r>
      <w:r w:rsidRPr="008F36E6">
        <w:t xml:space="preserve"> tandsjukdomar och behandlar vanligt förekommande </w:t>
      </w:r>
      <w:r w:rsidRPr="00FA712B">
        <w:t>tandbesvär i syfte att lindra smärta eller öka funktionalitet.</w:t>
      </w:r>
    </w:p>
    <w:p w:rsidR="00FE4513" w:rsidP="00EE5F89" w:rsidRDefault="00FE4513" w14:paraId="7234DDFC" w14:textId="3A022183">
      <w:pPr>
        <w:pStyle w:val="Rubrik2numrerat"/>
      </w:pPr>
      <w:bookmarkStart w:name="_Toc147241266" w:id="7"/>
      <w:r>
        <w:t>Behovs-solidaritetsprincipen i tandvårdslagen</w:t>
      </w:r>
      <w:bookmarkEnd w:id="7"/>
    </w:p>
    <w:p w:rsidR="00DD6BA5" w:rsidP="00EE5F89" w:rsidRDefault="00D97E64" w14:paraId="2E249A9E" w14:textId="00400FCD">
      <w:pPr>
        <w:pStyle w:val="Normalutanindragellerluft"/>
      </w:pPr>
      <w:r>
        <w:t>E</w:t>
      </w:r>
      <w:r w:rsidRPr="00D97E64">
        <w:t>n god tandhälsa och en tandvård på lika villkor för hela befolkningen</w:t>
      </w:r>
      <w:r>
        <w:t xml:space="preserve"> är målet </w:t>
      </w:r>
      <w:r w:rsidR="008C1219">
        <w:t>för</w:t>
      </w:r>
      <w:r>
        <w:t xml:space="preserve"> tandvård</w:t>
      </w:r>
      <w:r w:rsidR="008C1219">
        <w:t>en</w:t>
      </w:r>
      <w:r>
        <w:t xml:space="preserve"> enligt t</w:t>
      </w:r>
      <w:r w:rsidRPr="00D97E64">
        <w:t>andvårdslag</w:t>
      </w:r>
      <w:r>
        <w:t>en</w:t>
      </w:r>
      <w:r w:rsidRPr="00D97E64">
        <w:t xml:space="preserve"> (1985:125)</w:t>
      </w:r>
      <w:r>
        <w:t>.</w:t>
      </w:r>
      <w:r w:rsidR="004E2DE0">
        <w:t xml:space="preserve"> </w:t>
      </w:r>
      <w:r w:rsidR="008B12FC">
        <w:t>Över</w:t>
      </w:r>
      <w:r w:rsidR="00131311">
        <w:t xml:space="preserve"> </w:t>
      </w:r>
      <w:r w:rsidR="008B12FC">
        <w:t xml:space="preserve">tid har också tandhälsan förbättrats på så sätt att </w:t>
      </w:r>
      <w:r w:rsidR="00881007">
        <w:t xml:space="preserve">det skulle kunna uppfattas som att den svenska tandvårdspolitiken lever upp till lagstiftningens mål. </w:t>
      </w:r>
      <w:r w:rsidRPr="004E2DE0" w:rsidR="004E2DE0">
        <w:t>Befolkningen har generellt en god munhälsa och den förbättras kontinuerligt</w:t>
      </w:r>
      <w:r w:rsidR="004179EE">
        <w:t>,</w:t>
      </w:r>
      <w:r w:rsidR="00296E9D">
        <w:t xml:space="preserve"> tillsammans med att</w:t>
      </w:r>
      <w:r w:rsidR="004179EE">
        <w:t xml:space="preserve"> </w:t>
      </w:r>
      <w:r w:rsidR="004E2DE0">
        <w:t>f</w:t>
      </w:r>
      <w:r w:rsidRPr="004E2DE0" w:rsidR="004E2DE0">
        <w:t>ler vuxna behåller sina tänder upp i åldrarna</w:t>
      </w:r>
      <w:r w:rsidR="00DD6BA5">
        <w:t>.</w:t>
      </w:r>
    </w:p>
    <w:p w:rsidR="00D97E64" w:rsidP="00EE5F89" w:rsidRDefault="002E174D" w14:paraId="55A0303C" w14:textId="28627CFA">
      <w:r>
        <w:t>Vid</w:t>
      </w:r>
      <w:r w:rsidR="003B71C9">
        <w:t xml:space="preserve"> en</w:t>
      </w:r>
      <w:r>
        <w:t xml:space="preserve"> närmare analys framträder </w:t>
      </w:r>
      <w:r w:rsidR="00551D8E">
        <w:t>däremot</w:t>
      </w:r>
      <w:r>
        <w:t xml:space="preserve"> en annan bild – ojämlikheten ökar.</w:t>
      </w:r>
      <w:r w:rsidR="00551D8E">
        <w:t xml:space="preserve"> </w:t>
      </w:r>
      <w:r w:rsidRPr="00551D8E" w:rsidR="00551D8E">
        <w:t>Skillnaderna mellan de som har bäst och sämst munhälsa har ökat över tid och de som är mycket svårt drabbade av kariessjukdomen ökar i antal.</w:t>
      </w:r>
      <w:r w:rsidR="00551D8E">
        <w:t xml:space="preserve"> </w:t>
      </w:r>
      <w:r w:rsidR="00E75A46">
        <w:t>Socioekonomiska förhållan</w:t>
      </w:r>
      <w:r w:rsidR="00EE5F89">
        <w:softHyphen/>
      </w:r>
      <w:r w:rsidR="00E75A46">
        <w:t xml:space="preserve">den har en påtaglig påverkan på munhälsa. </w:t>
      </w:r>
      <w:r w:rsidR="004179EE">
        <w:t xml:space="preserve">Inte minst märks det bland barn, då </w:t>
      </w:r>
      <w:r w:rsidRPr="004179EE" w:rsidR="004179EE">
        <w:t xml:space="preserve">barn i familjer med låg inkomst </w:t>
      </w:r>
      <w:r w:rsidR="004179EE">
        <w:t>löper 60 procent</w:t>
      </w:r>
      <w:r w:rsidRPr="004179EE" w:rsidR="004179EE">
        <w:t xml:space="preserve"> </w:t>
      </w:r>
      <w:r w:rsidR="00330229">
        <w:t>större</w:t>
      </w:r>
      <w:r w:rsidRPr="004179EE" w:rsidR="004179EE">
        <w:t xml:space="preserve"> risk för karies jämfört med barn i familjer med hög inkomst</w:t>
      </w:r>
      <w:r w:rsidR="004179EE">
        <w:t xml:space="preserve"> och </w:t>
      </w:r>
      <w:r w:rsidRPr="004179EE" w:rsidR="004179EE">
        <w:t xml:space="preserve">barn till föräldrar med kort utbildning </w:t>
      </w:r>
      <w:r w:rsidR="004179EE">
        <w:t>löper 40 procent</w:t>
      </w:r>
      <w:r w:rsidR="00330229">
        <w:t xml:space="preserve"> större</w:t>
      </w:r>
      <w:r w:rsidRPr="004179EE" w:rsidR="004179EE">
        <w:t xml:space="preserve"> risk för karies jämfört med barn till föräldrar med lång utbildning</w:t>
      </w:r>
      <w:r w:rsidR="004179EE">
        <w:t>. S</w:t>
      </w:r>
      <w:r w:rsidRPr="004179EE" w:rsidR="004179EE">
        <w:t xml:space="preserve">killnaderna i </w:t>
      </w:r>
      <w:r w:rsidRPr="00EE5F89" w:rsidR="004179EE">
        <w:rPr>
          <w:spacing w:val="-2"/>
        </w:rPr>
        <w:t xml:space="preserve">munhälsan mellan olika grupper </w:t>
      </w:r>
      <w:r w:rsidRPr="00EE5F89" w:rsidR="00FE4D96">
        <w:rPr>
          <w:spacing w:val="-2"/>
        </w:rPr>
        <w:t xml:space="preserve">har </w:t>
      </w:r>
      <w:r w:rsidRPr="00EE5F89" w:rsidR="004179EE">
        <w:rPr>
          <w:spacing w:val="-2"/>
        </w:rPr>
        <w:t>förstärkts även över tid.</w:t>
      </w:r>
      <w:r w:rsidRPr="00EE5F89" w:rsidR="00A8384D">
        <w:rPr>
          <w:rStyle w:val="Fotnotsreferens"/>
          <w:spacing w:val="-2"/>
        </w:rPr>
        <w:footnoteReference w:id="4"/>
      </w:r>
      <w:r w:rsidRPr="00EE5F89" w:rsidR="00DD6BA5">
        <w:rPr>
          <w:spacing w:val="-2"/>
        </w:rPr>
        <w:t xml:space="preserve"> Bland vuxna varierar antalet</w:t>
      </w:r>
      <w:r w:rsidRPr="00DD6BA5" w:rsidR="00DD6BA5">
        <w:t xml:space="preserve"> kvarvarande och intakta tänder med individens socioekonomiska status</w:t>
      </w:r>
      <w:r w:rsidR="00DD6BA5">
        <w:t xml:space="preserve">. </w:t>
      </w:r>
      <w:r w:rsidRPr="00DD6BA5" w:rsidR="00DD6BA5">
        <w:t xml:space="preserve">Majoriteten av </w:t>
      </w:r>
      <w:r w:rsidRPr="00EE5F89" w:rsidR="00DD6BA5">
        <w:rPr>
          <w:spacing w:val="-1"/>
        </w:rPr>
        <w:t>Sveriges befolkning bedömer sin munhälsa som god, men den bedömningen är vanligare</w:t>
      </w:r>
      <w:r w:rsidRPr="00DD6BA5" w:rsidR="00DD6BA5">
        <w:t xml:space="preserve"> </w:t>
      </w:r>
      <w:r w:rsidRPr="00DD6BA5" w:rsidR="00DD6BA5">
        <w:lastRenderedPageBreak/>
        <w:t>bland personer med lång utbildning eller hög inkomst, jämfört med personer med kort utbildning eller låg inkomst.</w:t>
      </w:r>
      <w:r w:rsidR="006F07B0">
        <w:rPr>
          <w:rStyle w:val="Fotnotsreferens"/>
        </w:rPr>
        <w:footnoteReference w:id="5"/>
      </w:r>
    </w:p>
    <w:p w:rsidRPr="008F36E6" w:rsidR="00A172F3" w:rsidP="00EE5F89" w:rsidRDefault="00035CA7" w14:paraId="5C6D65D5" w14:textId="43D100C9">
      <w:r w:rsidRPr="00035CA7">
        <w:t xml:space="preserve">Likt välfärden i stort </w:t>
      </w:r>
      <w:r w:rsidR="004515E9">
        <w:t>bör tandvården</w:t>
      </w:r>
      <w:r w:rsidRPr="00035CA7">
        <w:t xml:space="preserve"> styras efter en behovs</w:t>
      </w:r>
      <w:r w:rsidR="00381687">
        <w:t>-solidaritets</w:t>
      </w:r>
      <w:r w:rsidRPr="00035CA7">
        <w:t xml:space="preserve">princip, där störst behov kommer först. För privata utförare är de friskaste patienterna, som kräver minst insats men ger hög ersättning, de mest lönsamma. Dessa aktörers utbredning inom </w:t>
      </w:r>
      <w:r w:rsidR="004515E9">
        <w:t>tand</w:t>
      </w:r>
      <w:r w:rsidRPr="00035CA7">
        <w:t xml:space="preserve">vården har gjort vinstmöjligheterna mer styrande </w:t>
      </w:r>
      <w:r w:rsidR="008B0A58">
        <w:t>för</w:t>
      </w:r>
      <w:r w:rsidRPr="00035CA7">
        <w:t xml:space="preserve"> hur vårdresurserna fördelas i</w:t>
      </w:r>
      <w:r w:rsidR="00145D5B">
        <w:t> </w:t>
      </w:r>
      <w:r w:rsidRPr="00035CA7">
        <w:t xml:space="preserve">stället för att behoven </w:t>
      </w:r>
      <w:r w:rsidR="008B0A58">
        <w:t xml:space="preserve">tillåts </w:t>
      </w:r>
      <w:r w:rsidRPr="00035CA7">
        <w:t xml:space="preserve">styra. Därmed blir det också den offentliga </w:t>
      </w:r>
      <w:r w:rsidR="004515E9">
        <w:t>tand</w:t>
      </w:r>
      <w:r w:rsidRPr="00035CA7">
        <w:t>vårdens ansvar att vårda de med störst</w:t>
      </w:r>
      <w:r w:rsidR="004515E9">
        <w:t xml:space="preserve"> </w:t>
      </w:r>
      <w:r w:rsidRPr="00035CA7">
        <w:t>behov, vilket innebär</w:t>
      </w:r>
      <w:r w:rsidR="003C0B08">
        <w:t xml:space="preserve"> en</w:t>
      </w:r>
      <w:r w:rsidRPr="00035CA7">
        <w:t xml:space="preserve"> ökad belastning på den offentliga vården. Vänsterpartiet anser att </w:t>
      </w:r>
      <w:r w:rsidR="004515E9">
        <w:t>p</w:t>
      </w:r>
      <w:r w:rsidRPr="00035CA7">
        <w:t>rincipen om vård efter behov tydligare än i</w:t>
      </w:r>
      <w:r w:rsidR="00145D5B">
        <w:t> </w:t>
      </w:r>
      <w:r w:rsidRPr="00035CA7">
        <w:t xml:space="preserve">dag </w:t>
      </w:r>
      <w:r w:rsidR="004515E9">
        <w:t xml:space="preserve">bör </w:t>
      </w:r>
      <w:r w:rsidRPr="00035CA7">
        <w:t xml:space="preserve">styra prioritering och resursfördelning i </w:t>
      </w:r>
      <w:r w:rsidRPr="008F36E6">
        <w:t xml:space="preserve">tandvården. </w:t>
      </w:r>
      <w:r w:rsidRPr="008F36E6" w:rsidR="00A172F3">
        <w:t>Redan i</w:t>
      </w:r>
      <w:r w:rsidRPr="008F36E6" w:rsidR="00145D5B">
        <w:t> </w:t>
      </w:r>
      <w:r w:rsidRPr="008F36E6" w:rsidR="00A172F3">
        <w:t xml:space="preserve">dag finns principen uttryckt i den övriga hälso- och sjukvårdens ramlagstiftning. </w:t>
      </w:r>
      <w:r w:rsidRPr="008F36E6">
        <w:t>Behovs-solidaritetsprincipen bör utgöra en central utgångspunkt för svensk tandvård och återspeglas i tandvårdslagen</w:t>
      </w:r>
      <w:r w:rsidRPr="008F36E6" w:rsidR="004515E9">
        <w:t>, så</w:t>
      </w:r>
      <w:r w:rsidR="00D7469A">
        <w:t xml:space="preserve"> </w:t>
      </w:r>
      <w:r w:rsidRPr="008F36E6" w:rsidR="004515E9">
        <w:t>som föreslås i utredningen om jämlik tand</w:t>
      </w:r>
      <w:r w:rsidRPr="008F36E6" w:rsidR="008726C2">
        <w:t>hälsa</w:t>
      </w:r>
      <w:r w:rsidRPr="008F36E6">
        <w:t>.</w:t>
      </w:r>
      <w:r w:rsidRPr="008F36E6" w:rsidR="004515E9">
        <w:rPr>
          <w:rStyle w:val="Fotnotsreferens"/>
        </w:rPr>
        <w:footnoteReference w:id="6"/>
      </w:r>
    </w:p>
    <w:p w:rsidRPr="008F36E6" w:rsidR="00CA1C73" w:rsidP="00EE5F89" w:rsidRDefault="00B54431" w14:paraId="1F88B60E" w14:textId="4D9F45AD">
      <w:r w:rsidRPr="008F36E6">
        <w:t xml:space="preserve">Regeringen bör </w:t>
      </w:r>
      <w:r w:rsidRPr="008F36E6" w:rsidR="00035CA7">
        <w:t>återkomma med</w:t>
      </w:r>
      <w:r w:rsidRPr="008F36E6">
        <w:t xml:space="preserve"> förslag</w:t>
      </w:r>
      <w:r w:rsidRPr="008F36E6" w:rsidR="004F5597">
        <w:t xml:space="preserve"> på</w:t>
      </w:r>
      <w:r w:rsidRPr="008F36E6" w:rsidR="008B7A7A">
        <w:t xml:space="preserve"> hur</w:t>
      </w:r>
      <w:r w:rsidRPr="008F36E6">
        <w:t xml:space="preserve"> </w:t>
      </w:r>
      <w:r w:rsidRPr="008F36E6" w:rsidR="008B7A7A">
        <w:t xml:space="preserve">behovs-solidaritetsprincipen kan föras in i </w:t>
      </w:r>
      <w:r w:rsidRPr="008F36E6" w:rsidR="00FE4513">
        <w:t>t</w:t>
      </w:r>
      <w:r w:rsidRPr="008F36E6" w:rsidR="008B7A7A">
        <w:t>andvårdslagen</w:t>
      </w:r>
      <w:r w:rsidRPr="008F36E6" w:rsidR="00A265BE">
        <w:t xml:space="preserve"> (1985:125)</w:t>
      </w:r>
      <w:r w:rsidRPr="008F36E6" w:rsidR="008B7A7A">
        <w:t xml:space="preserve"> </w:t>
      </w:r>
      <w:r w:rsidRPr="008F36E6" w:rsidR="00035CA7">
        <w:t>utifrån förslagen i SOU</w:t>
      </w:r>
      <w:r w:rsidRPr="008F36E6" w:rsidR="00636647">
        <w:t xml:space="preserve"> 2021:8</w:t>
      </w:r>
      <w:r w:rsidRPr="008F36E6">
        <w:t>.</w:t>
      </w:r>
      <w:r w:rsidRPr="008F36E6" w:rsidR="00026040">
        <w:t xml:space="preserve"> Detta bör riksdagen ställa sig bakom och ge regeringen till känna.</w:t>
      </w:r>
    </w:p>
    <w:p w:rsidR="001B3E8A" w:rsidP="00EE5F89" w:rsidRDefault="001B3E8A" w14:paraId="0E7328DA" w14:textId="4541E695">
      <w:pPr>
        <w:pStyle w:val="Rubrik2numrerat"/>
      </w:pPr>
      <w:bookmarkStart w:name="_Toc147241267" w:id="8"/>
      <w:r w:rsidRPr="008F36E6">
        <w:t xml:space="preserve">Nationell målsättning om minst ett tandläkarbesök </w:t>
      </w:r>
      <w:r>
        <w:t>per år</w:t>
      </w:r>
      <w:bookmarkEnd w:id="8"/>
    </w:p>
    <w:p w:rsidR="008D3A93" w:rsidP="00EE5F89" w:rsidRDefault="004214CC" w14:paraId="32669FDA" w14:textId="174D39B4">
      <w:pPr>
        <w:pStyle w:val="Normalutanindragellerluft"/>
      </w:pPr>
      <w:r>
        <w:t xml:space="preserve">Likt andra </w:t>
      </w:r>
      <w:r w:rsidRPr="00A726D0" w:rsidR="00A726D0">
        <w:t xml:space="preserve">välfärdstjänster </w:t>
      </w:r>
      <w:r>
        <w:t xml:space="preserve">påverkas tandvården </w:t>
      </w:r>
      <w:r w:rsidRPr="00A726D0" w:rsidR="00A726D0">
        <w:t>av samhälls- och omvärldsförändringar som urbanisering, demografi, migration och levnadsvaneförändringar. Därtill</w:t>
      </w:r>
      <w:r w:rsidR="009873DC">
        <w:t xml:space="preserve"> försämras e</w:t>
      </w:r>
      <w:r w:rsidRPr="00A726D0" w:rsidR="00A726D0">
        <w:t xml:space="preserve">konomin i många kommuner och regioner utanför landets tillväxtregioner i takt med </w:t>
      </w:r>
      <w:r w:rsidR="00684EBD">
        <w:t xml:space="preserve">ett </w:t>
      </w:r>
      <w:r w:rsidRPr="00A726D0" w:rsidR="00A726D0">
        <w:t xml:space="preserve">vikande skatteunderlag och </w:t>
      </w:r>
      <w:r w:rsidR="00684EBD">
        <w:t xml:space="preserve">en </w:t>
      </w:r>
      <w:r w:rsidRPr="00A726D0" w:rsidR="00A726D0">
        <w:t xml:space="preserve">åldrande befolkning. </w:t>
      </w:r>
      <w:r w:rsidR="009873DC">
        <w:t>B</w:t>
      </w:r>
      <w:r w:rsidRPr="00A726D0" w:rsidR="009873DC">
        <w:t xml:space="preserve">risten på aktiva behandlare </w:t>
      </w:r>
      <w:r w:rsidR="009873DC">
        <w:t xml:space="preserve">är </w:t>
      </w:r>
      <w:r w:rsidRPr="00A726D0" w:rsidR="009873DC">
        <w:t xml:space="preserve">ett betydande problem i </w:t>
      </w:r>
      <w:r w:rsidR="009873DC">
        <w:t>framför allt dessa</w:t>
      </w:r>
      <w:r w:rsidRPr="00A726D0" w:rsidR="009873DC">
        <w:t xml:space="preserve"> regioner</w:t>
      </w:r>
      <w:r w:rsidR="009873DC">
        <w:t>, vilket utöver ovannämnda orsaker även skapas av ett system med fri prissättning och fri etablering</w:t>
      </w:r>
      <w:r w:rsidR="008D3A93">
        <w:t>, som samtidigt utarmar den offentliga tandvården</w:t>
      </w:r>
      <w:r w:rsidR="009873DC">
        <w:t xml:space="preserve">. </w:t>
      </w:r>
      <w:r w:rsidR="008D3A93">
        <w:t>S</w:t>
      </w:r>
      <w:r w:rsidRPr="00A726D0" w:rsidR="00A726D0">
        <w:t>åväl privata som offentliga vårdgivare</w:t>
      </w:r>
      <w:r w:rsidR="008D3A93">
        <w:t xml:space="preserve"> lider av bristen på aktiva behandlare</w:t>
      </w:r>
      <w:r w:rsidRPr="00A726D0" w:rsidR="00A726D0">
        <w:t>. Givet det faktum att de ekonomiska och personella resurserna är begränsade behövs därför vägledande principer för hur tandvård bör bedrivas och organiseras</w:t>
      </w:r>
      <w:r w:rsidR="008D3A93">
        <w:t>.</w:t>
      </w:r>
    </w:p>
    <w:p w:rsidR="004214CC" w:rsidP="00EE5F89" w:rsidRDefault="008D3A93" w14:paraId="601B1B34" w14:textId="31FDA13F">
      <w:r>
        <w:t xml:space="preserve">Ser vi till </w:t>
      </w:r>
      <w:r w:rsidRPr="004214CC" w:rsidR="004214CC">
        <w:t>besöksmönster</w:t>
      </w:r>
      <w:r w:rsidR="008B38E1">
        <w:t>, som är tätt förknippat med tillgänglighet,</w:t>
      </w:r>
      <w:r w:rsidRPr="004214CC" w:rsidR="004214CC">
        <w:t xml:space="preserve"> är trenden en långsamt minskande besöksfrekvens på befolkningsnivå. Det finns också betydande regionala skillnader. Besöksfrekvensen är generellt lägre i</w:t>
      </w:r>
      <w:r w:rsidR="0074703C">
        <w:t xml:space="preserve"> norra Sverige,</w:t>
      </w:r>
      <w:r w:rsidRPr="004214CC" w:rsidR="004214CC">
        <w:t xml:space="preserve"> glesbygds</w:t>
      </w:r>
      <w:r w:rsidR="00EE5F89">
        <w:softHyphen/>
      </w:r>
      <w:r>
        <w:t>regioner och</w:t>
      </w:r>
      <w:r w:rsidRPr="004214CC" w:rsidR="004214CC">
        <w:t xml:space="preserve"> socioekonomiskt utsatta storstadsområden. Av personer med mycket låga inkomster besökte endast 52 procent tandvården under tvåårsperioden 2018</w:t>
      </w:r>
      <w:r w:rsidR="001C5898">
        <w:noBreakHyphen/>
      </w:r>
      <w:r w:rsidRPr="004214CC" w:rsidR="004214CC">
        <w:t xml:space="preserve">2019, vilket kan jämföras med en andel på 82 procent av personer med mycket höga inkomster. </w:t>
      </w:r>
      <w:r w:rsidR="008560CA">
        <w:t xml:space="preserve">Det leder till att de </w:t>
      </w:r>
      <w:r w:rsidRPr="004214CC" w:rsidR="004214CC">
        <w:t xml:space="preserve">akuta tandvårdsbesöken </w:t>
      </w:r>
      <w:r w:rsidR="008560CA">
        <w:t>i</w:t>
      </w:r>
      <w:r w:rsidR="00FF3FD6">
        <w:t> </w:t>
      </w:r>
      <w:r w:rsidR="008560CA">
        <w:t xml:space="preserve">stället </w:t>
      </w:r>
      <w:r w:rsidRPr="004214CC" w:rsidR="004214CC">
        <w:t>blir fler</w:t>
      </w:r>
      <w:r w:rsidR="008560CA">
        <w:t xml:space="preserve"> </w:t>
      </w:r>
      <w:r w:rsidRPr="004214CC" w:rsidR="004214CC">
        <w:t>i glesbygds</w:t>
      </w:r>
      <w:r>
        <w:t>regionerna</w:t>
      </w:r>
      <w:r w:rsidR="008560CA">
        <w:t xml:space="preserve"> och bland grupper med </w:t>
      </w:r>
      <w:r w:rsidRPr="004214CC" w:rsidR="004214CC">
        <w:t>en svagare socioekonomisk ställning.</w:t>
      </w:r>
      <w:r>
        <w:rPr>
          <w:rStyle w:val="Fotnotsreferens"/>
        </w:rPr>
        <w:footnoteReference w:id="7"/>
      </w:r>
    </w:p>
    <w:p w:rsidRPr="008F36E6" w:rsidR="004E68FD" w:rsidP="00EE5F89" w:rsidRDefault="00D100AE" w14:paraId="781C82AB" w14:textId="31CBAFC4">
      <w:r>
        <w:t>Den här utvecklingen påminner om att r</w:t>
      </w:r>
      <w:r w:rsidRPr="004E68FD" w:rsidR="004E68FD">
        <w:t xml:space="preserve">egelbundna tandvårdsbesök </w:t>
      </w:r>
      <w:r w:rsidR="004E68FD">
        <w:t xml:space="preserve">är </w:t>
      </w:r>
      <w:r w:rsidRPr="004E68FD" w:rsidR="004E68FD">
        <w:t>en viktig del</w:t>
      </w:r>
      <w:r>
        <w:t xml:space="preserve"> </w:t>
      </w:r>
      <w:r w:rsidR="004E68FD">
        <w:t>för att främja en god munhälsa. T</w:t>
      </w:r>
      <w:r w:rsidRPr="00DD6BA5" w:rsidR="004E68FD">
        <w:t xml:space="preserve">idiga och förebyggande insatser som främjar tandhälsa </w:t>
      </w:r>
      <w:r>
        <w:t xml:space="preserve">kan </w:t>
      </w:r>
      <w:r w:rsidRPr="00DD6BA5" w:rsidR="004E68FD">
        <w:t xml:space="preserve">effektivt förhindra att de första kariesskadorna uppstår, vilket bidrar till </w:t>
      </w:r>
      <w:r w:rsidR="00E520F3">
        <w:t xml:space="preserve">en </w:t>
      </w:r>
      <w:r w:rsidRPr="00DD6BA5" w:rsidR="004E68FD">
        <w:t>god munhälsa och minskade tandvårdsbehov på sikt.</w:t>
      </w:r>
      <w:r w:rsidR="004E68FD">
        <w:t xml:space="preserve"> </w:t>
      </w:r>
      <w:r>
        <w:t xml:space="preserve">Men </w:t>
      </w:r>
      <w:r w:rsidRPr="004E68FD" w:rsidR="004E68FD">
        <w:t xml:space="preserve">2021 </w:t>
      </w:r>
      <w:r w:rsidR="004E68FD">
        <w:t>besökte endast</w:t>
      </w:r>
      <w:r w:rsidRPr="004E68FD" w:rsidR="004E68FD">
        <w:t xml:space="preserve"> 65 procent av kvinnorna och 61 procent av männen i Sverige tandvården för en undersökning minst en </w:t>
      </w:r>
      <w:r w:rsidRPr="004E68FD" w:rsidR="004E68FD">
        <w:lastRenderedPageBreak/>
        <w:t>gång under den senaste treårsperioden.</w:t>
      </w:r>
      <w:r w:rsidR="004E68FD">
        <w:rPr>
          <w:rStyle w:val="Fotnotsreferens"/>
        </w:rPr>
        <w:footnoteReference w:id="8"/>
      </w:r>
      <w:r w:rsidR="007C65AE">
        <w:t xml:space="preserve"> Som tidigare beskrivet är situationen värre </w:t>
      </w:r>
      <w:r w:rsidRPr="004214CC" w:rsidR="007C65AE">
        <w:t>i</w:t>
      </w:r>
      <w:r w:rsidR="007C65AE">
        <w:t xml:space="preserve"> norra Sverige,</w:t>
      </w:r>
      <w:r w:rsidRPr="004214CC" w:rsidR="007C65AE">
        <w:t xml:space="preserve"> glesbygds</w:t>
      </w:r>
      <w:r w:rsidR="007C65AE">
        <w:t>regioner och</w:t>
      </w:r>
      <w:r w:rsidRPr="004214CC" w:rsidR="007C65AE">
        <w:t xml:space="preserve"> socioekonomiskt utsatta storstadsområden</w:t>
      </w:r>
      <w:r w:rsidR="007C65AE">
        <w:t xml:space="preserve">. </w:t>
      </w:r>
      <w:r w:rsidR="00CE4169">
        <w:t xml:space="preserve">För att öka tillgängligheten anser </w:t>
      </w:r>
      <w:r w:rsidR="007C65AE">
        <w:t xml:space="preserve">Vänsterpartiet därför att en nationell målsättning om minst ett tandläkarbesök per år bör införas. </w:t>
      </w:r>
      <w:r w:rsidR="00805831">
        <w:t xml:space="preserve">Det </w:t>
      </w:r>
      <w:r w:rsidR="00E520F3">
        <w:t>syftar</w:t>
      </w:r>
      <w:r w:rsidR="00805831">
        <w:t xml:space="preserve"> både </w:t>
      </w:r>
      <w:r w:rsidR="00E520F3">
        <w:t xml:space="preserve">till </w:t>
      </w:r>
      <w:r w:rsidR="00805831">
        <w:t>att förbättra munhälsan generellt genom förebyggande tandvårdsbesök och</w:t>
      </w:r>
      <w:r w:rsidR="00CE4169">
        <w:t xml:space="preserve"> </w:t>
      </w:r>
      <w:r w:rsidRPr="008F36E6" w:rsidR="00CE4169">
        <w:t>samtidigt</w:t>
      </w:r>
      <w:r w:rsidRPr="008F36E6" w:rsidR="00805831">
        <w:t xml:space="preserve"> </w:t>
      </w:r>
      <w:r w:rsidR="00E520F3">
        <w:t xml:space="preserve">till att </w:t>
      </w:r>
      <w:r w:rsidRPr="008F36E6" w:rsidR="00805831">
        <w:t xml:space="preserve">öka jämlikheten geografiskt </w:t>
      </w:r>
      <w:r w:rsidRPr="008F36E6" w:rsidR="00CE4169">
        <w:t xml:space="preserve">och </w:t>
      </w:r>
      <w:r w:rsidRPr="008F36E6" w:rsidR="00805831">
        <w:t>mellan olika grupper i samhället.</w:t>
      </w:r>
      <w:r w:rsidRPr="008F36E6">
        <w:t xml:space="preserve"> Alla i Sverige ska kunna besöka tandvården regelbundet</w:t>
      </w:r>
      <w:r w:rsidR="00E520F3">
        <w:t>;</w:t>
      </w:r>
      <w:r w:rsidRPr="008F36E6">
        <w:t xml:space="preserve"> det är politikens ansvar att möjliggöra det.</w:t>
      </w:r>
    </w:p>
    <w:p w:rsidRPr="008F36E6" w:rsidR="00CA1C73" w:rsidP="00EE5F89" w:rsidRDefault="00B54431" w14:paraId="5ABCFD4B" w14:textId="78ABC7A6">
      <w:r w:rsidRPr="008F36E6">
        <w:t>En</w:t>
      </w:r>
      <w:r w:rsidRPr="008F36E6" w:rsidR="00CA1C73">
        <w:t xml:space="preserve"> nationell målsättning</w:t>
      </w:r>
      <w:r w:rsidRPr="008F36E6">
        <w:t xml:space="preserve"> bör införas som innebär att alla personer i Sverige</w:t>
      </w:r>
      <w:r w:rsidRPr="008F36E6" w:rsidR="00CA1C73">
        <w:t xml:space="preserve"> ska kunna besöka tandläkaren</w:t>
      </w:r>
      <w:r w:rsidRPr="008F36E6">
        <w:t xml:space="preserve"> minst en gång per</w:t>
      </w:r>
      <w:r w:rsidRPr="008F36E6" w:rsidR="00CA1C73">
        <w:t xml:space="preserve"> år.</w:t>
      </w:r>
      <w:r w:rsidRPr="008F36E6" w:rsidR="00026040">
        <w:t xml:space="preserve"> Detta bör riksdagen ställa sig bakom och ge regeringen till känna.</w:t>
      </w:r>
    </w:p>
    <w:p w:rsidR="001B3E8A" w:rsidP="00EE5F89" w:rsidRDefault="001B3E8A" w14:paraId="71171181" w14:textId="6D2C4BCA">
      <w:pPr>
        <w:pStyle w:val="Rubrik2numrerat"/>
      </w:pPr>
      <w:bookmarkStart w:name="_Toc147241268" w:id="9"/>
      <w:r>
        <w:t>Regionsöverskridande arbete inom tandvården</w:t>
      </w:r>
      <w:bookmarkEnd w:id="9"/>
    </w:p>
    <w:p w:rsidRPr="008F36E6" w:rsidR="002C0F08" w:rsidP="00EE5F89" w:rsidRDefault="00DB4BFB" w14:paraId="57647D17" w14:textId="4D6E966E">
      <w:pPr>
        <w:pStyle w:val="Normalutanindragellerluft"/>
      </w:pPr>
      <w:r>
        <w:t>Som konstaterat råde</w:t>
      </w:r>
      <w:r w:rsidR="00E520F3">
        <w:t>r</w:t>
      </w:r>
      <w:r>
        <w:t xml:space="preserve"> s</w:t>
      </w:r>
      <w:r w:rsidR="002C0F08">
        <w:t>tora regionala skillnader inom tandvården.</w:t>
      </w:r>
      <w:r>
        <w:t xml:space="preserve"> Det märks inte minst på prissättningen.</w:t>
      </w:r>
      <w:r w:rsidR="00D10604">
        <w:t xml:space="preserve"> </w:t>
      </w:r>
      <w:r w:rsidRPr="00D10604" w:rsidR="00D10604">
        <w:t>Offentliga vårdgivare har i genomsnitt 8</w:t>
      </w:r>
      <w:r w:rsidR="00D66CEB">
        <w:t> </w:t>
      </w:r>
      <w:r w:rsidRPr="00D10604" w:rsidR="00D10604">
        <w:t>procent högre priser än referenspriserna, vilket är lägre än för de privata vårdgivarna som i genomsnitt ligger 14 procent över referenspriserna.</w:t>
      </w:r>
      <w:r w:rsidR="00C01FB7">
        <w:t xml:space="preserve"> </w:t>
      </w:r>
      <w:r w:rsidRPr="00C01FB7" w:rsidR="00C01FB7">
        <w:t>Sedan systemet med referenspriser infördes 2008 har de privata vårdgivarnas priser per åtgärd konstant varit omkring 5</w:t>
      </w:r>
      <w:r w:rsidR="00D66CEB">
        <w:t> </w:t>
      </w:r>
      <w:r w:rsidRPr="00C01FB7" w:rsidR="00C01FB7">
        <w:t>procentenheter högre än de offentliga vårdgivarnas.</w:t>
      </w:r>
      <w:r w:rsidR="00750629">
        <w:rPr>
          <w:rStyle w:val="Fotnotsreferens"/>
        </w:rPr>
        <w:footnoteReference w:id="9"/>
      </w:r>
      <w:r w:rsidR="00805067">
        <w:t xml:space="preserve"> Även hur </w:t>
      </w:r>
      <w:r w:rsidRPr="00805067" w:rsidR="00805067">
        <w:t xml:space="preserve">Folktandvården arbetat med att utveckla </w:t>
      </w:r>
      <w:r w:rsidRPr="00EE5F89" w:rsidR="00805067">
        <w:rPr>
          <w:spacing w:val="-1"/>
        </w:rPr>
        <w:t>karriär</w:t>
      </w:r>
      <w:r w:rsidRPr="00EE5F89" w:rsidR="00EE5F89">
        <w:rPr>
          <w:spacing w:val="-1"/>
        </w:rPr>
        <w:softHyphen/>
      </w:r>
      <w:r w:rsidRPr="00EE5F89" w:rsidR="00805067">
        <w:rPr>
          <w:spacing w:val="-1"/>
        </w:rPr>
        <w:t>vägar för ledarskap, specialisering och klinisk</w:t>
      </w:r>
      <w:r w:rsidRPr="00EE5F89" w:rsidR="00D66CEB">
        <w:rPr>
          <w:spacing w:val="-1"/>
        </w:rPr>
        <w:t xml:space="preserve"> </w:t>
      </w:r>
      <w:r w:rsidRPr="00EE5F89" w:rsidR="00805067">
        <w:rPr>
          <w:spacing w:val="-1"/>
        </w:rPr>
        <w:t xml:space="preserve">forskning skiljer sig </w:t>
      </w:r>
      <w:r w:rsidRPr="00EE5F89" w:rsidR="00D66CEB">
        <w:rPr>
          <w:spacing w:val="-1"/>
        </w:rPr>
        <w:t xml:space="preserve">åt </w:t>
      </w:r>
      <w:r w:rsidRPr="00EE5F89" w:rsidR="00805067">
        <w:rPr>
          <w:spacing w:val="-1"/>
        </w:rPr>
        <w:t>regionalt. I regioner</w:t>
      </w:r>
      <w:r w:rsidRPr="00805067" w:rsidR="00805067">
        <w:t xml:space="preserve"> med större befolkningsunderlag</w:t>
      </w:r>
      <w:r w:rsidR="00805067">
        <w:t xml:space="preserve"> är det möjligt, medan </w:t>
      </w:r>
      <w:r w:rsidRPr="00805067" w:rsidR="00805067">
        <w:t xml:space="preserve">utrymmet för de akademiska aspekterna inom professionerna </w:t>
      </w:r>
      <w:r w:rsidRPr="00805067" w:rsidR="00777F2F">
        <w:t xml:space="preserve">har </w:t>
      </w:r>
      <w:r w:rsidRPr="00805067" w:rsidR="00805067">
        <w:t>krympt</w:t>
      </w:r>
      <w:r w:rsidR="00777F2F">
        <w:t xml:space="preserve"> i</w:t>
      </w:r>
      <w:r w:rsidRPr="00805067" w:rsidR="00777F2F">
        <w:t xml:space="preserve"> regioner med mindre patientunderlag</w:t>
      </w:r>
      <w:r w:rsidRPr="008F36E6" w:rsidR="00805067">
        <w:t>.</w:t>
      </w:r>
      <w:r w:rsidRPr="008F36E6" w:rsidR="00777F2F">
        <w:rPr>
          <w:rStyle w:val="Fotnotsreferens"/>
        </w:rPr>
        <w:footnoteReference w:id="10"/>
      </w:r>
      <w:r w:rsidRPr="008F36E6" w:rsidR="00777F2F">
        <w:t xml:space="preserve"> För att överbrygga dessa regionala skillnader, vars yttersta konsekvens är en ojämlik tand- och munhälsa, anser Vänsterpartiet att möjligheterna för tandvården att arbeta regionsöverskridande bör stärkas.</w:t>
      </w:r>
      <w:r w:rsidRPr="008F36E6" w:rsidR="00A44B6E">
        <w:t xml:space="preserve"> </w:t>
      </w:r>
      <w:r w:rsidRPr="008F36E6" w:rsidR="00652491">
        <w:t xml:space="preserve">Syftet är inte att lägga ytterligare arbetsbörda på regionerna, snarare ska det leda till </w:t>
      </w:r>
      <w:r w:rsidR="009E508C">
        <w:t xml:space="preserve">en </w:t>
      </w:r>
      <w:r w:rsidRPr="008F36E6" w:rsidR="00652491">
        <w:t>ökad samverkan och kunskapsöverflyttning för att underlätta och effektivisera den enskilda regionens arbete.</w:t>
      </w:r>
    </w:p>
    <w:p w:rsidRPr="008F36E6" w:rsidR="00CA1C73" w:rsidP="00EE5F89" w:rsidRDefault="00026040" w14:paraId="1F4E07A8" w14:textId="268DC737">
      <w:r w:rsidRPr="008F36E6">
        <w:t>Regeringen bör tillsätta en utredning med uppdrag att ta fram förslag på hur</w:t>
      </w:r>
      <w:r w:rsidRPr="008F36E6" w:rsidR="00B0310F">
        <w:t xml:space="preserve"> tand</w:t>
      </w:r>
      <w:r w:rsidR="00EE5F89">
        <w:softHyphen/>
      </w:r>
      <w:r w:rsidRPr="008F36E6" w:rsidR="00B0310F">
        <w:t>vården</w:t>
      </w:r>
      <w:r w:rsidRPr="008F36E6" w:rsidR="00CA1C73">
        <w:t xml:space="preserve"> kan arbeta mer region</w:t>
      </w:r>
      <w:r w:rsidR="009E508C">
        <w:t>s</w:t>
      </w:r>
      <w:r w:rsidRPr="008F36E6" w:rsidR="00CA1C73">
        <w:t>överskridande.</w:t>
      </w:r>
      <w:r w:rsidRPr="008F36E6">
        <w:t xml:space="preserve"> Detta bör riksdagen ställa sig bakom och ge regeringen till känna.</w:t>
      </w:r>
    </w:p>
    <w:p w:rsidR="00AA4E8B" w:rsidP="00EE5F89" w:rsidRDefault="00256D94" w14:paraId="32F7DA9F" w14:textId="33C79B87">
      <w:pPr>
        <w:pStyle w:val="Rubrik1numrerat"/>
      </w:pPr>
      <w:bookmarkStart w:name="_Toc147241269" w:id="10"/>
      <w:r>
        <w:t>Stärkt k</w:t>
      </w:r>
      <w:r w:rsidR="00AA4E8B">
        <w:t>ompetensförsörjning och utbildning</w:t>
      </w:r>
      <w:bookmarkEnd w:id="10"/>
    </w:p>
    <w:p w:rsidRPr="008F36E6" w:rsidR="002F733D" w:rsidP="00EE5F89" w:rsidRDefault="002F733D" w14:paraId="0BA6544D" w14:textId="2B80F634">
      <w:pPr>
        <w:pStyle w:val="Normalutanindragellerluft"/>
        <w:rPr>
          <w:lang w:eastAsia="sv-SE"/>
        </w:rPr>
      </w:pPr>
      <w:r w:rsidRPr="002F733D">
        <w:rPr>
          <w:lang w:eastAsia="sv-SE"/>
        </w:rPr>
        <w:t xml:space="preserve">En generationsväxling pågår inom </w:t>
      </w:r>
      <w:r w:rsidR="00F3725A">
        <w:rPr>
          <w:lang w:eastAsia="sv-SE"/>
        </w:rPr>
        <w:t xml:space="preserve">Sveriges </w:t>
      </w:r>
      <w:r w:rsidRPr="002F733D">
        <w:rPr>
          <w:lang w:eastAsia="sv-SE"/>
        </w:rPr>
        <w:t xml:space="preserve">tandvård. </w:t>
      </w:r>
      <w:r w:rsidR="00F3725A">
        <w:rPr>
          <w:lang w:eastAsia="sv-SE"/>
        </w:rPr>
        <w:t>Många av t</w:t>
      </w:r>
      <w:r w:rsidRPr="002F733D">
        <w:rPr>
          <w:lang w:eastAsia="sv-SE"/>
        </w:rPr>
        <w:t>andvårdens aktörer menar att den nya generationen tandvårdspersonal inte är tillräckligt förberedd för kliniskt arbete. Samtidigt pågår en utveckling som innebär att tandvårdens uppdrag håller på att breddas. Samordning med övrig hälso- och sjukvård blir allt viktigare</w:t>
      </w:r>
      <w:r w:rsidR="00F3725A">
        <w:rPr>
          <w:lang w:eastAsia="sv-SE"/>
        </w:rPr>
        <w:t xml:space="preserve"> och det finns behov</w:t>
      </w:r>
      <w:r w:rsidR="009E508C">
        <w:rPr>
          <w:lang w:eastAsia="sv-SE"/>
        </w:rPr>
        <w:t xml:space="preserve"> av</w:t>
      </w:r>
      <w:r w:rsidR="00F3725A">
        <w:rPr>
          <w:lang w:eastAsia="sv-SE"/>
        </w:rPr>
        <w:t xml:space="preserve"> att </w:t>
      </w:r>
      <w:r w:rsidRPr="002F733D">
        <w:rPr>
          <w:lang w:eastAsia="sv-SE"/>
        </w:rPr>
        <w:t xml:space="preserve">etablera </w:t>
      </w:r>
      <w:r w:rsidRPr="008F36E6">
        <w:rPr>
          <w:lang w:eastAsia="sv-SE"/>
        </w:rPr>
        <w:t>integrerade vård- och utbildningsinrättningar som suddar ut gränserna mellan kommunal hälso- och sjukvård, primärvård och tandvård.</w:t>
      </w:r>
      <w:r w:rsidRPr="008F36E6" w:rsidR="00F3725A">
        <w:rPr>
          <w:rStyle w:val="Fotnotsreferens"/>
          <w:lang w:eastAsia="sv-SE"/>
        </w:rPr>
        <w:footnoteReference w:id="11"/>
      </w:r>
    </w:p>
    <w:p w:rsidR="00D3622A" w:rsidP="00EE5F89" w:rsidRDefault="0038592C" w14:paraId="4D9F014D" w14:textId="6A2E338B">
      <w:pPr>
        <w:rPr>
          <w:lang w:eastAsia="sv-SE"/>
        </w:rPr>
      </w:pPr>
      <w:r w:rsidRPr="008F36E6">
        <w:rPr>
          <w:lang w:eastAsia="sv-SE"/>
        </w:rPr>
        <w:t xml:space="preserve">Därtill skiljer sig kompetensbehoven avsevärt </w:t>
      </w:r>
      <w:r w:rsidR="009E508C">
        <w:rPr>
          <w:lang w:eastAsia="sv-SE"/>
        </w:rPr>
        <w:t xml:space="preserve">åt </w:t>
      </w:r>
      <w:r w:rsidRPr="008F36E6">
        <w:rPr>
          <w:lang w:eastAsia="sv-SE"/>
        </w:rPr>
        <w:t xml:space="preserve">vad gäller geografiska förhållanden. </w:t>
      </w:r>
      <w:r w:rsidRPr="00EE5F89">
        <w:rPr>
          <w:spacing w:val="-1"/>
          <w:lang w:eastAsia="sv-SE"/>
        </w:rPr>
        <w:t>Bara i Region Västernorrland saknas närmare 35 procent tandläkar</w:t>
      </w:r>
      <w:r w:rsidRPr="00EE5F89" w:rsidR="009A44F9">
        <w:rPr>
          <w:spacing w:val="-1"/>
          <w:lang w:eastAsia="sv-SE"/>
        </w:rPr>
        <w:t>e</w:t>
      </w:r>
      <w:r w:rsidRPr="00EE5F89">
        <w:rPr>
          <w:spacing w:val="-1"/>
          <w:lang w:eastAsia="sv-SE"/>
        </w:rPr>
        <w:t xml:space="preserve"> och tandhygienister. </w:t>
      </w:r>
      <w:r w:rsidRPr="008F36E6">
        <w:rPr>
          <w:lang w:eastAsia="sv-SE"/>
        </w:rPr>
        <w:lastRenderedPageBreak/>
        <w:t xml:space="preserve">Folktandvården i norra Sverige hinner inte </w:t>
      </w:r>
      <w:r w:rsidRPr="0038592C">
        <w:rPr>
          <w:lang w:eastAsia="sv-SE"/>
        </w:rPr>
        <w:t>med de vuxna patienterna</w:t>
      </w:r>
      <w:r w:rsidR="009E508C">
        <w:rPr>
          <w:lang w:eastAsia="sv-SE"/>
        </w:rPr>
        <w:t>,</w:t>
      </w:r>
      <w:r w:rsidRPr="0038592C">
        <w:rPr>
          <w:lang w:eastAsia="sv-SE"/>
        </w:rPr>
        <w:t xml:space="preserve"> </w:t>
      </w:r>
      <w:r>
        <w:rPr>
          <w:lang w:eastAsia="sv-SE"/>
        </w:rPr>
        <w:t xml:space="preserve">dels p.g.a. personalbrist, dels p.g.a. den avreglerade tandvårdsmarknaden, och </w:t>
      </w:r>
      <w:r w:rsidRPr="0038592C">
        <w:rPr>
          <w:lang w:eastAsia="sv-SE"/>
        </w:rPr>
        <w:t xml:space="preserve">måste prioritera andra patientgrupper, </w:t>
      </w:r>
      <w:r w:rsidRPr="008F36E6">
        <w:rPr>
          <w:lang w:eastAsia="sv-SE"/>
        </w:rPr>
        <w:t>framför allt barn och akuttandvård.</w:t>
      </w:r>
      <w:r w:rsidRPr="008F36E6" w:rsidR="00A9060F">
        <w:rPr>
          <w:lang w:eastAsia="sv-SE"/>
        </w:rPr>
        <w:t xml:space="preserve"> Problemen i norra Sverige har förvärrats så </w:t>
      </w:r>
      <w:r w:rsidR="009E508C">
        <w:rPr>
          <w:lang w:eastAsia="sv-SE"/>
        </w:rPr>
        <w:t xml:space="preserve">att </w:t>
      </w:r>
      <w:r w:rsidRPr="008F36E6" w:rsidR="00A9060F">
        <w:rPr>
          <w:lang w:eastAsia="sv-SE"/>
        </w:rPr>
        <w:t xml:space="preserve">de inte enbart gäller </w:t>
      </w:r>
      <w:r w:rsidRPr="008F36E6" w:rsidR="00B94903">
        <w:rPr>
          <w:lang w:eastAsia="sv-SE"/>
        </w:rPr>
        <w:t xml:space="preserve">de </w:t>
      </w:r>
      <w:r w:rsidRPr="008F36E6" w:rsidR="00A9060F">
        <w:rPr>
          <w:lang w:eastAsia="sv-SE"/>
        </w:rPr>
        <w:t>små inlandskommunerna utan nu även de större städerna.</w:t>
      </w:r>
      <w:r w:rsidRPr="008F36E6" w:rsidR="0003223C">
        <w:rPr>
          <w:lang w:eastAsia="sv-SE"/>
        </w:rPr>
        <w:t xml:space="preserve"> Totalt sett rapporterades 2022 om brist på </w:t>
      </w:r>
      <w:r w:rsidRPr="0003223C" w:rsidR="0003223C">
        <w:rPr>
          <w:lang w:eastAsia="sv-SE"/>
        </w:rPr>
        <w:t xml:space="preserve">tandläkare och tandhygienister från </w:t>
      </w:r>
      <w:r w:rsidRPr="00EE5F89" w:rsidR="0003223C">
        <w:rPr>
          <w:spacing w:val="-2"/>
          <w:lang w:eastAsia="sv-SE"/>
        </w:rPr>
        <w:t>17 respektive 19 regioner, med stora regionala skillnader.</w:t>
      </w:r>
      <w:r w:rsidRPr="00EE5F89" w:rsidR="00B94903">
        <w:rPr>
          <w:spacing w:val="-2"/>
          <w:lang w:eastAsia="sv-SE"/>
        </w:rPr>
        <w:t xml:space="preserve"> </w:t>
      </w:r>
      <w:r w:rsidRPr="00EE5F89" w:rsidR="009E508C">
        <w:rPr>
          <w:spacing w:val="-2"/>
          <w:lang w:eastAsia="sv-SE"/>
        </w:rPr>
        <w:t xml:space="preserve">År </w:t>
      </w:r>
      <w:r w:rsidRPr="00EE5F89" w:rsidR="0003223C">
        <w:rPr>
          <w:spacing w:val="-2"/>
          <w:lang w:eastAsia="sv-SE"/>
        </w:rPr>
        <w:t>2016</w:t>
      </w:r>
      <w:r w:rsidRPr="00EE5F89" w:rsidR="00B94903">
        <w:rPr>
          <w:spacing w:val="-2"/>
          <w:lang w:eastAsia="sv-SE"/>
        </w:rPr>
        <w:noBreakHyphen/>
      </w:r>
      <w:r w:rsidRPr="00EE5F89" w:rsidR="0003223C">
        <w:rPr>
          <w:spacing w:val="-2"/>
          <w:lang w:eastAsia="sv-SE"/>
        </w:rPr>
        <w:t>2020 minskade andelen</w:t>
      </w:r>
      <w:r w:rsidRPr="0003223C" w:rsidR="0003223C">
        <w:rPr>
          <w:lang w:eastAsia="sv-SE"/>
        </w:rPr>
        <w:t xml:space="preserve"> legitimerad tandvårdspersonal per 100</w:t>
      </w:r>
      <w:r w:rsidR="00B94903">
        <w:rPr>
          <w:lang w:eastAsia="sv-SE"/>
        </w:rPr>
        <w:t> </w:t>
      </w:r>
      <w:r w:rsidRPr="0003223C" w:rsidR="0003223C">
        <w:rPr>
          <w:lang w:eastAsia="sv-SE"/>
        </w:rPr>
        <w:t>000 invånare, och minskningen är tydligast inom offentlig tandvård.</w:t>
      </w:r>
      <w:r w:rsidR="00CE1C0F">
        <w:rPr>
          <w:rStyle w:val="Fotnotsreferens"/>
          <w:lang w:eastAsia="sv-SE"/>
        </w:rPr>
        <w:footnoteReference w:id="12"/>
      </w:r>
    </w:p>
    <w:p w:rsidR="00625159" w:rsidP="00EE5F89" w:rsidRDefault="000328D4" w14:paraId="346CE896" w14:textId="684CE48A">
      <w:pPr>
        <w:rPr>
          <w:lang w:eastAsia="sv-SE"/>
        </w:rPr>
      </w:pPr>
      <w:r>
        <w:rPr>
          <w:lang w:eastAsia="sv-SE"/>
        </w:rPr>
        <w:t xml:space="preserve">En viktig aktör för att stärka kompetensförsörjningen är </w:t>
      </w:r>
      <w:r w:rsidRPr="00D34EDE" w:rsidR="00D34EDE">
        <w:rPr>
          <w:lang w:eastAsia="sv-SE"/>
        </w:rPr>
        <w:t>Nationella vårdkompetens</w:t>
      </w:r>
      <w:r w:rsidR="00EE5F89">
        <w:rPr>
          <w:lang w:eastAsia="sv-SE"/>
        </w:rPr>
        <w:softHyphen/>
      </w:r>
      <w:r w:rsidRPr="00D34EDE" w:rsidR="00D34EDE">
        <w:rPr>
          <w:lang w:eastAsia="sv-SE"/>
        </w:rPr>
        <w:t>rådet</w:t>
      </w:r>
      <w:r>
        <w:rPr>
          <w:lang w:eastAsia="sv-SE"/>
        </w:rPr>
        <w:t>,</w:t>
      </w:r>
      <w:r w:rsidRPr="00D34EDE" w:rsidR="00D34EDE">
        <w:rPr>
          <w:lang w:eastAsia="sv-SE"/>
        </w:rPr>
        <w:t xml:space="preserve"> </w:t>
      </w:r>
      <w:r>
        <w:rPr>
          <w:lang w:eastAsia="sv-SE"/>
        </w:rPr>
        <w:t xml:space="preserve">som har i uppdrag </w:t>
      </w:r>
      <w:r w:rsidRPr="00D34EDE" w:rsidR="00D34EDE">
        <w:rPr>
          <w:lang w:eastAsia="sv-SE"/>
        </w:rPr>
        <w:t>att långsiktigt samordna, kartlägga och verka för att effektivi</w:t>
      </w:r>
      <w:r w:rsidR="00EE5F89">
        <w:rPr>
          <w:lang w:eastAsia="sv-SE"/>
        </w:rPr>
        <w:softHyphen/>
      </w:r>
      <w:r w:rsidRPr="00D34EDE" w:rsidR="00D34EDE">
        <w:rPr>
          <w:lang w:eastAsia="sv-SE"/>
        </w:rPr>
        <w:t>sera kompetensförsörjning</w:t>
      </w:r>
      <w:r w:rsidR="009E508C">
        <w:rPr>
          <w:lang w:eastAsia="sv-SE"/>
        </w:rPr>
        <w:t>en</w:t>
      </w:r>
      <w:r w:rsidRPr="00D34EDE" w:rsidR="00D34EDE">
        <w:rPr>
          <w:lang w:eastAsia="sv-SE"/>
        </w:rPr>
        <w:t xml:space="preserve"> av personal inom hälso</w:t>
      </w:r>
      <w:r w:rsidR="00D34EDE">
        <w:rPr>
          <w:lang w:eastAsia="sv-SE"/>
        </w:rPr>
        <w:t xml:space="preserve">- </w:t>
      </w:r>
      <w:r w:rsidRPr="00D34EDE" w:rsidR="00D34EDE">
        <w:rPr>
          <w:lang w:eastAsia="sv-SE"/>
        </w:rPr>
        <w:t xml:space="preserve">och sjukvården och tandvården. </w:t>
      </w:r>
      <w:r w:rsidR="00D34EDE">
        <w:rPr>
          <w:lang w:eastAsia="sv-SE"/>
        </w:rPr>
        <w:t xml:space="preserve">Det </w:t>
      </w:r>
      <w:r w:rsidR="000177E6">
        <w:rPr>
          <w:lang w:eastAsia="sv-SE"/>
        </w:rPr>
        <w:t>ä</w:t>
      </w:r>
      <w:r w:rsidR="00D34EDE">
        <w:rPr>
          <w:lang w:eastAsia="sv-SE"/>
        </w:rPr>
        <w:t>r ett viktigt uppdrag</w:t>
      </w:r>
      <w:r w:rsidR="00030BF2">
        <w:rPr>
          <w:lang w:eastAsia="sv-SE"/>
        </w:rPr>
        <w:t>, m</w:t>
      </w:r>
      <w:r w:rsidRPr="00D34EDE" w:rsidR="00D34EDE">
        <w:rPr>
          <w:lang w:eastAsia="sv-SE"/>
        </w:rPr>
        <w:t xml:space="preserve">en den statliga styrningen av kompetensbehoven inom </w:t>
      </w:r>
      <w:r w:rsidR="00030BF2">
        <w:rPr>
          <w:lang w:eastAsia="sv-SE"/>
        </w:rPr>
        <w:t>tand</w:t>
      </w:r>
      <w:r w:rsidRPr="00D34EDE" w:rsidR="00D34EDE">
        <w:rPr>
          <w:lang w:eastAsia="sv-SE"/>
        </w:rPr>
        <w:t>vården behöver stärkas.</w:t>
      </w:r>
      <w:r w:rsidR="00326D47">
        <w:rPr>
          <w:lang w:eastAsia="sv-SE"/>
        </w:rPr>
        <w:t xml:space="preserve"> </w:t>
      </w:r>
      <w:r w:rsidR="00006F54">
        <w:rPr>
          <w:lang w:eastAsia="sv-SE"/>
        </w:rPr>
        <w:t>Nationella vårdskompetensrådet,</w:t>
      </w:r>
      <w:r w:rsidR="00326D47">
        <w:rPr>
          <w:lang w:eastAsia="sv-SE"/>
        </w:rPr>
        <w:t xml:space="preserve"> som är en del av</w:t>
      </w:r>
      <w:r w:rsidRPr="00D34EDE" w:rsidR="00D34EDE">
        <w:rPr>
          <w:lang w:eastAsia="sv-SE"/>
        </w:rPr>
        <w:t xml:space="preserve"> </w:t>
      </w:r>
      <w:r w:rsidR="00326D47">
        <w:rPr>
          <w:lang w:eastAsia="sv-SE"/>
        </w:rPr>
        <w:t>Social</w:t>
      </w:r>
      <w:r w:rsidR="00EE5F89">
        <w:rPr>
          <w:lang w:eastAsia="sv-SE"/>
        </w:rPr>
        <w:softHyphen/>
      </w:r>
      <w:r w:rsidR="00326D47">
        <w:rPr>
          <w:lang w:eastAsia="sv-SE"/>
        </w:rPr>
        <w:t xml:space="preserve">styrelsen, </w:t>
      </w:r>
      <w:r w:rsidRPr="00D34EDE" w:rsidR="00D34EDE">
        <w:rPr>
          <w:lang w:eastAsia="sv-SE"/>
        </w:rPr>
        <w:t xml:space="preserve">behöver få en </w:t>
      </w:r>
      <w:r w:rsidR="00006F54">
        <w:rPr>
          <w:lang w:eastAsia="sv-SE"/>
        </w:rPr>
        <w:t xml:space="preserve">mer </w:t>
      </w:r>
      <w:r w:rsidRPr="00D34EDE" w:rsidR="00D34EDE">
        <w:rPr>
          <w:lang w:eastAsia="sv-SE"/>
        </w:rPr>
        <w:t xml:space="preserve">operativ roll. Brister i ledning och styrning nationellt skapar </w:t>
      </w:r>
      <w:r w:rsidR="00FA4DD3">
        <w:rPr>
          <w:lang w:eastAsia="sv-SE"/>
        </w:rPr>
        <w:t xml:space="preserve">en </w:t>
      </w:r>
      <w:r w:rsidRPr="00D34EDE" w:rsidR="00D34EDE">
        <w:rPr>
          <w:lang w:eastAsia="sv-SE"/>
        </w:rPr>
        <w:t>återkommande brist på olika kompetenser.</w:t>
      </w:r>
    </w:p>
    <w:p w:rsidRPr="00D34EDE" w:rsidR="00D34EDE" w:rsidP="00EE5F89" w:rsidRDefault="00D34EDE" w14:paraId="40A826F7" w14:textId="3DE94557">
      <w:pPr>
        <w:rPr>
          <w:lang w:eastAsia="sv-SE"/>
        </w:rPr>
      </w:pPr>
      <w:r w:rsidRPr="00D34EDE">
        <w:rPr>
          <w:lang w:eastAsia="sv-SE"/>
        </w:rPr>
        <w:t xml:space="preserve">Den 19 januari 2023 gav regeringen Socialstyrelsen i uppdrag att ta fram förslag till </w:t>
      </w:r>
      <w:r w:rsidRPr="00EE5F89">
        <w:rPr>
          <w:spacing w:val="-1"/>
          <w:lang w:eastAsia="sv-SE"/>
        </w:rPr>
        <w:t>en nationell plan för att förbättra hälso- och sjukvårdens kompetensförsörjning. Förslaget</w:t>
      </w:r>
      <w:r w:rsidRPr="00D34EDE">
        <w:rPr>
          <w:lang w:eastAsia="sv-SE"/>
        </w:rPr>
        <w:t xml:space="preserve"> till plan ska utarbetas av det Nationella vårdkompetensrådet</w:t>
      </w:r>
      <w:r w:rsidR="00A03D49">
        <w:rPr>
          <w:lang w:eastAsia="sv-SE"/>
        </w:rPr>
        <w:t>.</w:t>
      </w:r>
      <w:r w:rsidRPr="00D34EDE">
        <w:rPr>
          <w:lang w:eastAsia="sv-SE"/>
        </w:rPr>
        <w:t xml:space="preserve"> Planen ska bl</w:t>
      </w:r>
      <w:r w:rsidR="008E1533">
        <w:rPr>
          <w:lang w:eastAsia="sv-SE"/>
        </w:rPr>
        <w:t>.a.</w:t>
      </w:r>
      <w:r w:rsidRPr="00D34EDE">
        <w:rPr>
          <w:lang w:eastAsia="sv-SE"/>
        </w:rPr>
        <w:t xml:space="preserve"> visa vilka insatser som behövs, både för befintlig och ny vårdpersonal, för att förbättra kompetens</w:t>
      </w:r>
      <w:r w:rsidR="00A1477F">
        <w:rPr>
          <w:lang w:eastAsia="sv-SE"/>
        </w:rPr>
        <w:softHyphen/>
      </w:r>
      <w:r w:rsidRPr="00D34EDE">
        <w:rPr>
          <w:lang w:eastAsia="sv-SE"/>
        </w:rPr>
        <w:t>försörjningen.</w:t>
      </w:r>
      <w:r>
        <w:rPr>
          <w:lang w:eastAsia="sv-SE"/>
        </w:rPr>
        <w:t xml:space="preserve"> Vänsterpartiet anser att ett liknande uppdrag bör ges till Nationella vård</w:t>
      </w:r>
      <w:r w:rsidR="00A1477F">
        <w:rPr>
          <w:lang w:eastAsia="sv-SE"/>
        </w:rPr>
        <w:softHyphen/>
      </w:r>
      <w:r>
        <w:rPr>
          <w:lang w:eastAsia="sv-SE"/>
        </w:rPr>
        <w:t>kompetensrådet vad gäller tandvårdens kompetensbehov</w:t>
      </w:r>
      <w:r w:rsidR="008572BE">
        <w:rPr>
          <w:lang w:eastAsia="sv-SE"/>
        </w:rPr>
        <w:t>, inte minst då problemen med att rekrytera personal utanför de stora städerna möjligtvis är ännu större än i hälso- och sjukvården.</w:t>
      </w:r>
      <w:r w:rsidR="00104D72">
        <w:rPr>
          <w:lang w:eastAsia="sv-SE"/>
        </w:rPr>
        <w:t xml:space="preserve"> Uppdraget bör inkludera en nationell långsiktig plan för utbildning av tand</w:t>
      </w:r>
      <w:r w:rsidR="00A1477F">
        <w:rPr>
          <w:lang w:eastAsia="sv-SE"/>
        </w:rPr>
        <w:softHyphen/>
      </w:r>
      <w:r w:rsidR="00104D72">
        <w:rPr>
          <w:lang w:eastAsia="sv-SE"/>
        </w:rPr>
        <w:t>läkare, tandsköterskor och tandhygienister som tar i beaktning utbildningarnas dimen</w:t>
      </w:r>
      <w:r w:rsidR="00A1477F">
        <w:rPr>
          <w:lang w:eastAsia="sv-SE"/>
        </w:rPr>
        <w:softHyphen/>
      </w:r>
      <w:r w:rsidR="00104D72">
        <w:rPr>
          <w:lang w:eastAsia="sv-SE"/>
        </w:rPr>
        <w:t>sio</w:t>
      </w:r>
      <w:r w:rsidR="00A1477F">
        <w:rPr>
          <w:lang w:eastAsia="sv-SE"/>
        </w:rPr>
        <w:softHyphen/>
      </w:r>
      <w:r w:rsidR="00104D72">
        <w:rPr>
          <w:lang w:eastAsia="sv-SE"/>
        </w:rPr>
        <w:t>nering</w:t>
      </w:r>
      <w:r w:rsidR="00006F54">
        <w:rPr>
          <w:lang w:eastAsia="sv-SE"/>
        </w:rPr>
        <w:t xml:space="preserve"> och</w:t>
      </w:r>
      <w:r w:rsidR="00104D72">
        <w:rPr>
          <w:lang w:eastAsia="sv-SE"/>
        </w:rPr>
        <w:t xml:space="preserve"> behov av regionala satsningar</w:t>
      </w:r>
      <w:r w:rsidR="00205F3D">
        <w:rPr>
          <w:lang w:eastAsia="sv-SE"/>
        </w:rPr>
        <w:t>. F</w:t>
      </w:r>
      <w:r w:rsidR="00006F54">
        <w:rPr>
          <w:lang w:eastAsia="sv-SE"/>
        </w:rPr>
        <w:t xml:space="preserve">ortlöpande ställningstaganden utifrån </w:t>
      </w:r>
      <w:r w:rsidR="00AE6846">
        <w:rPr>
          <w:lang w:eastAsia="sv-SE"/>
        </w:rPr>
        <w:t xml:space="preserve">demografiska och samhälleliga </w:t>
      </w:r>
      <w:r w:rsidR="00205F3D">
        <w:rPr>
          <w:lang w:eastAsia="sv-SE"/>
        </w:rPr>
        <w:t xml:space="preserve">förändringar </w:t>
      </w:r>
      <w:r w:rsidR="00006F54">
        <w:rPr>
          <w:lang w:eastAsia="sv-SE"/>
        </w:rPr>
        <w:t xml:space="preserve">är </w:t>
      </w:r>
      <w:r w:rsidR="00205F3D">
        <w:rPr>
          <w:lang w:eastAsia="sv-SE"/>
        </w:rPr>
        <w:t xml:space="preserve">även </w:t>
      </w:r>
      <w:r w:rsidR="00006F54">
        <w:rPr>
          <w:lang w:eastAsia="sv-SE"/>
        </w:rPr>
        <w:t>nödvändig</w:t>
      </w:r>
      <w:r w:rsidR="009B7057">
        <w:rPr>
          <w:lang w:eastAsia="sv-SE"/>
        </w:rPr>
        <w:t>a</w:t>
      </w:r>
      <w:r w:rsidR="00104D72">
        <w:rPr>
          <w:lang w:eastAsia="sv-SE"/>
        </w:rPr>
        <w:t>.</w:t>
      </w:r>
    </w:p>
    <w:p w:rsidRPr="008F36E6" w:rsidR="00476C01" w:rsidP="00EE5F89" w:rsidRDefault="005C6D58" w14:paraId="4AB69B76" w14:textId="00585C9F">
      <w:r w:rsidRPr="005C6D58">
        <w:t>Regeringen bör återkomma med förslag om</w:t>
      </w:r>
      <w:r w:rsidR="00AB3F58">
        <w:t xml:space="preserve"> ett</w:t>
      </w:r>
      <w:r w:rsidRPr="005C6D58">
        <w:t xml:space="preserve"> </w:t>
      </w:r>
      <w:r w:rsidRPr="008F36E6">
        <w:t>förstärkt uppdrag för Nationella vårdkompetensrådet att utforma och dimensionera tandvårdens kompetensbehov. Detta bör riksdagen ställa sig bakom och ge regeringen till känna.</w:t>
      </w:r>
    </w:p>
    <w:p w:rsidR="00AA4E8B" w:rsidP="00EE5F89" w:rsidRDefault="00CC0B05" w14:paraId="2F17BD63" w14:textId="517365C2">
      <w:pPr>
        <w:pStyle w:val="Rubrik1numrerat"/>
      </w:pPr>
      <w:bookmarkStart w:name="_Toc147241270" w:id="11"/>
      <w:r>
        <w:t>Reglering av den privata tandvårdsmarknaden</w:t>
      </w:r>
      <w:bookmarkEnd w:id="11"/>
    </w:p>
    <w:p w:rsidRPr="00BB56BE" w:rsidR="00BB56BE" w:rsidP="00EE5F89" w:rsidRDefault="00BB56BE" w14:paraId="28EE5A5F" w14:textId="5832B919">
      <w:pPr>
        <w:pStyle w:val="Normalutanindragellerluft"/>
        <w:rPr>
          <w:lang w:eastAsia="sv-SE"/>
        </w:rPr>
      </w:pPr>
      <w:r w:rsidRPr="00BB56BE">
        <w:rPr>
          <w:lang w:eastAsia="sv-SE"/>
        </w:rPr>
        <w:t>Utvecklandet av den privata tandvårdsmarknaden har lett till försämrad jämlikhet</w:t>
      </w:r>
      <w:r w:rsidR="006C55D1">
        <w:rPr>
          <w:lang w:eastAsia="sv-SE"/>
        </w:rPr>
        <w:t xml:space="preserve"> inom tandvården</w:t>
      </w:r>
      <w:r w:rsidRPr="00BB56BE">
        <w:rPr>
          <w:lang w:eastAsia="sv-SE"/>
        </w:rPr>
        <w:t xml:space="preserve"> </w:t>
      </w:r>
      <w:r w:rsidR="006C55D1">
        <w:rPr>
          <w:lang w:eastAsia="sv-SE"/>
        </w:rPr>
        <w:t>beroende på en patient</w:t>
      </w:r>
      <w:r w:rsidR="00E3389C">
        <w:rPr>
          <w:lang w:eastAsia="sv-SE"/>
        </w:rPr>
        <w:t>s</w:t>
      </w:r>
      <w:r w:rsidR="006C55D1">
        <w:rPr>
          <w:lang w:eastAsia="sv-SE"/>
        </w:rPr>
        <w:t xml:space="preserve"> tandhälsa</w:t>
      </w:r>
      <w:r w:rsidRPr="00BB56BE">
        <w:rPr>
          <w:lang w:eastAsia="sv-SE"/>
        </w:rPr>
        <w:t xml:space="preserve"> och plats i landet. Etableringsfriheten innebär att det i princip inte finns någon vårdkö för en</w:t>
      </w:r>
      <w:r w:rsidR="00617F4B">
        <w:rPr>
          <w:lang w:eastAsia="sv-SE"/>
        </w:rPr>
        <w:t xml:space="preserve"> vuxen</w:t>
      </w:r>
      <w:r w:rsidRPr="00BB56BE">
        <w:rPr>
          <w:lang w:eastAsia="sv-SE"/>
        </w:rPr>
        <w:t xml:space="preserve"> patient</w:t>
      </w:r>
      <w:r w:rsidR="00E3389C">
        <w:rPr>
          <w:lang w:eastAsia="sv-SE"/>
        </w:rPr>
        <w:t xml:space="preserve"> utan </w:t>
      </w:r>
      <w:r w:rsidR="00617F4B">
        <w:rPr>
          <w:lang w:eastAsia="sv-SE"/>
        </w:rPr>
        <w:t xml:space="preserve">särskilda behov </w:t>
      </w:r>
      <w:r w:rsidRPr="00BB56BE">
        <w:rPr>
          <w:lang w:eastAsia="sv-SE"/>
        </w:rPr>
        <w:t>i Stockholms innerstad, samtidigt som vänte</w:t>
      </w:r>
      <w:r>
        <w:rPr>
          <w:lang w:eastAsia="sv-SE"/>
        </w:rPr>
        <w:t>t</w:t>
      </w:r>
      <w:r w:rsidRPr="00BB56BE">
        <w:rPr>
          <w:lang w:eastAsia="sv-SE"/>
        </w:rPr>
        <w:t xml:space="preserve">iden kan vara flera år på andra </w:t>
      </w:r>
      <w:r w:rsidR="00D71795">
        <w:rPr>
          <w:lang w:eastAsia="sv-SE"/>
        </w:rPr>
        <w:t>platser</w:t>
      </w:r>
      <w:r w:rsidRPr="00BB56BE">
        <w:rPr>
          <w:lang w:eastAsia="sv-SE"/>
        </w:rPr>
        <w:t xml:space="preserve"> i landet och för patienter med </w:t>
      </w:r>
      <w:r w:rsidR="00617F4B">
        <w:rPr>
          <w:lang w:eastAsia="sv-SE"/>
        </w:rPr>
        <w:t>särskilda behov</w:t>
      </w:r>
      <w:r w:rsidRPr="00BB56BE">
        <w:rPr>
          <w:lang w:eastAsia="sv-SE"/>
        </w:rPr>
        <w:t>. Det är så illa att vissa</w:t>
      </w:r>
      <w:r w:rsidR="006C55D1">
        <w:rPr>
          <w:lang w:eastAsia="sv-SE"/>
        </w:rPr>
        <w:t xml:space="preserve"> av dessa personer</w:t>
      </w:r>
      <w:r w:rsidRPr="00BB56BE">
        <w:rPr>
          <w:lang w:eastAsia="sv-SE"/>
        </w:rPr>
        <w:t xml:space="preserve"> </w:t>
      </w:r>
      <w:r w:rsidR="008205A7">
        <w:rPr>
          <w:lang w:eastAsia="sv-SE"/>
        </w:rPr>
        <w:t>tvingas</w:t>
      </w:r>
      <w:r w:rsidRPr="00BB56BE">
        <w:rPr>
          <w:lang w:eastAsia="sv-SE"/>
        </w:rPr>
        <w:t xml:space="preserve"> </w:t>
      </w:r>
      <w:r w:rsidR="00AB3F58">
        <w:rPr>
          <w:lang w:eastAsia="sv-SE"/>
        </w:rPr>
        <w:t xml:space="preserve">att </w:t>
      </w:r>
      <w:r w:rsidRPr="00BB56BE">
        <w:rPr>
          <w:lang w:eastAsia="sv-SE"/>
        </w:rPr>
        <w:t>söka tandvård utomlands.</w:t>
      </w:r>
      <w:r>
        <w:rPr>
          <w:rStyle w:val="Fotnotsreferens"/>
          <w:lang w:eastAsia="sv-SE"/>
        </w:rPr>
        <w:footnoteReference w:id="13"/>
      </w:r>
    </w:p>
    <w:p w:rsidR="00381687" w:rsidP="00EE5F89" w:rsidRDefault="006C55D1" w14:paraId="651F6E14" w14:textId="19F66F19">
      <w:pPr>
        <w:rPr>
          <w:lang w:eastAsia="sv-SE"/>
        </w:rPr>
      </w:pPr>
      <w:r>
        <w:rPr>
          <w:lang w:eastAsia="sv-SE"/>
        </w:rPr>
        <w:t>Utvecklingen känns igen från övriga vården, men t</w:t>
      </w:r>
      <w:r w:rsidRPr="00381687" w:rsidR="00381687">
        <w:rPr>
          <w:lang w:eastAsia="sv-SE"/>
        </w:rPr>
        <w:t xml:space="preserve">andvården </w:t>
      </w:r>
      <w:r>
        <w:rPr>
          <w:lang w:eastAsia="sv-SE"/>
        </w:rPr>
        <w:t xml:space="preserve">utskiljer sig som </w:t>
      </w:r>
      <w:r w:rsidRPr="00381687" w:rsidR="00381687">
        <w:rPr>
          <w:lang w:eastAsia="sv-SE"/>
        </w:rPr>
        <w:t>den mest lönsamma vårdsektorn</w:t>
      </w:r>
      <w:r>
        <w:rPr>
          <w:lang w:eastAsia="sv-SE"/>
        </w:rPr>
        <w:t xml:space="preserve"> för privata företag.</w:t>
      </w:r>
      <w:r w:rsidRPr="00381687" w:rsidR="00381687">
        <w:rPr>
          <w:lang w:eastAsia="sv-SE"/>
        </w:rPr>
        <w:t xml:space="preserve"> Utvecklingen</w:t>
      </w:r>
      <w:r w:rsidR="00181B0F">
        <w:rPr>
          <w:lang w:eastAsia="sv-SE"/>
        </w:rPr>
        <w:t xml:space="preserve"> inom den privata tand</w:t>
      </w:r>
      <w:r w:rsidR="00A1477F">
        <w:rPr>
          <w:lang w:eastAsia="sv-SE"/>
        </w:rPr>
        <w:softHyphen/>
      </w:r>
      <w:r w:rsidR="00181B0F">
        <w:rPr>
          <w:lang w:eastAsia="sv-SE"/>
        </w:rPr>
        <w:t>vårdssektorn</w:t>
      </w:r>
      <w:r w:rsidRPr="00381687" w:rsidR="00381687">
        <w:rPr>
          <w:lang w:eastAsia="sv-SE"/>
        </w:rPr>
        <w:t xml:space="preserve"> går mot allt färre och större vårdgivare och den privata tandvården ökar sin omsättning. Sedan flera år är tandvården den vårdsektor där privata företag har högst </w:t>
      </w:r>
      <w:r w:rsidRPr="00381687" w:rsidR="00381687">
        <w:rPr>
          <w:lang w:eastAsia="sv-SE"/>
        </w:rPr>
        <w:lastRenderedPageBreak/>
        <w:t xml:space="preserve">lönsamhet. </w:t>
      </w:r>
      <w:r w:rsidR="00AB3F58">
        <w:rPr>
          <w:lang w:eastAsia="sv-SE"/>
        </w:rPr>
        <w:t xml:space="preserve">År </w:t>
      </w:r>
      <w:r w:rsidRPr="00381687" w:rsidR="00381687">
        <w:rPr>
          <w:lang w:eastAsia="sv-SE"/>
        </w:rPr>
        <w:t xml:space="preserve">2006 och 2007 var rörelsemarginalen för de privata tandvårdsföretagen </w:t>
      </w:r>
      <w:r w:rsidRPr="00A1477F" w:rsidR="00381687">
        <w:rPr>
          <w:spacing w:val="-2"/>
          <w:lang w:eastAsia="sv-SE"/>
        </w:rPr>
        <w:t>omkring 7</w:t>
      </w:r>
      <w:r w:rsidRPr="00A1477F" w:rsidR="00AB3F58">
        <w:rPr>
          <w:spacing w:val="-2"/>
          <w:lang w:eastAsia="sv-SE"/>
        </w:rPr>
        <w:t> </w:t>
      </w:r>
      <w:r w:rsidRPr="00A1477F" w:rsidR="00381687">
        <w:rPr>
          <w:spacing w:val="-2"/>
          <w:lang w:eastAsia="sv-SE"/>
        </w:rPr>
        <w:t>procent, vilket var i linje med andra vårdsektorer i jämförelsen. Efter reformen</w:t>
      </w:r>
      <w:r w:rsidRPr="00381687" w:rsidR="00381687">
        <w:rPr>
          <w:lang w:eastAsia="sv-SE"/>
        </w:rPr>
        <w:t xml:space="preserve"> 2008 ökade lönsamheten för de privata aktörerna och sedan dess har den årliga rörelse</w:t>
      </w:r>
      <w:r w:rsidR="00A1477F">
        <w:rPr>
          <w:lang w:eastAsia="sv-SE"/>
        </w:rPr>
        <w:softHyphen/>
      </w:r>
      <w:r w:rsidRPr="00381687" w:rsidR="00381687">
        <w:rPr>
          <w:lang w:eastAsia="sv-SE"/>
        </w:rPr>
        <w:t xml:space="preserve">marginalen varit mellan 11 och 13 procent. </w:t>
      </w:r>
      <w:r w:rsidR="00AB3F58">
        <w:rPr>
          <w:lang w:eastAsia="sv-SE"/>
        </w:rPr>
        <w:t xml:space="preserve">År </w:t>
      </w:r>
      <w:r w:rsidRPr="00381687" w:rsidR="00381687">
        <w:rPr>
          <w:lang w:eastAsia="sv-SE"/>
        </w:rPr>
        <w:t>2019 var rörelsemarginalen 12,7 procent, vilket t</w:t>
      </w:r>
      <w:r w:rsidR="0091053A">
        <w:rPr>
          <w:lang w:eastAsia="sv-SE"/>
        </w:rPr>
        <w:t>.ex.</w:t>
      </w:r>
      <w:r w:rsidRPr="00381687" w:rsidR="00381687">
        <w:rPr>
          <w:lang w:eastAsia="sv-SE"/>
        </w:rPr>
        <w:t xml:space="preserve"> kan jämföras med 5,6 procent för de privata företagen inom primärvården och 3,7 procent för privata assistansbolag.</w:t>
      </w:r>
      <w:r w:rsidR="00326D56">
        <w:rPr>
          <w:rStyle w:val="Fotnotsreferens"/>
          <w:lang w:eastAsia="sv-SE"/>
        </w:rPr>
        <w:footnoteReference w:id="14"/>
      </w:r>
    </w:p>
    <w:p w:rsidR="008B12FC" w:rsidP="00EE5F89" w:rsidRDefault="001F33D1" w14:paraId="62A729A0" w14:textId="18AA7B3C">
      <w:pPr>
        <w:rPr>
          <w:lang w:eastAsia="sv-SE"/>
        </w:rPr>
      </w:pPr>
      <w:r>
        <w:rPr>
          <w:lang w:eastAsia="sv-SE"/>
        </w:rPr>
        <w:t>Ett av de allvarligare problemen med den avreglerade tandvårdsmarknaden är att privata tandvårdsföretag inte har samma krav som den offentliga tandvården</w:t>
      </w:r>
      <w:r w:rsidR="00D45148">
        <w:rPr>
          <w:lang w:eastAsia="sv-SE"/>
        </w:rPr>
        <w:t>, trots att en större del av det statliga tandvårdsstödet går till</w:t>
      </w:r>
      <w:r w:rsidR="00AE3B43">
        <w:rPr>
          <w:lang w:eastAsia="sv-SE"/>
        </w:rPr>
        <w:t xml:space="preserve"> den</w:t>
      </w:r>
      <w:r w:rsidR="00D45148">
        <w:rPr>
          <w:lang w:eastAsia="sv-SE"/>
        </w:rPr>
        <w:t xml:space="preserve"> privat</w:t>
      </w:r>
      <w:r w:rsidR="00AE3B43">
        <w:rPr>
          <w:lang w:eastAsia="sv-SE"/>
        </w:rPr>
        <w:t>a</w:t>
      </w:r>
      <w:r w:rsidR="00D45148">
        <w:rPr>
          <w:lang w:eastAsia="sv-SE"/>
        </w:rPr>
        <w:t xml:space="preserve"> tandvård</w:t>
      </w:r>
      <w:r w:rsidR="00AE3B43">
        <w:rPr>
          <w:lang w:eastAsia="sv-SE"/>
        </w:rPr>
        <w:t>ssektorn</w:t>
      </w:r>
      <w:r>
        <w:rPr>
          <w:lang w:eastAsia="sv-SE"/>
        </w:rPr>
        <w:t xml:space="preserve">. </w:t>
      </w:r>
      <w:r w:rsidR="00D45148">
        <w:rPr>
          <w:lang w:eastAsia="sv-SE"/>
        </w:rPr>
        <w:t>Kravlös</w:t>
      </w:r>
      <w:r w:rsidR="00A1477F">
        <w:rPr>
          <w:lang w:eastAsia="sv-SE"/>
        </w:rPr>
        <w:softHyphen/>
      </w:r>
      <w:r w:rsidR="00D45148">
        <w:rPr>
          <w:lang w:eastAsia="sv-SE"/>
        </w:rPr>
        <w:t>heten</w:t>
      </w:r>
      <w:r>
        <w:rPr>
          <w:lang w:eastAsia="sv-SE"/>
        </w:rPr>
        <w:t xml:space="preserve"> innebär att privata tandvårdsföretag kan neka att ta emot patienter för akuttand</w:t>
      </w:r>
      <w:r w:rsidR="00A1477F">
        <w:rPr>
          <w:lang w:eastAsia="sv-SE"/>
        </w:rPr>
        <w:softHyphen/>
      </w:r>
      <w:r>
        <w:rPr>
          <w:lang w:eastAsia="sv-SE"/>
        </w:rPr>
        <w:t>vård, kan neka att ge tandvård till barn och kan neka tandvård till äldre och multisjuka.</w:t>
      </w:r>
      <w:r w:rsidR="00D45148">
        <w:rPr>
          <w:lang w:eastAsia="sv-SE"/>
        </w:rPr>
        <w:t xml:space="preserve"> </w:t>
      </w:r>
      <w:r w:rsidRPr="00D45148" w:rsidR="00D45148">
        <w:rPr>
          <w:lang w:eastAsia="sv-SE"/>
        </w:rPr>
        <w:t xml:space="preserve">Som ett exempel stod privat tandvård </w:t>
      </w:r>
      <w:r w:rsidR="00AE3B43">
        <w:rPr>
          <w:lang w:eastAsia="sv-SE"/>
        </w:rPr>
        <w:t xml:space="preserve">2019 </w:t>
      </w:r>
      <w:r w:rsidRPr="00D45148" w:rsidR="00D45148">
        <w:rPr>
          <w:lang w:eastAsia="sv-SE"/>
        </w:rPr>
        <w:t>endast för 14 procent av tandvården till barn och unga vuxna, medan hela 58 procent av det statliga tandvårdsstödet gick till den privata tandvårdssektorn.</w:t>
      </w:r>
      <w:r w:rsidR="00F20756">
        <w:rPr>
          <w:lang w:eastAsia="sv-SE"/>
        </w:rPr>
        <w:t xml:space="preserve"> Det innebär att e</w:t>
      </w:r>
      <w:r w:rsidRPr="00F20756" w:rsidR="00F20756">
        <w:rPr>
          <w:lang w:eastAsia="sv-SE"/>
        </w:rPr>
        <w:t>n allt större del av folktandvårdens resurser tas i anspråk för tandvården till barn och unga vuxna, för befolkningsansvaret och för patientgrupper med särskilda behov.</w:t>
      </w:r>
      <w:r w:rsidR="00855050">
        <w:rPr>
          <w:rStyle w:val="Fotnotsreferens"/>
          <w:lang w:eastAsia="sv-SE"/>
        </w:rPr>
        <w:footnoteReference w:id="15"/>
      </w:r>
      <w:r>
        <w:rPr>
          <w:lang w:eastAsia="sv-SE"/>
        </w:rPr>
        <w:t xml:space="preserve"> </w:t>
      </w:r>
      <w:r w:rsidR="00E3389C">
        <w:rPr>
          <w:lang w:eastAsia="sv-SE"/>
        </w:rPr>
        <w:t xml:space="preserve">Anledningen till </w:t>
      </w:r>
      <w:r w:rsidR="00D573C2">
        <w:rPr>
          <w:lang w:eastAsia="sv-SE"/>
        </w:rPr>
        <w:t xml:space="preserve">att privata tandvårdsföretag </w:t>
      </w:r>
      <w:r w:rsidR="00BD79F8">
        <w:rPr>
          <w:lang w:eastAsia="sv-SE"/>
        </w:rPr>
        <w:t xml:space="preserve">främst etablerar sig centralt i storstäder och </w:t>
      </w:r>
      <w:r w:rsidR="00D573C2">
        <w:rPr>
          <w:lang w:eastAsia="sv-SE"/>
        </w:rPr>
        <w:t>nek</w:t>
      </w:r>
      <w:r w:rsidR="00BD79F8">
        <w:rPr>
          <w:lang w:eastAsia="sv-SE"/>
        </w:rPr>
        <w:t>ar</w:t>
      </w:r>
      <w:r w:rsidR="00D573C2">
        <w:rPr>
          <w:lang w:eastAsia="sv-SE"/>
        </w:rPr>
        <w:t xml:space="preserve"> vissa patientgrupper</w:t>
      </w:r>
      <w:r w:rsidR="00E3389C">
        <w:rPr>
          <w:lang w:eastAsia="sv-SE"/>
        </w:rPr>
        <w:t xml:space="preserve"> är enkel</w:t>
      </w:r>
      <w:r w:rsidR="00D45148">
        <w:rPr>
          <w:lang w:eastAsia="sv-SE"/>
        </w:rPr>
        <w:t>:</w:t>
      </w:r>
      <w:r w:rsidR="00E3389C">
        <w:rPr>
          <w:lang w:eastAsia="sv-SE"/>
        </w:rPr>
        <w:t xml:space="preserve"> </w:t>
      </w:r>
      <w:r w:rsidR="00D573C2">
        <w:rPr>
          <w:lang w:eastAsia="sv-SE"/>
        </w:rPr>
        <w:t>de</w:t>
      </w:r>
      <w:r w:rsidR="00BD79F8">
        <w:rPr>
          <w:lang w:eastAsia="sv-SE"/>
        </w:rPr>
        <w:t>t</w:t>
      </w:r>
      <w:r w:rsidR="00D573C2">
        <w:rPr>
          <w:lang w:eastAsia="sv-SE"/>
        </w:rPr>
        <w:t xml:space="preserve"> </w:t>
      </w:r>
      <w:r w:rsidR="00E3389C">
        <w:rPr>
          <w:lang w:eastAsia="sv-SE"/>
        </w:rPr>
        <w:t>generera</w:t>
      </w:r>
      <w:r w:rsidR="00313FC0">
        <w:rPr>
          <w:lang w:eastAsia="sv-SE"/>
        </w:rPr>
        <w:t>r större</w:t>
      </w:r>
      <w:r w:rsidR="00E3389C">
        <w:rPr>
          <w:lang w:eastAsia="sv-SE"/>
        </w:rPr>
        <w:t xml:space="preserve"> vinst till företaget.</w:t>
      </w:r>
    </w:p>
    <w:p w:rsidRPr="008F36E6" w:rsidR="0047231B" w:rsidP="00EE5F89" w:rsidRDefault="0047231B" w14:paraId="0A0DF784" w14:textId="5F4676E6">
      <w:pPr>
        <w:rPr>
          <w:lang w:eastAsia="sv-SE"/>
        </w:rPr>
      </w:pPr>
      <w:r>
        <w:rPr>
          <w:lang w:eastAsia="sv-SE"/>
        </w:rPr>
        <w:t>För Vänsterpartiet hör inte marknaden hem</w:t>
      </w:r>
      <w:r w:rsidR="00E4400D">
        <w:rPr>
          <w:lang w:eastAsia="sv-SE"/>
        </w:rPr>
        <w:t>ma</w:t>
      </w:r>
      <w:r>
        <w:rPr>
          <w:lang w:eastAsia="sv-SE"/>
        </w:rPr>
        <w:t xml:space="preserve"> i välfärden. </w:t>
      </w:r>
      <w:r w:rsidRPr="00253087" w:rsidR="00253087">
        <w:rPr>
          <w:lang w:eastAsia="sv-SE"/>
        </w:rPr>
        <w:t>Vinstintresset förvrider välfärdens sätt att fungera</w:t>
      </w:r>
      <w:r w:rsidR="00253087">
        <w:rPr>
          <w:lang w:eastAsia="sv-SE"/>
        </w:rPr>
        <w:t xml:space="preserve">, så även tandvårdens. </w:t>
      </w:r>
      <w:r w:rsidR="005C5684">
        <w:rPr>
          <w:lang w:eastAsia="sv-SE"/>
        </w:rPr>
        <w:t>Valfrihet inom välfärden ska gälla för patienter i behov av tandvård, inte för privata företag. Därför bör det ställas samma krav på privat tandvård som offentlig tandvård vad gäller akuttandvård, barntandvård och tandvård till äldre och multisjuka. Det är nödvändigt för att</w:t>
      </w:r>
      <w:r w:rsidR="008C5D7E">
        <w:rPr>
          <w:lang w:eastAsia="sv-SE"/>
        </w:rPr>
        <w:t xml:space="preserve"> </w:t>
      </w:r>
      <w:r w:rsidRPr="008C5D7E" w:rsidR="008C5D7E">
        <w:rPr>
          <w:lang w:eastAsia="sv-SE"/>
        </w:rPr>
        <w:t xml:space="preserve">alla människor ska ha samma möjligheter till </w:t>
      </w:r>
      <w:r w:rsidRPr="008F36E6" w:rsidR="008C5D7E">
        <w:rPr>
          <w:lang w:eastAsia="sv-SE"/>
        </w:rPr>
        <w:t>en god tandhälsa.</w:t>
      </w:r>
    </w:p>
    <w:p w:rsidRPr="008F36E6" w:rsidR="00CA1C73" w:rsidP="00EE5F89" w:rsidRDefault="00F523F7" w14:paraId="50FCFF99" w14:textId="08A77871">
      <w:r w:rsidRPr="008F36E6">
        <w:t>Regeringen bör återkomma med förslag som säkerställer att p</w:t>
      </w:r>
      <w:r w:rsidRPr="008F36E6" w:rsidR="00476C01">
        <w:t>rivat tand</w:t>
      </w:r>
      <w:r w:rsidRPr="008F36E6">
        <w:t>vård</w:t>
      </w:r>
      <w:r w:rsidRPr="008F36E6" w:rsidR="00476C01">
        <w:t xml:space="preserve"> ha</w:t>
      </w:r>
      <w:r w:rsidRPr="008F36E6" w:rsidR="001841F2">
        <w:t>r</w:t>
      </w:r>
      <w:r w:rsidRPr="008F36E6" w:rsidR="00476C01">
        <w:t xml:space="preserve"> samma</w:t>
      </w:r>
      <w:r w:rsidRPr="008F36E6" w:rsidR="001841F2">
        <w:t xml:space="preserve"> krav</w:t>
      </w:r>
      <w:r w:rsidRPr="008F36E6" w:rsidR="00476C01">
        <w:t xml:space="preserve"> som </w:t>
      </w:r>
      <w:r w:rsidR="003B5D77">
        <w:t>offentlig</w:t>
      </w:r>
      <w:r w:rsidRPr="008F36E6" w:rsidR="001841F2">
        <w:t xml:space="preserve"> tandvård</w:t>
      </w:r>
      <w:r w:rsidRPr="008F36E6" w:rsidR="005723BA">
        <w:t xml:space="preserve"> vad gäller akuttandvård, barntandvård och tandvård till äldre och multisjuka</w:t>
      </w:r>
      <w:r w:rsidRPr="008F36E6" w:rsidR="00476C01">
        <w:t>.</w:t>
      </w:r>
      <w:r w:rsidRPr="008F36E6" w:rsidR="001841F2">
        <w:t xml:space="preserve"> Detta bör riksdagen ställa sig bakom och ge regeringen till känna.</w:t>
      </w:r>
    </w:p>
    <w:sdt>
      <w:sdtPr>
        <w:alias w:val="CC_Underskrifter"/>
        <w:tag w:val="CC_Underskrifter"/>
        <w:id w:val="583496634"/>
        <w:lock w:val="sdtContentLocked"/>
        <w:placeholder>
          <w:docPart w:val="3D37401AC7B34B7BA374D47660D86546"/>
        </w:placeholder>
      </w:sdtPr>
      <w:sdtEndPr/>
      <w:sdtContent>
        <w:p w:rsidR="0001709E" w:rsidP="0073106C" w:rsidRDefault="0001709E" w14:paraId="17739B0F" w14:textId="77777777"/>
        <w:p w:rsidRPr="008E0FE2" w:rsidR="004801AC" w:rsidP="0073106C" w:rsidRDefault="00A1477F" w14:paraId="5DABF05E" w14:textId="41505428"/>
      </w:sdtContent>
    </w:sdt>
    <w:tbl>
      <w:tblPr>
        <w:tblW w:w="5000" w:type="pct"/>
        <w:tblLook w:val="04A0" w:firstRow="1" w:lastRow="0" w:firstColumn="1" w:lastColumn="0" w:noHBand="0" w:noVBand="1"/>
        <w:tblCaption w:val="underskrifter"/>
      </w:tblPr>
      <w:tblGrid>
        <w:gridCol w:w="4252"/>
        <w:gridCol w:w="4252"/>
      </w:tblGrid>
      <w:tr w:rsidR="00F5066B" w14:paraId="02296608" w14:textId="77777777">
        <w:trPr>
          <w:cantSplit/>
        </w:trPr>
        <w:tc>
          <w:tcPr>
            <w:tcW w:w="50" w:type="pct"/>
            <w:vAlign w:val="bottom"/>
          </w:tcPr>
          <w:p w:rsidR="00F5066B" w:rsidRDefault="000B2B2A" w14:paraId="5440A51E" w14:textId="77777777">
            <w:pPr>
              <w:pStyle w:val="Underskrifter"/>
              <w:spacing w:after="0"/>
            </w:pPr>
            <w:r>
              <w:t>Karin Rågsjö (V)</w:t>
            </w:r>
          </w:p>
        </w:tc>
        <w:tc>
          <w:tcPr>
            <w:tcW w:w="50" w:type="pct"/>
            <w:vAlign w:val="bottom"/>
          </w:tcPr>
          <w:p w:rsidR="00F5066B" w:rsidRDefault="00F5066B" w14:paraId="4F0B5E31" w14:textId="77777777">
            <w:pPr>
              <w:pStyle w:val="Underskrifter"/>
              <w:spacing w:after="0"/>
            </w:pPr>
          </w:p>
        </w:tc>
      </w:tr>
      <w:tr w:rsidR="00F5066B" w14:paraId="12DC4FBB" w14:textId="77777777">
        <w:trPr>
          <w:cantSplit/>
        </w:trPr>
        <w:tc>
          <w:tcPr>
            <w:tcW w:w="50" w:type="pct"/>
            <w:vAlign w:val="bottom"/>
          </w:tcPr>
          <w:p w:rsidR="00F5066B" w:rsidRDefault="000B2B2A" w14:paraId="093BE76C" w14:textId="77777777">
            <w:pPr>
              <w:pStyle w:val="Underskrifter"/>
              <w:spacing w:after="0"/>
            </w:pPr>
            <w:r>
              <w:t>Ida Gabrielsson (V)</w:t>
            </w:r>
          </w:p>
        </w:tc>
        <w:tc>
          <w:tcPr>
            <w:tcW w:w="50" w:type="pct"/>
            <w:vAlign w:val="bottom"/>
          </w:tcPr>
          <w:p w:rsidR="00F5066B" w:rsidRDefault="000B2B2A" w14:paraId="5A29DBA6" w14:textId="77777777">
            <w:pPr>
              <w:pStyle w:val="Underskrifter"/>
              <w:spacing w:after="0"/>
            </w:pPr>
            <w:r>
              <w:t>Malcolm Momodou Jallow (V)</w:t>
            </w:r>
          </w:p>
        </w:tc>
      </w:tr>
      <w:tr w:rsidR="00F5066B" w14:paraId="7B96316E" w14:textId="77777777">
        <w:trPr>
          <w:cantSplit/>
        </w:trPr>
        <w:tc>
          <w:tcPr>
            <w:tcW w:w="50" w:type="pct"/>
            <w:vAlign w:val="bottom"/>
          </w:tcPr>
          <w:p w:rsidR="00F5066B" w:rsidRDefault="000B2B2A" w14:paraId="28EB7AB9" w14:textId="77777777">
            <w:pPr>
              <w:pStyle w:val="Underskrifter"/>
              <w:spacing w:after="0"/>
            </w:pPr>
            <w:r>
              <w:t>Maj Karlsson (V)</w:t>
            </w:r>
          </w:p>
        </w:tc>
        <w:tc>
          <w:tcPr>
            <w:tcW w:w="50" w:type="pct"/>
            <w:vAlign w:val="bottom"/>
          </w:tcPr>
          <w:p w:rsidR="00F5066B" w:rsidRDefault="000B2B2A" w14:paraId="6CCFD11D" w14:textId="77777777">
            <w:pPr>
              <w:pStyle w:val="Underskrifter"/>
              <w:spacing w:after="0"/>
            </w:pPr>
            <w:r>
              <w:t>Isabell Mixter (V)</w:t>
            </w:r>
          </w:p>
        </w:tc>
      </w:tr>
      <w:tr w:rsidR="00F5066B" w14:paraId="7F993935" w14:textId="77777777">
        <w:trPr>
          <w:cantSplit/>
        </w:trPr>
        <w:tc>
          <w:tcPr>
            <w:tcW w:w="50" w:type="pct"/>
            <w:vAlign w:val="bottom"/>
          </w:tcPr>
          <w:p w:rsidR="00F5066B" w:rsidRDefault="000B2B2A" w14:paraId="4BF33861" w14:textId="77777777">
            <w:pPr>
              <w:pStyle w:val="Underskrifter"/>
              <w:spacing w:after="0"/>
            </w:pPr>
            <w:r>
              <w:t>Daniel Riazat (V)</w:t>
            </w:r>
          </w:p>
        </w:tc>
        <w:tc>
          <w:tcPr>
            <w:tcW w:w="50" w:type="pct"/>
            <w:vAlign w:val="bottom"/>
          </w:tcPr>
          <w:p w:rsidR="00F5066B" w:rsidRDefault="000B2B2A" w14:paraId="4CC6BEF9" w14:textId="77777777">
            <w:pPr>
              <w:pStyle w:val="Underskrifter"/>
              <w:spacing w:after="0"/>
            </w:pPr>
            <w:r>
              <w:t>Vasiliki Tsouplaki (V)</w:t>
            </w:r>
          </w:p>
        </w:tc>
      </w:tr>
    </w:tbl>
    <w:p w:rsidR="00DD2DE3" w:rsidRDefault="00DD2DE3" w14:paraId="07C2272D" w14:textId="77777777"/>
    <w:sectPr w:rsidR="00DD2D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6A09" w14:textId="77777777" w:rsidR="00962E37" w:rsidRDefault="00962E37" w:rsidP="000C1CAD">
      <w:pPr>
        <w:spacing w:line="240" w:lineRule="auto"/>
      </w:pPr>
      <w:r>
        <w:separator/>
      </w:r>
    </w:p>
  </w:endnote>
  <w:endnote w:type="continuationSeparator" w:id="0">
    <w:p w14:paraId="7260D557" w14:textId="77777777" w:rsidR="00962E37" w:rsidRDefault="00962E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8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7E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F6FA" w14:textId="30345FAB" w:rsidR="00262EA3" w:rsidRPr="0073106C" w:rsidRDefault="00262EA3" w:rsidP="007310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AAAC" w14:textId="3C8382A0" w:rsidR="00962E37" w:rsidRPr="00EE5F89" w:rsidRDefault="00962E37" w:rsidP="00EE5F89">
      <w:pPr>
        <w:pStyle w:val="Sidfot"/>
      </w:pPr>
    </w:p>
  </w:footnote>
  <w:footnote w:type="continuationSeparator" w:id="0">
    <w:p w14:paraId="358FC2C5" w14:textId="77777777" w:rsidR="00962E37" w:rsidRDefault="00962E37" w:rsidP="000C1CAD">
      <w:pPr>
        <w:spacing w:line="240" w:lineRule="auto"/>
      </w:pPr>
      <w:r>
        <w:continuationSeparator/>
      </w:r>
    </w:p>
  </w:footnote>
  <w:footnote w:id="1">
    <w:p w14:paraId="3BD02EBC" w14:textId="745DB5AB" w:rsidR="00FA712B" w:rsidRDefault="00FA712B">
      <w:pPr>
        <w:pStyle w:val="Fotnotstext"/>
      </w:pPr>
      <w:r>
        <w:rPr>
          <w:rStyle w:val="Fotnotsreferens"/>
        </w:rPr>
        <w:footnoteRef/>
      </w:r>
      <w:r>
        <w:t xml:space="preserve"> SOU 2021:8</w:t>
      </w:r>
      <w:r w:rsidR="00E04E28">
        <w:t>.</w:t>
      </w:r>
      <w:r>
        <w:t xml:space="preserve"> </w:t>
      </w:r>
      <w:r w:rsidRPr="00FA712B">
        <w:rPr>
          <w:i/>
          <w:iCs/>
        </w:rPr>
        <w:t>När behovet får styra – ett tandvårdssystem för en mer jämlik tandhälsa</w:t>
      </w:r>
      <w:r w:rsidR="00E04E28">
        <w:rPr>
          <w:i/>
          <w:iCs/>
        </w:rPr>
        <w:t>.</w:t>
      </w:r>
    </w:p>
  </w:footnote>
  <w:footnote w:id="2">
    <w:p w14:paraId="4F8B83CF" w14:textId="4A0F442D" w:rsidR="00A23824" w:rsidRDefault="00A23824">
      <w:pPr>
        <w:pStyle w:val="Fotnotstext"/>
      </w:pPr>
      <w:r>
        <w:rPr>
          <w:rStyle w:val="Fotnotsreferens"/>
        </w:rPr>
        <w:footnoteRef/>
      </w:r>
      <w:r>
        <w:t xml:space="preserve"> </w:t>
      </w:r>
      <w:r w:rsidRPr="00A23824">
        <w:t>LO (2015)</w:t>
      </w:r>
      <w:r w:rsidR="00E04E28">
        <w:t>.</w:t>
      </w:r>
      <w:r w:rsidRPr="00A23824">
        <w:t xml:space="preserve"> </w:t>
      </w:r>
      <w:r w:rsidRPr="00A23824">
        <w:rPr>
          <w:i/>
          <w:iCs/>
        </w:rPr>
        <w:t>Klassamhällets dolda leende: LO:s åtgärdsprogram för en mer jämlik tandhälsa</w:t>
      </w:r>
      <w:r w:rsidRPr="00A23824">
        <w:t>.</w:t>
      </w:r>
    </w:p>
  </w:footnote>
  <w:footnote w:id="3">
    <w:p w14:paraId="0B1C589C" w14:textId="46B75148" w:rsidR="005730CB" w:rsidRDefault="005730CB">
      <w:pPr>
        <w:pStyle w:val="Fotnotstext"/>
      </w:pPr>
      <w:r>
        <w:rPr>
          <w:rStyle w:val="Fotnotsreferens"/>
        </w:rPr>
        <w:footnoteRef/>
      </w:r>
      <w:r>
        <w:t xml:space="preserve"> </w:t>
      </w:r>
      <w:r w:rsidRPr="005730CB">
        <w:t>https://arbetet.se/2017/09/13/nattjobb-samre-for-tanderna</w:t>
      </w:r>
      <w:r w:rsidR="00E04E28">
        <w:t>.</w:t>
      </w:r>
    </w:p>
  </w:footnote>
  <w:footnote w:id="4">
    <w:p w14:paraId="68061DC6" w14:textId="6A5ED824" w:rsidR="00A8384D" w:rsidRPr="00A8384D" w:rsidRDefault="00A8384D">
      <w:pPr>
        <w:pStyle w:val="Fotnotstext"/>
      </w:pPr>
      <w:r>
        <w:rPr>
          <w:rStyle w:val="Fotnotsreferens"/>
        </w:rPr>
        <w:footnoteRef/>
      </w:r>
      <w:r>
        <w:t xml:space="preserve"> </w:t>
      </w:r>
      <w:r w:rsidRPr="00A8384D">
        <w:t>Socialstyrelsen (2022)</w:t>
      </w:r>
      <w:r w:rsidR="00684EBD">
        <w:t>.</w:t>
      </w:r>
      <w:r w:rsidRPr="00A8384D">
        <w:t xml:space="preserve"> </w:t>
      </w:r>
      <w:r w:rsidRPr="00A8384D">
        <w:rPr>
          <w:i/>
          <w:iCs/>
        </w:rPr>
        <w:t>Munhälsoutveckling bland barn i förskoleålder</w:t>
      </w:r>
      <w:r>
        <w:rPr>
          <w:i/>
          <w:iCs/>
        </w:rPr>
        <w:t xml:space="preserve"> –</w:t>
      </w:r>
      <w:r w:rsidRPr="00A8384D">
        <w:rPr>
          <w:i/>
          <w:iCs/>
        </w:rPr>
        <w:t xml:space="preserve"> Samspelet mellan barns munhälsa och deras sociala och demografiska bakgrund</w:t>
      </w:r>
      <w:r>
        <w:t>.</w:t>
      </w:r>
    </w:p>
  </w:footnote>
  <w:footnote w:id="5">
    <w:p w14:paraId="49E7101A" w14:textId="5396D4BD" w:rsidR="006F07B0" w:rsidRPr="006F07B0" w:rsidRDefault="006F07B0">
      <w:pPr>
        <w:pStyle w:val="Fotnotstext"/>
      </w:pPr>
      <w:r>
        <w:rPr>
          <w:rStyle w:val="Fotnotsreferens"/>
        </w:rPr>
        <w:footnoteRef/>
      </w:r>
      <w:r>
        <w:t xml:space="preserve"> </w:t>
      </w:r>
      <w:r w:rsidRPr="006F07B0">
        <w:t>Socialstyrelsen (2023)</w:t>
      </w:r>
      <w:r w:rsidR="00684EBD">
        <w:t>.</w:t>
      </w:r>
      <w:r w:rsidRPr="006F07B0">
        <w:t xml:space="preserve"> </w:t>
      </w:r>
      <w:r w:rsidRPr="006F07B0">
        <w:rPr>
          <w:i/>
          <w:iCs/>
        </w:rPr>
        <w:t>Tillståndet och utvecklingen i hälso- och sjukvård och tandvård</w:t>
      </w:r>
      <w:r>
        <w:rPr>
          <w:i/>
          <w:iCs/>
        </w:rPr>
        <w:t xml:space="preserve"> –</w:t>
      </w:r>
      <w:r w:rsidRPr="006F07B0">
        <w:rPr>
          <w:i/>
          <w:iCs/>
        </w:rPr>
        <w:t xml:space="preserve"> Lägesrapport 2023</w:t>
      </w:r>
      <w:r>
        <w:t>.</w:t>
      </w:r>
    </w:p>
  </w:footnote>
  <w:footnote w:id="6">
    <w:p w14:paraId="64CCF01B" w14:textId="5C6C3392" w:rsidR="004515E9" w:rsidRDefault="004515E9">
      <w:pPr>
        <w:pStyle w:val="Fotnotstext"/>
      </w:pPr>
      <w:r>
        <w:rPr>
          <w:rStyle w:val="Fotnotsreferens"/>
        </w:rPr>
        <w:footnoteRef/>
      </w:r>
      <w:r>
        <w:t xml:space="preserve"> </w:t>
      </w:r>
      <w:r w:rsidRPr="004515E9">
        <w:t>SOU 2021:8</w:t>
      </w:r>
      <w:r w:rsidR="00684EBD">
        <w:t>.</w:t>
      </w:r>
      <w:r w:rsidRPr="004515E9">
        <w:t xml:space="preserve"> </w:t>
      </w:r>
      <w:r w:rsidRPr="004515E9">
        <w:rPr>
          <w:i/>
          <w:iCs/>
        </w:rPr>
        <w:t>När behovet får styra – ett tandvårdssystem för en mer jämlik tandhälsa</w:t>
      </w:r>
      <w:r>
        <w:t>.</w:t>
      </w:r>
    </w:p>
  </w:footnote>
  <w:footnote w:id="7">
    <w:p w14:paraId="2D493DBB" w14:textId="024AB4C9" w:rsidR="008D3A93" w:rsidRDefault="008D3A93">
      <w:pPr>
        <w:pStyle w:val="Fotnotstext"/>
      </w:pPr>
      <w:r>
        <w:rPr>
          <w:rStyle w:val="Fotnotsreferens"/>
        </w:rPr>
        <w:footnoteRef/>
      </w:r>
      <w:r>
        <w:t xml:space="preserve"> Ibid.</w:t>
      </w:r>
    </w:p>
  </w:footnote>
  <w:footnote w:id="8">
    <w:p w14:paraId="032F518A" w14:textId="6E22C5AC" w:rsidR="004E68FD" w:rsidRDefault="004E68FD">
      <w:pPr>
        <w:pStyle w:val="Fotnotstext"/>
      </w:pPr>
      <w:r>
        <w:rPr>
          <w:rStyle w:val="Fotnotsreferens"/>
        </w:rPr>
        <w:footnoteRef/>
      </w:r>
      <w:r>
        <w:t xml:space="preserve"> </w:t>
      </w:r>
      <w:r w:rsidRPr="004E68FD">
        <w:t>Socialstyrelsen (2022)</w:t>
      </w:r>
      <w:r w:rsidR="00E520F3">
        <w:t>.</w:t>
      </w:r>
      <w:r w:rsidRPr="004E68FD">
        <w:t xml:space="preserve"> </w:t>
      </w:r>
      <w:r w:rsidRPr="004E68FD">
        <w:rPr>
          <w:i/>
          <w:iCs/>
        </w:rPr>
        <w:t>Nationella riktlinjer för tandvård – Stöd för styrning och ledning 2022</w:t>
      </w:r>
      <w:r>
        <w:t>.</w:t>
      </w:r>
    </w:p>
  </w:footnote>
  <w:footnote w:id="9">
    <w:p w14:paraId="73195D97" w14:textId="0D7200B6" w:rsidR="00750629" w:rsidRDefault="00750629">
      <w:pPr>
        <w:pStyle w:val="Fotnotstext"/>
      </w:pPr>
      <w:r>
        <w:rPr>
          <w:rStyle w:val="Fotnotsreferens"/>
        </w:rPr>
        <w:footnoteRef/>
      </w:r>
      <w:r>
        <w:t xml:space="preserve"> </w:t>
      </w:r>
      <w:r w:rsidRPr="004515E9">
        <w:t>SOU 2021:8</w:t>
      </w:r>
      <w:r w:rsidR="009E508C">
        <w:t>.</w:t>
      </w:r>
      <w:r w:rsidRPr="004515E9">
        <w:t xml:space="preserve"> </w:t>
      </w:r>
      <w:r w:rsidRPr="004515E9">
        <w:rPr>
          <w:i/>
          <w:iCs/>
        </w:rPr>
        <w:t>När behovet får styra – ett tandvårdssystem för en mer jämlik tandhälsa</w:t>
      </w:r>
      <w:r>
        <w:t>.</w:t>
      </w:r>
    </w:p>
  </w:footnote>
  <w:footnote w:id="10">
    <w:p w14:paraId="537CF138" w14:textId="569DEBC7" w:rsidR="00777F2F" w:rsidRDefault="00777F2F">
      <w:pPr>
        <w:pStyle w:val="Fotnotstext"/>
      </w:pPr>
      <w:r>
        <w:rPr>
          <w:rStyle w:val="Fotnotsreferens"/>
        </w:rPr>
        <w:footnoteRef/>
      </w:r>
      <w:r>
        <w:t xml:space="preserve"> </w:t>
      </w:r>
      <w:r w:rsidRPr="00BB56BE">
        <w:t>Socialstyrelsen (2023)</w:t>
      </w:r>
      <w:r w:rsidR="009E508C">
        <w:t>.</w:t>
      </w:r>
      <w:r w:rsidRPr="00BB56BE">
        <w:t xml:space="preserve"> </w:t>
      </w:r>
      <w:r w:rsidRPr="00BB56BE">
        <w:rPr>
          <w:i/>
          <w:iCs/>
        </w:rPr>
        <w:t xml:space="preserve">Bedömning av tillgång och efterfrågan på legitimerad personal i hälso- och sjukvård samt tandvård </w:t>
      </w:r>
      <w:r w:rsidR="009E508C">
        <w:rPr>
          <w:i/>
          <w:iCs/>
        </w:rPr>
        <w:t xml:space="preserve">– </w:t>
      </w:r>
      <w:r w:rsidRPr="00BB56BE">
        <w:rPr>
          <w:i/>
          <w:iCs/>
        </w:rPr>
        <w:t>Nationella planeringsstödet 2023</w:t>
      </w:r>
      <w:r>
        <w:t>.</w:t>
      </w:r>
    </w:p>
  </w:footnote>
  <w:footnote w:id="11">
    <w:p w14:paraId="0D4E2BC0" w14:textId="3FABFAE7" w:rsidR="00F3725A" w:rsidRDefault="00F3725A">
      <w:pPr>
        <w:pStyle w:val="Fotnotstext"/>
      </w:pPr>
      <w:r>
        <w:rPr>
          <w:rStyle w:val="Fotnotsreferens"/>
        </w:rPr>
        <w:footnoteRef/>
      </w:r>
      <w:r>
        <w:t xml:space="preserve"> </w:t>
      </w:r>
      <w:r w:rsidR="00777F2F">
        <w:t>Ibid.</w:t>
      </w:r>
    </w:p>
  </w:footnote>
  <w:footnote w:id="12">
    <w:p w14:paraId="5D2AA76C" w14:textId="58E5F52F" w:rsidR="00CE1C0F" w:rsidRDefault="00CE1C0F">
      <w:pPr>
        <w:pStyle w:val="Fotnotstext"/>
      </w:pPr>
      <w:r>
        <w:rPr>
          <w:rStyle w:val="Fotnotsreferens"/>
        </w:rPr>
        <w:footnoteRef/>
      </w:r>
      <w:r>
        <w:t xml:space="preserve"> </w:t>
      </w:r>
      <w:r w:rsidRPr="006F07B0">
        <w:t>Socialstyrelsen (2023)</w:t>
      </w:r>
      <w:r w:rsidR="00AB3F58">
        <w:t>.</w:t>
      </w:r>
      <w:r w:rsidRPr="006F07B0">
        <w:t xml:space="preserve"> </w:t>
      </w:r>
      <w:r w:rsidRPr="006F07B0">
        <w:rPr>
          <w:i/>
          <w:iCs/>
        </w:rPr>
        <w:t>Tillståndet och utvecklingen i hälso- och sjukvård och tandvård</w:t>
      </w:r>
      <w:r>
        <w:rPr>
          <w:i/>
          <w:iCs/>
        </w:rPr>
        <w:t xml:space="preserve"> –</w:t>
      </w:r>
      <w:r w:rsidRPr="006F07B0">
        <w:rPr>
          <w:i/>
          <w:iCs/>
        </w:rPr>
        <w:t xml:space="preserve"> Lägesrapport 2023</w:t>
      </w:r>
      <w:r>
        <w:t>.</w:t>
      </w:r>
    </w:p>
  </w:footnote>
  <w:footnote w:id="13">
    <w:p w14:paraId="6F1567F6" w14:textId="75823F0D" w:rsidR="00BB56BE" w:rsidRDefault="00BB56BE">
      <w:pPr>
        <w:pStyle w:val="Fotnotstext"/>
      </w:pPr>
      <w:r>
        <w:rPr>
          <w:rStyle w:val="Fotnotsreferens"/>
        </w:rPr>
        <w:footnoteRef/>
      </w:r>
      <w:r>
        <w:t xml:space="preserve"> </w:t>
      </w:r>
      <w:r w:rsidRPr="00BB56BE">
        <w:t>Socialstyrelsen (2023)</w:t>
      </w:r>
      <w:r w:rsidR="000B2B2A">
        <w:t>.</w:t>
      </w:r>
      <w:r w:rsidRPr="00BB56BE">
        <w:t xml:space="preserve"> </w:t>
      </w:r>
      <w:r w:rsidRPr="00BB56BE">
        <w:rPr>
          <w:i/>
          <w:iCs/>
        </w:rPr>
        <w:t>Bedömning av tillgång och efterfrågan på legitimerad personal i hälso- och sjukvård samt tandvård</w:t>
      </w:r>
      <w:r w:rsidR="000B2B2A">
        <w:rPr>
          <w:i/>
          <w:iCs/>
        </w:rPr>
        <w:t xml:space="preserve"> –</w:t>
      </w:r>
      <w:r w:rsidRPr="00BB56BE">
        <w:rPr>
          <w:i/>
          <w:iCs/>
        </w:rPr>
        <w:t xml:space="preserve"> Nationella planeringsstödet 2023</w:t>
      </w:r>
      <w:r>
        <w:t>.</w:t>
      </w:r>
    </w:p>
  </w:footnote>
  <w:footnote w:id="14">
    <w:p w14:paraId="052733CE" w14:textId="20B9D2C8" w:rsidR="00326D56" w:rsidRDefault="00326D56">
      <w:pPr>
        <w:pStyle w:val="Fotnotstext"/>
      </w:pPr>
      <w:r>
        <w:rPr>
          <w:rStyle w:val="Fotnotsreferens"/>
        </w:rPr>
        <w:footnoteRef/>
      </w:r>
      <w:r>
        <w:t xml:space="preserve"> </w:t>
      </w:r>
      <w:r w:rsidRPr="004515E9">
        <w:t>SOU 2021:8</w:t>
      </w:r>
      <w:r w:rsidR="000B2B2A">
        <w:t>.</w:t>
      </w:r>
      <w:r w:rsidRPr="004515E9">
        <w:t xml:space="preserve"> </w:t>
      </w:r>
      <w:r w:rsidRPr="004515E9">
        <w:rPr>
          <w:i/>
          <w:iCs/>
        </w:rPr>
        <w:t>När behovet får styra – ett tandvårdssystem för en mer jämlik tandhälsa</w:t>
      </w:r>
      <w:r>
        <w:t>.</w:t>
      </w:r>
    </w:p>
  </w:footnote>
  <w:footnote w:id="15">
    <w:p w14:paraId="1C1001FF" w14:textId="006029BD" w:rsidR="00855050" w:rsidRDefault="00855050">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9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395539" wp14:editId="4A875C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A1DFAD" w14:textId="512B4623" w:rsidR="00262EA3" w:rsidRDefault="00A1477F" w:rsidP="008103B5">
                          <w:pPr>
                            <w:jc w:val="right"/>
                          </w:pPr>
                          <w:sdt>
                            <w:sdtPr>
                              <w:alias w:val="CC_Noformat_Partikod"/>
                              <w:tag w:val="CC_Noformat_Partikod"/>
                              <w:id w:val="-53464382"/>
                              <w:text/>
                            </w:sdtPr>
                            <w:sdtEndPr/>
                            <w:sdtContent>
                              <w:r w:rsidR="00962E37">
                                <w:t>V</w:t>
                              </w:r>
                            </w:sdtContent>
                          </w:sdt>
                          <w:sdt>
                            <w:sdtPr>
                              <w:alias w:val="CC_Noformat_Partinummer"/>
                              <w:tag w:val="CC_Noformat_Partinummer"/>
                              <w:id w:val="-1709555926"/>
                              <w:text/>
                            </w:sdtPr>
                            <w:sdtEndPr/>
                            <w:sdtContent>
                              <w:r w:rsidR="00962E37">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955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A1DFAD" w14:textId="512B4623" w:rsidR="00262EA3" w:rsidRDefault="00A1477F" w:rsidP="008103B5">
                    <w:pPr>
                      <w:jc w:val="right"/>
                    </w:pPr>
                    <w:sdt>
                      <w:sdtPr>
                        <w:alias w:val="CC_Noformat_Partikod"/>
                        <w:tag w:val="CC_Noformat_Partikod"/>
                        <w:id w:val="-53464382"/>
                        <w:text/>
                      </w:sdtPr>
                      <w:sdtEndPr/>
                      <w:sdtContent>
                        <w:r w:rsidR="00962E37">
                          <w:t>V</w:t>
                        </w:r>
                      </w:sdtContent>
                    </w:sdt>
                    <w:sdt>
                      <w:sdtPr>
                        <w:alias w:val="CC_Noformat_Partinummer"/>
                        <w:tag w:val="CC_Noformat_Partinummer"/>
                        <w:id w:val="-1709555926"/>
                        <w:text/>
                      </w:sdtPr>
                      <w:sdtEndPr/>
                      <w:sdtContent>
                        <w:r w:rsidR="00962E37">
                          <w:t>202</w:t>
                        </w:r>
                      </w:sdtContent>
                    </w:sdt>
                  </w:p>
                </w:txbxContent>
              </v:textbox>
              <w10:wrap anchorx="page"/>
            </v:shape>
          </w:pict>
        </mc:Fallback>
      </mc:AlternateContent>
    </w:r>
  </w:p>
  <w:p w14:paraId="77AEB2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B577" w14:textId="77777777" w:rsidR="00262EA3" w:rsidRDefault="00262EA3" w:rsidP="008563AC">
    <w:pPr>
      <w:jc w:val="right"/>
    </w:pPr>
  </w:p>
  <w:p w14:paraId="629685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56" w14:textId="77777777" w:rsidR="00262EA3" w:rsidRDefault="00A147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935C6" wp14:editId="0490C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FC9CF" w14:textId="06E1734A" w:rsidR="00262EA3" w:rsidRDefault="00A1477F" w:rsidP="00A314CF">
    <w:pPr>
      <w:pStyle w:val="FSHNormal"/>
      <w:spacing w:before="40"/>
    </w:pPr>
    <w:sdt>
      <w:sdtPr>
        <w:alias w:val="CC_Noformat_Motionstyp"/>
        <w:tag w:val="CC_Noformat_Motionstyp"/>
        <w:id w:val="1162973129"/>
        <w:lock w:val="sdtContentLocked"/>
        <w15:appearance w15:val="hidden"/>
        <w:text/>
      </w:sdtPr>
      <w:sdtEndPr/>
      <w:sdtContent>
        <w:r w:rsidR="0073106C">
          <w:t>Kommittémotion</w:t>
        </w:r>
      </w:sdtContent>
    </w:sdt>
    <w:r w:rsidR="00821B36">
      <w:t xml:space="preserve"> </w:t>
    </w:r>
    <w:sdt>
      <w:sdtPr>
        <w:alias w:val="CC_Noformat_Partikod"/>
        <w:tag w:val="CC_Noformat_Partikod"/>
        <w:id w:val="1471015553"/>
        <w:text/>
      </w:sdtPr>
      <w:sdtEndPr/>
      <w:sdtContent>
        <w:r w:rsidR="00962E37">
          <w:t>V</w:t>
        </w:r>
      </w:sdtContent>
    </w:sdt>
    <w:sdt>
      <w:sdtPr>
        <w:alias w:val="CC_Noformat_Partinummer"/>
        <w:tag w:val="CC_Noformat_Partinummer"/>
        <w:id w:val="-2014525982"/>
        <w:text/>
      </w:sdtPr>
      <w:sdtEndPr/>
      <w:sdtContent>
        <w:r w:rsidR="00962E37">
          <w:t>202</w:t>
        </w:r>
      </w:sdtContent>
    </w:sdt>
  </w:p>
  <w:p w14:paraId="519E0FB8" w14:textId="77777777" w:rsidR="00262EA3" w:rsidRPr="008227B3" w:rsidRDefault="00A147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CDFA0F" w14:textId="2C3D397E" w:rsidR="00262EA3" w:rsidRPr="008227B3" w:rsidRDefault="00A147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10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106C">
          <w:t>:2341</w:t>
        </w:r>
      </w:sdtContent>
    </w:sdt>
  </w:p>
  <w:p w14:paraId="73FEE0B8" w14:textId="1A20A174" w:rsidR="00262EA3" w:rsidRDefault="00A1477F" w:rsidP="00E03A3D">
    <w:pPr>
      <w:pStyle w:val="Motionr"/>
    </w:pPr>
    <w:sdt>
      <w:sdtPr>
        <w:alias w:val="CC_Noformat_Avtext"/>
        <w:tag w:val="CC_Noformat_Avtext"/>
        <w:id w:val="-2020768203"/>
        <w:lock w:val="sdtContentLocked"/>
        <w15:appearance w15:val="hidden"/>
        <w:text/>
      </w:sdtPr>
      <w:sdtEndPr/>
      <w:sdtContent>
        <w:r w:rsidR="0073106C">
          <w:t>av Karin Rågsjö m.fl. (V)</w:t>
        </w:r>
      </w:sdtContent>
    </w:sdt>
  </w:p>
  <w:sdt>
    <w:sdtPr>
      <w:alias w:val="CC_Noformat_Rubtext"/>
      <w:tag w:val="CC_Noformat_Rubtext"/>
      <w:id w:val="-218060500"/>
      <w:lock w:val="sdtLocked"/>
      <w:text/>
    </w:sdtPr>
    <w:sdtEndPr/>
    <w:sdtContent>
      <w:p w14:paraId="13FFF9CB" w14:textId="26F1ADB1" w:rsidR="00262EA3" w:rsidRDefault="009B5174" w:rsidP="00283E0F">
        <w:pPr>
          <w:pStyle w:val="FSHRub2"/>
        </w:pPr>
        <w:r>
          <w:t>En tillgänglig tandvård för jämlikhet</w:t>
        </w:r>
      </w:p>
    </w:sdtContent>
  </w:sdt>
  <w:sdt>
    <w:sdtPr>
      <w:alias w:val="CC_Boilerplate_3"/>
      <w:tag w:val="CC_Boilerplate_3"/>
      <w:id w:val="1606463544"/>
      <w:lock w:val="sdtContentLocked"/>
      <w15:appearance w15:val="hidden"/>
      <w:text w:multiLine="1"/>
    </w:sdtPr>
    <w:sdtEndPr/>
    <w:sdtContent>
      <w:p w14:paraId="5E1E99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768D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068F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88F3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63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CE90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A68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A271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B86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46425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E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54"/>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9E"/>
    <w:rsid w:val="000171D9"/>
    <w:rsid w:val="000177E6"/>
    <w:rsid w:val="000200F6"/>
    <w:rsid w:val="0002068F"/>
    <w:rsid w:val="00022F5C"/>
    <w:rsid w:val="000232AB"/>
    <w:rsid w:val="00024356"/>
    <w:rsid w:val="000243A4"/>
    <w:rsid w:val="00024712"/>
    <w:rsid w:val="00024921"/>
    <w:rsid w:val="00025359"/>
    <w:rsid w:val="00026034"/>
    <w:rsid w:val="00026040"/>
    <w:rsid w:val="000265CA"/>
    <w:rsid w:val="000269AE"/>
    <w:rsid w:val="000269D1"/>
    <w:rsid w:val="00026D19"/>
    <w:rsid w:val="0002759A"/>
    <w:rsid w:val="000300BF"/>
    <w:rsid w:val="00030BF2"/>
    <w:rsid w:val="00030C4D"/>
    <w:rsid w:val="000311F6"/>
    <w:rsid w:val="000314C1"/>
    <w:rsid w:val="00031AF1"/>
    <w:rsid w:val="00031D4B"/>
    <w:rsid w:val="0003208D"/>
    <w:rsid w:val="0003223C"/>
    <w:rsid w:val="0003287D"/>
    <w:rsid w:val="000328D4"/>
    <w:rsid w:val="00032A5E"/>
    <w:rsid w:val="00033025"/>
    <w:rsid w:val="00033C04"/>
    <w:rsid w:val="000356A2"/>
    <w:rsid w:val="00035775"/>
    <w:rsid w:val="00035BF0"/>
    <w:rsid w:val="00035CA7"/>
    <w:rsid w:val="00036A17"/>
    <w:rsid w:val="00036E35"/>
    <w:rsid w:val="00036E88"/>
    <w:rsid w:val="000370AD"/>
    <w:rsid w:val="00037889"/>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9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F5"/>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2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F8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72"/>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11"/>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D5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0F"/>
    <w:rsid w:val="00182F4B"/>
    <w:rsid w:val="00182F7B"/>
    <w:rsid w:val="001839DB"/>
    <w:rsid w:val="001841F2"/>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0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8A"/>
    <w:rsid w:val="001B3FBB"/>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898"/>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6D2"/>
    <w:rsid w:val="001D5A93"/>
    <w:rsid w:val="001D5C51"/>
    <w:rsid w:val="001D650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3D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F3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9A"/>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5C"/>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87"/>
    <w:rsid w:val="002539E9"/>
    <w:rsid w:val="00253FFE"/>
    <w:rsid w:val="002543B3"/>
    <w:rsid w:val="00254E5A"/>
    <w:rsid w:val="0025501B"/>
    <w:rsid w:val="002551EA"/>
    <w:rsid w:val="00256D9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9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0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4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C0"/>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6A"/>
    <w:rsid w:val="00323EAC"/>
    <w:rsid w:val="00323F94"/>
    <w:rsid w:val="00324864"/>
    <w:rsid w:val="003248E6"/>
    <w:rsid w:val="00324BD9"/>
    <w:rsid w:val="00324C74"/>
    <w:rsid w:val="00324E87"/>
    <w:rsid w:val="003250F9"/>
    <w:rsid w:val="00325515"/>
    <w:rsid w:val="003258C5"/>
    <w:rsid w:val="00325E7A"/>
    <w:rsid w:val="00325EDF"/>
    <w:rsid w:val="00326AD4"/>
    <w:rsid w:val="00326D47"/>
    <w:rsid w:val="00326D56"/>
    <w:rsid w:val="00326E82"/>
    <w:rsid w:val="00330229"/>
    <w:rsid w:val="003307CC"/>
    <w:rsid w:val="00331427"/>
    <w:rsid w:val="00333E95"/>
    <w:rsid w:val="00334938"/>
    <w:rsid w:val="00335FA2"/>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87"/>
    <w:rsid w:val="00381B4B"/>
    <w:rsid w:val="003830EF"/>
    <w:rsid w:val="00383742"/>
    <w:rsid w:val="00383AF3"/>
    <w:rsid w:val="00383B34"/>
    <w:rsid w:val="00383C72"/>
    <w:rsid w:val="00384563"/>
    <w:rsid w:val="0038458E"/>
    <w:rsid w:val="00385870"/>
    <w:rsid w:val="0038592C"/>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D77"/>
    <w:rsid w:val="003B71C9"/>
    <w:rsid w:val="003B7796"/>
    <w:rsid w:val="003C06ED"/>
    <w:rsid w:val="003C0B08"/>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EE"/>
    <w:rsid w:val="00420189"/>
    <w:rsid w:val="00420C14"/>
    <w:rsid w:val="004214C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09"/>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E9"/>
    <w:rsid w:val="00451CD3"/>
    <w:rsid w:val="0045225B"/>
    <w:rsid w:val="004535C8"/>
    <w:rsid w:val="0045366D"/>
    <w:rsid w:val="0045386A"/>
    <w:rsid w:val="00453C4F"/>
    <w:rsid w:val="00453DF4"/>
    <w:rsid w:val="00454102"/>
    <w:rsid w:val="0045422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5A"/>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31B"/>
    <w:rsid w:val="00472CF1"/>
    <w:rsid w:val="00472E4B"/>
    <w:rsid w:val="00473426"/>
    <w:rsid w:val="00474043"/>
    <w:rsid w:val="004745C8"/>
    <w:rsid w:val="004745FC"/>
    <w:rsid w:val="004749E0"/>
    <w:rsid w:val="0047554D"/>
    <w:rsid w:val="00476A7B"/>
    <w:rsid w:val="00476C01"/>
    <w:rsid w:val="00476CDA"/>
    <w:rsid w:val="00477162"/>
    <w:rsid w:val="004774BF"/>
    <w:rsid w:val="004801AC"/>
    <w:rsid w:val="00480455"/>
    <w:rsid w:val="00480957"/>
    <w:rsid w:val="00480D74"/>
    <w:rsid w:val="0048144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DE"/>
    <w:rsid w:val="00494029"/>
    <w:rsid w:val="00494302"/>
    <w:rsid w:val="00494F49"/>
    <w:rsid w:val="00495838"/>
    <w:rsid w:val="00495FA5"/>
    <w:rsid w:val="004967D4"/>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DE0"/>
    <w:rsid w:val="004E46C6"/>
    <w:rsid w:val="004E5125"/>
    <w:rsid w:val="004E51DD"/>
    <w:rsid w:val="004E556C"/>
    <w:rsid w:val="004E62BE"/>
    <w:rsid w:val="004E68FD"/>
    <w:rsid w:val="004E7C93"/>
    <w:rsid w:val="004F06EC"/>
    <w:rsid w:val="004F08B5"/>
    <w:rsid w:val="004F10F0"/>
    <w:rsid w:val="004F1398"/>
    <w:rsid w:val="004F2C12"/>
    <w:rsid w:val="004F2C26"/>
    <w:rsid w:val="004F2EB8"/>
    <w:rsid w:val="004F35FE"/>
    <w:rsid w:val="004F43F8"/>
    <w:rsid w:val="004F4D9E"/>
    <w:rsid w:val="004F50AF"/>
    <w:rsid w:val="004F529B"/>
    <w:rsid w:val="004F5597"/>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D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D8E"/>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02"/>
    <w:rsid w:val="0057199F"/>
    <w:rsid w:val="00572360"/>
    <w:rsid w:val="005723BA"/>
    <w:rsid w:val="005723E6"/>
    <w:rsid w:val="005729D3"/>
    <w:rsid w:val="00572EFF"/>
    <w:rsid w:val="005730CB"/>
    <w:rsid w:val="00573324"/>
    <w:rsid w:val="0057383B"/>
    <w:rsid w:val="00573A9E"/>
    <w:rsid w:val="00573E8D"/>
    <w:rsid w:val="0057436E"/>
    <w:rsid w:val="00574AFD"/>
    <w:rsid w:val="00575613"/>
    <w:rsid w:val="00575963"/>
    <w:rsid w:val="00575F0F"/>
    <w:rsid w:val="00576057"/>
    <w:rsid w:val="005760AB"/>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82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2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684"/>
    <w:rsid w:val="005C5A53"/>
    <w:rsid w:val="005C5AA2"/>
    <w:rsid w:val="005C5E9C"/>
    <w:rsid w:val="005C63BF"/>
    <w:rsid w:val="005C6438"/>
    <w:rsid w:val="005C6940"/>
    <w:rsid w:val="005C6D5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28"/>
    <w:rsid w:val="00612D6C"/>
    <w:rsid w:val="00613397"/>
    <w:rsid w:val="0061474F"/>
    <w:rsid w:val="0061478D"/>
    <w:rsid w:val="00614F73"/>
    <w:rsid w:val="006153A5"/>
    <w:rsid w:val="006159DA"/>
    <w:rsid w:val="00615D9F"/>
    <w:rsid w:val="00615FDF"/>
    <w:rsid w:val="00616034"/>
    <w:rsid w:val="0061629F"/>
    <w:rsid w:val="006164D3"/>
    <w:rsid w:val="00616AA7"/>
    <w:rsid w:val="006178CA"/>
    <w:rsid w:val="00617DA9"/>
    <w:rsid w:val="00617F4B"/>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59"/>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E9"/>
    <w:rsid w:val="00636647"/>
    <w:rsid w:val="00636F19"/>
    <w:rsid w:val="006375A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91"/>
    <w:rsid w:val="00652B73"/>
    <w:rsid w:val="00652D52"/>
    <w:rsid w:val="00652E24"/>
    <w:rsid w:val="00653320"/>
    <w:rsid w:val="00653781"/>
    <w:rsid w:val="00654A01"/>
    <w:rsid w:val="006554FE"/>
    <w:rsid w:val="006555E8"/>
    <w:rsid w:val="00656257"/>
    <w:rsid w:val="00656D71"/>
    <w:rsid w:val="0065708F"/>
    <w:rsid w:val="00657A9F"/>
    <w:rsid w:val="00657CD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B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FC"/>
    <w:rsid w:val="00697084"/>
    <w:rsid w:val="00697223"/>
    <w:rsid w:val="006979DA"/>
    <w:rsid w:val="00697CD5"/>
    <w:rsid w:val="006A06B2"/>
    <w:rsid w:val="006A1413"/>
    <w:rsid w:val="006A1BAD"/>
    <w:rsid w:val="006A2360"/>
    <w:rsid w:val="006A23E5"/>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4EDA"/>
    <w:rsid w:val="006C5179"/>
    <w:rsid w:val="006C51F5"/>
    <w:rsid w:val="006C55D1"/>
    <w:rsid w:val="006C5AC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17"/>
    <w:rsid w:val="006E552F"/>
    <w:rsid w:val="006E6E07"/>
    <w:rsid w:val="006E6E39"/>
    <w:rsid w:val="006E77CC"/>
    <w:rsid w:val="006E7DB7"/>
    <w:rsid w:val="006E7E27"/>
    <w:rsid w:val="006F032D"/>
    <w:rsid w:val="006F07B0"/>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DF5"/>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6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7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60"/>
    <w:rsid w:val="00743791"/>
    <w:rsid w:val="00743B96"/>
    <w:rsid w:val="00744159"/>
    <w:rsid w:val="00744588"/>
    <w:rsid w:val="00744E48"/>
    <w:rsid w:val="007451A3"/>
    <w:rsid w:val="00745CDA"/>
    <w:rsid w:val="007461FB"/>
    <w:rsid w:val="00746376"/>
    <w:rsid w:val="0074703C"/>
    <w:rsid w:val="00747630"/>
    <w:rsid w:val="0075062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B01"/>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1F"/>
    <w:rsid w:val="0077318D"/>
    <w:rsid w:val="00773694"/>
    <w:rsid w:val="00773854"/>
    <w:rsid w:val="00774468"/>
    <w:rsid w:val="00774D00"/>
    <w:rsid w:val="00774F36"/>
    <w:rsid w:val="007752F5"/>
    <w:rsid w:val="00776ADE"/>
    <w:rsid w:val="00776B74"/>
    <w:rsid w:val="00776B9A"/>
    <w:rsid w:val="0077726C"/>
    <w:rsid w:val="007773BB"/>
    <w:rsid w:val="0077752D"/>
    <w:rsid w:val="00777AFE"/>
    <w:rsid w:val="00777F2F"/>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EA"/>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E"/>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067"/>
    <w:rsid w:val="0080549D"/>
    <w:rsid w:val="00805573"/>
    <w:rsid w:val="00805831"/>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A7"/>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42"/>
    <w:rsid w:val="00833563"/>
    <w:rsid w:val="00833A3C"/>
    <w:rsid w:val="008340E7"/>
    <w:rsid w:val="00834458"/>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69"/>
    <w:rsid w:val="00843650"/>
    <w:rsid w:val="0084368F"/>
    <w:rsid w:val="00843CEF"/>
    <w:rsid w:val="00843DED"/>
    <w:rsid w:val="00844A0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50"/>
    <w:rsid w:val="0085531D"/>
    <w:rsid w:val="008555D4"/>
    <w:rsid w:val="0085565F"/>
    <w:rsid w:val="00855876"/>
    <w:rsid w:val="00855BA6"/>
    <w:rsid w:val="008560CA"/>
    <w:rsid w:val="008563AC"/>
    <w:rsid w:val="008566A8"/>
    <w:rsid w:val="0085712D"/>
    <w:rsid w:val="008572BE"/>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C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07"/>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93"/>
    <w:rsid w:val="008874DD"/>
    <w:rsid w:val="00887853"/>
    <w:rsid w:val="00887F8A"/>
    <w:rsid w:val="00890486"/>
    <w:rsid w:val="00890724"/>
    <w:rsid w:val="00890756"/>
    <w:rsid w:val="00891A8C"/>
    <w:rsid w:val="00891C99"/>
    <w:rsid w:val="00892C23"/>
    <w:rsid w:val="00893628"/>
    <w:rsid w:val="00894507"/>
    <w:rsid w:val="008952CB"/>
    <w:rsid w:val="008961D3"/>
    <w:rsid w:val="0089649B"/>
    <w:rsid w:val="00896B22"/>
    <w:rsid w:val="0089737D"/>
    <w:rsid w:val="00897767"/>
    <w:rsid w:val="008A0566"/>
    <w:rsid w:val="008A06C2"/>
    <w:rsid w:val="008A07AE"/>
    <w:rsid w:val="008A163E"/>
    <w:rsid w:val="008A19A6"/>
    <w:rsid w:val="008A23C8"/>
    <w:rsid w:val="008A2992"/>
    <w:rsid w:val="008A2F41"/>
    <w:rsid w:val="008A3DB6"/>
    <w:rsid w:val="008A517E"/>
    <w:rsid w:val="008A5A1A"/>
    <w:rsid w:val="008A5D72"/>
    <w:rsid w:val="008A66F3"/>
    <w:rsid w:val="008A691E"/>
    <w:rsid w:val="008A7096"/>
    <w:rsid w:val="008A7A70"/>
    <w:rsid w:val="008B0A58"/>
    <w:rsid w:val="008B12FC"/>
    <w:rsid w:val="008B1873"/>
    <w:rsid w:val="008B232B"/>
    <w:rsid w:val="008B25FF"/>
    <w:rsid w:val="008B2724"/>
    <w:rsid w:val="008B2BF8"/>
    <w:rsid w:val="008B2D29"/>
    <w:rsid w:val="008B353D"/>
    <w:rsid w:val="008B38E1"/>
    <w:rsid w:val="008B3D81"/>
    <w:rsid w:val="008B412D"/>
    <w:rsid w:val="008B46F4"/>
    <w:rsid w:val="008B50A2"/>
    <w:rsid w:val="008B577D"/>
    <w:rsid w:val="008B5B6A"/>
    <w:rsid w:val="008B5B82"/>
    <w:rsid w:val="008B6A0E"/>
    <w:rsid w:val="008B6D68"/>
    <w:rsid w:val="008B757A"/>
    <w:rsid w:val="008B78A9"/>
    <w:rsid w:val="008B7A7A"/>
    <w:rsid w:val="008B7E5C"/>
    <w:rsid w:val="008C0BDD"/>
    <w:rsid w:val="008C10AF"/>
    <w:rsid w:val="008C1219"/>
    <w:rsid w:val="008C1A58"/>
    <w:rsid w:val="008C1D27"/>
    <w:rsid w:val="008C1F32"/>
    <w:rsid w:val="008C212E"/>
    <w:rsid w:val="008C2C5E"/>
    <w:rsid w:val="008C3066"/>
    <w:rsid w:val="008C30E9"/>
    <w:rsid w:val="008C3142"/>
    <w:rsid w:val="008C52AF"/>
    <w:rsid w:val="008C5D1A"/>
    <w:rsid w:val="008C5D7E"/>
    <w:rsid w:val="008C5DC8"/>
    <w:rsid w:val="008C6BE6"/>
    <w:rsid w:val="008C6FE0"/>
    <w:rsid w:val="008C7522"/>
    <w:rsid w:val="008D0356"/>
    <w:rsid w:val="008D077F"/>
    <w:rsid w:val="008D1336"/>
    <w:rsid w:val="008D1615"/>
    <w:rsid w:val="008D184D"/>
    <w:rsid w:val="008D20C3"/>
    <w:rsid w:val="008D258D"/>
    <w:rsid w:val="008D3A93"/>
    <w:rsid w:val="008D3AFD"/>
    <w:rsid w:val="008D3BE8"/>
    <w:rsid w:val="008D3F72"/>
    <w:rsid w:val="008D4102"/>
    <w:rsid w:val="008D46A6"/>
    <w:rsid w:val="008D48C2"/>
    <w:rsid w:val="008D5722"/>
    <w:rsid w:val="008D5F45"/>
    <w:rsid w:val="008D6E3F"/>
    <w:rsid w:val="008D7C55"/>
    <w:rsid w:val="008E07A5"/>
    <w:rsid w:val="008E0FE2"/>
    <w:rsid w:val="008E1533"/>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E6"/>
    <w:rsid w:val="008F5117"/>
    <w:rsid w:val="008F5818"/>
    <w:rsid w:val="008F5879"/>
    <w:rsid w:val="008F5883"/>
    <w:rsid w:val="008F5C48"/>
    <w:rsid w:val="008F5C69"/>
    <w:rsid w:val="008F5FFE"/>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53A"/>
    <w:rsid w:val="00910F3C"/>
    <w:rsid w:val="009115D1"/>
    <w:rsid w:val="009117E4"/>
    <w:rsid w:val="009117EB"/>
    <w:rsid w:val="009118BC"/>
    <w:rsid w:val="00912253"/>
    <w:rsid w:val="0091239F"/>
    <w:rsid w:val="0091251D"/>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384"/>
    <w:rsid w:val="009606E5"/>
    <w:rsid w:val="00961460"/>
    <w:rsid w:val="009616DC"/>
    <w:rsid w:val="009618CD"/>
    <w:rsid w:val="00961AD8"/>
    <w:rsid w:val="00961B93"/>
    <w:rsid w:val="00961DB8"/>
    <w:rsid w:val="0096292D"/>
    <w:rsid w:val="00962D20"/>
    <w:rsid w:val="00962E37"/>
    <w:rsid w:val="0096372B"/>
    <w:rsid w:val="009639BD"/>
    <w:rsid w:val="00964828"/>
    <w:rsid w:val="00965ED6"/>
    <w:rsid w:val="00966C24"/>
    <w:rsid w:val="009670A0"/>
    <w:rsid w:val="00967184"/>
    <w:rsid w:val="009671B5"/>
    <w:rsid w:val="00967C48"/>
    <w:rsid w:val="00970635"/>
    <w:rsid w:val="0097178B"/>
    <w:rsid w:val="00972DC8"/>
    <w:rsid w:val="00973057"/>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3D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4F9"/>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74"/>
    <w:rsid w:val="009B66D4"/>
    <w:rsid w:val="009B705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8C"/>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49"/>
    <w:rsid w:val="00A0463D"/>
    <w:rsid w:val="00A05703"/>
    <w:rsid w:val="00A060A0"/>
    <w:rsid w:val="00A060B6"/>
    <w:rsid w:val="00A0616C"/>
    <w:rsid w:val="00A0652D"/>
    <w:rsid w:val="00A06B34"/>
    <w:rsid w:val="00A07862"/>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77F"/>
    <w:rsid w:val="00A148A5"/>
    <w:rsid w:val="00A14C61"/>
    <w:rsid w:val="00A157CB"/>
    <w:rsid w:val="00A15EA3"/>
    <w:rsid w:val="00A165DB"/>
    <w:rsid w:val="00A16721"/>
    <w:rsid w:val="00A172F3"/>
    <w:rsid w:val="00A1750A"/>
    <w:rsid w:val="00A17676"/>
    <w:rsid w:val="00A200AF"/>
    <w:rsid w:val="00A21529"/>
    <w:rsid w:val="00A2153D"/>
    <w:rsid w:val="00A22EEE"/>
    <w:rsid w:val="00A234BB"/>
    <w:rsid w:val="00A23824"/>
    <w:rsid w:val="00A23F97"/>
    <w:rsid w:val="00A244BC"/>
    <w:rsid w:val="00A244C8"/>
    <w:rsid w:val="00A24682"/>
    <w:rsid w:val="00A24E73"/>
    <w:rsid w:val="00A25917"/>
    <w:rsid w:val="00A26190"/>
    <w:rsid w:val="00A262DF"/>
    <w:rsid w:val="00A265BE"/>
    <w:rsid w:val="00A2683A"/>
    <w:rsid w:val="00A2739B"/>
    <w:rsid w:val="00A276DA"/>
    <w:rsid w:val="00A278AA"/>
    <w:rsid w:val="00A27F16"/>
    <w:rsid w:val="00A30453"/>
    <w:rsid w:val="00A31145"/>
    <w:rsid w:val="00A314CF"/>
    <w:rsid w:val="00A323EA"/>
    <w:rsid w:val="00A32445"/>
    <w:rsid w:val="00A32DC7"/>
    <w:rsid w:val="00A3316B"/>
    <w:rsid w:val="00A3389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7F"/>
    <w:rsid w:val="00A4468A"/>
    <w:rsid w:val="00A446B2"/>
    <w:rsid w:val="00A44B6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D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4D"/>
    <w:rsid w:val="00A846D9"/>
    <w:rsid w:val="00A84A96"/>
    <w:rsid w:val="00A84CA3"/>
    <w:rsid w:val="00A8504B"/>
    <w:rsid w:val="00A85CEC"/>
    <w:rsid w:val="00A864CE"/>
    <w:rsid w:val="00A866F8"/>
    <w:rsid w:val="00A8670F"/>
    <w:rsid w:val="00A869D5"/>
    <w:rsid w:val="00A86D9C"/>
    <w:rsid w:val="00A8790E"/>
    <w:rsid w:val="00A904B3"/>
    <w:rsid w:val="00A9060F"/>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E8B"/>
    <w:rsid w:val="00AA6CB2"/>
    <w:rsid w:val="00AA7017"/>
    <w:rsid w:val="00AA71C8"/>
    <w:rsid w:val="00AA7215"/>
    <w:rsid w:val="00AA73AC"/>
    <w:rsid w:val="00AB0730"/>
    <w:rsid w:val="00AB1090"/>
    <w:rsid w:val="00AB111E"/>
    <w:rsid w:val="00AB11FF"/>
    <w:rsid w:val="00AB12CF"/>
    <w:rsid w:val="00AB232B"/>
    <w:rsid w:val="00AB3479"/>
    <w:rsid w:val="00AB3F5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43"/>
    <w:rsid w:val="00AE4510"/>
    <w:rsid w:val="00AE49CE"/>
    <w:rsid w:val="00AE4D7A"/>
    <w:rsid w:val="00AE4E95"/>
    <w:rsid w:val="00AE684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0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FB"/>
    <w:rsid w:val="00B273CD"/>
    <w:rsid w:val="00B2747C"/>
    <w:rsid w:val="00B27E2E"/>
    <w:rsid w:val="00B30A6B"/>
    <w:rsid w:val="00B30BC9"/>
    <w:rsid w:val="00B30D82"/>
    <w:rsid w:val="00B30ED2"/>
    <w:rsid w:val="00B311E6"/>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3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0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AC"/>
    <w:rsid w:val="00BB36D0"/>
    <w:rsid w:val="00BB3953"/>
    <w:rsid w:val="00BB4BC3"/>
    <w:rsid w:val="00BB4F0E"/>
    <w:rsid w:val="00BB50A9"/>
    <w:rsid w:val="00BB56BE"/>
    <w:rsid w:val="00BB62B5"/>
    <w:rsid w:val="00BB6339"/>
    <w:rsid w:val="00BB6493"/>
    <w:rsid w:val="00BB658B"/>
    <w:rsid w:val="00BB65B4"/>
    <w:rsid w:val="00BB721E"/>
    <w:rsid w:val="00BB7566"/>
    <w:rsid w:val="00BB7AD0"/>
    <w:rsid w:val="00BB7E29"/>
    <w:rsid w:val="00BB7F1D"/>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9F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FB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2D"/>
    <w:rsid w:val="00C3039D"/>
    <w:rsid w:val="00C30D70"/>
    <w:rsid w:val="00C316AE"/>
    <w:rsid w:val="00C32392"/>
    <w:rsid w:val="00C32664"/>
    <w:rsid w:val="00C3271D"/>
    <w:rsid w:val="00C330F0"/>
    <w:rsid w:val="00C3379C"/>
    <w:rsid w:val="00C35053"/>
    <w:rsid w:val="00C35733"/>
    <w:rsid w:val="00C362D1"/>
    <w:rsid w:val="00C366DD"/>
    <w:rsid w:val="00C369D4"/>
    <w:rsid w:val="00C37833"/>
    <w:rsid w:val="00C378D1"/>
    <w:rsid w:val="00C37957"/>
    <w:rsid w:val="00C40A5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A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C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C73"/>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B0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0F"/>
    <w:rsid w:val="00CE25A0"/>
    <w:rsid w:val="00CE311E"/>
    <w:rsid w:val="00CE35E9"/>
    <w:rsid w:val="00CE3980"/>
    <w:rsid w:val="00CE3EE2"/>
    <w:rsid w:val="00CE4169"/>
    <w:rsid w:val="00CE6C1C"/>
    <w:rsid w:val="00CE7274"/>
    <w:rsid w:val="00CE7D8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126"/>
    <w:rsid w:val="00D0705A"/>
    <w:rsid w:val="00D0725D"/>
    <w:rsid w:val="00D100AE"/>
    <w:rsid w:val="00D101A5"/>
    <w:rsid w:val="00D1060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DE"/>
    <w:rsid w:val="00D350ED"/>
    <w:rsid w:val="00D3622A"/>
    <w:rsid w:val="00D364AF"/>
    <w:rsid w:val="00D36559"/>
    <w:rsid w:val="00D3655C"/>
    <w:rsid w:val="00D369A2"/>
    <w:rsid w:val="00D36A92"/>
    <w:rsid w:val="00D37418"/>
    <w:rsid w:val="00D40325"/>
    <w:rsid w:val="00D408D3"/>
    <w:rsid w:val="00D40B0A"/>
    <w:rsid w:val="00D41500"/>
    <w:rsid w:val="00D4151B"/>
    <w:rsid w:val="00D4263D"/>
    <w:rsid w:val="00D44A58"/>
    <w:rsid w:val="00D45148"/>
    <w:rsid w:val="00D455D8"/>
    <w:rsid w:val="00D45A12"/>
    <w:rsid w:val="00D45FEA"/>
    <w:rsid w:val="00D461A9"/>
    <w:rsid w:val="00D47E1F"/>
    <w:rsid w:val="00D503EB"/>
    <w:rsid w:val="00D50742"/>
    <w:rsid w:val="00D512FE"/>
    <w:rsid w:val="00D5212B"/>
    <w:rsid w:val="00D52B99"/>
    <w:rsid w:val="00D52C3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C2"/>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CEB"/>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795"/>
    <w:rsid w:val="00D71C0A"/>
    <w:rsid w:val="00D7308E"/>
    <w:rsid w:val="00D735F7"/>
    <w:rsid w:val="00D736CB"/>
    <w:rsid w:val="00D73A5F"/>
    <w:rsid w:val="00D7401C"/>
    <w:rsid w:val="00D7469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F9"/>
    <w:rsid w:val="00D92CD6"/>
    <w:rsid w:val="00D936E6"/>
    <w:rsid w:val="00D946E1"/>
    <w:rsid w:val="00D95382"/>
    <w:rsid w:val="00D95D6A"/>
    <w:rsid w:val="00D97E6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BFB"/>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2BF"/>
    <w:rsid w:val="00DC54E0"/>
    <w:rsid w:val="00DC668D"/>
    <w:rsid w:val="00DD013F"/>
    <w:rsid w:val="00DD01F0"/>
    <w:rsid w:val="00DD14EF"/>
    <w:rsid w:val="00DD1554"/>
    <w:rsid w:val="00DD1D35"/>
    <w:rsid w:val="00DD2077"/>
    <w:rsid w:val="00DD2331"/>
    <w:rsid w:val="00DD2ADC"/>
    <w:rsid w:val="00DD2DD6"/>
    <w:rsid w:val="00DD2DE3"/>
    <w:rsid w:val="00DD3E5B"/>
    <w:rsid w:val="00DD40BB"/>
    <w:rsid w:val="00DD43E3"/>
    <w:rsid w:val="00DD46FD"/>
    <w:rsid w:val="00DD474A"/>
    <w:rsid w:val="00DD482D"/>
    <w:rsid w:val="00DD48FD"/>
    <w:rsid w:val="00DD4C51"/>
    <w:rsid w:val="00DD4DD0"/>
    <w:rsid w:val="00DD515D"/>
    <w:rsid w:val="00DD5309"/>
    <w:rsid w:val="00DD6146"/>
    <w:rsid w:val="00DD6589"/>
    <w:rsid w:val="00DD6BA5"/>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E28"/>
    <w:rsid w:val="00E0611B"/>
    <w:rsid w:val="00E061D2"/>
    <w:rsid w:val="00E075EF"/>
    <w:rsid w:val="00E0766D"/>
    <w:rsid w:val="00E07723"/>
    <w:rsid w:val="00E07CAF"/>
    <w:rsid w:val="00E07E1C"/>
    <w:rsid w:val="00E10212"/>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89C"/>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0D"/>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F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46"/>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6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5F8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F4"/>
    <w:rsid w:val="00F1322C"/>
    <w:rsid w:val="00F13A41"/>
    <w:rsid w:val="00F14BE6"/>
    <w:rsid w:val="00F16504"/>
    <w:rsid w:val="00F17B6B"/>
    <w:rsid w:val="00F17D62"/>
    <w:rsid w:val="00F2053B"/>
    <w:rsid w:val="00F20756"/>
    <w:rsid w:val="00F20EC4"/>
    <w:rsid w:val="00F219F8"/>
    <w:rsid w:val="00F22233"/>
    <w:rsid w:val="00F2265D"/>
    <w:rsid w:val="00F22ACA"/>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5A"/>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6B"/>
    <w:rsid w:val="00F506CD"/>
    <w:rsid w:val="00F51331"/>
    <w:rsid w:val="00F5224A"/>
    <w:rsid w:val="00F523F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AC"/>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DD3"/>
    <w:rsid w:val="00FA4F46"/>
    <w:rsid w:val="00FA5076"/>
    <w:rsid w:val="00FA5447"/>
    <w:rsid w:val="00FA5645"/>
    <w:rsid w:val="00FA7004"/>
    <w:rsid w:val="00FA712B"/>
    <w:rsid w:val="00FB0CFB"/>
    <w:rsid w:val="00FB113D"/>
    <w:rsid w:val="00FB13DC"/>
    <w:rsid w:val="00FB17C7"/>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4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513"/>
    <w:rsid w:val="00FE4932"/>
    <w:rsid w:val="00FE4D96"/>
    <w:rsid w:val="00FE53F5"/>
    <w:rsid w:val="00FE5C06"/>
    <w:rsid w:val="00FE5C73"/>
    <w:rsid w:val="00FE609F"/>
    <w:rsid w:val="00FE78F4"/>
    <w:rsid w:val="00FF0BD9"/>
    <w:rsid w:val="00FF0BFA"/>
    <w:rsid w:val="00FF1084"/>
    <w:rsid w:val="00FF255F"/>
    <w:rsid w:val="00FF2AA3"/>
    <w:rsid w:val="00FF30A2"/>
    <w:rsid w:val="00FF39E7"/>
    <w:rsid w:val="00FF39EE"/>
    <w:rsid w:val="00FF3FD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72C23B"/>
  <w15:chartTrackingRefBased/>
  <w15:docId w15:val="{D4AAB0D8-9A9E-47D3-9260-11E2A1E4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FA71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025483">
      <w:bodyDiv w:val="1"/>
      <w:marLeft w:val="0"/>
      <w:marRight w:val="0"/>
      <w:marTop w:val="0"/>
      <w:marBottom w:val="0"/>
      <w:divBdr>
        <w:top w:val="none" w:sz="0" w:space="0" w:color="auto"/>
        <w:left w:val="none" w:sz="0" w:space="0" w:color="auto"/>
        <w:bottom w:val="none" w:sz="0" w:space="0" w:color="auto"/>
        <w:right w:val="none" w:sz="0" w:space="0" w:color="auto"/>
      </w:divBdr>
    </w:div>
    <w:div w:id="1923175867">
      <w:bodyDiv w:val="1"/>
      <w:marLeft w:val="0"/>
      <w:marRight w:val="0"/>
      <w:marTop w:val="0"/>
      <w:marBottom w:val="0"/>
      <w:divBdr>
        <w:top w:val="none" w:sz="0" w:space="0" w:color="auto"/>
        <w:left w:val="none" w:sz="0" w:space="0" w:color="auto"/>
        <w:bottom w:val="none" w:sz="0" w:space="0" w:color="auto"/>
        <w:right w:val="none" w:sz="0" w:space="0" w:color="auto"/>
      </w:divBdr>
    </w:div>
    <w:div w:id="21110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2B39576F54F69B08F154148AD9BED"/>
        <w:category>
          <w:name w:val="Allmänt"/>
          <w:gallery w:val="placeholder"/>
        </w:category>
        <w:types>
          <w:type w:val="bbPlcHdr"/>
        </w:types>
        <w:behaviors>
          <w:behavior w:val="content"/>
        </w:behaviors>
        <w:guid w:val="{A0FDE0C2-E6AC-43E9-8988-3827DC7426DC}"/>
      </w:docPartPr>
      <w:docPartBody>
        <w:p w:rsidR="001A3867" w:rsidRDefault="001A3867">
          <w:pPr>
            <w:pStyle w:val="3432B39576F54F69B08F154148AD9BED"/>
          </w:pPr>
          <w:r w:rsidRPr="005A0A93">
            <w:rPr>
              <w:rStyle w:val="Platshllartext"/>
            </w:rPr>
            <w:t>Förslag till riksdagsbeslut</w:t>
          </w:r>
        </w:p>
      </w:docPartBody>
    </w:docPart>
    <w:docPart>
      <w:docPartPr>
        <w:name w:val="D94E0712926F49E582E1D8C37D834714"/>
        <w:category>
          <w:name w:val="Allmänt"/>
          <w:gallery w:val="placeholder"/>
        </w:category>
        <w:types>
          <w:type w:val="bbPlcHdr"/>
        </w:types>
        <w:behaviors>
          <w:behavior w:val="content"/>
        </w:behaviors>
        <w:guid w:val="{52D4822B-68C4-4851-BE9C-176A0A14EFC0}"/>
      </w:docPartPr>
      <w:docPartBody>
        <w:p w:rsidR="001A3867" w:rsidRDefault="001A3867">
          <w:pPr>
            <w:pStyle w:val="D94E0712926F49E582E1D8C37D834714"/>
          </w:pPr>
          <w:r w:rsidRPr="005A0A93">
            <w:rPr>
              <w:rStyle w:val="Platshllartext"/>
            </w:rPr>
            <w:t>Motivering</w:t>
          </w:r>
        </w:p>
      </w:docPartBody>
    </w:docPart>
    <w:docPart>
      <w:docPartPr>
        <w:name w:val="3D37401AC7B34B7BA374D47660D86546"/>
        <w:category>
          <w:name w:val="Allmänt"/>
          <w:gallery w:val="placeholder"/>
        </w:category>
        <w:types>
          <w:type w:val="bbPlcHdr"/>
        </w:types>
        <w:behaviors>
          <w:behavior w:val="content"/>
        </w:behaviors>
        <w:guid w:val="{2FE88188-C2F1-4CEB-9DF1-5D4F2998C237}"/>
      </w:docPartPr>
      <w:docPartBody>
        <w:p w:rsidR="00000000" w:rsidRDefault="000B6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67"/>
    <w:rsid w:val="001A3867"/>
    <w:rsid w:val="00B84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BFC"/>
    <w:rPr>
      <w:color w:val="F4B083" w:themeColor="accent2" w:themeTint="99"/>
    </w:rPr>
  </w:style>
  <w:style w:type="paragraph" w:customStyle="1" w:styleId="3432B39576F54F69B08F154148AD9BED">
    <w:name w:val="3432B39576F54F69B08F154148AD9BED"/>
  </w:style>
  <w:style w:type="paragraph" w:customStyle="1" w:styleId="D94E0712926F49E582E1D8C37D834714">
    <w:name w:val="D94E0712926F49E582E1D8C37D834714"/>
  </w:style>
  <w:style w:type="paragraph" w:customStyle="1" w:styleId="06EB7DB930614FDFADF2886DF1ACA1ED">
    <w:name w:val="06EB7DB930614FDFADF2886DF1ACA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480D8-BBBE-43CA-AE32-B4BCAEA4C31F}"/>
</file>

<file path=customXml/itemProps2.xml><?xml version="1.0" encoding="utf-8"?>
<ds:datastoreItem xmlns:ds="http://schemas.openxmlformats.org/officeDocument/2006/customXml" ds:itemID="{D999EAF5-7493-4355-9B6E-18B403769BAE}"/>
</file>

<file path=customXml/itemProps3.xml><?xml version="1.0" encoding="utf-8"?>
<ds:datastoreItem xmlns:ds="http://schemas.openxmlformats.org/officeDocument/2006/customXml" ds:itemID="{081B02ED-D80F-410C-8847-4DCF5028AA88}"/>
</file>

<file path=docProps/app.xml><?xml version="1.0" encoding="utf-8"?>
<Properties xmlns="http://schemas.openxmlformats.org/officeDocument/2006/extended-properties" xmlns:vt="http://schemas.openxmlformats.org/officeDocument/2006/docPropsVTypes">
  <Template>Normal</Template>
  <TotalTime>50</TotalTime>
  <Pages>7</Pages>
  <Words>2612</Words>
  <Characters>15835</Characters>
  <Application>Microsoft Office Word</Application>
  <DocSecurity>0</DocSecurity>
  <Lines>255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V202 En tillgänglig tandvård för jämlikhet</vt:lpstr>
      <vt:lpstr>
      </vt:lpstr>
    </vt:vector>
  </TitlesOfParts>
  <Company>Sveriges riksdag</Company>
  <LinksUpToDate>false</LinksUpToDate>
  <CharactersWithSpaces>18384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