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07A7E-23BD-4DFF-A515-3ACF8EF0D144}"/>
</file>

<file path=customXml/itemProps2.xml><?xml version="1.0" encoding="utf-8"?>
<ds:datastoreItem xmlns:ds="http://schemas.openxmlformats.org/officeDocument/2006/customXml" ds:itemID="{4D84EA92-1D77-4E6D-8D7D-EF67EB3E22B5}"/>
</file>

<file path=customXml/itemProps3.xml><?xml version="1.0" encoding="utf-8"?>
<ds:datastoreItem xmlns:ds="http://schemas.openxmlformats.org/officeDocument/2006/customXml" ds:itemID="{BA480B6F-B8B1-437E-A307-1A7F4D5FC563}"/>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