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BE0" w:rsidRPr="0088398F" w:rsidRDefault="00CC0BE0">
      <w:pPr>
        <w:pStyle w:val="Frslagsrubrik"/>
        <w:shd w:val="clear" w:color="000000" w:fill="auto"/>
      </w:pPr>
      <w:r w:rsidRPr="0088398F">
        <w:t>Förslag till riksdagsbeslut</w:t>
      </w:r>
    </w:p>
    <w:p w:rsidR="00CC0BE0" w:rsidRPr="0088398F" w:rsidRDefault="00CC0BE0">
      <w:pPr>
        <w:pStyle w:val="Hemstlatt"/>
        <w:shd w:val="clear" w:color="000000" w:fill="auto"/>
      </w:pPr>
      <w:r w:rsidRPr="0088398F">
        <w:t xml:space="preserve">Riksdagen tillkännager för regeringen som sin mening vad som anförs i motionen om </w:t>
      </w:r>
      <w:r w:rsidRPr="0088398F">
        <w:rPr>
          <w:color w:val="000000"/>
        </w:rPr>
        <w:t>en översyn av mervärdesskattesatserna inom kultur- och besöksnäringen.</w:t>
      </w:r>
    </w:p>
    <w:p w:rsidR="00CC0BE0" w:rsidRPr="0088398F" w:rsidRDefault="00CC0BE0">
      <w:pPr>
        <w:pStyle w:val="Rubrik1"/>
        <w:shd w:val="clear" w:color="000000" w:fill="auto"/>
      </w:pPr>
      <w:r w:rsidRPr="0088398F">
        <w:t>Motivering</w:t>
      </w:r>
    </w:p>
    <w:p w:rsidR="00CC0BE0" w:rsidRPr="0088398F" w:rsidRDefault="00CC0BE0">
      <w:pPr>
        <w:pStyle w:val="normal0"/>
        <w:shd w:val="clear" w:color="000000" w:fill="auto"/>
        <w:spacing w:line="300" w:lineRule="auto"/>
        <w:rPr>
          <w:rFonts w:ascii="Times New Roman" w:hAnsi="Times New Roman"/>
          <w:color w:val="000000"/>
          <w:spacing w:val="-2"/>
        </w:rPr>
      </w:pPr>
      <w:r w:rsidRPr="0088398F">
        <w:rPr>
          <w:rFonts w:ascii="Times New Roman" w:hAnsi="Times New Roman"/>
          <w:color w:val="000000"/>
        </w:rPr>
        <w:t>I dagsläget beskattas ett uppträdande av ett så kallat dansband hårdare än ett uppträdande av annan artist, helt beroende på huruvida det finns uppsåt till dans. Förekommer dans är momsen högre. Detta innebär att en person som uppskattar dansbandsmusiken och ändå inte har det minsta avsikt att dansa</w:t>
      </w:r>
      <w:r w:rsidRPr="0088398F">
        <w:rPr>
          <w:rFonts w:ascii="Times New Roman" w:hAnsi="Times New Roman"/>
          <w:color w:val="000000"/>
          <w:spacing w:val="-2"/>
        </w:rPr>
        <w:t xml:space="preserve"> måste betala mer än om denne person uppskattat en annan typ av musik.</w:t>
      </w:r>
    </w:p>
    <w:p w:rsidR="00CC0BE0" w:rsidRPr="0088398F" w:rsidRDefault="00CC0BE0">
      <w:pPr>
        <w:pStyle w:val="normal0"/>
        <w:shd w:val="clear" w:color="000000" w:fill="auto"/>
        <w:spacing w:line="300" w:lineRule="auto"/>
        <w:rPr>
          <w:rFonts w:ascii="Times New Roman" w:hAnsi="Times New Roman"/>
          <w:color w:val="000000"/>
          <w:spacing w:val="-2"/>
        </w:rPr>
      </w:pPr>
      <w:r w:rsidRPr="0088398F">
        <w:rPr>
          <w:rFonts w:ascii="Times New Roman" w:hAnsi="Times New Roman"/>
          <w:color w:val="000000"/>
          <w:spacing w:val="-2"/>
        </w:rPr>
        <w:t>Den sänkning av moms på restaurang- och cateringtjänster från 25% till 12% som föreslås gälla från 1 januari bör följas upp med ytterligare översyn. Förutom att åtgärden förväntas skapa nya jobb så innebär det också en betydande förenkling för berörda företag när samma momssats gäller för restaurangtjänster, livsmedel och rumuthyrning i en hotellrörelse.</w:t>
      </w:r>
    </w:p>
    <w:p w:rsidR="00CC0BE0" w:rsidRPr="0088398F" w:rsidRDefault="00CC0BE0">
      <w:pPr>
        <w:pStyle w:val="normal0"/>
        <w:shd w:val="clear" w:color="000000" w:fill="auto"/>
        <w:spacing w:line="300" w:lineRule="auto"/>
        <w:rPr>
          <w:rFonts w:ascii="Times New Roman" w:hAnsi="Times New Roman"/>
          <w:color w:val="000000"/>
        </w:rPr>
      </w:pPr>
      <w:r w:rsidRPr="0088398F">
        <w:rPr>
          <w:rFonts w:ascii="Times New Roman" w:hAnsi="Times New Roman"/>
          <w:color w:val="000000"/>
          <w:spacing w:val="-2"/>
        </w:rPr>
        <w:t>Det finns dock behov att se över även andra momssatser . Inom besöksnäringen</w:t>
      </w:r>
      <w:r w:rsidRPr="0088398F">
        <w:rPr>
          <w:rFonts w:ascii="Times New Roman" w:hAnsi="Times New Roman"/>
        </w:rPr>
        <w:t xml:space="preserve"> förekommer flera andra exempel på olika momssatser som försvårar för entreprenörer och kunder av turistaktiviteter. Exempelvis; persontransport 6 %, guidning 25 %, boende 12 % och som sagt en kulturaktivitet 6% eller 25 %.</w:t>
      </w:r>
    </w:p>
    <w:p w:rsidR="00CC0BE0" w:rsidRPr="0088398F" w:rsidRDefault="00CC0BE0">
      <w:pPr>
        <w:pStyle w:val="normalindent"/>
        <w:shd w:val="clear" w:color="000000" w:fill="auto"/>
        <w:spacing w:line="300" w:lineRule="auto"/>
        <w:rPr>
          <w:rFonts w:ascii="Times New Roman" w:hAnsi="Times New Roman"/>
          <w:color w:val="000000"/>
        </w:rPr>
      </w:pPr>
      <w:r w:rsidRPr="0088398F">
        <w:rPr>
          <w:rFonts w:ascii="Times New Roman" w:hAnsi="Times New Roman"/>
          <w:color w:val="000000"/>
        </w:rPr>
        <w:t>D</w:t>
      </w:r>
      <w:r w:rsidRPr="0088398F">
        <w:rPr>
          <w:rFonts w:ascii="Times New Roman" w:hAnsi="Times New Roman"/>
          <w:color w:val="000000"/>
          <w:spacing w:val="-2"/>
        </w:rPr>
        <w:t>et finns klara fördelar med enhetlig moms, och snarare borde de sän</w:t>
      </w:r>
      <w:r w:rsidRPr="0088398F">
        <w:rPr>
          <w:rFonts w:ascii="Times New Roman" w:hAnsi="Times New Roman"/>
          <w:color w:val="000000"/>
        </w:rPr>
        <w:t>kas överlag. Därför bör mervärdesskattesatserna ses över så att dels enhetlighet mellan olika musikgenrer uppstår och likartade företeelser inom besöksnäring likställs.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98F">
        <w:trPr>
          <w:cantSplit/>
        </w:trPr>
        <w:tc>
          <w:tcPr>
            <w:tcW w:w="3046" w:type="dxa"/>
          </w:tcPr>
          <w:p w:rsidR="00CC0BE0" w:rsidRPr="0088398F" w:rsidRDefault="00CC0BE0">
            <w:pPr>
              <w:pStyle w:val="UnderskriftDatum"/>
              <w:shd w:val="clear" w:color="000000" w:fill="auto"/>
              <w:spacing w:before="240"/>
            </w:pPr>
            <w:r w:rsidRPr="0088398F">
              <w:lastRenderedPageBreak/>
              <w:t>Stockholm den 5 oktober 2011</w:t>
            </w:r>
          </w:p>
        </w:tc>
        <w:tc>
          <w:tcPr>
            <w:tcW w:w="3047" w:type="dxa"/>
          </w:tcPr>
          <w:p w:rsidR="00CC0BE0" w:rsidRPr="0088398F" w:rsidRDefault="00CC0BE0">
            <w:pPr>
              <w:pStyle w:val="Underskrifter"/>
              <w:shd w:val="clear" w:color="000000" w:fill="auto"/>
              <w:spacing w:before="240"/>
            </w:pPr>
          </w:p>
        </w:tc>
      </w:tr>
      <w:tr w:rsidR="00000000" w:rsidRPr="0088398F">
        <w:trPr>
          <w:cantSplit/>
        </w:trPr>
        <w:tc>
          <w:tcPr>
            <w:tcW w:w="3046" w:type="dxa"/>
          </w:tcPr>
          <w:p w:rsidR="00CC0BE0" w:rsidRPr="0088398F" w:rsidRDefault="00CC0BE0">
            <w:pPr>
              <w:pStyle w:val="Underskrifter"/>
              <w:shd w:val="clear" w:color="000000" w:fill="auto"/>
            </w:pPr>
            <w:r w:rsidRPr="0088398F">
              <w:t>Lars Tysklind (FP)</w:t>
            </w:r>
          </w:p>
        </w:tc>
        <w:tc>
          <w:tcPr>
            <w:tcW w:w="3046" w:type="dxa"/>
          </w:tcPr>
          <w:p w:rsidR="00CC0BE0" w:rsidRPr="0088398F" w:rsidRDefault="00CC0BE0">
            <w:pPr>
              <w:pStyle w:val="Underskrifter"/>
              <w:shd w:val="clear" w:color="000000" w:fill="auto"/>
            </w:pPr>
          </w:p>
        </w:tc>
      </w:tr>
    </w:tbl>
    <w:p w:rsidR="00CC0BE0" w:rsidRPr="0088398F" w:rsidRDefault="00CC0BE0">
      <w:pPr>
        <w:pStyle w:val="Normaltindrag"/>
        <w:shd w:val="clear" w:color="000000" w:fill="auto"/>
      </w:pPr>
    </w:p>
    <w:sectPr w:rsidR="00CC0BE0" w:rsidRPr="0088398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BE0" w:rsidRPr="0088398F" w:rsidRDefault="00CC0BE0">
      <w:r w:rsidRPr="0088398F">
        <w:separator/>
      </w:r>
    </w:p>
  </w:endnote>
  <w:endnote w:type="continuationSeparator" w:id="0">
    <w:p w:rsidR="00CC0BE0" w:rsidRPr="0088398F" w:rsidRDefault="00CC0BE0">
      <w:r w:rsidRPr="00883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NormalA4fot"/>
    </w:pPr>
    <w:r w:rsidRPr="0088398F">
      <w:fldChar w:fldCharType="begin" w:fldLock="1"/>
    </w:r>
    <w:r w:rsidRPr="0088398F">
      <w:instrText xml:space="preserve"> FILENAME *\charformat </w:instrText>
    </w:r>
    <w:r w:rsidRPr="0088398F">
      <w:fldChar w:fldCharType="separate"/>
    </w:r>
    <w:r w:rsidRPr="0088398F">
      <w:t>Dokument9</w:t>
    </w:r>
    <w:r w:rsidRPr="0088398F">
      <w:fldChar w:fldCharType="end"/>
    </w:r>
    <w:r w:rsidRPr="0088398F">
      <w:t>/</w:t>
    </w:r>
    <w:r w:rsidRPr="0088398F">
      <w:fldChar w:fldCharType="begin" w:fldLock="1"/>
    </w:r>
    <w:r w:rsidRPr="0088398F">
      <w:instrText xml:space="preserve"> DOCPROPERTY "Sekr" *\charformat </w:instrText>
    </w:r>
    <w:r w:rsidRPr="0088398F">
      <w:fldChar w:fldCharType="separate"/>
    </w:r>
    <w:r w:rsidRPr="0088398F">
      <w:t>AA</w:t>
    </w:r>
    <w:r w:rsidRPr="0088398F">
      <w:fldChar w:fldCharType="end"/>
    </w:r>
    <w:r w:rsidRPr="0088398F">
      <w:t xml:space="preserve"> </w:t>
    </w:r>
    <w:r w:rsidRPr="0088398F">
      <w:fldChar w:fldCharType="begin" w:fldLock="1"/>
    </w:r>
    <w:r w:rsidRPr="0088398F">
      <w:instrText xml:space="preserve"> PRINTDATE \@ "yyyy-MM-dd" *\charformat </w:instrText>
    </w:r>
    <w:r w:rsidRPr="0088398F">
      <w:fldChar w:fldCharType="separate"/>
    </w:r>
    <w:r w:rsidRPr="0088398F">
      <w:t>2009-10-09</w:t>
    </w:r>
    <w:r w:rsidRPr="008839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NormalA4fot"/>
    </w:pPr>
    <w:r w:rsidRPr="0088398F">
      <w:fldChar w:fldCharType="begin" w:fldLock="1"/>
    </w:r>
    <w:r w:rsidRPr="0088398F">
      <w:instrText xml:space="preserve"> FILENAME *\charformat </w:instrText>
    </w:r>
    <w:r w:rsidRPr="0088398F">
      <w:fldChar w:fldCharType="separate"/>
    </w:r>
    <w:r w:rsidRPr="0088398F">
      <w:t>Dokument9</w:t>
    </w:r>
    <w:r w:rsidRPr="0088398F">
      <w:fldChar w:fldCharType="end"/>
    </w:r>
    <w:r w:rsidRPr="0088398F">
      <w:t>/</w:t>
    </w:r>
    <w:r w:rsidRPr="0088398F">
      <w:fldChar w:fldCharType="begin" w:fldLock="1"/>
    </w:r>
    <w:r w:rsidRPr="0088398F">
      <w:instrText xml:space="preserve"> DOCPROPERTY "Sekr" *\charformat </w:instrText>
    </w:r>
    <w:r w:rsidRPr="0088398F">
      <w:fldChar w:fldCharType="separate"/>
    </w:r>
    <w:r w:rsidRPr="0088398F">
      <w:t>AA</w:t>
    </w:r>
    <w:r w:rsidRPr="0088398F">
      <w:fldChar w:fldCharType="end"/>
    </w:r>
    <w:r w:rsidRPr="0088398F">
      <w:t xml:space="preserve"> </w:t>
    </w:r>
    <w:r w:rsidRPr="0088398F">
      <w:fldChar w:fldCharType="begin" w:fldLock="1"/>
    </w:r>
    <w:r w:rsidRPr="0088398F">
      <w:instrText xml:space="preserve"> PRINTDATE \@ "yyyy-MM-dd" *\charformat </w:instrText>
    </w:r>
    <w:r w:rsidRPr="0088398F">
      <w:fldChar w:fldCharType="separate"/>
    </w:r>
    <w:r w:rsidRPr="0088398F">
      <w:t>2009-10-09</w:t>
    </w:r>
    <w:r w:rsidRPr="008839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BE0" w:rsidRPr="0088398F" w:rsidRDefault="00CC0BE0">
      <w:r w:rsidRPr="0088398F">
        <w:separator/>
      </w:r>
    </w:p>
  </w:footnote>
  <w:footnote w:type="continuationSeparator" w:id="0">
    <w:p w:rsidR="00CC0BE0" w:rsidRPr="0088398F" w:rsidRDefault="00CC0BE0">
      <w:r w:rsidRPr="00883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NormalA4sidnr"/>
    </w:pPr>
    <w:r w:rsidRPr="0088398F">
      <w:fldChar w:fldCharType="begin" w:fldLock="1"/>
    </w:r>
    <w:r w:rsidRPr="0088398F">
      <w:instrText xml:space="preserve"> PAGE</w:instrText>
    </w:r>
    <w:r w:rsidRPr="0088398F">
      <w:rPr>
        <w:sz w:val="18"/>
      </w:rPr>
      <w:instrText xml:space="preserve"> *\charformat</w:instrText>
    </w:r>
    <w:r w:rsidRPr="0088398F">
      <w:fldChar w:fldCharType="separate"/>
    </w:r>
    <w:r w:rsidRPr="0088398F">
      <w:t>2</w:t>
    </w:r>
    <w:r w:rsidRPr="0088398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E0" w:rsidRPr="0088398F" w:rsidRDefault="00CC0BE0">
    <w:pPr>
      <w:pStyle w:val="FSHlogo"/>
    </w:pPr>
  </w:p>
  <w:p w:rsidR="00CC0BE0" w:rsidRPr="0088398F" w:rsidRDefault="00CC0BE0">
    <w:pPr>
      <w:pStyle w:val="FSHNormal"/>
    </w:pPr>
    <w:r w:rsidRPr="0088398F">
      <w:fldChar w:fldCharType="begin" w:fldLock="1"/>
    </w:r>
    <w:r w:rsidRPr="0088398F">
      <w:instrText xml:space="preserve"> DOCPROPERTY "MotTyp" *\charformat </w:instrText>
    </w:r>
    <w:r w:rsidRPr="0088398F">
      <w:fldChar w:fldCharType="separate"/>
    </w:r>
    <w:r w:rsidRPr="0088398F">
      <w:t>Enskild motion</w:t>
    </w:r>
    <w:r w:rsidRPr="0088398F">
      <w:fldChar w:fldCharType="end"/>
    </w:r>
    <w:r w:rsidRPr="0088398F">
      <w:t xml:space="preserve"> </w:t>
    </w:r>
    <w:r w:rsidRPr="0088398F">
      <w:fldChar w:fldCharType="begin" w:fldLock="1"/>
    </w:r>
    <w:r w:rsidRPr="0088398F">
      <w:instrText xml:space="preserve"> DOCPROPERTY "ArbRubr" *\charformat </w:instrText>
    </w:r>
    <w:r w:rsidRPr="0088398F">
      <w:fldChar w:fldCharType="end"/>
    </w:r>
  </w:p>
  <w:p w:rsidR="00CC0BE0" w:rsidRPr="0088398F" w:rsidRDefault="00CC0BE0">
    <w:pPr>
      <w:pStyle w:val="FSHRub2"/>
    </w:pPr>
    <w:r w:rsidRPr="0088398F">
      <w:t xml:space="preserve">Motion till riksdagen </w:t>
    </w:r>
    <w:r w:rsidRPr="0088398F">
      <w:tab/>
    </w:r>
    <w:r w:rsidRPr="0088398F">
      <w:fldChar w:fldCharType="begin" w:fldLock="1"/>
    </w:r>
    <w:r w:rsidRPr="0088398F">
      <w:instrText xml:space="preserve"> DOCPROPERTY "YearUser" *\charformat </w:instrText>
    </w:r>
    <w:r w:rsidRPr="0088398F">
      <w:fldChar w:fldCharType="separate"/>
    </w:r>
    <w:r w:rsidRPr="0088398F">
      <w:t>2011/12</w:t>
    </w:r>
    <w:r w:rsidRPr="0088398F">
      <w:fldChar w:fldCharType="end"/>
    </w:r>
    <w:r w:rsidRPr="0088398F">
      <w:t>:</w:t>
    </w:r>
    <w:r w:rsidRPr="0088398F">
      <w:fldChar w:fldCharType="begin" w:fldLock="1"/>
    </w:r>
    <w:r w:rsidRPr="0088398F">
      <w:instrText xml:space="preserve"> DOCPROPERTY "Motionsnummer" *\charformat </w:instrText>
    </w:r>
    <w:r w:rsidRPr="0088398F">
      <w:fldChar w:fldCharType="separate"/>
    </w:r>
    <w:r w:rsidRPr="0088398F">
      <w:t>Sk363</w:t>
    </w:r>
    <w:r w:rsidRPr="0088398F">
      <w:fldChar w:fldCharType="end"/>
    </w:r>
    <w:r w:rsidRPr="0088398F">
      <w:tab/>
    </w:r>
    <w:r w:rsidRPr="0088398F">
      <w:fldChar w:fldCharType="begin" w:fldLock="1"/>
    </w:r>
    <w:r w:rsidRPr="0088398F">
      <w:instrText xml:space="preserve"> DOCPROPERTY "Sekr" *\charformat </w:instrText>
    </w:r>
    <w:r w:rsidRPr="0088398F">
      <w:fldChar w:fldCharType="separate"/>
    </w:r>
    <w:r w:rsidRPr="0088398F">
      <w:t>AA</w:t>
    </w:r>
    <w:r w:rsidRPr="0088398F">
      <w:fldChar w:fldCharType="end"/>
    </w:r>
  </w:p>
  <w:p w:rsidR="00CC0BE0" w:rsidRPr="0088398F" w:rsidRDefault="00CC0BE0">
    <w:pPr>
      <w:pStyle w:val="FSHRub2"/>
    </w:pPr>
    <w:r w:rsidRPr="0088398F">
      <w:fldChar w:fldCharType="begin" w:fldLock="1"/>
    </w:r>
    <w:r w:rsidRPr="0088398F">
      <w:instrText xml:space="preserve"> DOCPROPERTY "MotionarText" *\charformat </w:instrText>
    </w:r>
    <w:r w:rsidRPr="0088398F">
      <w:fldChar w:fldCharType="separate"/>
    </w:r>
    <w:r w:rsidRPr="0088398F">
      <w:t>av Lars Tysklind (FP)</w:t>
    </w:r>
    <w:r w:rsidRPr="0088398F">
      <w:fldChar w:fldCharType="end"/>
    </w:r>
  </w:p>
  <w:p w:rsidR="00CC0BE0" w:rsidRPr="0088398F" w:rsidRDefault="00CC0BE0">
    <w:pPr>
      <w:pStyle w:val="FSHRub2"/>
    </w:pPr>
    <w:r w:rsidRPr="0088398F">
      <w:fldChar w:fldCharType="begin" w:fldLock="1"/>
    </w:r>
    <w:r w:rsidRPr="0088398F">
      <w:instrText xml:space="preserve"> DOCPROPERTY "Subject" *\charformat </w:instrText>
    </w:r>
    <w:r w:rsidRPr="0088398F">
      <w:fldChar w:fldCharType="separate"/>
    </w:r>
    <w:r w:rsidRPr="0088398F">
      <w:t>Mervärdesskattesatser inom kultur- och besöksnäringen</w:t>
    </w:r>
    <w:r w:rsidRPr="0088398F">
      <w:fldChar w:fldCharType="end"/>
    </w:r>
  </w:p>
  <w:p w:rsidR="00CC0BE0" w:rsidRPr="0088398F" w:rsidRDefault="00CC0BE0">
    <w:pPr>
      <w:pStyle w:val="FSHNormL"/>
    </w:pPr>
  </w:p>
  <w:p w:rsidR="00CC0BE0" w:rsidRPr="0088398F" w:rsidRDefault="00CC0BE0">
    <w:pPr>
      <w:pStyle w:val="FSHNormal"/>
    </w:pPr>
  </w:p>
  <w:p w:rsidR="00CC0BE0" w:rsidRPr="0088398F" w:rsidRDefault="00CC0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107162">
    <w:abstractNumId w:val="3"/>
  </w:num>
  <w:num w:numId="2" w16cid:durableId="1768649932">
    <w:abstractNumId w:val="2"/>
  </w:num>
  <w:num w:numId="3" w16cid:durableId="1959794159">
    <w:abstractNumId w:val="1"/>
  </w:num>
  <w:num w:numId="4" w16cid:durableId="621502853">
    <w:abstractNumId w:val="0"/>
  </w:num>
  <w:num w:numId="5" w16cid:durableId="1981035659">
    <w:abstractNumId w:val="7"/>
  </w:num>
  <w:num w:numId="6" w16cid:durableId="1946307164">
    <w:abstractNumId w:val="6"/>
  </w:num>
  <w:num w:numId="7" w16cid:durableId="1681741184">
    <w:abstractNumId w:val="5"/>
  </w:num>
  <w:num w:numId="8" w16cid:durableId="1387098183">
    <w:abstractNumId w:val="4"/>
  </w:num>
  <w:num w:numId="9" w16cid:durableId="402142741">
    <w:abstractNumId w:val="8"/>
  </w:num>
  <w:num w:numId="10" w16cid:durableId="308095940">
    <w:abstractNumId w:val="9"/>
  </w:num>
  <w:num w:numId="11" w16cid:durableId="1107197813">
    <w:abstractNumId w:val="10"/>
  </w:num>
  <w:num w:numId="12" w16cid:durableId="67307492">
    <w:abstractNumId w:val="13"/>
  </w:num>
  <w:num w:numId="13" w16cid:durableId="1933119329">
    <w:abstractNumId w:val="15"/>
  </w:num>
  <w:num w:numId="14" w16cid:durableId="538324040">
    <w:abstractNumId w:val="16"/>
  </w:num>
  <w:num w:numId="15" w16cid:durableId="2110855816">
    <w:abstractNumId w:val="11"/>
  </w:num>
  <w:num w:numId="16" w16cid:durableId="245463731">
    <w:abstractNumId w:val="18"/>
  </w:num>
  <w:num w:numId="17" w16cid:durableId="2016809865">
    <w:abstractNumId w:val="17"/>
  </w:num>
  <w:num w:numId="18" w16cid:durableId="507142460">
    <w:abstractNumId w:val="14"/>
  </w:num>
  <w:num w:numId="19" w16cid:durableId="350498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36F3CA-4062-43C1-B419-36BAC742980F}"/>
  </w:docVars>
  <w:rsids>
    <w:rsidRoot w:val="00C95D24"/>
    <w:rsid w:val="0088398F"/>
    <w:rsid w:val="00C95D24"/>
    <w:rsid w:val="00CC0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E6050-12C1-4243-AB53-FA8309EB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1283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FP1153</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FP1153</dc:title>
  <dc:subject>FP1153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Mervärdesskattesatser inom kultur- och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Mervärdesskattesatser inom kultur- och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20112012000000700080000011530069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20112012000000700080000011530069</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{F9323AD8-0AEE-4B4B-91DA-3DA64BC594CC}</vt:lpwstr>
  </property>
  <property fmtid="{D5CDD505-2E9C-101B-9397-08002B2CF9AE}" pid="53" name="Överföringar">
    <vt:i4>0</vt:i4>
  </property>
  <property fmtid="{D5CDD505-2E9C-101B-9397-08002B2CF9AE}" pid="54" name="Checksum">
    <vt:lpwstr>*1020077070644*</vt:lpwstr>
  </property>
  <property fmtid="{D5CDD505-2E9C-101B-9397-08002B2CF9AE}" pid="55" name="skuggnummer">
    <vt:lpwstr>2154</vt:lpwstr>
  </property>
  <property fmtid="{D5CDD505-2E9C-101B-9397-08002B2CF9AE}" pid="56" name="urixVersion">
    <vt:lpwstr>4.5.0.25</vt:lpwstr>
  </property>
  <property fmtid="{D5CDD505-2E9C-101B-9397-08002B2CF9AE}" pid="57" name="urixOrigin">
    <vt:lpwstr>111010 10:25:34.741</vt:lpwstr>
  </property>
  <property fmtid="{D5CDD505-2E9C-101B-9397-08002B2CF9AE}" pid="58" name="urixGuid">
    <vt:lpwstr>{417D7A4D-6653-44A6-8E1B-A059FF86C62B}</vt:lpwstr>
  </property>
</Properties>
</file>