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D647B7D19D468CB7BF287D14CB8B5E"/>
        </w:placeholder>
        <w15:appearance w15:val="hidden"/>
        <w:text/>
      </w:sdtPr>
      <w:sdtEndPr/>
      <w:sdtContent>
        <w:p w:rsidRPr="009B062B" w:rsidR="00AF30DD" w:rsidP="009B062B" w:rsidRDefault="00AF30DD" w14:paraId="647B755B" w14:textId="77777777">
          <w:pPr>
            <w:pStyle w:val="RubrikFrslagTIllRiksdagsbeslut"/>
          </w:pPr>
          <w:r w:rsidRPr="009B062B">
            <w:t>Förslag till riksdagsbeslut</w:t>
          </w:r>
        </w:p>
      </w:sdtContent>
    </w:sdt>
    <w:sdt>
      <w:sdtPr>
        <w:alias w:val="Yrkande 1"/>
        <w:tag w:val="8de87369-ae40-411b-ad39-5896d8667fc8"/>
        <w:id w:val="1198746990"/>
        <w:lock w:val="sdtLocked"/>
      </w:sdtPr>
      <w:sdtEndPr/>
      <w:sdtContent>
        <w:p w:rsidR="00DE5C53" w:rsidRDefault="00B67EBA" w14:paraId="647B755C" w14:textId="77777777">
          <w:pPr>
            <w:pStyle w:val="Frslagstext"/>
            <w:numPr>
              <w:ilvl w:val="0"/>
              <w:numId w:val="0"/>
            </w:numPr>
          </w:pPr>
          <w:r>
            <w:t>Riksdagen beslutar att lagen (2010:1011) om brandfarliga och explosiva varor ändras i enlighet med vad som anges i motionen.</w:t>
          </w:r>
        </w:p>
      </w:sdtContent>
    </w:sdt>
    <w:p w:rsidRPr="009B062B" w:rsidR="00AF30DD" w:rsidP="009B062B" w:rsidRDefault="000156D9" w14:paraId="647B755D" w14:textId="77777777">
      <w:pPr>
        <w:pStyle w:val="Rubrik1"/>
      </w:pPr>
      <w:bookmarkStart w:name="MotionsStart" w:id="0"/>
      <w:bookmarkEnd w:id="0"/>
      <w:r w:rsidRPr="009B062B">
        <w:t>Motivering</w:t>
      </w:r>
    </w:p>
    <w:p w:rsidRPr="00B507BA" w:rsidR="00B507BA" w:rsidP="00132F96" w:rsidRDefault="00B507BA" w14:paraId="647B755E" w14:textId="72CDE3B8">
      <w:pPr>
        <w:pStyle w:val="Normalutanindragellerluft"/>
      </w:pPr>
      <w:r>
        <w:t xml:space="preserve">Sverigedemokraterna har i andra sammanhang drivit frågan om att straffen för illegalt innehav av explosiva </w:t>
      </w:r>
      <w:r w:rsidR="00A23222">
        <w:t>ämnen, såsom handgranater, ska</w:t>
      </w:r>
      <w:r>
        <w:t xml:space="preserve"> skärpas. Den nu aktuella propositionen är ett välkommet steg i denna</w:t>
      </w:r>
      <w:r w:rsidR="00A23222">
        <w:t xml:space="preserve"> riktning. Vi menar dock att den</w:t>
      </w:r>
      <w:r>
        <w:t xml:space="preserve"> inte går tillräckligt långt. Vi ansluter oss till tanken att påföljderna för brott mot </w:t>
      </w:r>
      <w:r w:rsidR="00A23222">
        <w:t>lagen om brandfarliga och explosiva varor (</w:t>
      </w:r>
      <w:r>
        <w:t>LBE</w:t>
      </w:r>
      <w:r w:rsidR="00A23222">
        <w:t>)</w:t>
      </w:r>
      <w:r>
        <w:t xml:space="preserve"> bör ligga i linje med de påfö</w:t>
      </w:r>
      <w:r w:rsidR="00132F96">
        <w:t>ljder som anges för vapenbrott.</w:t>
      </w:r>
    </w:p>
    <w:p w:rsidRPr="00A23222" w:rsidR="00B507BA" w:rsidP="00A23222" w:rsidRDefault="00B507BA" w14:paraId="647B755F" w14:textId="7D6C2C56">
      <w:r w:rsidRPr="00A23222">
        <w:t>Den nya straffskalan för vapenbrott gör gällande att den</w:t>
      </w:r>
      <w:r w:rsidRPr="00A23222" w:rsidR="00F42F67">
        <w:t xml:space="preserve"> som fälls för grovt vapenbrott </w:t>
      </w:r>
      <w:r w:rsidR="00A23222">
        <w:t>ska</w:t>
      </w:r>
      <w:r w:rsidRPr="00A23222">
        <w:t xml:space="preserve"> dömas till fängelse i lägst ett år och högst fyra år. </w:t>
      </w:r>
      <w:r w:rsidRPr="00A23222" w:rsidR="00F42F67">
        <w:t xml:space="preserve">Rikspolisstyrelsen förordade </w:t>
      </w:r>
      <w:r w:rsidRPr="00A23222">
        <w:t>i detta sammanhang att straffet för grovt vapenbrott borde höjas till minst fängelse i två år. Speciellt för brott som avser enhands- eller helautomatiska vapen har man också förordat höjt maxstraff</w:t>
      </w:r>
      <w:r w:rsidR="00A23222">
        <w:t>, i detta fall</w:t>
      </w:r>
      <w:r w:rsidRPr="00A23222">
        <w:t xml:space="preserve"> till fängelse i sex år.</w:t>
      </w:r>
    </w:p>
    <w:p w:rsidRPr="00A23222" w:rsidR="00B507BA" w:rsidP="00A23222" w:rsidRDefault="00B507BA" w14:paraId="647B7560" w14:textId="0142D5A9">
      <w:r w:rsidRPr="00A23222">
        <w:t>Vi anser att regering</w:t>
      </w:r>
      <w:r w:rsidRPr="00A23222" w:rsidR="00F42F67">
        <w:t>en måste höja</w:t>
      </w:r>
      <w:r w:rsidRPr="00A23222">
        <w:t xml:space="preserve"> straffskala</w:t>
      </w:r>
      <w:r w:rsidRPr="00A23222" w:rsidR="00F42F67">
        <w:t>n för vapenbrott</w:t>
      </w:r>
      <w:r w:rsidR="00C83C70">
        <w:t>,</w:t>
      </w:r>
      <w:r w:rsidRPr="00A23222" w:rsidR="00F42F67">
        <w:t xml:space="preserve"> vilket var den linje som vi förespråkad</w:t>
      </w:r>
      <w:r w:rsidRPr="00A23222" w:rsidR="000E524F">
        <w:t>e när vapenbrottslagstiftningen</w:t>
      </w:r>
      <w:r w:rsidRPr="00A23222" w:rsidR="00F42F67">
        <w:t xml:space="preserve"> s</w:t>
      </w:r>
      <w:r w:rsidRPr="00A23222" w:rsidR="000E524F">
        <w:t>enast behandl</w:t>
      </w:r>
      <w:r w:rsidRPr="00A23222" w:rsidR="00F42F67">
        <w:t>ades i justiti</w:t>
      </w:r>
      <w:r w:rsidR="00A23222">
        <w:t>eutskottet. I linje med detta</w:t>
      </w:r>
      <w:r w:rsidRPr="00A23222" w:rsidR="00F42F67">
        <w:t xml:space="preserve"> menar vi därför att påföljderna för brott mot LBE också bör läggas på den nivå som vi förespråkade för motsvarande vapenbrott</w:t>
      </w:r>
      <w:r w:rsidRPr="00A23222" w:rsidR="000E524F">
        <w:t xml:space="preserve">. </w:t>
      </w:r>
    </w:p>
    <w:p w:rsidRPr="00A23222" w:rsidR="00B507BA" w:rsidP="00A23222" w:rsidRDefault="000E524F" w14:paraId="647B7561" w14:textId="56D03C33">
      <w:r w:rsidRPr="00A23222">
        <w:lastRenderedPageBreak/>
        <w:t xml:space="preserve">Även i detta fall har Polismyndigheten </w:t>
      </w:r>
      <w:r w:rsidRPr="00A23222" w:rsidR="00B507BA">
        <w:t>i sin remiss angett att det vore önskvärt om minimistraffet f</w:t>
      </w:r>
      <w:r w:rsidR="001D7EA3">
        <w:t>ör grovt brott enligt LBE höjde</w:t>
      </w:r>
      <w:r w:rsidRPr="00A23222" w:rsidR="00B507BA">
        <w:t>s till två år, vilk</w:t>
      </w:r>
      <w:r w:rsidRPr="00A23222">
        <w:t>et vi anser det värt att ta hänsyn till</w:t>
      </w:r>
      <w:r w:rsidRPr="00A23222" w:rsidR="00132F96">
        <w:t>.</w:t>
      </w:r>
    </w:p>
    <w:p w:rsidRPr="00A23222" w:rsidR="00E66A08" w:rsidP="00A23222" w:rsidRDefault="000E524F" w14:paraId="647B7562" w14:textId="250BF555">
      <w:r w:rsidRPr="00A23222">
        <w:t>Vi menar därför att</w:t>
      </w:r>
      <w:r w:rsidRPr="00A23222" w:rsidR="00E66A08">
        <w:t xml:space="preserve"> </w:t>
      </w:r>
      <w:r w:rsidRPr="00A23222">
        <w:t xml:space="preserve">förslaget till ändring av </w:t>
      </w:r>
      <w:r w:rsidRPr="00A23222" w:rsidR="00E66A08">
        <w:t>lagen (2010:1011) om brandfarliga och explosiva varor</w:t>
      </w:r>
      <w:r w:rsidR="001D7EA3">
        <w:t xml:space="preserve"> ska</w:t>
      </w:r>
      <w:r w:rsidRPr="00A23222">
        <w:t xml:space="preserve"> justeras enligt följande:</w:t>
      </w:r>
    </w:p>
    <w:p w:rsidR="00E66A08" w:rsidP="00E66A08" w:rsidRDefault="00F42F67" w14:paraId="647B7563" w14:textId="56CF8669">
      <w:pPr>
        <w:pStyle w:val="Normalutanindragellerluft"/>
      </w:pPr>
      <w:r>
        <w:t>dels att 29</w:t>
      </w:r>
      <w:r w:rsidR="00E66A08">
        <w:t xml:space="preserve"> §</w:t>
      </w:r>
      <w:r w:rsidR="001D7EA3">
        <w:t xml:space="preserve"> </w:t>
      </w:r>
      <w:r w:rsidR="00E66A08">
        <w:t>§ ska ha följande lydelse,</w:t>
      </w:r>
    </w:p>
    <w:p w:rsidR="0032626F" w:rsidP="00E66A08" w:rsidRDefault="00E66A08" w14:paraId="647B7564" w14:textId="77777777">
      <w:pPr>
        <w:pStyle w:val="Normalutanindragellerluft"/>
      </w:pPr>
      <w:r>
        <w:t>dels att det ska införas en ny paragraf, 29 a §, av följande lydelse.</w:t>
      </w:r>
    </w:p>
    <w:p w:rsidR="00E66A08" w:rsidP="00132F96" w:rsidRDefault="00E66A08" w14:paraId="647B7565" w14:textId="77777777">
      <w:pPr>
        <w:ind w:firstLine="0"/>
      </w:pPr>
    </w:p>
    <w:p w:rsidR="00E66A08" w:rsidP="00E66A08" w:rsidRDefault="00E66A08" w14:paraId="647B7566" w14:textId="77777777">
      <w:pPr>
        <w:jc w:val="center"/>
      </w:pPr>
      <w:r>
        <w:t>29 §</w:t>
      </w:r>
    </w:p>
    <w:p w:rsidRPr="00E66A08" w:rsidR="00E66A08" w:rsidP="00E66A08" w:rsidRDefault="00E66A08" w14:paraId="647B7567" w14:textId="77777777">
      <w:pPr>
        <w:jc w:val="center"/>
      </w:pPr>
      <w:r w:rsidRPr="00E66A08">
        <w:t>Den som av oaktsamhet bryter mot 16 § första stycket döms till böter.</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32626F" w:rsidTr="0032626F" w14:paraId="647B756A" w14:textId="77777777">
        <w:tc>
          <w:tcPr>
            <w:tcW w:w="4252" w:type="dxa"/>
            <w:shd w:val="clear" w:color="auto" w:fill="auto"/>
          </w:tcPr>
          <w:p w:rsidRPr="0032626F" w:rsidR="0032626F" w:rsidP="0032626F" w:rsidRDefault="0032626F" w14:paraId="647B7568" w14:textId="77777777">
            <w:pPr>
              <w:pStyle w:val="Lagtextrubrik"/>
            </w:pPr>
            <w:r w:rsidRPr="0032626F">
              <w:t>Nuvarande lydelse</w:t>
            </w:r>
          </w:p>
        </w:tc>
        <w:tc>
          <w:tcPr>
            <w:tcW w:w="4252" w:type="dxa"/>
            <w:shd w:val="clear" w:color="auto" w:fill="auto"/>
          </w:tcPr>
          <w:p w:rsidRPr="0032626F" w:rsidR="0032626F" w:rsidP="0032626F" w:rsidRDefault="0032626F" w14:paraId="647B7569" w14:textId="77777777">
            <w:pPr>
              <w:pStyle w:val="Lagtextrubrik"/>
            </w:pPr>
            <w:r w:rsidRPr="0032626F">
              <w:t>Föreslagen lydelse</w:t>
            </w:r>
          </w:p>
        </w:tc>
      </w:tr>
      <w:tr w:rsidR="0032626F" w:rsidTr="0032626F" w14:paraId="647B756F" w14:textId="77777777">
        <w:tc>
          <w:tcPr>
            <w:tcW w:w="4252" w:type="dxa"/>
            <w:shd w:val="clear" w:color="auto" w:fill="auto"/>
          </w:tcPr>
          <w:p w:rsidR="0032626F" w:rsidP="0032626F" w:rsidRDefault="00E66A08" w14:paraId="647B756B" w14:textId="77777777">
            <w:pPr>
              <w:pStyle w:val="Lagtext"/>
            </w:pPr>
            <w:r w:rsidRPr="00E66A08">
              <w:t>Den som med uppsåt eller av grov oaktsamhet bryter mot 16 § första stycket döms till böter eller fängelse i högst ett år.</w:t>
            </w:r>
          </w:p>
        </w:tc>
        <w:tc>
          <w:tcPr>
            <w:tcW w:w="4252" w:type="dxa"/>
            <w:shd w:val="clear" w:color="auto" w:fill="auto"/>
          </w:tcPr>
          <w:p w:rsidR="00E66A08" w:rsidP="00E66A08" w:rsidRDefault="00E66A08" w14:paraId="647B756C" w14:textId="77777777">
            <w:pPr>
              <w:pStyle w:val="Lagtext"/>
            </w:pPr>
            <w:r>
              <w:t>Den som uppsåtligen eller av grov oaktsamhet bryter mot 16 § första stycket döms till</w:t>
            </w:r>
          </w:p>
          <w:p w:rsidR="00E66A08" w:rsidP="00E66A08" w:rsidRDefault="00E66A08" w14:paraId="647B756D" w14:textId="77777777">
            <w:pPr>
              <w:pStyle w:val="Lagtext"/>
            </w:pPr>
            <w:r>
              <w:t>1. böter eller fängelse i högst ett år om brottet avser brandfarliga varor, eller</w:t>
            </w:r>
          </w:p>
          <w:p w:rsidR="0032626F" w:rsidP="00E66A08" w:rsidRDefault="00E66A08" w14:paraId="647B756E" w14:textId="77777777">
            <w:pPr>
              <w:pStyle w:val="Lagtext"/>
            </w:pPr>
            <w:r>
              <w:t xml:space="preserve">2. </w:t>
            </w:r>
            <w:r w:rsidR="002266D1">
              <w:t xml:space="preserve">böter eller fängelse i högst </w:t>
            </w:r>
            <w:r w:rsidR="002266D1">
              <w:rPr>
                <w:i/>
              </w:rPr>
              <w:t>tre</w:t>
            </w:r>
            <w:r>
              <w:t xml:space="preserve"> år om brottet avser explosiva varor.</w:t>
            </w:r>
          </w:p>
        </w:tc>
      </w:tr>
      <w:tr w:rsidR="002266D1" w:rsidTr="0032626F" w14:paraId="647B7572" w14:textId="77777777">
        <w:tc>
          <w:tcPr>
            <w:tcW w:w="4252" w:type="dxa"/>
            <w:shd w:val="clear" w:color="auto" w:fill="auto"/>
          </w:tcPr>
          <w:p w:rsidRPr="00E66A08" w:rsidR="002266D1" w:rsidP="0032626F" w:rsidRDefault="002266D1" w14:paraId="647B7570" w14:textId="77777777">
            <w:pPr>
              <w:pStyle w:val="Lagtext"/>
            </w:pPr>
            <w:r w:rsidRPr="002266D1">
              <w:t>Om uppsåtligt brott avser explosiva varor och är att anse som grovt döms till fängelse i lägst sex månader och högst fyra år. Vid bedömande av om brottet är grovt ska särskilt beaktas risken för att de explosiva varorna hade kunnat komma till brottslig användning samt varornas grad av farlighet och omfattningen av det olagliga innehavet.</w:t>
            </w:r>
          </w:p>
        </w:tc>
        <w:tc>
          <w:tcPr>
            <w:tcW w:w="4252" w:type="dxa"/>
            <w:shd w:val="clear" w:color="auto" w:fill="auto"/>
          </w:tcPr>
          <w:p w:rsidR="002266D1" w:rsidP="00E66A08" w:rsidRDefault="002266D1" w14:paraId="647B7571" w14:textId="77777777">
            <w:pPr>
              <w:pStyle w:val="Lagtext"/>
            </w:pPr>
          </w:p>
        </w:tc>
      </w:tr>
      <w:tr w:rsidR="002266D1" w:rsidTr="0032626F" w14:paraId="647B757A" w14:textId="77777777">
        <w:tc>
          <w:tcPr>
            <w:tcW w:w="4252" w:type="dxa"/>
            <w:shd w:val="clear" w:color="auto" w:fill="auto"/>
          </w:tcPr>
          <w:p w:rsidRPr="002266D1" w:rsidR="002266D1" w:rsidP="0032626F" w:rsidRDefault="002266D1" w14:paraId="647B7573" w14:textId="77777777">
            <w:pPr>
              <w:pStyle w:val="Lagtext"/>
            </w:pPr>
          </w:p>
        </w:tc>
        <w:tc>
          <w:tcPr>
            <w:tcW w:w="4252" w:type="dxa"/>
            <w:shd w:val="clear" w:color="auto" w:fill="auto"/>
          </w:tcPr>
          <w:p w:rsidR="002266D1" w:rsidP="002266D1" w:rsidRDefault="002266D1" w14:paraId="647B7574" w14:textId="77777777">
            <w:pPr>
              <w:pStyle w:val="Lagtext"/>
            </w:pPr>
            <w:r>
              <w:t>29 a §</w:t>
            </w:r>
          </w:p>
          <w:p w:rsidR="002266D1" w:rsidP="002266D1" w:rsidRDefault="002266D1" w14:paraId="647B7575" w14:textId="77777777">
            <w:pPr>
              <w:pStyle w:val="Lagtext"/>
            </w:pPr>
            <w:r>
              <w:t xml:space="preserve">Om uppsåtligt brott mot 16 § första stycket avser explosiva varor och är att anse som grovt döms till fängelse i lägst </w:t>
            </w:r>
            <w:r>
              <w:rPr>
                <w:i/>
              </w:rPr>
              <w:t>två</w:t>
            </w:r>
            <w:r>
              <w:t xml:space="preserve"> och högst </w:t>
            </w:r>
            <w:r>
              <w:rPr>
                <w:i/>
              </w:rPr>
              <w:t>sex</w:t>
            </w:r>
            <w:r>
              <w:t xml:space="preserve"> år. Vid bedömningen av om brottet är grovt ska det särskilt beaktas om</w:t>
            </w:r>
          </w:p>
          <w:p w:rsidR="002266D1" w:rsidP="002266D1" w:rsidRDefault="002266D1" w14:paraId="647B7576" w14:textId="77777777">
            <w:pPr>
              <w:pStyle w:val="Lagtext"/>
            </w:pPr>
            <w:r>
              <w:t>1. varan har varit av särskilt farlig beskaffenhet,</w:t>
            </w:r>
          </w:p>
          <w:p w:rsidR="002266D1" w:rsidP="002266D1" w:rsidRDefault="002266D1" w14:paraId="647B7577" w14:textId="77777777">
            <w:pPr>
              <w:pStyle w:val="Lagtext"/>
            </w:pPr>
            <w:r>
              <w:lastRenderedPageBreak/>
              <w:t>2. hanteringen, överföringen, importen eller exporten har avsett flera varor eller en stor mängd av en vara, eller</w:t>
            </w:r>
          </w:p>
          <w:p w:rsidR="002266D1" w:rsidP="002266D1" w:rsidRDefault="002266D1" w14:paraId="647B7578" w14:textId="77777777">
            <w:pPr>
              <w:pStyle w:val="Lagtext"/>
            </w:pPr>
            <w:r>
              <w:t>3. gärningen annars har varit av särskilt farlig art.</w:t>
            </w:r>
          </w:p>
          <w:p w:rsidR="002266D1" w:rsidP="002266D1" w:rsidRDefault="002266D1" w14:paraId="647B7579" w14:textId="77777777">
            <w:pPr>
              <w:pStyle w:val="Lagtext"/>
            </w:pPr>
            <w:r>
              <w:t xml:space="preserve">Om brottet är att anse som synnerligen grovt döms till fängelse i lägst </w:t>
            </w:r>
            <w:r>
              <w:rPr>
                <w:i/>
              </w:rPr>
              <w:t>fyra</w:t>
            </w:r>
            <w:r>
              <w:t xml:space="preserve"> och högst </w:t>
            </w:r>
            <w:r>
              <w:rPr>
                <w:i/>
              </w:rPr>
              <w:t>åtta</w:t>
            </w:r>
            <w:r>
              <w:t xml:space="preserve"> år. Vid bedömningen av om brottet är synnerligen grovt ska det särskilt beaktas om hanteringen, överföringen, importen eller exporten har avsett ett stort antal varor eller en särskilt stor mängd av en vara.</w:t>
            </w:r>
          </w:p>
        </w:tc>
      </w:tr>
    </w:tbl>
    <w:p w:rsidR="00093F48" w:rsidP="00093F48" w:rsidRDefault="00093F48" w14:paraId="647B757D" w14:textId="77777777">
      <w:pPr>
        <w:pStyle w:val="Normalutanindragellerluft"/>
      </w:pPr>
    </w:p>
    <w:p w:rsidRPr="00F65ACB" w:rsidR="00F65ACB" w:rsidP="00F65ACB" w:rsidRDefault="00F65ACB" w14:paraId="229100A7" w14:textId="77777777">
      <w:bookmarkStart w:name="_GoBack" w:id="1"/>
    </w:p>
    <w:bookmarkEnd w:displacedByCustomXml="next" w:id="1"/>
    <w:sdt>
      <w:sdtPr>
        <w:alias w:val="CC_Underskrifter"/>
        <w:tag w:val="CC_Underskrifter"/>
        <w:id w:val="583496634"/>
        <w:lock w:val="sdtContentLocked"/>
        <w:placeholder>
          <w:docPart w:val="1DEE823BCFE7460B9E6A8514439FCB8A"/>
        </w:placeholder>
        <w15:appearance w15:val="hidden"/>
      </w:sdtPr>
      <w:sdtEndPr/>
      <w:sdtContent>
        <w:p w:rsidR="004801AC" w:rsidP="005D2051" w:rsidRDefault="00C83C70" w14:paraId="647B7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Adam Marttinen (SD)</w:t>
            </w:r>
          </w:p>
        </w:tc>
      </w:tr>
    </w:tbl>
    <w:p w:rsidR="00564BCB" w:rsidRDefault="00564BCB" w14:paraId="647B7585" w14:textId="77777777"/>
    <w:sectPr w:rsidR="00564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B7587" w14:textId="77777777" w:rsidR="004F2F48" w:rsidRDefault="004F2F48" w:rsidP="000C1CAD">
      <w:pPr>
        <w:spacing w:line="240" w:lineRule="auto"/>
      </w:pPr>
      <w:r>
        <w:separator/>
      </w:r>
    </w:p>
  </w:endnote>
  <w:endnote w:type="continuationSeparator" w:id="0">
    <w:p w14:paraId="647B7588" w14:textId="77777777" w:rsidR="004F2F48" w:rsidRDefault="004F2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75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75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3C7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B7585" w14:textId="77777777" w:rsidR="004F2F48" w:rsidRDefault="004F2F48" w:rsidP="000C1CAD">
      <w:pPr>
        <w:spacing w:line="240" w:lineRule="auto"/>
      </w:pPr>
      <w:r>
        <w:separator/>
      </w:r>
    </w:p>
  </w:footnote>
  <w:footnote w:type="continuationSeparator" w:id="0">
    <w:p w14:paraId="647B7586" w14:textId="77777777" w:rsidR="004F2F48" w:rsidRDefault="004F2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7B75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B7599" wp14:anchorId="647B7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3C70" w14:paraId="647B759A" w14:textId="77777777">
                          <w:pPr>
                            <w:jc w:val="right"/>
                          </w:pPr>
                          <w:sdt>
                            <w:sdtPr>
                              <w:alias w:val="CC_Noformat_Partikod"/>
                              <w:tag w:val="CC_Noformat_Partikod"/>
                              <w:id w:val="-53464382"/>
                              <w:placeholder>
                                <w:docPart w:val="5112E66049BD4A0A900FE554ED998C56"/>
                              </w:placeholder>
                              <w:text/>
                            </w:sdtPr>
                            <w:sdtEndPr/>
                            <w:sdtContent>
                              <w:r w:rsidR="004F2F48">
                                <w:t>SD</w:t>
                              </w:r>
                            </w:sdtContent>
                          </w:sdt>
                          <w:sdt>
                            <w:sdtPr>
                              <w:alias w:val="CC_Noformat_Partinummer"/>
                              <w:tag w:val="CC_Noformat_Partinummer"/>
                              <w:id w:val="-1709555926"/>
                              <w:placeholder>
                                <w:docPart w:val="02D75FDB9354475DB32DC59816EB69B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7B7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7EA3" w14:paraId="647B759A" w14:textId="77777777">
                    <w:pPr>
                      <w:jc w:val="right"/>
                    </w:pPr>
                    <w:sdt>
                      <w:sdtPr>
                        <w:alias w:val="CC_Noformat_Partikod"/>
                        <w:tag w:val="CC_Noformat_Partikod"/>
                        <w:id w:val="-53464382"/>
                        <w:placeholder>
                          <w:docPart w:val="5112E66049BD4A0A900FE554ED998C56"/>
                        </w:placeholder>
                        <w:text/>
                      </w:sdtPr>
                      <w:sdtEndPr/>
                      <w:sdtContent>
                        <w:r w:rsidR="004F2F48">
                          <w:t>SD</w:t>
                        </w:r>
                      </w:sdtContent>
                    </w:sdt>
                    <w:sdt>
                      <w:sdtPr>
                        <w:alias w:val="CC_Noformat_Partinummer"/>
                        <w:tag w:val="CC_Noformat_Partinummer"/>
                        <w:id w:val="-1709555926"/>
                        <w:placeholder>
                          <w:docPart w:val="02D75FDB9354475DB32DC59816EB69B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7B75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3C70" w14:paraId="647B758B" w14:textId="77777777">
    <w:pPr>
      <w:jc w:val="right"/>
    </w:pPr>
    <w:sdt>
      <w:sdtPr>
        <w:alias w:val="CC_Noformat_Partikod"/>
        <w:tag w:val="CC_Noformat_Partikod"/>
        <w:id w:val="559911109"/>
        <w:text/>
      </w:sdtPr>
      <w:sdtEndPr/>
      <w:sdtContent>
        <w:r w:rsidR="004F2F48">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7B75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3C70" w14:paraId="647B758F" w14:textId="77777777">
    <w:pPr>
      <w:jc w:val="right"/>
    </w:pPr>
    <w:sdt>
      <w:sdtPr>
        <w:alias w:val="CC_Noformat_Partikod"/>
        <w:tag w:val="CC_Noformat_Partikod"/>
        <w:id w:val="1471015553"/>
        <w:text/>
      </w:sdtPr>
      <w:sdtEndPr/>
      <w:sdtContent>
        <w:r w:rsidR="004F2F48">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83C70" w14:paraId="02F654D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255893D9" w14:textId="77777777">
    <w:pPr>
      <w:pStyle w:val="FSHNormal"/>
      <w:spacing w:before="40"/>
    </w:pPr>
  </w:p>
  <w:p w:rsidR="007A5507" w:rsidP="00A314CF" w:rsidRDefault="007A5507" w14:paraId="0F5F8C75" w14:textId="77777777">
    <w:pPr>
      <w:pStyle w:val="FSHNormal"/>
      <w:spacing w:before="40"/>
    </w:pPr>
  </w:p>
  <w:p w:rsidRPr="008227B3" w:rsidR="007A5507" w:rsidP="008227B3" w:rsidRDefault="00C83C70" w14:paraId="647B75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3C70" w14:paraId="647B7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7A5507" w:rsidP="00E03A3D" w:rsidRDefault="00C83C70" w14:paraId="647B7594"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7A5507" w:rsidP="00283E0F" w:rsidRDefault="00B67EBA" w14:paraId="647B7595" w14:textId="756D9B00">
        <w:pPr>
          <w:pStyle w:val="FSHRub2"/>
        </w:pPr>
        <w:r>
          <w:t>med anledning av prop. 2016/17:92 Skärpta straff för brott mot tillståndsplikten för explosiva varor</w:t>
        </w:r>
      </w:p>
    </w:sdtContent>
  </w:sdt>
  <w:sdt>
    <w:sdtPr>
      <w:alias w:val="CC_Boilerplate_3"/>
      <w:tag w:val="CC_Boilerplate_3"/>
      <w:id w:val="1606463544"/>
      <w:lock w:val="sdtContentLocked"/>
      <w15:appearance w15:val="hidden"/>
      <w:text w:multiLine="1"/>
    </w:sdtPr>
    <w:sdtEndPr/>
    <w:sdtContent>
      <w:p w:rsidR="007A5507" w:rsidP="00283E0F" w:rsidRDefault="007A5507" w14:paraId="647B75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7CA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FC5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D0CE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A8A2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66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ED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2D5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C6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2F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C8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14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524F"/>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F9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D7EA3"/>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6D1"/>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26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3F73FC"/>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2F48"/>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BC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647"/>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05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5C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322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07BA"/>
    <w:rsid w:val="00B5238E"/>
    <w:rsid w:val="00B53D64"/>
    <w:rsid w:val="00B53DE2"/>
    <w:rsid w:val="00B54088"/>
    <w:rsid w:val="00B542C2"/>
    <w:rsid w:val="00B54809"/>
    <w:rsid w:val="00B54DFD"/>
    <w:rsid w:val="00B55FCC"/>
    <w:rsid w:val="00B56956"/>
    <w:rsid w:val="00B60AA8"/>
    <w:rsid w:val="00B63A7C"/>
    <w:rsid w:val="00B63CF7"/>
    <w:rsid w:val="00B64CCC"/>
    <w:rsid w:val="00B65145"/>
    <w:rsid w:val="00B6581E"/>
    <w:rsid w:val="00B65DB1"/>
    <w:rsid w:val="00B67EB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26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C70"/>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2FCF"/>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E5C53"/>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CE1"/>
    <w:rsid w:val="00E63142"/>
    <w:rsid w:val="00E66A0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F67"/>
    <w:rsid w:val="00F449F0"/>
    <w:rsid w:val="00F46C6E"/>
    <w:rsid w:val="00F506CD"/>
    <w:rsid w:val="00F55F38"/>
    <w:rsid w:val="00F55FA4"/>
    <w:rsid w:val="00F6045E"/>
    <w:rsid w:val="00F621CE"/>
    <w:rsid w:val="00F62F9B"/>
    <w:rsid w:val="00F63804"/>
    <w:rsid w:val="00F6426C"/>
    <w:rsid w:val="00F6570C"/>
    <w:rsid w:val="00F65A48"/>
    <w:rsid w:val="00F65ACB"/>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7B755A"/>
  <w15:chartTrackingRefBased/>
  <w15:docId w15:val="{464449B4-B82F-4DAA-8429-66266734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D647B7D19D468CB7BF287D14CB8B5E"/>
        <w:category>
          <w:name w:val="Allmänt"/>
          <w:gallery w:val="placeholder"/>
        </w:category>
        <w:types>
          <w:type w:val="bbPlcHdr"/>
        </w:types>
        <w:behaviors>
          <w:behavior w:val="content"/>
        </w:behaviors>
        <w:guid w:val="{53171267-CD7D-49C0-B5CE-12613C16B3A8}"/>
      </w:docPartPr>
      <w:docPartBody>
        <w:p w:rsidR="00781674" w:rsidRDefault="00781674">
          <w:pPr>
            <w:pStyle w:val="5BD647B7D19D468CB7BF287D14CB8B5E"/>
          </w:pPr>
          <w:r w:rsidRPr="009A726D">
            <w:rPr>
              <w:rStyle w:val="Platshllartext"/>
            </w:rPr>
            <w:t>Klicka här för att ange text.</w:t>
          </w:r>
        </w:p>
      </w:docPartBody>
    </w:docPart>
    <w:docPart>
      <w:docPartPr>
        <w:name w:val="1DEE823BCFE7460B9E6A8514439FCB8A"/>
        <w:category>
          <w:name w:val="Allmänt"/>
          <w:gallery w:val="placeholder"/>
        </w:category>
        <w:types>
          <w:type w:val="bbPlcHdr"/>
        </w:types>
        <w:behaviors>
          <w:behavior w:val="content"/>
        </w:behaviors>
        <w:guid w:val="{CF44F72B-F61C-4E9D-BE3A-A4B476BF02E7}"/>
      </w:docPartPr>
      <w:docPartBody>
        <w:p w:rsidR="00781674" w:rsidRDefault="00781674">
          <w:pPr>
            <w:pStyle w:val="1DEE823BCFE7460B9E6A8514439FCB8A"/>
          </w:pPr>
          <w:r w:rsidRPr="002551EA">
            <w:rPr>
              <w:rStyle w:val="Platshllartext"/>
              <w:color w:val="808080" w:themeColor="background1" w:themeShade="80"/>
            </w:rPr>
            <w:t>[Motionärernas namn]</w:t>
          </w:r>
        </w:p>
      </w:docPartBody>
    </w:docPart>
    <w:docPart>
      <w:docPartPr>
        <w:name w:val="5112E66049BD4A0A900FE554ED998C56"/>
        <w:category>
          <w:name w:val="Allmänt"/>
          <w:gallery w:val="placeholder"/>
        </w:category>
        <w:types>
          <w:type w:val="bbPlcHdr"/>
        </w:types>
        <w:behaviors>
          <w:behavior w:val="content"/>
        </w:behaviors>
        <w:guid w:val="{4E73FADD-6758-4D5E-BCF8-0DFE05B927FB}"/>
      </w:docPartPr>
      <w:docPartBody>
        <w:p w:rsidR="00781674" w:rsidRDefault="00781674">
          <w:pPr>
            <w:pStyle w:val="5112E66049BD4A0A900FE554ED998C56"/>
          </w:pPr>
          <w:r>
            <w:rPr>
              <w:rStyle w:val="Platshllartext"/>
            </w:rPr>
            <w:t xml:space="preserve"> </w:t>
          </w:r>
        </w:p>
      </w:docPartBody>
    </w:docPart>
    <w:docPart>
      <w:docPartPr>
        <w:name w:val="02D75FDB9354475DB32DC59816EB69BF"/>
        <w:category>
          <w:name w:val="Allmänt"/>
          <w:gallery w:val="placeholder"/>
        </w:category>
        <w:types>
          <w:type w:val="bbPlcHdr"/>
        </w:types>
        <w:behaviors>
          <w:behavior w:val="content"/>
        </w:behaviors>
        <w:guid w:val="{C44625AE-A7CE-4D1A-94A1-7EB3CAEE5A1A}"/>
      </w:docPartPr>
      <w:docPartBody>
        <w:p w:rsidR="00781674" w:rsidRDefault="00781674">
          <w:pPr>
            <w:pStyle w:val="02D75FDB9354475DB32DC59816EB69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74"/>
    <w:rsid w:val="00781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D647B7D19D468CB7BF287D14CB8B5E">
    <w:name w:val="5BD647B7D19D468CB7BF287D14CB8B5E"/>
  </w:style>
  <w:style w:type="paragraph" w:customStyle="1" w:styleId="D5F4A8305F9B4F6CA07ECB74EC6397E9">
    <w:name w:val="D5F4A8305F9B4F6CA07ECB74EC6397E9"/>
  </w:style>
  <w:style w:type="paragraph" w:customStyle="1" w:styleId="3E4B997443384E8CB5A9D5454C0B028F">
    <w:name w:val="3E4B997443384E8CB5A9D5454C0B028F"/>
  </w:style>
  <w:style w:type="paragraph" w:customStyle="1" w:styleId="1DEE823BCFE7460B9E6A8514439FCB8A">
    <w:name w:val="1DEE823BCFE7460B9E6A8514439FCB8A"/>
  </w:style>
  <w:style w:type="paragraph" w:customStyle="1" w:styleId="5112E66049BD4A0A900FE554ED998C56">
    <w:name w:val="5112E66049BD4A0A900FE554ED998C56"/>
  </w:style>
  <w:style w:type="paragraph" w:customStyle="1" w:styleId="02D75FDB9354475DB32DC59816EB69BF">
    <w:name w:val="02D75FDB9354475DB32DC59816EB6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10185</RubrikLookup>
    <MotionGuid xmlns="00d11361-0b92-4bae-a181-288d6a55b763">6c4fcf17-4dbe-44e7-9d97-704160c3c6f1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8F87E2-A153-4391-8654-85738BEA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E81C8-874D-45C4-9C85-21628D9C93F9}">
  <ds:schemaRefs>
    <ds:schemaRef ds:uri="http://schemas.microsoft.com/sharepoint/v3/contenttype/forms"/>
  </ds:schemaRefs>
</ds:datastoreItem>
</file>

<file path=customXml/itemProps4.xml><?xml version="1.0" encoding="utf-8"?>
<ds:datastoreItem xmlns:ds="http://schemas.openxmlformats.org/officeDocument/2006/customXml" ds:itemID="{49E04315-A4D1-4932-9713-4FFA6163016E}">
  <ds:schemaRefs>
    <ds:schemaRef ds:uri="http://schemas.riksdagen.se/motion"/>
  </ds:schemaRefs>
</ds:datastoreItem>
</file>

<file path=customXml/itemProps5.xml><?xml version="1.0" encoding="utf-8"?>
<ds:datastoreItem xmlns:ds="http://schemas.openxmlformats.org/officeDocument/2006/customXml" ds:itemID="{00823460-DB46-4B04-BC33-005FCA4D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3</Pages>
  <Words>561</Words>
  <Characters>2834</Characters>
  <Application>Microsoft Office Word</Application>
  <DocSecurity>0</DocSecurity>
  <Lines>80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92 Skärpta straff för brott mot tillståndsplikten för explosiva varor</vt:lpstr>
      <vt:lpstr/>
    </vt:vector>
  </TitlesOfParts>
  <Company>Sveriges riksdag</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92 Skärpta straff för brott mot tillståndsplikten för explosiva varor</dc:title>
  <dc:subject/>
  <dc:creator>Joakim Larsson</dc:creator>
  <cp:keywords/>
  <dc:description/>
  <cp:lastModifiedBy>Kerstin Carlqvist</cp:lastModifiedBy>
  <cp:revision>8</cp:revision>
  <cp:lastPrinted>2016-06-13T12:10:00Z</cp:lastPrinted>
  <dcterms:created xsi:type="dcterms:W3CDTF">2017-02-15T14:15:00Z</dcterms:created>
  <dcterms:modified xsi:type="dcterms:W3CDTF">2017-04-18T10:34:00Z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*T069B60860F6E*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https://filur.riksdagen.se/drop/DropOffLibrary/T069B60860F6E.docx</vt:lpwstr>
  </property>
  <property fmtid="{D5CDD505-2E9C-101B-9397-08002B2CF9AE}" pid="13" name="RevisionsOn">
    <vt:lpwstr>1</vt:lpwstr>
  </property>
</Properties>
</file>