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3DD3" w14:textId="77777777" w:rsidR="00FB32B9" w:rsidRDefault="00022C61" w:rsidP="00FB32B9">
      <w:pPr>
        <w:pStyle w:val="UDrubrik"/>
        <w:tabs>
          <w:tab w:val="left" w:pos="1701"/>
          <w:tab w:val="left" w:pos="1985"/>
        </w:tabs>
        <w:rPr>
          <w:rFonts w:cs="Arial"/>
          <w:sz w:val="28"/>
        </w:rPr>
      </w:pPr>
      <w:bookmarkStart w:id="0" w:name="_GoBack"/>
      <w:bookmarkEnd w:id="0"/>
    </w:p>
    <w:p w14:paraId="18303DD4" w14:textId="77777777" w:rsidR="00FB32B9" w:rsidRDefault="00022C61" w:rsidP="00FB32B9">
      <w:pPr>
        <w:pStyle w:val="UDrubrik"/>
        <w:tabs>
          <w:tab w:val="left" w:pos="1701"/>
          <w:tab w:val="left" w:pos="1985"/>
        </w:tabs>
        <w:rPr>
          <w:rFonts w:cs="Arial"/>
          <w:sz w:val="28"/>
        </w:rPr>
      </w:pPr>
    </w:p>
    <w:p w14:paraId="18303DD5" w14:textId="77777777" w:rsidR="00FB32B9" w:rsidRDefault="00022C61" w:rsidP="00FB32B9">
      <w:pPr>
        <w:pStyle w:val="UDrubrik"/>
        <w:tabs>
          <w:tab w:val="left" w:pos="1701"/>
          <w:tab w:val="left" w:pos="1985"/>
        </w:tabs>
        <w:rPr>
          <w:rFonts w:cs="Arial"/>
          <w:sz w:val="28"/>
        </w:rPr>
      </w:pPr>
    </w:p>
    <w:p w14:paraId="18303DD6" w14:textId="77777777" w:rsidR="00FB32B9" w:rsidRDefault="00022C61" w:rsidP="00FB32B9">
      <w:pPr>
        <w:pStyle w:val="UDrubrik"/>
        <w:tabs>
          <w:tab w:val="left" w:pos="1701"/>
          <w:tab w:val="left" w:pos="1985"/>
        </w:tabs>
        <w:rPr>
          <w:rFonts w:cs="Arial"/>
          <w:sz w:val="28"/>
        </w:rPr>
      </w:pPr>
    </w:p>
    <w:p w14:paraId="18303DD7" w14:textId="08AEEEE2" w:rsidR="00FB32B9" w:rsidRDefault="00EB46E7" w:rsidP="00FB32B9">
      <w:pPr>
        <w:pStyle w:val="UDrubrik"/>
        <w:tabs>
          <w:tab w:val="left" w:pos="1701"/>
          <w:tab w:val="left" w:pos="1985"/>
        </w:tabs>
        <w:rPr>
          <w:rFonts w:cs="Arial"/>
          <w:sz w:val="28"/>
        </w:rPr>
      </w:pPr>
      <w:r>
        <w:rPr>
          <w:rFonts w:cs="Arial"/>
          <w:sz w:val="28"/>
        </w:rPr>
        <w:t>Troliga A-punkter inför kommande rådsmöten som förväntas godkännas vid Coreper I</w:t>
      </w:r>
      <w:r w:rsidR="00E175CC">
        <w:rPr>
          <w:rFonts w:cs="Arial"/>
          <w:sz w:val="28"/>
        </w:rPr>
        <w:t>I onsdagen den 27 maj 2015, vecka 22.</w:t>
      </w:r>
    </w:p>
    <w:p w14:paraId="18303DD8" w14:textId="77777777" w:rsidR="00FB32B9" w:rsidRDefault="00022C61" w:rsidP="00FB32B9">
      <w:pPr>
        <w:pStyle w:val="Brdtext"/>
      </w:pPr>
    </w:p>
    <w:p w14:paraId="18303DD9" w14:textId="57910696" w:rsidR="00FB32B9" w:rsidRDefault="00EB46E7" w:rsidP="00FB32B9">
      <w:pPr>
        <w:pStyle w:val="Brdtext"/>
      </w:pPr>
      <w:r>
        <w:t xml:space="preserve">Överlämnas för skriftligt samråd till </w:t>
      </w:r>
      <w:r w:rsidR="00E175CC">
        <w:t>torsdagen den 28 maj 2015, kl 08.30.</w:t>
      </w:r>
    </w:p>
    <w:p w14:paraId="18303DDA" w14:textId="77777777" w:rsidR="00FB32B9" w:rsidRDefault="00EB46E7">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8303DDB" w14:textId="77777777" w:rsidR="00D957FB" w:rsidRPr="00FB32B9" w:rsidRDefault="00EB46E7">
          <w:pPr>
            <w:pStyle w:val="Innehllsfrteckningsrubrik"/>
            <w:rPr>
              <w:color w:val="auto"/>
            </w:rPr>
          </w:pPr>
          <w:r w:rsidRPr="00FB32B9">
            <w:rPr>
              <w:color w:val="auto"/>
            </w:rPr>
            <w:t>Innehållsförteckning</w:t>
          </w:r>
        </w:p>
        <w:p w14:paraId="18303DDC" w14:textId="77777777" w:rsidR="00DA7250" w:rsidRPr="00DA7250" w:rsidRDefault="00022C61" w:rsidP="00DA7250">
          <w:pPr>
            <w:rPr>
              <w:lang w:val="en-US" w:eastAsia="ja-JP"/>
            </w:rPr>
          </w:pPr>
        </w:p>
        <w:p w14:paraId="5DBF02E2" w14:textId="77777777" w:rsidR="00EB46E7" w:rsidRDefault="00EB46E7">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0488044" w:history="1">
            <w:r w:rsidRPr="00C30A93">
              <w:rPr>
                <w:rStyle w:val="Hyperlnk"/>
                <w:noProof/>
              </w:rPr>
              <w:t>1.</w:t>
            </w:r>
            <w:r>
              <w:rPr>
                <w:rFonts w:asciiTheme="minorHAnsi" w:eastAsiaTheme="minorEastAsia" w:hAnsiTheme="minorHAnsi" w:cstheme="minorBidi"/>
                <w:noProof/>
                <w:lang w:eastAsia="sv-SE"/>
              </w:rPr>
              <w:tab/>
            </w:r>
            <w:r w:rsidRPr="00C30A93">
              <w:rPr>
                <w:rStyle w:val="Hyperlnk"/>
                <w:noProof/>
              </w:rPr>
              <w:t>Case before the Court of Justice Case C -193/15 P, appeal by Mr. Tarif Akhras against the judgment of 12 February 2015 by the General Court (Seventh Chamber) in Case T-579/11</w:t>
            </w:r>
            <w:r>
              <w:rPr>
                <w:noProof/>
                <w:webHidden/>
              </w:rPr>
              <w:tab/>
            </w:r>
            <w:r>
              <w:rPr>
                <w:noProof/>
                <w:webHidden/>
              </w:rPr>
              <w:fldChar w:fldCharType="begin"/>
            </w:r>
            <w:r>
              <w:rPr>
                <w:noProof/>
                <w:webHidden/>
              </w:rPr>
              <w:instrText xml:space="preserve"> PAGEREF _Toc420488044 \h </w:instrText>
            </w:r>
            <w:r>
              <w:rPr>
                <w:noProof/>
                <w:webHidden/>
              </w:rPr>
            </w:r>
            <w:r>
              <w:rPr>
                <w:noProof/>
                <w:webHidden/>
              </w:rPr>
              <w:fldChar w:fldCharType="separate"/>
            </w:r>
            <w:r>
              <w:rPr>
                <w:noProof/>
                <w:webHidden/>
              </w:rPr>
              <w:t>4</w:t>
            </w:r>
            <w:r>
              <w:rPr>
                <w:noProof/>
                <w:webHidden/>
              </w:rPr>
              <w:fldChar w:fldCharType="end"/>
            </w:r>
          </w:hyperlink>
        </w:p>
        <w:p w14:paraId="03DE8E31" w14:textId="77777777" w:rsidR="00EB46E7" w:rsidRDefault="00022C61">
          <w:pPr>
            <w:pStyle w:val="Innehll1"/>
            <w:tabs>
              <w:tab w:val="left" w:pos="440"/>
              <w:tab w:val="right" w:leader="dot" w:pos="9062"/>
            </w:tabs>
            <w:rPr>
              <w:rFonts w:asciiTheme="minorHAnsi" w:eastAsiaTheme="minorEastAsia" w:hAnsiTheme="minorHAnsi" w:cstheme="minorBidi"/>
              <w:noProof/>
              <w:lang w:eastAsia="sv-SE"/>
            </w:rPr>
          </w:pPr>
          <w:hyperlink w:anchor="_Toc420488045" w:history="1">
            <w:r w:rsidR="00EB46E7" w:rsidRPr="00C30A93">
              <w:rPr>
                <w:rStyle w:val="Hyperlnk"/>
                <w:noProof/>
              </w:rPr>
              <w:t>2.</w:t>
            </w:r>
            <w:r w:rsidR="00EB46E7">
              <w:rPr>
                <w:rFonts w:asciiTheme="minorHAnsi" w:eastAsiaTheme="minorEastAsia" w:hAnsiTheme="minorHAnsi" w:cstheme="minorBidi"/>
                <w:noProof/>
                <w:lang w:eastAsia="sv-SE"/>
              </w:rPr>
              <w:tab/>
            </w:r>
            <w:r w:rsidR="00EB46E7" w:rsidRPr="00C30A93">
              <w:rPr>
                <w:rStyle w:val="Hyperlnk"/>
                <w:noProof/>
              </w:rPr>
              <w:t>Case before the Court of Justice (Opinion 1/15) –Request by the European Parliament for an opinion pursuant to Article 218(11) TFEU on the compatibility with the treaties of the proposed agreement between Canada and the European Union on the transfer and processing of Passenger Name Record data"</w:t>
            </w:r>
            <w:r w:rsidR="00EB46E7">
              <w:rPr>
                <w:noProof/>
                <w:webHidden/>
              </w:rPr>
              <w:tab/>
            </w:r>
            <w:r w:rsidR="00EB46E7">
              <w:rPr>
                <w:noProof/>
                <w:webHidden/>
              </w:rPr>
              <w:fldChar w:fldCharType="begin"/>
            </w:r>
            <w:r w:rsidR="00EB46E7">
              <w:rPr>
                <w:noProof/>
                <w:webHidden/>
              </w:rPr>
              <w:instrText xml:space="preserve"> PAGEREF _Toc420488045 \h </w:instrText>
            </w:r>
            <w:r w:rsidR="00EB46E7">
              <w:rPr>
                <w:noProof/>
                <w:webHidden/>
              </w:rPr>
            </w:r>
            <w:r w:rsidR="00EB46E7">
              <w:rPr>
                <w:noProof/>
                <w:webHidden/>
              </w:rPr>
              <w:fldChar w:fldCharType="separate"/>
            </w:r>
            <w:r w:rsidR="00EB46E7">
              <w:rPr>
                <w:noProof/>
                <w:webHidden/>
              </w:rPr>
              <w:t>4</w:t>
            </w:r>
            <w:r w:rsidR="00EB46E7">
              <w:rPr>
                <w:noProof/>
                <w:webHidden/>
              </w:rPr>
              <w:fldChar w:fldCharType="end"/>
            </w:r>
          </w:hyperlink>
        </w:p>
        <w:p w14:paraId="0C01AB78" w14:textId="77777777" w:rsidR="00EB46E7" w:rsidRDefault="00022C61">
          <w:pPr>
            <w:pStyle w:val="Innehll1"/>
            <w:tabs>
              <w:tab w:val="left" w:pos="440"/>
              <w:tab w:val="right" w:leader="dot" w:pos="9062"/>
            </w:tabs>
            <w:rPr>
              <w:rFonts w:asciiTheme="minorHAnsi" w:eastAsiaTheme="minorEastAsia" w:hAnsiTheme="minorHAnsi" w:cstheme="minorBidi"/>
              <w:noProof/>
              <w:lang w:eastAsia="sv-SE"/>
            </w:rPr>
          </w:pPr>
          <w:hyperlink w:anchor="_Toc420488046" w:history="1">
            <w:r w:rsidR="00EB46E7" w:rsidRPr="00C30A93">
              <w:rPr>
                <w:rStyle w:val="Hyperlnk"/>
                <w:noProof/>
              </w:rPr>
              <w:t>3.</w:t>
            </w:r>
            <w:r w:rsidR="00EB46E7">
              <w:rPr>
                <w:rFonts w:asciiTheme="minorHAnsi" w:eastAsiaTheme="minorEastAsia" w:hAnsiTheme="minorHAnsi" w:cstheme="minorBidi"/>
                <w:noProof/>
                <w:lang w:eastAsia="sv-SE"/>
              </w:rPr>
              <w:tab/>
            </w:r>
            <w:r w:rsidR="00EB46E7" w:rsidRPr="00C30A93">
              <w:rPr>
                <w:rStyle w:val="Hyperlnk"/>
                <w:noProof/>
              </w:rPr>
              <w:t>Cases before the General Court of the European Union Cases T-207/15 and T-207/15 R (Iranian Tanker Company v. Council of the European Union)</w:t>
            </w:r>
            <w:r w:rsidR="00EB46E7">
              <w:rPr>
                <w:noProof/>
                <w:webHidden/>
              </w:rPr>
              <w:tab/>
            </w:r>
            <w:r w:rsidR="00EB46E7">
              <w:rPr>
                <w:noProof/>
                <w:webHidden/>
              </w:rPr>
              <w:fldChar w:fldCharType="begin"/>
            </w:r>
            <w:r w:rsidR="00EB46E7">
              <w:rPr>
                <w:noProof/>
                <w:webHidden/>
              </w:rPr>
              <w:instrText xml:space="preserve"> PAGEREF _Toc420488046 \h </w:instrText>
            </w:r>
            <w:r w:rsidR="00EB46E7">
              <w:rPr>
                <w:noProof/>
                <w:webHidden/>
              </w:rPr>
            </w:r>
            <w:r w:rsidR="00EB46E7">
              <w:rPr>
                <w:noProof/>
                <w:webHidden/>
              </w:rPr>
              <w:fldChar w:fldCharType="separate"/>
            </w:r>
            <w:r w:rsidR="00EB46E7">
              <w:rPr>
                <w:noProof/>
                <w:webHidden/>
              </w:rPr>
              <w:t>5</w:t>
            </w:r>
            <w:r w:rsidR="00EB46E7">
              <w:rPr>
                <w:noProof/>
                <w:webHidden/>
              </w:rPr>
              <w:fldChar w:fldCharType="end"/>
            </w:r>
          </w:hyperlink>
        </w:p>
        <w:p w14:paraId="371BE0E1" w14:textId="77777777" w:rsidR="00EB46E7" w:rsidRDefault="00022C61">
          <w:pPr>
            <w:pStyle w:val="Innehll1"/>
            <w:tabs>
              <w:tab w:val="left" w:pos="440"/>
              <w:tab w:val="right" w:leader="dot" w:pos="9062"/>
            </w:tabs>
            <w:rPr>
              <w:rFonts w:asciiTheme="minorHAnsi" w:eastAsiaTheme="minorEastAsia" w:hAnsiTheme="minorHAnsi" w:cstheme="minorBidi"/>
              <w:noProof/>
              <w:lang w:eastAsia="sv-SE"/>
            </w:rPr>
          </w:pPr>
          <w:hyperlink w:anchor="_Toc420488047" w:history="1">
            <w:r w:rsidR="00EB46E7" w:rsidRPr="00C30A93">
              <w:rPr>
                <w:rStyle w:val="Hyperlnk"/>
                <w:noProof/>
              </w:rPr>
              <w:t>4.</w:t>
            </w:r>
            <w:r w:rsidR="00EB46E7">
              <w:rPr>
                <w:rFonts w:asciiTheme="minorHAnsi" w:eastAsiaTheme="minorEastAsia" w:hAnsiTheme="minorHAnsi" w:cstheme="minorBidi"/>
                <w:noProof/>
                <w:lang w:eastAsia="sv-SE"/>
              </w:rPr>
              <w:tab/>
            </w:r>
            <w:r w:rsidR="00EB46E7" w:rsidRPr="00C30A93">
              <w:rPr>
                <w:rStyle w:val="Hyperlnk"/>
                <w:noProof/>
              </w:rPr>
              <w:t>Case before the General Court of the European Union Case T-154/15 (Aiman Jaber v. Council of the European Union)</w:t>
            </w:r>
            <w:r w:rsidR="00EB46E7">
              <w:rPr>
                <w:noProof/>
                <w:webHidden/>
              </w:rPr>
              <w:tab/>
            </w:r>
            <w:r w:rsidR="00EB46E7">
              <w:rPr>
                <w:noProof/>
                <w:webHidden/>
              </w:rPr>
              <w:fldChar w:fldCharType="begin"/>
            </w:r>
            <w:r w:rsidR="00EB46E7">
              <w:rPr>
                <w:noProof/>
                <w:webHidden/>
              </w:rPr>
              <w:instrText xml:space="preserve"> PAGEREF _Toc420488047 \h </w:instrText>
            </w:r>
            <w:r w:rsidR="00EB46E7">
              <w:rPr>
                <w:noProof/>
                <w:webHidden/>
              </w:rPr>
            </w:r>
            <w:r w:rsidR="00EB46E7">
              <w:rPr>
                <w:noProof/>
                <w:webHidden/>
              </w:rPr>
              <w:fldChar w:fldCharType="separate"/>
            </w:r>
            <w:r w:rsidR="00EB46E7">
              <w:rPr>
                <w:noProof/>
                <w:webHidden/>
              </w:rPr>
              <w:t>5</w:t>
            </w:r>
            <w:r w:rsidR="00EB46E7">
              <w:rPr>
                <w:noProof/>
                <w:webHidden/>
              </w:rPr>
              <w:fldChar w:fldCharType="end"/>
            </w:r>
          </w:hyperlink>
        </w:p>
        <w:p w14:paraId="438ED9C0" w14:textId="77777777" w:rsidR="00EB46E7" w:rsidRDefault="00022C61">
          <w:pPr>
            <w:pStyle w:val="Innehll1"/>
            <w:tabs>
              <w:tab w:val="left" w:pos="440"/>
              <w:tab w:val="right" w:leader="dot" w:pos="9062"/>
            </w:tabs>
            <w:rPr>
              <w:rFonts w:asciiTheme="minorHAnsi" w:eastAsiaTheme="minorEastAsia" w:hAnsiTheme="minorHAnsi" w:cstheme="minorBidi"/>
              <w:noProof/>
              <w:lang w:eastAsia="sv-SE"/>
            </w:rPr>
          </w:pPr>
          <w:hyperlink w:anchor="_Toc420488048" w:history="1">
            <w:r w:rsidR="00EB46E7" w:rsidRPr="00C30A93">
              <w:rPr>
                <w:rStyle w:val="Hyperlnk"/>
                <w:noProof/>
              </w:rPr>
              <w:t>5.</w:t>
            </w:r>
            <w:r w:rsidR="00EB46E7">
              <w:rPr>
                <w:rFonts w:asciiTheme="minorHAnsi" w:eastAsiaTheme="minorEastAsia" w:hAnsiTheme="minorHAnsi" w:cstheme="minorBidi"/>
                <w:noProof/>
                <w:lang w:eastAsia="sv-SE"/>
              </w:rPr>
              <w:tab/>
            </w:r>
            <w:r w:rsidR="00EB46E7" w:rsidRPr="00C30A93">
              <w:rPr>
                <w:rStyle w:val="Hyperlnk"/>
                <w:noProof/>
              </w:rPr>
              <w:t>Case before the General Court of the European Union Case T-153/15 (Mohamad Hamcho et Hamcho International v. Council of the European Union)</w:t>
            </w:r>
            <w:r w:rsidR="00EB46E7">
              <w:rPr>
                <w:noProof/>
                <w:webHidden/>
              </w:rPr>
              <w:tab/>
            </w:r>
            <w:r w:rsidR="00EB46E7">
              <w:rPr>
                <w:noProof/>
                <w:webHidden/>
              </w:rPr>
              <w:fldChar w:fldCharType="begin"/>
            </w:r>
            <w:r w:rsidR="00EB46E7">
              <w:rPr>
                <w:noProof/>
                <w:webHidden/>
              </w:rPr>
              <w:instrText xml:space="preserve"> PAGEREF _Toc420488048 \h </w:instrText>
            </w:r>
            <w:r w:rsidR="00EB46E7">
              <w:rPr>
                <w:noProof/>
                <w:webHidden/>
              </w:rPr>
            </w:r>
            <w:r w:rsidR="00EB46E7">
              <w:rPr>
                <w:noProof/>
                <w:webHidden/>
              </w:rPr>
              <w:fldChar w:fldCharType="separate"/>
            </w:r>
            <w:r w:rsidR="00EB46E7">
              <w:rPr>
                <w:noProof/>
                <w:webHidden/>
              </w:rPr>
              <w:t>5</w:t>
            </w:r>
            <w:r w:rsidR="00EB46E7">
              <w:rPr>
                <w:noProof/>
                <w:webHidden/>
              </w:rPr>
              <w:fldChar w:fldCharType="end"/>
            </w:r>
          </w:hyperlink>
        </w:p>
        <w:p w14:paraId="5A447590" w14:textId="77777777" w:rsidR="00EB46E7" w:rsidRDefault="00022C61">
          <w:pPr>
            <w:pStyle w:val="Innehll1"/>
            <w:tabs>
              <w:tab w:val="left" w:pos="440"/>
              <w:tab w:val="right" w:leader="dot" w:pos="9062"/>
            </w:tabs>
            <w:rPr>
              <w:rFonts w:asciiTheme="minorHAnsi" w:eastAsiaTheme="minorEastAsia" w:hAnsiTheme="minorHAnsi" w:cstheme="minorBidi"/>
              <w:noProof/>
              <w:lang w:eastAsia="sv-SE"/>
            </w:rPr>
          </w:pPr>
          <w:hyperlink w:anchor="_Toc420488049" w:history="1">
            <w:r w:rsidR="00EB46E7" w:rsidRPr="00C30A93">
              <w:rPr>
                <w:rStyle w:val="Hyperlnk"/>
                <w:noProof/>
              </w:rPr>
              <w:t>6.</w:t>
            </w:r>
            <w:r w:rsidR="00EB46E7">
              <w:rPr>
                <w:rFonts w:asciiTheme="minorHAnsi" w:eastAsiaTheme="minorEastAsia" w:hAnsiTheme="minorHAnsi" w:cstheme="minorBidi"/>
                <w:noProof/>
                <w:lang w:eastAsia="sv-SE"/>
              </w:rPr>
              <w:tab/>
            </w:r>
            <w:r w:rsidR="00EB46E7" w:rsidRPr="00C30A93">
              <w:rPr>
                <w:rStyle w:val="Hyperlnk"/>
                <w:noProof/>
              </w:rPr>
              <w:t>Case before the General Court of the European Union Case T-155/15 (Khaled KADDOUR v. Council of the European Union)</w:t>
            </w:r>
            <w:r w:rsidR="00EB46E7">
              <w:rPr>
                <w:noProof/>
                <w:webHidden/>
              </w:rPr>
              <w:tab/>
            </w:r>
            <w:r w:rsidR="00EB46E7">
              <w:rPr>
                <w:noProof/>
                <w:webHidden/>
              </w:rPr>
              <w:fldChar w:fldCharType="begin"/>
            </w:r>
            <w:r w:rsidR="00EB46E7">
              <w:rPr>
                <w:noProof/>
                <w:webHidden/>
              </w:rPr>
              <w:instrText xml:space="preserve"> PAGEREF _Toc420488049 \h </w:instrText>
            </w:r>
            <w:r w:rsidR="00EB46E7">
              <w:rPr>
                <w:noProof/>
                <w:webHidden/>
              </w:rPr>
            </w:r>
            <w:r w:rsidR="00EB46E7">
              <w:rPr>
                <w:noProof/>
                <w:webHidden/>
              </w:rPr>
              <w:fldChar w:fldCharType="separate"/>
            </w:r>
            <w:r w:rsidR="00EB46E7">
              <w:rPr>
                <w:noProof/>
                <w:webHidden/>
              </w:rPr>
              <w:t>6</w:t>
            </w:r>
            <w:r w:rsidR="00EB46E7">
              <w:rPr>
                <w:noProof/>
                <w:webHidden/>
              </w:rPr>
              <w:fldChar w:fldCharType="end"/>
            </w:r>
          </w:hyperlink>
        </w:p>
        <w:p w14:paraId="0F5EF4D9" w14:textId="77777777" w:rsidR="00EB46E7" w:rsidRDefault="00022C61">
          <w:pPr>
            <w:pStyle w:val="Innehll1"/>
            <w:tabs>
              <w:tab w:val="left" w:pos="440"/>
              <w:tab w:val="right" w:leader="dot" w:pos="9062"/>
            </w:tabs>
            <w:rPr>
              <w:rFonts w:asciiTheme="minorHAnsi" w:eastAsiaTheme="minorEastAsia" w:hAnsiTheme="minorHAnsi" w:cstheme="minorBidi"/>
              <w:noProof/>
              <w:lang w:eastAsia="sv-SE"/>
            </w:rPr>
          </w:pPr>
          <w:hyperlink w:anchor="_Toc420488050" w:history="1">
            <w:r w:rsidR="00EB46E7" w:rsidRPr="00C30A93">
              <w:rPr>
                <w:rStyle w:val="Hyperlnk"/>
                <w:noProof/>
              </w:rPr>
              <w:t>7.</w:t>
            </w:r>
            <w:r w:rsidR="00EB46E7">
              <w:rPr>
                <w:rFonts w:asciiTheme="minorHAnsi" w:eastAsiaTheme="minorEastAsia" w:hAnsiTheme="minorHAnsi" w:cstheme="minorBidi"/>
                <w:noProof/>
                <w:lang w:eastAsia="sv-SE"/>
              </w:rPr>
              <w:tab/>
            </w:r>
            <w:r w:rsidR="00EB46E7" w:rsidRPr="00C30A93">
              <w:rPr>
                <w:rStyle w:val="Hyperlnk"/>
                <w:noProof/>
              </w:rPr>
              <w:t>Appointment of an official to a post of Director-General at the General Secretariat of the Council</w:t>
            </w:r>
            <w:r w:rsidR="00EB46E7">
              <w:rPr>
                <w:noProof/>
                <w:webHidden/>
              </w:rPr>
              <w:tab/>
            </w:r>
            <w:r w:rsidR="00EB46E7">
              <w:rPr>
                <w:noProof/>
                <w:webHidden/>
              </w:rPr>
              <w:fldChar w:fldCharType="begin"/>
            </w:r>
            <w:r w:rsidR="00EB46E7">
              <w:rPr>
                <w:noProof/>
                <w:webHidden/>
              </w:rPr>
              <w:instrText xml:space="preserve"> PAGEREF _Toc420488050 \h </w:instrText>
            </w:r>
            <w:r w:rsidR="00EB46E7">
              <w:rPr>
                <w:noProof/>
                <w:webHidden/>
              </w:rPr>
            </w:r>
            <w:r w:rsidR="00EB46E7">
              <w:rPr>
                <w:noProof/>
                <w:webHidden/>
              </w:rPr>
              <w:fldChar w:fldCharType="separate"/>
            </w:r>
            <w:r w:rsidR="00EB46E7">
              <w:rPr>
                <w:noProof/>
                <w:webHidden/>
              </w:rPr>
              <w:t>6</w:t>
            </w:r>
            <w:r w:rsidR="00EB46E7">
              <w:rPr>
                <w:noProof/>
                <w:webHidden/>
              </w:rPr>
              <w:fldChar w:fldCharType="end"/>
            </w:r>
          </w:hyperlink>
        </w:p>
        <w:p w14:paraId="48E3F303" w14:textId="77777777" w:rsidR="00EB46E7" w:rsidRDefault="00022C61">
          <w:pPr>
            <w:pStyle w:val="Innehll1"/>
            <w:tabs>
              <w:tab w:val="left" w:pos="440"/>
              <w:tab w:val="right" w:leader="dot" w:pos="9062"/>
            </w:tabs>
            <w:rPr>
              <w:rFonts w:asciiTheme="minorHAnsi" w:eastAsiaTheme="minorEastAsia" w:hAnsiTheme="minorHAnsi" w:cstheme="minorBidi"/>
              <w:noProof/>
              <w:lang w:eastAsia="sv-SE"/>
            </w:rPr>
          </w:pPr>
          <w:hyperlink w:anchor="_Toc420488051" w:history="1">
            <w:r w:rsidR="00EB46E7" w:rsidRPr="00C30A93">
              <w:rPr>
                <w:rStyle w:val="Hyperlnk"/>
                <w:noProof/>
              </w:rPr>
              <w:t>8.</w:t>
            </w:r>
            <w:r w:rsidR="00EB46E7">
              <w:rPr>
                <w:rFonts w:asciiTheme="minorHAnsi" w:eastAsiaTheme="minorEastAsia" w:hAnsiTheme="minorHAnsi" w:cstheme="minorBidi"/>
                <w:noProof/>
                <w:lang w:eastAsia="sv-SE"/>
              </w:rPr>
              <w:tab/>
            </w:r>
            <w:r w:rsidR="00EB46E7" w:rsidRPr="00C30A93">
              <w:rPr>
                <w:rStyle w:val="Hyperlnk"/>
                <w:noProof/>
              </w:rPr>
              <w:t>Payment plan 2015-2016</w:t>
            </w:r>
            <w:r w:rsidR="00EB46E7">
              <w:rPr>
                <w:noProof/>
                <w:webHidden/>
              </w:rPr>
              <w:tab/>
            </w:r>
            <w:r w:rsidR="00EB46E7">
              <w:rPr>
                <w:noProof/>
                <w:webHidden/>
              </w:rPr>
              <w:fldChar w:fldCharType="begin"/>
            </w:r>
            <w:r w:rsidR="00EB46E7">
              <w:rPr>
                <w:noProof/>
                <w:webHidden/>
              </w:rPr>
              <w:instrText xml:space="preserve"> PAGEREF _Toc420488051 \h </w:instrText>
            </w:r>
            <w:r w:rsidR="00EB46E7">
              <w:rPr>
                <w:noProof/>
                <w:webHidden/>
              </w:rPr>
            </w:r>
            <w:r w:rsidR="00EB46E7">
              <w:rPr>
                <w:noProof/>
                <w:webHidden/>
              </w:rPr>
              <w:fldChar w:fldCharType="separate"/>
            </w:r>
            <w:r w:rsidR="00EB46E7">
              <w:rPr>
                <w:noProof/>
                <w:webHidden/>
              </w:rPr>
              <w:t>6</w:t>
            </w:r>
            <w:r w:rsidR="00EB46E7">
              <w:rPr>
                <w:noProof/>
                <w:webHidden/>
              </w:rPr>
              <w:fldChar w:fldCharType="end"/>
            </w:r>
          </w:hyperlink>
        </w:p>
        <w:p w14:paraId="6BEE8D2F" w14:textId="77777777" w:rsidR="00EB46E7" w:rsidRDefault="00022C61">
          <w:pPr>
            <w:pStyle w:val="Innehll1"/>
            <w:tabs>
              <w:tab w:val="left" w:pos="440"/>
              <w:tab w:val="right" w:leader="dot" w:pos="9062"/>
            </w:tabs>
            <w:rPr>
              <w:rFonts w:asciiTheme="minorHAnsi" w:eastAsiaTheme="minorEastAsia" w:hAnsiTheme="minorHAnsi" w:cstheme="minorBidi"/>
              <w:noProof/>
              <w:lang w:eastAsia="sv-SE"/>
            </w:rPr>
          </w:pPr>
          <w:hyperlink w:anchor="_Toc420488052" w:history="1">
            <w:r w:rsidR="00EB46E7" w:rsidRPr="00C30A93">
              <w:rPr>
                <w:rStyle w:val="Hyperlnk"/>
                <w:noProof/>
              </w:rPr>
              <w:t>9.</w:t>
            </w:r>
            <w:r w:rsidR="00EB46E7">
              <w:rPr>
                <w:rFonts w:asciiTheme="minorHAnsi" w:eastAsiaTheme="minorEastAsia" w:hAnsiTheme="minorHAnsi" w:cstheme="minorBidi"/>
                <w:noProof/>
                <w:lang w:eastAsia="sv-SE"/>
              </w:rPr>
              <w:tab/>
            </w:r>
            <w:r w:rsidR="00EB46E7" w:rsidRPr="00C30A93">
              <w:rPr>
                <w:rStyle w:val="Hyperlnk"/>
                <w:noProof/>
              </w:rPr>
              <w:t>Draft amending budget No 5 to the general budget for 2015: Responding to migratory pressures</w:t>
            </w:r>
            <w:r w:rsidR="00EB46E7">
              <w:rPr>
                <w:noProof/>
                <w:webHidden/>
              </w:rPr>
              <w:tab/>
            </w:r>
            <w:r w:rsidR="00EB46E7">
              <w:rPr>
                <w:noProof/>
                <w:webHidden/>
              </w:rPr>
              <w:fldChar w:fldCharType="begin"/>
            </w:r>
            <w:r w:rsidR="00EB46E7">
              <w:rPr>
                <w:noProof/>
                <w:webHidden/>
              </w:rPr>
              <w:instrText xml:space="preserve"> PAGEREF _Toc420488052 \h </w:instrText>
            </w:r>
            <w:r w:rsidR="00EB46E7">
              <w:rPr>
                <w:noProof/>
                <w:webHidden/>
              </w:rPr>
            </w:r>
            <w:r w:rsidR="00EB46E7">
              <w:rPr>
                <w:noProof/>
                <w:webHidden/>
              </w:rPr>
              <w:fldChar w:fldCharType="separate"/>
            </w:r>
            <w:r w:rsidR="00EB46E7">
              <w:rPr>
                <w:noProof/>
                <w:webHidden/>
              </w:rPr>
              <w:t>7</w:t>
            </w:r>
            <w:r w:rsidR="00EB46E7">
              <w:rPr>
                <w:noProof/>
                <w:webHidden/>
              </w:rPr>
              <w:fldChar w:fldCharType="end"/>
            </w:r>
          </w:hyperlink>
        </w:p>
        <w:p w14:paraId="39AB2EC6" w14:textId="77777777" w:rsidR="00EB46E7" w:rsidRDefault="00022C61">
          <w:pPr>
            <w:pStyle w:val="Innehll1"/>
            <w:tabs>
              <w:tab w:val="left" w:pos="660"/>
              <w:tab w:val="right" w:leader="dot" w:pos="9062"/>
            </w:tabs>
            <w:rPr>
              <w:rFonts w:asciiTheme="minorHAnsi" w:eastAsiaTheme="minorEastAsia" w:hAnsiTheme="minorHAnsi" w:cstheme="minorBidi"/>
              <w:noProof/>
              <w:lang w:eastAsia="sv-SE"/>
            </w:rPr>
          </w:pPr>
          <w:hyperlink w:anchor="_Toc420488053" w:history="1">
            <w:r w:rsidR="00EB46E7" w:rsidRPr="00C30A93">
              <w:rPr>
                <w:rStyle w:val="Hyperlnk"/>
                <w:noProof/>
              </w:rPr>
              <w:t>10.</w:t>
            </w:r>
            <w:r w:rsidR="00EB46E7">
              <w:rPr>
                <w:rFonts w:asciiTheme="minorHAnsi" w:eastAsiaTheme="minorEastAsia" w:hAnsiTheme="minorHAnsi" w:cstheme="minorBidi"/>
                <w:noProof/>
                <w:lang w:eastAsia="sv-SE"/>
              </w:rPr>
              <w:tab/>
            </w:r>
            <w:r w:rsidR="00EB46E7" w:rsidRPr="00C30A93">
              <w:rPr>
                <w:rStyle w:val="Hyperlnk"/>
                <w:noProof/>
              </w:rPr>
              <w:t>Proposal for a Regulation of the European Parliament and of the Council amending Regulation (EC) No 184/2005 on Community statistics concerning balance of payments, international trade in services and foreign direct investment as regards conferring of delegated and implementing powers upon the Commission for the adoption of certain measures  (First reading)</w:t>
            </w:r>
            <w:r w:rsidR="00EB46E7">
              <w:rPr>
                <w:noProof/>
                <w:webHidden/>
              </w:rPr>
              <w:tab/>
            </w:r>
            <w:r w:rsidR="00EB46E7">
              <w:rPr>
                <w:noProof/>
                <w:webHidden/>
              </w:rPr>
              <w:fldChar w:fldCharType="begin"/>
            </w:r>
            <w:r w:rsidR="00EB46E7">
              <w:rPr>
                <w:noProof/>
                <w:webHidden/>
              </w:rPr>
              <w:instrText xml:space="preserve"> PAGEREF _Toc420488053 \h </w:instrText>
            </w:r>
            <w:r w:rsidR="00EB46E7">
              <w:rPr>
                <w:noProof/>
                <w:webHidden/>
              </w:rPr>
            </w:r>
            <w:r w:rsidR="00EB46E7">
              <w:rPr>
                <w:noProof/>
                <w:webHidden/>
              </w:rPr>
              <w:fldChar w:fldCharType="separate"/>
            </w:r>
            <w:r w:rsidR="00EB46E7">
              <w:rPr>
                <w:noProof/>
                <w:webHidden/>
              </w:rPr>
              <w:t>7</w:t>
            </w:r>
            <w:r w:rsidR="00EB46E7">
              <w:rPr>
                <w:noProof/>
                <w:webHidden/>
              </w:rPr>
              <w:fldChar w:fldCharType="end"/>
            </w:r>
          </w:hyperlink>
        </w:p>
        <w:p w14:paraId="772E2E94" w14:textId="77777777" w:rsidR="00EB46E7" w:rsidRDefault="00022C61">
          <w:pPr>
            <w:pStyle w:val="Innehll1"/>
            <w:tabs>
              <w:tab w:val="left" w:pos="660"/>
              <w:tab w:val="right" w:leader="dot" w:pos="9062"/>
            </w:tabs>
            <w:rPr>
              <w:rFonts w:asciiTheme="minorHAnsi" w:eastAsiaTheme="minorEastAsia" w:hAnsiTheme="minorHAnsi" w:cstheme="minorBidi"/>
              <w:noProof/>
              <w:lang w:eastAsia="sv-SE"/>
            </w:rPr>
          </w:pPr>
          <w:hyperlink w:anchor="_Toc420488054" w:history="1">
            <w:r w:rsidR="00EB46E7" w:rsidRPr="00C30A93">
              <w:rPr>
                <w:rStyle w:val="Hyperlnk"/>
                <w:noProof/>
              </w:rPr>
              <w:t>11.</w:t>
            </w:r>
            <w:r w:rsidR="00EB46E7">
              <w:rPr>
                <w:rFonts w:asciiTheme="minorHAnsi" w:eastAsiaTheme="minorEastAsia" w:hAnsiTheme="minorHAnsi" w:cstheme="minorBidi"/>
                <w:noProof/>
                <w:lang w:eastAsia="sv-SE"/>
              </w:rPr>
              <w:tab/>
            </w:r>
            <w:r w:rsidR="00EB46E7" w:rsidRPr="00C30A93">
              <w:rPr>
                <w:rStyle w:val="Hyperlnk"/>
                <w:noProof/>
              </w:rPr>
              <w:t>Amending Budget No. 1 for SISNET for the year 2015</w:t>
            </w:r>
            <w:r w:rsidR="00EB46E7">
              <w:rPr>
                <w:noProof/>
                <w:webHidden/>
              </w:rPr>
              <w:tab/>
            </w:r>
            <w:r w:rsidR="00EB46E7">
              <w:rPr>
                <w:noProof/>
                <w:webHidden/>
              </w:rPr>
              <w:fldChar w:fldCharType="begin"/>
            </w:r>
            <w:r w:rsidR="00EB46E7">
              <w:rPr>
                <w:noProof/>
                <w:webHidden/>
              </w:rPr>
              <w:instrText xml:space="preserve"> PAGEREF _Toc420488054 \h </w:instrText>
            </w:r>
            <w:r w:rsidR="00EB46E7">
              <w:rPr>
                <w:noProof/>
                <w:webHidden/>
              </w:rPr>
            </w:r>
            <w:r w:rsidR="00EB46E7">
              <w:rPr>
                <w:noProof/>
                <w:webHidden/>
              </w:rPr>
              <w:fldChar w:fldCharType="separate"/>
            </w:r>
            <w:r w:rsidR="00EB46E7">
              <w:rPr>
                <w:noProof/>
                <w:webHidden/>
              </w:rPr>
              <w:t>8</w:t>
            </w:r>
            <w:r w:rsidR="00EB46E7">
              <w:rPr>
                <w:noProof/>
                <w:webHidden/>
              </w:rPr>
              <w:fldChar w:fldCharType="end"/>
            </w:r>
          </w:hyperlink>
        </w:p>
        <w:p w14:paraId="41BDDD00" w14:textId="77777777" w:rsidR="00EB46E7" w:rsidRDefault="00022C61">
          <w:pPr>
            <w:pStyle w:val="Innehll1"/>
            <w:tabs>
              <w:tab w:val="left" w:pos="660"/>
              <w:tab w:val="right" w:leader="dot" w:pos="9062"/>
            </w:tabs>
            <w:rPr>
              <w:rFonts w:asciiTheme="minorHAnsi" w:eastAsiaTheme="minorEastAsia" w:hAnsiTheme="minorHAnsi" w:cstheme="minorBidi"/>
              <w:noProof/>
              <w:lang w:eastAsia="sv-SE"/>
            </w:rPr>
          </w:pPr>
          <w:hyperlink w:anchor="_Toc420488055" w:history="1">
            <w:r w:rsidR="00EB46E7" w:rsidRPr="00C30A93">
              <w:rPr>
                <w:rStyle w:val="Hyperlnk"/>
                <w:noProof/>
              </w:rPr>
              <w:t>12.</w:t>
            </w:r>
            <w:r w:rsidR="00EB46E7">
              <w:rPr>
                <w:rFonts w:asciiTheme="minorHAnsi" w:eastAsiaTheme="minorEastAsia" w:hAnsiTheme="minorHAnsi" w:cstheme="minorBidi"/>
                <w:noProof/>
                <w:lang w:eastAsia="sv-SE"/>
              </w:rPr>
              <w:tab/>
            </w:r>
            <w:r w:rsidR="00EB46E7" w:rsidRPr="00C30A93">
              <w:rPr>
                <w:rStyle w:val="Hyperlnk"/>
                <w:noProof/>
              </w:rPr>
              <w:t>(poss.) Draft Renewed EU-US Statement - Enhancing transatlantic cooperation in the area of Justice, Freedom and Security</w:t>
            </w:r>
            <w:r w:rsidR="00EB46E7">
              <w:rPr>
                <w:noProof/>
                <w:webHidden/>
              </w:rPr>
              <w:tab/>
            </w:r>
            <w:r w:rsidR="00EB46E7">
              <w:rPr>
                <w:noProof/>
                <w:webHidden/>
              </w:rPr>
              <w:fldChar w:fldCharType="begin"/>
            </w:r>
            <w:r w:rsidR="00EB46E7">
              <w:rPr>
                <w:noProof/>
                <w:webHidden/>
              </w:rPr>
              <w:instrText xml:space="preserve"> PAGEREF _Toc420488055 \h </w:instrText>
            </w:r>
            <w:r w:rsidR="00EB46E7">
              <w:rPr>
                <w:noProof/>
                <w:webHidden/>
              </w:rPr>
            </w:r>
            <w:r w:rsidR="00EB46E7">
              <w:rPr>
                <w:noProof/>
                <w:webHidden/>
              </w:rPr>
              <w:fldChar w:fldCharType="separate"/>
            </w:r>
            <w:r w:rsidR="00EB46E7">
              <w:rPr>
                <w:noProof/>
                <w:webHidden/>
              </w:rPr>
              <w:t>9</w:t>
            </w:r>
            <w:r w:rsidR="00EB46E7">
              <w:rPr>
                <w:noProof/>
                <w:webHidden/>
              </w:rPr>
              <w:fldChar w:fldCharType="end"/>
            </w:r>
          </w:hyperlink>
        </w:p>
        <w:p w14:paraId="2BD41ECB" w14:textId="77777777" w:rsidR="00EB46E7" w:rsidRDefault="00022C61">
          <w:pPr>
            <w:pStyle w:val="Innehll1"/>
            <w:tabs>
              <w:tab w:val="left" w:pos="660"/>
              <w:tab w:val="right" w:leader="dot" w:pos="9062"/>
            </w:tabs>
            <w:rPr>
              <w:rFonts w:asciiTheme="minorHAnsi" w:eastAsiaTheme="minorEastAsia" w:hAnsiTheme="minorHAnsi" w:cstheme="minorBidi"/>
              <w:noProof/>
              <w:lang w:eastAsia="sv-SE"/>
            </w:rPr>
          </w:pPr>
          <w:hyperlink w:anchor="_Toc420488056" w:history="1">
            <w:r w:rsidR="00EB46E7" w:rsidRPr="00C30A93">
              <w:rPr>
                <w:rStyle w:val="Hyperlnk"/>
                <w:noProof/>
              </w:rPr>
              <w:t>13.</w:t>
            </w:r>
            <w:r w:rsidR="00EB46E7">
              <w:rPr>
                <w:rFonts w:asciiTheme="minorHAnsi" w:eastAsiaTheme="minorEastAsia" w:hAnsiTheme="minorHAnsi" w:cstheme="minorBidi"/>
                <w:noProof/>
                <w:lang w:eastAsia="sv-SE"/>
              </w:rPr>
              <w:tab/>
            </w:r>
            <w:r w:rsidR="00EB46E7" w:rsidRPr="00C30A93">
              <w:rPr>
                <w:rStyle w:val="Hyperlnk"/>
                <w:noProof/>
              </w:rPr>
              <w:t>Council Decision on the position to be adopted, on behalf of the European Union, in the EEA Joint Committee concerning an amendment to Annex II (Technical regulations, standards, testing and certification) of the EEA Agreement (Novel foods)</w:t>
            </w:r>
            <w:r w:rsidR="00EB46E7">
              <w:rPr>
                <w:noProof/>
                <w:webHidden/>
              </w:rPr>
              <w:tab/>
            </w:r>
            <w:r w:rsidR="00EB46E7">
              <w:rPr>
                <w:noProof/>
                <w:webHidden/>
              </w:rPr>
              <w:fldChar w:fldCharType="begin"/>
            </w:r>
            <w:r w:rsidR="00EB46E7">
              <w:rPr>
                <w:noProof/>
                <w:webHidden/>
              </w:rPr>
              <w:instrText xml:space="preserve"> PAGEREF _Toc420488056 \h </w:instrText>
            </w:r>
            <w:r w:rsidR="00EB46E7">
              <w:rPr>
                <w:noProof/>
                <w:webHidden/>
              </w:rPr>
            </w:r>
            <w:r w:rsidR="00EB46E7">
              <w:rPr>
                <w:noProof/>
                <w:webHidden/>
              </w:rPr>
              <w:fldChar w:fldCharType="separate"/>
            </w:r>
            <w:r w:rsidR="00EB46E7">
              <w:rPr>
                <w:noProof/>
                <w:webHidden/>
              </w:rPr>
              <w:t>9</w:t>
            </w:r>
            <w:r w:rsidR="00EB46E7">
              <w:rPr>
                <w:noProof/>
                <w:webHidden/>
              </w:rPr>
              <w:fldChar w:fldCharType="end"/>
            </w:r>
          </w:hyperlink>
        </w:p>
        <w:p w14:paraId="03AE2AC4" w14:textId="77777777" w:rsidR="00EB46E7" w:rsidRDefault="00022C61">
          <w:pPr>
            <w:pStyle w:val="Innehll1"/>
            <w:tabs>
              <w:tab w:val="left" w:pos="660"/>
              <w:tab w:val="right" w:leader="dot" w:pos="9062"/>
            </w:tabs>
            <w:rPr>
              <w:rFonts w:asciiTheme="minorHAnsi" w:eastAsiaTheme="minorEastAsia" w:hAnsiTheme="minorHAnsi" w:cstheme="minorBidi"/>
              <w:noProof/>
              <w:lang w:eastAsia="sv-SE"/>
            </w:rPr>
          </w:pPr>
          <w:hyperlink w:anchor="_Toc420488057" w:history="1">
            <w:r w:rsidR="00EB46E7" w:rsidRPr="00C30A93">
              <w:rPr>
                <w:rStyle w:val="Hyperlnk"/>
                <w:noProof/>
              </w:rPr>
              <w:t>14.</w:t>
            </w:r>
            <w:r w:rsidR="00EB46E7">
              <w:rPr>
                <w:rFonts w:asciiTheme="minorHAnsi" w:eastAsiaTheme="minorEastAsia" w:hAnsiTheme="minorHAnsi" w:cstheme="minorBidi"/>
                <w:noProof/>
                <w:lang w:eastAsia="sv-SE"/>
              </w:rPr>
              <w:tab/>
            </w:r>
            <w:r w:rsidR="00EB46E7" w:rsidRPr="00C30A93">
              <w:rPr>
                <w:rStyle w:val="Hyperlnk"/>
                <w:noProof/>
              </w:rPr>
              <w:t>Council Decision on the position to be adopted, on behalf of the European Union, in the EEA Joint Committee concerning an amendment to Protocol 31 to the EEA Agreement, on cooperation in specific fields outside the four freedoms (Budget line 04.03.01.03)</w:t>
            </w:r>
            <w:r w:rsidR="00EB46E7">
              <w:rPr>
                <w:noProof/>
                <w:webHidden/>
              </w:rPr>
              <w:tab/>
            </w:r>
            <w:r w:rsidR="00EB46E7">
              <w:rPr>
                <w:noProof/>
                <w:webHidden/>
              </w:rPr>
              <w:fldChar w:fldCharType="begin"/>
            </w:r>
            <w:r w:rsidR="00EB46E7">
              <w:rPr>
                <w:noProof/>
                <w:webHidden/>
              </w:rPr>
              <w:instrText xml:space="preserve"> PAGEREF _Toc420488057 \h </w:instrText>
            </w:r>
            <w:r w:rsidR="00EB46E7">
              <w:rPr>
                <w:noProof/>
                <w:webHidden/>
              </w:rPr>
            </w:r>
            <w:r w:rsidR="00EB46E7">
              <w:rPr>
                <w:noProof/>
                <w:webHidden/>
              </w:rPr>
              <w:fldChar w:fldCharType="separate"/>
            </w:r>
            <w:r w:rsidR="00EB46E7">
              <w:rPr>
                <w:noProof/>
                <w:webHidden/>
              </w:rPr>
              <w:t>10</w:t>
            </w:r>
            <w:r w:rsidR="00EB46E7">
              <w:rPr>
                <w:noProof/>
                <w:webHidden/>
              </w:rPr>
              <w:fldChar w:fldCharType="end"/>
            </w:r>
          </w:hyperlink>
        </w:p>
        <w:p w14:paraId="4BAB4C96" w14:textId="77777777" w:rsidR="00EB46E7" w:rsidRDefault="00022C61">
          <w:pPr>
            <w:pStyle w:val="Innehll1"/>
            <w:tabs>
              <w:tab w:val="left" w:pos="660"/>
              <w:tab w:val="right" w:leader="dot" w:pos="9062"/>
            </w:tabs>
            <w:rPr>
              <w:rFonts w:asciiTheme="minorHAnsi" w:eastAsiaTheme="minorEastAsia" w:hAnsiTheme="minorHAnsi" w:cstheme="minorBidi"/>
              <w:noProof/>
              <w:lang w:eastAsia="sv-SE"/>
            </w:rPr>
          </w:pPr>
          <w:hyperlink w:anchor="_Toc420488058" w:history="1">
            <w:r w:rsidR="00EB46E7" w:rsidRPr="00C30A93">
              <w:rPr>
                <w:rStyle w:val="Hyperlnk"/>
                <w:noProof/>
              </w:rPr>
              <w:t>15.</w:t>
            </w:r>
            <w:r w:rsidR="00EB46E7">
              <w:rPr>
                <w:rFonts w:asciiTheme="minorHAnsi" w:eastAsiaTheme="minorEastAsia" w:hAnsiTheme="minorHAnsi" w:cstheme="minorBidi"/>
                <w:noProof/>
                <w:lang w:eastAsia="sv-SE"/>
              </w:rPr>
              <w:tab/>
            </w:r>
            <w:r w:rsidR="00EB46E7" w:rsidRPr="00C30A93">
              <w:rPr>
                <w:rStyle w:val="Hyperlnk"/>
                <w:noProof/>
              </w:rPr>
              <w:t>Council Decision on the position to be adopted, on behalf of the European Union, in the EEA Joint Committee concerning an amendment to Protocol 31 to the EEA Agreement, on cooperation in specific fields outside the four freedoms (Copernicus)</w:t>
            </w:r>
            <w:r w:rsidR="00EB46E7">
              <w:rPr>
                <w:noProof/>
                <w:webHidden/>
              </w:rPr>
              <w:tab/>
            </w:r>
            <w:r w:rsidR="00EB46E7">
              <w:rPr>
                <w:noProof/>
                <w:webHidden/>
              </w:rPr>
              <w:fldChar w:fldCharType="begin"/>
            </w:r>
            <w:r w:rsidR="00EB46E7">
              <w:rPr>
                <w:noProof/>
                <w:webHidden/>
              </w:rPr>
              <w:instrText xml:space="preserve"> PAGEREF _Toc420488058 \h </w:instrText>
            </w:r>
            <w:r w:rsidR="00EB46E7">
              <w:rPr>
                <w:noProof/>
                <w:webHidden/>
              </w:rPr>
            </w:r>
            <w:r w:rsidR="00EB46E7">
              <w:rPr>
                <w:noProof/>
                <w:webHidden/>
              </w:rPr>
              <w:fldChar w:fldCharType="separate"/>
            </w:r>
            <w:r w:rsidR="00EB46E7">
              <w:rPr>
                <w:noProof/>
                <w:webHidden/>
              </w:rPr>
              <w:t>10</w:t>
            </w:r>
            <w:r w:rsidR="00EB46E7">
              <w:rPr>
                <w:noProof/>
                <w:webHidden/>
              </w:rPr>
              <w:fldChar w:fldCharType="end"/>
            </w:r>
          </w:hyperlink>
        </w:p>
        <w:p w14:paraId="05A5F6DB" w14:textId="77777777" w:rsidR="00EB46E7" w:rsidRDefault="00022C61">
          <w:pPr>
            <w:pStyle w:val="Innehll1"/>
            <w:tabs>
              <w:tab w:val="left" w:pos="660"/>
              <w:tab w:val="right" w:leader="dot" w:pos="9062"/>
            </w:tabs>
            <w:rPr>
              <w:rFonts w:asciiTheme="minorHAnsi" w:eastAsiaTheme="minorEastAsia" w:hAnsiTheme="minorHAnsi" w:cstheme="minorBidi"/>
              <w:noProof/>
              <w:lang w:eastAsia="sv-SE"/>
            </w:rPr>
          </w:pPr>
          <w:hyperlink w:anchor="_Toc420488059" w:history="1">
            <w:r w:rsidR="00EB46E7" w:rsidRPr="00C30A93">
              <w:rPr>
                <w:rStyle w:val="Hyperlnk"/>
                <w:noProof/>
              </w:rPr>
              <w:t>16.</w:t>
            </w:r>
            <w:r w:rsidR="00EB46E7">
              <w:rPr>
                <w:rFonts w:asciiTheme="minorHAnsi" w:eastAsiaTheme="minorEastAsia" w:hAnsiTheme="minorHAnsi" w:cstheme="minorBidi"/>
                <w:noProof/>
                <w:lang w:eastAsia="sv-SE"/>
              </w:rPr>
              <w:tab/>
            </w:r>
            <w:r w:rsidR="00EB46E7" w:rsidRPr="00C30A93">
              <w:rPr>
                <w:rStyle w:val="Hyperlnk"/>
                <w:noProof/>
              </w:rPr>
              <w:t>Council Decision on the position to be adopted, on behalf of the European Union, in the EEA Joint Committee concerning an amendment to Protocol 31 to the EEA Agreement, on cooperation in specific fields outside the four freedoms (EaSI)</w:t>
            </w:r>
            <w:r w:rsidR="00EB46E7">
              <w:rPr>
                <w:noProof/>
                <w:webHidden/>
              </w:rPr>
              <w:tab/>
            </w:r>
            <w:r w:rsidR="00EB46E7">
              <w:rPr>
                <w:noProof/>
                <w:webHidden/>
              </w:rPr>
              <w:fldChar w:fldCharType="begin"/>
            </w:r>
            <w:r w:rsidR="00EB46E7">
              <w:rPr>
                <w:noProof/>
                <w:webHidden/>
              </w:rPr>
              <w:instrText xml:space="preserve"> PAGEREF _Toc420488059 \h </w:instrText>
            </w:r>
            <w:r w:rsidR="00EB46E7">
              <w:rPr>
                <w:noProof/>
                <w:webHidden/>
              </w:rPr>
            </w:r>
            <w:r w:rsidR="00EB46E7">
              <w:rPr>
                <w:noProof/>
                <w:webHidden/>
              </w:rPr>
              <w:fldChar w:fldCharType="separate"/>
            </w:r>
            <w:r w:rsidR="00EB46E7">
              <w:rPr>
                <w:noProof/>
                <w:webHidden/>
              </w:rPr>
              <w:t>11</w:t>
            </w:r>
            <w:r w:rsidR="00EB46E7">
              <w:rPr>
                <w:noProof/>
                <w:webHidden/>
              </w:rPr>
              <w:fldChar w:fldCharType="end"/>
            </w:r>
          </w:hyperlink>
        </w:p>
        <w:p w14:paraId="4AFBD34D" w14:textId="77777777" w:rsidR="00EB46E7" w:rsidRDefault="00022C61">
          <w:pPr>
            <w:pStyle w:val="Innehll1"/>
            <w:tabs>
              <w:tab w:val="left" w:pos="660"/>
              <w:tab w:val="right" w:leader="dot" w:pos="9062"/>
            </w:tabs>
            <w:rPr>
              <w:rFonts w:asciiTheme="minorHAnsi" w:eastAsiaTheme="minorEastAsia" w:hAnsiTheme="minorHAnsi" w:cstheme="minorBidi"/>
              <w:noProof/>
              <w:lang w:eastAsia="sv-SE"/>
            </w:rPr>
          </w:pPr>
          <w:hyperlink w:anchor="_Toc420488060" w:history="1">
            <w:r w:rsidR="00EB46E7" w:rsidRPr="00C30A93">
              <w:rPr>
                <w:rStyle w:val="Hyperlnk"/>
                <w:noProof/>
              </w:rPr>
              <w:t>17.</w:t>
            </w:r>
            <w:r w:rsidR="00EB46E7">
              <w:rPr>
                <w:rFonts w:asciiTheme="minorHAnsi" w:eastAsiaTheme="minorEastAsia" w:hAnsiTheme="minorHAnsi" w:cstheme="minorBidi"/>
                <w:noProof/>
                <w:lang w:eastAsia="sv-SE"/>
              </w:rPr>
              <w:tab/>
            </w:r>
            <w:r w:rsidR="00EB46E7" w:rsidRPr="00C30A93">
              <w:rPr>
                <w:rStyle w:val="Hyperlnk"/>
                <w:noProof/>
              </w:rPr>
              <w:t>Council Decision amending Joint Action 2008/124/CFSP on the European Union Rule of Law Mission in Kosovo (EULEX KOSOVO)</w:t>
            </w:r>
            <w:r w:rsidR="00EB46E7">
              <w:rPr>
                <w:noProof/>
                <w:webHidden/>
              </w:rPr>
              <w:tab/>
            </w:r>
            <w:r w:rsidR="00EB46E7">
              <w:rPr>
                <w:noProof/>
                <w:webHidden/>
              </w:rPr>
              <w:fldChar w:fldCharType="begin"/>
            </w:r>
            <w:r w:rsidR="00EB46E7">
              <w:rPr>
                <w:noProof/>
                <w:webHidden/>
              </w:rPr>
              <w:instrText xml:space="preserve"> PAGEREF _Toc420488060 \h </w:instrText>
            </w:r>
            <w:r w:rsidR="00EB46E7">
              <w:rPr>
                <w:noProof/>
                <w:webHidden/>
              </w:rPr>
            </w:r>
            <w:r w:rsidR="00EB46E7">
              <w:rPr>
                <w:noProof/>
                <w:webHidden/>
              </w:rPr>
              <w:fldChar w:fldCharType="separate"/>
            </w:r>
            <w:r w:rsidR="00EB46E7">
              <w:rPr>
                <w:noProof/>
                <w:webHidden/>
              </w:rPr>
              <w:t>11</w:t>
            </w:r>
            <w:r w:rsidR="00EB46E7">
              <w:rPr>
                <w:noProof/>
                <w:webHidden/>
              </w:rPr>
              <w:fldChar w:fldCharType="end"/>
            </w:r>
          </w:hyperlink>
        </w:p>
        <w:p w14:paraId="39E5FD1A" w14:textId="77777777" w:rsidR="00EB46E7" w:rsidRDefault="00022C61">
          <w:pPr>
            <w:pStyle w:val="Innehll1"/>
            <w:tabs>
              <w:tab w:val="left" w:pos="660"/>
              <w:tab w:val="right" w:leader="dot" w:pos="9062"/>
            </w:tabs>
            <w:rPr>
              <w:rFonts w:asciiTheme="minorHAnsi" w:eastAsiaTheme="minorEastAsia" w:hAnsiTheme="minorHAnsi" w:cstheme="minorBidi"/>
              <w:noProof/>
              <w:lang w:eastAsia="sv-SE"/>
            </w:rPr>
          </w:pPr>
          <w:hyperlink w:anchor="_Toc420488061" w:history="1">
            <w:r w:rsidR="00EB46E7" w:rsidRPr="00C30A93">
              <w:rPr>
                <w:rStyle w:val="Hyperlnk"/>
                <w:noProof/>
              </w:rPr>
              <w:t>18.</w:t>
            </w:r>
            <w:r w:rsidR="00EB46E7">
              <w:rPr>
                <w:rFonts w:asciiTheme="minorHAnsi" w:eastAsiaTheme="minorEastAsia" w:hAnsiTheme="minorHAnsi" w:cstheme="minorBidi"/>
                <w:noProof/>
                <w:lang w:eastAsia="sv-SE"/>
              </w:rPr>
              <w:tab/>
            </w:r>
            <w:r w:rsidR="00EB46E7" w:rsidRPr="00C30A93">
              <w:rPr>
                <w:rStyle w:val="Hyperlnk"/>
                <w:noProof/>
              </w:rPr>
              <w:t>Council Implementing Decision implementing Decision 2012/642/CFSP concerning restrictive measures against Belarus –Council Implementing Regulation implementing Regulation (EC) No 765/2006 concerning restrictive measures in respect of Belarus</w:t>
            </w:r>
            <w:r w:rsidR="00EB46E7">
              <w:rPr>
                <w:noProof/>
                <w:webHidden/>
              </w:rPr>
              <w:tab/>
            </w:r>
            <w:r w:rsidR="00EB46E7">
              <w:rPr>
                <w:noProof/>
                <w:webHidden/>
              </w:rPr>
              <w:fldChar w:fldCharType="begin"/>
            </w:r>
            <w:r w:rsidR="00EB46E7">
              <w:rPr>
                <w:noProof/>
                <w:webHidden/>
              </w:rPr>
              <w:instrText xml:space="preserve"> PAGEREF _Toc420488061 \h </w:instrText>
            </w:r>
            <w:r w:rsidR="00EB46E7">
              <w:rPr>
                <w:noProof/>
                <w:webHidden/>
              </w:rPr>
            </w:r>
            <w:r w:rsidR="00EB46E7">
              <w:rPr>
                <w:noProof/>
                <w:webHidden/>
              </w:rPr>
              <w:fldChar w:fldCharType="separate"/>
            </w:r>
            <w:r w:rsidR="00EB46E7">
              <w:rPr>
                <w:noProof/>
                <w:webHidden/>
              </w:rPr>
              <w:t>12</w:t>
            </w:r>
            <w:r w:rsidR="00EB46E7">
              <w:rPr>
                <w:noProof/>
                <w:webHidden/>
              </w:rPr>
              <w:fldChar w:fldCharType="end"/>
            </w:r>
          </w:hyperlink>
        </w:p>
        <w:p w14:paraId="18303DEF" w14:textId="77777777" w:rsidR="00D957FB" w:rsidRDefault="00EB46E7">
          <w:r>
            <w:rPr>
              <w:b/>
              <w:bCs/>
              <w:noProof/>
            </w:rPr>
            <w:fldChar w:fldCharType="end"/>
          </w:r>
        </w:p>
      </w:sdtContent>
    </w:sdt>
    <w:p w14:paraId="18303DF0" w14:textId="77777777" w:rsidR="00D957FB" w:rsidRDefault="00EB46E7">
      <w:pPr>
        <w:ind w:left="0"/>
      </w:pPr>
      <w:r>
        <w:br w:type="page"/>
      </w:r>
    </w:p>
    <w:p w14:paraId="18303DF1" w14:textId="77777777" w:rsidR="00643D86" w:rsidRDefault="00022C61" w:rsidP="00643D86">
      <w:pPr>
        <w:pStyle w:val="Rubrik1"/>
        <w:numPr>
          <w:ilvl w:val="0"/>
          <w:numId w:val="0"/>
        </w:numPr>
      </w:pPr>
      <w:bookmarkStart w:id="1" w:name="_Toc364854645"/>
    </w:p>
    <w:p w14:paraId="18303DF2" w14:textId="77777777" w:rsidR="00643D86" w:rsidRDefault="00EB46E7" w:rsidP="00643D86">
      <w:pPr>
        <w:pStyle w:val="Rubrik1"/>
      </w:pPr>
      <w:bookmarkStart w:id="2" w:name="_Toc420488044"/>
      <w:r>
        <w:rPr>
          <w:noProof/>
        </w:rPr>
        <w:t>Case before the Court of Justice</w:t>
      </w:r>
      <w:r>
        <w:rPr>
          <w:noProof/>
        </w:rPr>
        <w:br/>
        <w:t>Case C -193/15 P, appeal by Mr. Tarif Akhras against the judgment of 12 February 2015 by the General Court (Seventh Chamber) in Case T-579/11</w:t>
      </w:r>
      <w:bookmarkEnd w:id="2"/>
    </w:p>
    <w:p w14:paraId="18303DF3" w14:textId="71B67E0F" w:rsidR="00643D86" w:rsidRDefault="00EB46E7" w:rsidP="00643D86">
      <w:pPr>
        <w:rPr>
          <w:lang w:val="en-US"/>
        </w:rPr>
      </w:pPr>
      <w:r>
        <w:rPr>
          <w:noProof/>
          <w:lang w:val="en-US"/>
        </w:rPr>
        <w:t>9060</w:t>
      </w:r>
      <w:r>
        <w:rPr>
          <w:lang w:val="en-US"/>
        </w:rPr>
        <w:t>/15 JUR 323 RELEX 393</w:t>
      </w:r>
    </w:p>
    <w:p w14:paraId="18303DF4" w14:textId="77777777" w:rsidR="00643D86" w:rsidRDefault="00EB46E7" w:rsidP="00643D86">
      <w:r>
        <w:rPr>
          <w:b/>
        </w:rPr>
        <w:t>Ansvarigt statsråd</w:t>
      </w:r>
      <w:r>
        <w:rPr>
          <w:b/>
        </w:rPr>
        <w:br/>
      </w:r>
      <w:r>
        <w:rPr>
          <w:noProof/>
        </w:rPr>
        <w:t>Margot Wallström</w:t>
      </w:r>
    </w:p>
    <w:p w14:paraId="18303DF7" w14:textId="77777777" w:rsidR="00643D86" w:rsidRDefault="00EB46E7" w:rsidP="00643D86">
      <w:r w:rsidRPr="00B44CE2">
        <w:rPr>
          <w:b/>
        </w:rPr>
        <w:t>Annotering</w:t>
      </w:r>
      <w:r>
        <w:rPr>
          <w:b/>
        </w:rPr>
        <w:br/>
      </w:r>
      <w:r>
        <w:rPr>
          <w:b/>
          <w:bCs/>
        </w:rPr>
        <w:t xml:space="preserve">Avsikt med behandlingen i rådet: </w:t>
      </w:r>
      <w:r>
        <w:t xml:space="preserve">Information om ett mål i EU-domstolen där rådet har utsett ombud.  </w:t>
      </w:r>
    </w:p>
    <w:p w14:paraId="18303DF8" w14:textId="77777777" w:rsidR="00A66AA5" w:rsidRDefault="00EB46E7">
      <w:pPr>
        <w:spacing w:after="280" w:afterAutospacing="1"/>
      </w:pPr>
      <w:r>
        <w:rPr>
          <w:b/>
          <w:bCs/>
        </w:rPr>
        <w:t>Hur regeringen ställer sig till den blivande A-punkten:</w:t>
      </w:r>
      <w:r>
        <w:t xml:space="preserve"> Regeringen har ingen erinran mot denna informationspunkt. </w:t>
      </w:r>
    </w:p>
    <w:p w14:paraId="18303DFA" w14:textId="13C61FD5" w:rsidR="00FB32B9" w:rsidRDefault="00EB46E7">
      <w:pPr>
        <w:spacing w:after="280" w:afterAutospacing="1"/>
        <w:rPr>
          <w:noProof/>
        </w:rPr>
      </w:pPr>
      <w:r>
        <w:rPr>
          <w:b/>
          <w:bCs/>
        </w:rPr>
        <w:t xml:space="preserve">Bakgrund: </w:t>
      </w:r>
      <w:r>
        <w:t>Målet är överklagat från tribunalen och rör en ogiltighetstalan avseende rådets beslut 2011/522/GUSP, rådets förordning (EU) 878/2011, rådets beslut 2011/628/GUSP och rådets förordning (EU) 1011/2011, avseende restriktiva åtgärder mot Syrien, i de delar som dessa avser sökanden.</w:t>
      </w:r>
    </w:p>
    <w:p w14:paraId="18303DFB" w14:textId="77777777" w:rsidR="00643D86" w:rsidRDefault="00EB46E7" w:rsidP="00643D86">
      <w:pPr>
        <w:pStyle w:val="Rubrik1"/>
      </w:pPr>
      <w:bookmarkStart w:id="3" w:name="_Toc420488045"/>
      <w:r>
        <w:rPr>
          <w:noProof/>
        </w:rPr>
        <w:t>Case before the Court of Justice (Opinion 1/15)</w:t>
      </w:r>
      <w:r>
        <w:rPr>
          <w:noProof/>
        </w:rPr>
        <w:br/>
        <w:t>–Request by the European Parliament for an opinion pursuant to Article 218(11) TFEU on the compatibility with the treaties of the proposed agreement between Canada and the European Union on the transfer and processing of Passenger Name Record data"</w:t>
      </w:r>
      <w:bookmarkEnd w:id="3"/>
    </w:p>
    <w:p w14:paraId="18303DFC" w14:textId="4145F4EA" w:rsidR="00643D86" w:rsidRDefault="00EB46E7" w:rsidP="00643D86">
      <w:pPr>
        <w:rPr>
          <w:lang w:val="en-US"/>
        </w:rPr>
      </w:pPr>
      <w:r>
        <w:rPr>
          <w:noProof/>
          <w:lang w:val="en-US"/>
        </w:rPr>
        <w:t>9161</w:t>
      </w:r>
      <w:r>
        <w:rPr>
          <w:lang w:val="en-US"/>
        </w:rPr>
        <w:t>/15 JUR 331 JAI 349 DATAPROTECT 87 AVIATION 57 RELEX 419 CDN 4</w:t>
      </w:r>
    </w:p>
    <w:p w14:paraId="18303DFD" w14:textId="77777777" w:rsidR="00643D86" w:rsidRDefault="00EB46E7" w:rsidP="00643D86">
      <w:r>
        <w:rPr>
          <w:b/>
        </w:rPr>
        <w:t>Ansvarigt statsråd</w:t>
      </w:r>
      <w:r>
        <w:rPr>
          <w:b/>
        </w:rPr>
        <w:br/>
      </w:r>
      <w:r>
        <w:rPr>
          <w:noProof/>
        </w:rPr>
        <w:t>Margot Wallström</w:t>
      </w:r>
    </w:p>
    <w:p w14:paraId="18303E00" w14:textId="77777777" w:rsidR="00643D86" w:rsidRDefault="00EB46E7" w:rsidP="00643D86">
      <w:r w:rsidRPr="00B44CE2">
        <w:rPr>
          <w:b/>
        </w:rPr>
        <w:t>Annotering</w:t>
      </w:r>
      <w:r>
        <w:rPr>
          <w:b/>
        </w:rPr>
        <w:br/>
      </w:r>
      <w:r>
        <w:rPr>
          <w:b/>
          <w:bCs/>
        </w:rPr>
        <w:t>Avsikt med behandlingen i rådet:</w:t>
      </w:r>
      <w:r>
        <w:t xml:space="preserve"> Information om ett mål vid EU-domstolen där rådet har utsett ombud.  </w:t>
      </w:r>
    </w:p>
    <w:p w14:paraId="18303E01" w14:textId="77777777" w:rsidR="00A66AA5" w:rsidRDefault="00EB46E7">
      <w:pPr>
        <w:spacing w:after="280" w:afterAutospacing="1"/>
      </w:pPr>
      <w:r>
        <w:rPr>
          <w:b/>
          <w:bCs/>
        </w:rPr>
        <w:t>Hur regeringen ställer sig till den blivande A-punkten:</w:t>
      </w:r>
      <w:r>
        <w:t xml:space="preserve"> Regeringen har ingen erinran mot denna informationspunkt. </w:t>
      </w:r>
    </w:p>
    <w:p w14:paraId="18303E03" w14:textId="0FB6DEE6" w:rsidR="00FB32B9" w:rsidRDefault="00EB46E7">
      <w:pPr>
        <w:spacing w:after="280" w:afterAutospacing="1"/>
        <w:rPr>
          <w:noProof/>
        </w:rPr>
      </w:pPr>
      <w:r>
        <w:rPr>
          <w:b/>
          <w:bCs/>
        </w:rPr>
        <w:t>Bakgrund:</w:t>
      </w:r>
      <w:r>
        <w:t xml:space="preserve"> I målet har Europaparlamentet, i enlighet med 218.11 EUF-fördraget, begärt EU-domstolens yttrande över det planerade avtalet mellan EU och Kanada om överföring och behandling av  passageraruppgifter. Europaparlamentet frågar huruvida det planerade avtalet är förenligt med fördragen och EU:s stadga samt om artiklarna 82.1 d och 87.2 a i EUF-fördraget utgör en lämplig rättslig grund för avtalet eller om detta bör grunda sig på artikel 16 i EUF-fördraget. </w:t>
      </w:r>
    </w:p>
    <w:p w14:paraId="18303E04" w14:textId="77777777" w:rsidR="00643D86" w:rsidRDefault="00EB46E7" w:rsidP="00643D86">
      <w:pPr>
        <w:pStyle w:val="Rubrik1"/>
      </w:pPr>
      <w:bookmarkStart w:id="4" w:name="_Toc420488046"/>
      <w:r>
        <w:rPr>
          <w:noProof/>
        </w:rPr>
        <w:lastRenderedPageBreak/>
        <w:t>Cases before the General Court of the European Union</w:t>
      </w:r>
      <w:r>
        <w:rPr>
          <w:noProof/>
        </w:rPr>
        <w:br/>
        <w:t>Cases T-207/15 and T-207/15 R (Iranian Tanker Company v. Council of the European Union)</w:t>
      </w:r>
      <w:bookmarkEnd w:id="4"/>
    </w:p>
    <w:p w14:paraId="18303E05" w14:textId="4E224F96" w:rsidR="00643D86" w:rsidRDefault="00EB46E7" w:rsidP="00643D86">
      <w:pPr>
        <w:rPr>
          <w:lang w:val="en-US"/>
        </w:rPr>
      </w:pPr>
      <w:r>
        <w:rPr>
          <w:noProof/>
          <w:lang w:val="en-US"/>
        </w:rPr>
        <w:t>9058</w:t>
      </w:r>
      <w:r>
        <w:rPr>
          <w:lang w:val="en-US"/>
        </w:rPr>
        <w:t>/15 JUR 322 RELEX 392 CONOP 37 CFSP/PESC 173</w:t>
      </w:r>
    </w:p>
    <w:p w14:paraId="18303E06" w14:textId="77777777" w:rsidR="00643D86" w:rsidRDefault="00EB46E7" w:rsidP="00643D86">
      <w:r>
        <w:rPr>
          <w:b/>
        </w:rPr>
        <w:t>Ansvarigt statsråd</w:t>
      </w:r>
      <w:r>
        <w:rPr>
          <w:b/>
        </w:rPr>
        <w:br/>
      </w:r>
      <w:r>
        <w:rPr>
          <w:noProof/>
        </w:rPr>
        <w:t>Margot Wallström</w:t>
      </w:r>
    </w:p>
    <w:p w14:paraId="18303E0A" w14:textId="3061033C" w:rsidR="00A66AA5" w:rsidRDefault="00EB46E7" w:rsidP="00E175CC">
      <w:r w:rsidRPr="00B44CE2">
        <w:rPr>
          <w:b/>
        </w:rPr>
        <w:t>Annotering</w:t>
      </w:r>
      <w:r>
        <w:rPr>
          <w:b/>
        </w:rPr>
        <w:br/>
      </w:r>
      <w:r>
        <w:rPr>
          <w:b/>
          <w:bCs/>
        </w:rPr>
        <w:t>Avsikt med behandlingen i rådet:</w:t>
      </w:r>
      <w:r>
        <w:t xml:space="preserve"> Information om ett mål i tribunalen där rådet är svarande och har yttrat sig över ett yrkande om interimistiska åtgärder. </w:t>
      </w:r>
    </w:p>
    <w:p w14:paraId="18303E0B" w14:textId="77777777" w:rsidR="00A66AA5" w:rsidRDefault="00EB46E7">
      <w:pPr>
        <w:spacing w:after="280" w:afterAutospacing="1"/>
      </w:pPr>
      <w:r>
        <w:rPr>
          <w:b/>
          <w:bCs/>
        </w:rPr>
        <w:t>Hur regeringen ställer sig till den blivande A-punkten:</w:t>
      </w:r>
      <w:r>
        <w:t xml:space="preserve"> Regeringen har ingen erinran mot denna informationspunkt. </w:t>
      </w:r>
    </w:p>
    <w:p w14:paraId="18303E0E" w14:textId="7C2BD6FD" w:rsidR="00FB32B9" w:rsidRDefault="00EB46E7">
      <w:pPr>
        <w:spacing w:after="280" w:afterAutospacing="1"/>
        <w:rPr>
          <w:noProof/>
        </w:rPr>
      </w:pPr>
      <w:r>
        <w:rPr>
          <w:b/>
          <w:bCs/>
        </w:rPr>
        <w:t>Bakgrund:</w:t>
      </w:r>
      <w:r>
        <w:t xml:space="preserve"> Målet rör en ogiltighetstalan mot rådets beslut 2015/236/GUSP, om ändring av beslut 2010/413/GUSP om restriktiva åtgärder mot Iran, och rådets genomförandeförordning (EU) 2015/230 av den 12 februari 2015 om genomförande av förordning (EU) nr 267/2012 om restriktiva åtgärder mot Iran, i de delar dessa avser sökanden.</w:t>
      </w:r>
    </w:p>
    <w:p w14:paraId="18303E0F" w14:textId="77777777" w:rsidR="00643D86" w:rsidRDefault="00EB46E7" w:rsidP="00643D86">
      <w:pPr>
        <w:pStyle w:val="Rubrik1"/>
      </w:pPr>
      <w:bookmarkStart w:id="5" w:name="_Toc420488047"/>
      <w:r>
        <w:rPr>
          <w:noProof/>
        </w:rPr>
        <w:t>Case before the General Court of the European Union</w:t>
      </w:r>
      <w:r>
        <w:rPr>
          <w:noProof/>
        </w:rPr>
        <w:br/>
        <w:t>Case T-154/15 (Aiman Jaber v. Council of the European Union)</w:t>
      </w:r>
      <w:bookmarkEnd w:id="5"/>
    </w:p>
    <w:p w14:paraId="18303E10" w14:textId="72CDADA8" w:rsidR="00643D86" w:rsidRDefault="00EB46E7" w:rsidP="00643D86">
      <w:pPr>
        <w:rPr>
          <w:lang w:val="en-US"/>
        </w:rPr>
      </w:pPr>
      <w:r>
        <w:rPr>
          <w:noProof/>
          <w:lang w:val="en-US"/>
        </w:rPr>
        <w:t>9072</w:t>
      </w:r>
      <w:r>
        <w:rPr>
          <w:lang w:val="en-US"/>
        </w:rPr>
        <w:t>/15 JUR 325 RELEX 397 MOG 22 CONOP 38 CFSP/PESC 176</w:t>
      </w:r>
    </w:p>
    <w:p w14:paraId="18303E11" w14:textId="77777777" w:rsidR="00643D86" w:rsidRDefault="00EB46E7" w:rsidP="00643D86">
      <w:r>
        <w:rPr>
          <w:b/>
        </w:rPr>
        <w:t>Ansvarigt statsråd</w:t>
      </w:r>
      <w:r>
        <w:rPr>
          <w:b/>
        </w:rPr>
        <w:br/>
      </w:r>
      <w:r>
        <w:rPr>
          <w:noProof/>
        </w:rPr>
        <w:t>Margot Wallström</w:t>
      </w:r>
    </w:p>
    <w:p w14:paraId="18303E14" w14:textId="32B1A6F1" w:rsidR="00643D86" w:rsidRDefault="00EB46E7" w:rsidP="00643D86">
      <w:r w:rsidRPr="00B44CE2">
        <w:rPr>
          <w:b/>
        </w:rPr>
        <w:t>Annotering</w:t>
      </w:r>
      <w:r>
        <w:rPr>
          <w:b/>
        </w:rPr>
        <w:br/>
      </w:r>
      <w:r>
        <w:rPr>
          <w:b/>
          <w:bCs/>
        </w:rPr>
        <w:t xml:space="preserve">Avsikt </w:t>
      </w:r>
      <w:r w:rsidR="00E175CC" w:rsidRPr="00E175CC">
        <w:rPr>
          <w:b/>
        </w:rPr>
        <w:t>m</w:t>
      </w:r>
      <w:r w:rsidRPr="00E175CC">
        <w:rPr>
          <w:b/>
        </w:rPr>
        <w:t>ed</w:t>
      </w:r>
      <w:r>
        <w:rPr>
          <w:b/>
          <w:bCs/>
        </w:rPr>
        <w:t xml:space="preserve"> behandlingen i rådet:</w:t>
      </w:r>
      <w:r>
        <w:t xml:space="preserve"> Information om ett mål vid tribunalen där rådet har utsett ombud.  </w:t>
      </w:r>
    </w:p>
    <w:p w14:paraId="18303E15" w14:textId="77777777" w:rsidR="00A66AA5" w:rsidRDefault="00EB46E7">
      <w:pPr>
        <w:spacing w:after="280" w:afterAutospacing="1"/>
      </w:pPr>
      <w:r>
        <w:rPr>
          <w:b/>
          <w:bCs/>
        </w:rPr>
        <w:t>Hur regeringen ställer sig till den blivande A-punkten:</w:t>
      </w:r>
      <w:r>
        <w:t xml:space="preserve"> Regeringen har ingen erinran mot denna informationspunkt. </w:t>
      </w:r>
    </w:p>
    <w:p w14:paraId="18303E17" w14:textId="2B72E3D2" w:rsidR="00FB32B9" w:rsidRDefault="00EB46E7">
      <w:pPr>
        <w:spacing w:after="280" w:afterAutospacing="1"/>
        <w:rPr>
          <w:noProof/>
        </w:rPr>
      </w:pPr>
      <w:r>
        <w:rPr>
          <w:b/>
          <w:bCs/>
        </w:rPr>
        <w:t xml:space="preserve">Bakgrund: </w:t>
      </w:r>
      <w:r>
        <w:t>Målet rör en ogiltighetstalan mot rådets genomförandeförordning (EU) 2015/108 av den 26 januari 2015 om genomförande av förordning (EU) nr 36/2012 om restriktiva åtgärder med hänsyn till situationen i Syrien och rådets genomförandebeslut (GUSP) 2015/117 av den 26 januari 2015 om genomförande av beslut 2013/255/GUSP om restriktiva åtgärder mot Syrien, i de delar dessa avser sökanden.</w:t>
      </w:r>
    </w:p>
    <w:p w14:paraId="18303E18" w14:textId="77777777" w:rsidR="00643D86" w:rsidRDefault="00EB46E7" w:rsidP="00643D86">
      <w:pPr>
        <w:pStyle w:val="Rubrik1"/>
      </w:pPr>
      <w:bookmarkStart w:id="6" w:name="_Toc420488048"/>
      <w:r>
        <w:rPr>
          <w:noProof/>
        </w:rPr>
        <w:t>Case before the General Court of the European Union</w:t>
      </w:r>
      <w:r>
        <w:rPr>
          <w:noProof/>
        </w:rPr>
        <w:br/>
        <w:t>Case T-153/15 (Mohamad Hamcho et Hamcho International v. Council of the European Union)</w:t>
      </w:r>
      <w:bookmarkEnd w:id="6"/>
    </w:p>
    <w:p w14:paraId="18303E19" w14:textId="5644FA08" w:rsidR="00643D86" w:rsidRDefault="00EB46E7" w:rsidP="00643D86">
      <w:pPr>
        <w:rPr>
          <w:lang w:val="en-US"/>
        </w:rPr>
      </w:pPr>
      <w:r>
        <w:rPr>
          <w:noProof/>
          <w:lang w:val="en-US"/>
        </w:rPr>
        <w:t>9085</w:t>
      </w:r>
      <w:r>
        <w:rPr>
          <w:lang w:val="en-US"/>
        </w:rPr>
        <w:t>/15 JUR 326 RELEX 401 MOG 23 CONOP 39 CFSP/PESC 178</w:t>
      </w:r>
    </w:p>
    <w:p w14:paraId="18303E1A" w14:textId="77777777" w:rsidR="00643D86" w:rsidRDefault="00EB46E7" w:rsidP="00643D86">
      <w:r>
        <w:rPr>
          <w:b/>
        </w:rPr>
        <w:t>Ansvarigt statsråd</w:t>
      </w:r>
      <w:r>
        <w:rPr>
          <w:b/>
        </w:rPr>
        <w:br/>
      </w:r>
      <w:r>
        <w:rPr>
          <w:noProof/>
        </w:rPr>
        <w:t>Margot Wallström</w:t>
      </w:r>
    </w:p>
    <w:p w14:paraId="18303E1D" w14:textId="77777777" w:rsidR="00643D86" w:rsidRDefault="00EB46E7" w:rsidP="00643D86">
      <w:r w:rsidRPr="00B44CE2">
        <w:rPr>
          <w:b/>
        </w:rPr>
        <w:t>Annotering</w:t>
      </w:r>
      <w:r>
        <w:rPr>
          <w:b/>
        </w:rPr>
        <w:br/>
      </w:r>
      <w:r>
        <w:rPr>
          <w:b/>
          <w:bCs/>
        </w:rPr>
        <w:t>Avsikt med behandlingen i rådet:</w:t>
      </w:r>
      <w:r>
        <w:t xml:space="preserve"> Information om ett mål vid tribunalen där rådet har utsett ombud. </w:t>
      </w:r>
    </w:p>
    <w:p w14:paraId="18303E1E" w14:textId="77777777" w:rsidR="00A66AA5" w:rsidRDefault="00EB46E7">
      <w:pPr>
        <w:spacing w:after="280" w:afterAutospacing="1"/>
      </w:pPr>
      <w:r>
        <w:rPr>
          <w:b/>
          <w:bCs/>
        </w:rPr>
        <w:t>Hur regeringen ställer sig till den blivande A-punkten:</w:t>
      </w:r>
      <w:r>
        <w:t xml:space="preserve"> Regeringen har ingen erinran mot denna informationspunkt. </w:t>
      </w:r>
    </w:p>
    <w:p w14:paraId="18303E20" w14:textId="509C08E4" w:rsidR="00FB32B9" w:rsidRDefault="00EB46E7">
      <w:pPr>
        <w:spacing w:after="280" w:afterAutospacing="1"/>
        <w:rPr>
          <w:noProof/>
        </w:rPr>
      </w:pPr>
      <w:r>
        <w:rPr>
          <w:b/>
          <w:bCs/>
        </w:rPr>
        <w:t xml:space="preserve">Bakgrund: </w:t>
      </w:r>
      <w:r>
        <w:t>Målet rör en ogiltighetstalan mot rådets genomförandeförordning (EU) 2015/108 av den 26 januari 2015 om genomförande av förordning (EU) nr 36/2012 om restriktiva åtgärder med hänsyn till situationen i Syrien och rådets genomförandebeslut (GUSP) 2015/117 av den 26 januari 2015 om genomförande av beslut 2013/255/GUSP om restriktiva åtgärder mot Syrien, i de delar dessa avser sökanden.</w:t>
      </w:r>
    </w:p>
    <w:p w14:paraId="18303E21" w14:textId="77777777" w:rsidR="00643D86" w:rsidRDefault="00EB46E7" w:rsidP="00643D86">
      <w:pPr>
        <w:pStyle w:val="Rubrik1"/>
      </w:pPr>
      <w:bookmarkStart w:id="7" w:name="_Toc420488049"/>
      <w:r>
        <w:rPr>
          <w:noProof/>
        </w:rPr>
        <w:t>Case before the General Court of the European Union</w:t>
      </w:r>
      <w:r>
        <w:rPr>
          <w:noProof/>
        </w:rPr>
        <w:br/>
        <w:t>Case T-155/15 (Khaled KADDOUR v. Council of the European Union)</w:t>
      </w:r>
      <w:bookmarkEnd w:id="7"/>
    </w:p>
    <w:p w14:paraId="18303E22" w14:textId="6960AC13" w:rsidR="00643D86" w:rsidRDefault="00EB46E7" w:rsidP="00643D86">
      <w:pPr>
        <w:rPr>
          <w:lang w:val="en-US"/>
        </w:rPr>
      </w:pPr>
      <w:r>
        <w:rPr>
          <w:noProof/>
          <w:lang w:val="en-US"/>
        </w:rPr>
        <w:t>9086</w:t>
      </w:r>
      <w:r>
        <w:rPr>
          <w:lang w:val="en-US"/>
        </w:rPr>
        <w:t>/15 JUR 327 RELEX 402 MOG 24 CONOP 40 CFSP/PESC 179</w:t>
      </w:r>
    </w:p>
    <w:p w14:paraId="18303E23" w14:textId="77777777" w:rsidR="00643D86" w:rsidRDefault="00EB46E7" w:rsidP="00643D86">
      <w:r>
        <w:rPr>
          <w:b/>
        </w:rPr>
        <w:t>Ansvarigt statsråd</w:t>
      </w:r>
      <w:r>
        <w:rPr>
          <w:b/>
        </w:rPr>
        <w:br/>
      </w:r>
      <w:r>
        <w:rPr>
          <w:noProof/>
        </w:rPr>
        <w:t>Margot Wallström</w:t>
      </w:r>
    </w:p>
    <w:p w14:paraId="18303E26" w14:textId="77777777" w:rsidR="00643D86" w:rsidRDefault="00EB46E7" w:rsidP="00643D86">
      <w:r w:rsidRPr="00B44CE2">
        <w:rPr>
          <w:b/>
        </w:rPr>
        <w:t>Annotering</w:t>
      </w:r>
      <w:r>
        <w:rPr>
          <w:b/>
        </w:rPr>
        <w:br/>
      </w:r>
      <w:r>
        <w:rPr>
          <w:b/>
          <w:bCs/>
        </w:rPr>
        <w:t>Avsikt med behandlingen i rådet:</w:t>
      </w:r>
      <w:r>
        <w:t xml:space="preserve"> Information om ett mål vid tribunalen där rådet har utsett ombud.  </w:t>
      </w:r>
    </w:p>
    <w:p w14:paraId="18303E27" w14:textId="77777777" w:rsidR="00A66AA5" w:rsidRDefault="00EB46E7">
      <w:pPr>
        <w:spacing w:after="280" w:afterAutospacing="1"/>
      </w:pPr>
      <w:r>
        <w:rPr>
          <w:b/>
          <w:bCs/>
        </w:rPr>
        <w:t>Hur regeringen ställer sig till den blivande A-punkten:</w:t>
      </w:r>
      <w:r>
        <w:t xml:space="preserve"> Regeringen har ingen erinran mot denna informationspunkt.  </w:t>
      </w:r>
    </w:p>
    <w:p w14:paraId="18303E29" w14:textId="3527280E" w:rsidR="00FB32B9" w:rsidRDefault="00EB46E7">
      <w:pPr>
        <w:spacing w:after="280" w:afterAutospacing="1"/>
        <w:rPr>
          <w:noProof/>
        </w:rPr>
      </w:pPr>
      <w:r>
        <w:rPr>
          <w:b/>
          <w:bCs/>
        </w:rPr>
        <w:t>Bakgrund:</w:t>
      </w:r>
      <w:r>
        <w:t xml:space="preserve"> Målet rör en ogiltighetstalan mot rådets genomförandeförordning (EU) 2015/108 av den 26 januari 2015 om genomförande av förordning (EU) nr 36/2012 om restriktiva åtgärder med hänsyn till situationen i Syrien och rådets genomförandebeslut (GUSP) 2015/117 av den 26 januari 2015 om genomförande av beslut 2013/255/GUSP om restriktiva åtgärder mot Syrien, i de delar dessa avser sökanden.</w:t>
      </w:r>
    </w:p>
    <w:p w14:paraId="18303E2A" w14:textId="77777777" w:rsidR="00643D86" w:rsidRDefault="00EB46E7" w:rsidP="00643D86">
      <w:pPr>
        <w:pStyle w:val="Rubrik1"/>
      </w:pPr>
      <w:bookmarkStart w:id="8" w:name="_Toc420488050"/>
      <w:r>
        <w:rPr>
          <w:noProof/>
        </w:rPr>
        <w:t>Appointment of an official to a post of Director-General at the General Secretariat of the Council</w:t>
      </w:r>
      <w:bookmarkEnd w:id="8"/>
    </w:p>
    <w:p w14:paraId="18303E2B" w14:textId="1D4F81E6" w:rsidR="00643D86" w:rsidRDefault="00EB46E7" w:rsidP="00643D86">
      <w:pPr>
        <w:rPr>
          <w:lang w:val="en-US"/>
        </w:rPr>
      </w:pPr>
      <w:r>
        <w:rPr>
          <w:noProof/>
          <w:lang w:val="en-US"/>
        </w:rPr>
        <w:t>9150</w:t>
      </w:r>
      <w:r>
        <w:rPr>
          <w:lang w:val="en-US"/>
        </w:rPr>
        <w:t>/15 STAT 8 FIN 381</w:t>
      </w:r>
    </w:p>
    <w:p w14:paraId="18303E2C" w14:textId="77777777" w:rsidR="00643D86" w:rsidRDefault="00EB46E7" w:rsidP="00643D86">
      <w:r>
        <w:rPr>
          <w:b/>
        </w:rPr>
        <w:t>Ansvarigt statsråd</w:t>
      </w:r>
      <w:r>
        <w:rPr>
          <w:b/>
        </w:rPr>
        <w:br/>
      </w:r>
      <w:r>
        <w:rPr>
          <w:noProof/>
        </w:rPr>
        <w:t>Stefan Löfven</w:t>
      </w:r>
    </w:p>
    <w:p w14:paraId="18303E2F" w14:textId="77777777" w:rsidR="00643D86" w:rsidRDefault="00EB46E7" w:rsidP="00643D86">
      <w:r w:rsidRPr="00B44CE2">
        <w:rPr>
          <w:b/>
        </w:rPr>
        <w:t>Annotering</w:t>
      </w:r>
      <w:r>
        <w:rPr>
          <w:b/>
        </w:rPr>
        <w:br/>
      </w:r>
      <w:r>
        <w:t>Föranleder ingen annotering.</w:t>
      </w:r>
    </w:p>
    <w:p w14:paraId="18303E30" w14:textId="77777777" w:rsidR="00643D86" w:rsidRDefault="00EB46E7" w:rsidP="00643D86">
      <w:pPr>
        <w:pStyle w:val="Rubrik1"/>
      </w:pPr>
      <w:bookmarkStart w:id="9" w:name="_Toc420488051"/>
      <w:r>
        <w:rPr>
          <w:noProof/>
        </w:rPr>
        <w:t>Payment plan 2015-2016</w:t>
      </w:r>
      <w:bookmarkEnd w:id="9"/>
    </w:p>
    <w:p w14:paraId="4BFC39A2" w14:textId="77777777" w:rsidR="00E175CC" w:rsidRDefault="00EB46E7" w:rsidP="00643D86">
      <w:pPr>
        <w:rPr>
          <w:lang w:val="en-US"/>
        </w:rPr>
      </w:pPr>
      <w:r>
        <w:rPr>
          <w:noProof/>
          <w:lang w:val="en-US"/>
        </w:rPr>
        <w:t>–</w:t>
      </w:r>
      <w:r>
        <w:rPr>
          <w:lang w:val="en-US"/>
        </w:rPr>
        <w:t>Outcome of the trilogue on 19 May 2015</w:t>
      </w:r>
    </w:p>
    <w:p w14:paraId="18303E31" w14:textId="6755CA02" w:rsidR="00643D86" w:rsidRDefault="00EB46E7" w:rsidP="00643D86">
      <w:pPr>
        <w:rPr>
          <w:lang w:val="en-US"/>
        </w:rPr>
      </w:pPr>
      <w:r>
        <w:rPr>
          <w:noProof/>
          <w:lang w:val="en-US"/>
        </w:rPr>
        <w:t>9115</w:t>
      </w:r>
      <w:r>
        <w:rPr>
          <w:lang w:val="en-US"/>
        </w:rPr>
        <w:t>/15 FIN 369</w:t>
      </w:r>
    </w:p>
    <w:p w14:paraId="18303E32" w14:textId="77777777" w:rsidR="00643D86" w:rsidRDefault="00EB46E7" w:rsidP="00643D86">
      <w:r>
        <w:rPr>
          <w:b/>
        </w:rPr>
        <w:t>Ansvarigt statsråd</w:t>
      </w:r>
      <w:r>
        <w:rPr>
          <w:b/>
        </w:rPr>
        <w:br/>
      </w:r>
      <w:r>
        <w:rPr>
          <w:noProof/>
        </w:rPr>
        <w:t>Magdalena Andersson</w:t>
      </w:r>
    </w:p>
    <w:p w14:paraId="18303E36" w14:textId="77777777" w:rsidR="00A66AA5" w:rsidRDefault="00EB46E7">
      <w:pPr>
        <w:spacing w:after="280" w:afterAutospacing="1"/>
      </w:pPr>
      <w:r>
        <w:rPr>
          <w:b/>
          <w:bCs/>
        </w:rPr>
        <w:t xml:space="preserve">Avsikt med behandlingen i rådet: </w:t>
      </w:r>
      <w:r>
        <w:t xml:space="preserve">Att anta utkastet till deklaration om betalningsplanen. </w:t>
      </w:r>
    </w:p>
    <w:p w14:paraId="18303E37" w14:textId="19291817" w:rsidR="00A66AA5" w:rsidRDefault="00EB46E7">
      <w:pPr>
        <w:spacing w:after="280" w:afterAutospacing="1"/>
      </w:pPr>
      <w:r>
        <w:rPr>
          <w:b/>
          <w:bCs/>
        </w:rPr>
        <w:t xml:space="preserve">Hur regeringen ställer sig till den blivande A-punkten: </w:t>
      </w:r>
      <w:r>
        <w:t xml:space="preserve">Regeringen kan stödja förslaget. </w:t>
      </w:r>
    </w:p>
    <w:p w14:paraId="18303E39" w14:textId="11B6EF30" w:rsidR="00FB32B9" w:rsidRDefault="00EB46E7">
      <w:pPr>
        <w:spacing w:after="280" w:afterAutospacing="1"/>
        <w:rPr>
          <w:noProof/>
        </w:rPr>
      </w:pPr>
      <w:r>
        <w:rPr>
          <w:b/>
          <w:bCs/>
        </w:rPr>
        <w:t>Bakgrund:</w:t>
      </w:r>
      <w:r>
        <w:t xml:space="preserve"> I samband med överenskommelsen om 2015 års budget beslutades ett antal deklarationer varav en rör en betalningsplan. Enligt den deklarationen ska kommissionen i mars 2015 presentera uppdaterade beräkningar för ”obetalda räkningar”. På basis av den presentationen ska de tre institutionerna sträva efter att komma överens om ett maxbelopp för obetalda räkningar vid årslutet som kan anses vara hållbart. KOM presenterade i mars dokumentet ” Elements for a payment plan to bring the EU budget back onto a sustainable track”. Mot bakgrund av det dokumentet har nu en gemensam deklaration tagits om läge och framtidutsikter för betalningar i EU:s budget.  </w:t>
      </w:r>
    </w:p>
    <w:p w14:paraId="18303E3A" w14:textId="77777777" w:rsidR="00643D86" w:rsidRDefault="00EB46E7" w:rsidP="00643D86">
      <w:pPr>
        <w:pStyle w:val="Rubrik1"/>
      </w:pPr>
      <w:bookmarkStart w:id="10" w:name="_Toc420488052"/>
      <w:r>
        <w:rPr>
          <w:noProof/>
        </w:rPr>
        <w:t>Draft amending budget No 5 to the general budget for 2015: Responding to migratory pressures</w:t>
      </w:r>
      <w:bookmarkEnd w:id="10"/>
    </w:p>
    <w:p w14:paraId="45CE6E9E" w14:textId="77777777" w:rsidR="00E175CC" w:rsidRDefault="00EB46E7" w:rsidP="00643D86">
      <w:pPr>
        <w:rPr>
          <w:lang w:val="en-US"/>
        </w:rPr>
      </w:pPr>
      <w:r>
        <w:rPr>
          <w:noProof/>
          <w:lang w:val="en-US"/>
        </w:rPr>
        <w:t>–</w:t>
      </w:r>
      <w:r>
        <w:rPr>
          <w:lang w:val="en-US"/>
        </w:rPr>
        <w:t>Information to national Parliaments</w:t>
      </w:r>
    </w:p>
    <w:p w14:paraId="18303E3B" w14:textId="1BD1DF7D" w:rsidR="00643D86" w:rsidRDefault="00EB46E7" w:rsidP="00643D86">
      <w:pPr>
        <w:rPr>
          <w:lang w:val="en-US"/>
        </w:rPr>
      </w:pPr>
      <w:r>
        <w:rPr>
          <w:noProof/>
          <w:lang w:val="en-US"/>
        </w:rPr>
        <w:t>9116</w:t>
      </w:r>
      <w:r>
        <w:rPr>
          <w:lang w:val="en-US"/>
        </w:rPr>
        <w:t>/15 FIN 370 INST 168</w:t>
      </w:r>
    </w:p>
    <w:p w14:paraId="18303E3C" w14:textId="77777777" w:rsidR="00643D86" w:rsidRDefault="00EB46E7" w:rsidP="00643D86">
      <w:r>
        <w:rPr>
          <w:b/>
        </w:rPr>
        <w:t>Ansvarigt statsråd</w:t>
      </w:r>
      <w:r>
        <w:rPr>
          <w:b/>
        </w:rPr>
        <w:br/>
      </w:r>
      <w:r>
        <w:rPr>
          <w:noProof/>
        </w:rPr>
        <w:t>Magdalena Andersson</w:t>
      </w:r>
    </w:p>
    <w:p w14:paraId="18303E40" w14:textId="3845512E" w:rsidR="00A66AA5" w:rsidRDefault="00EB46E7" w:rsidP="00E175CC">
      <w:r w:rsidRPr="00B44CE2">
        <w:rPr>
          <w:b/>
        </w:rPr>
        <w:t>Annotering</w:t>
      </w:r>
      <w:r>
        <w:rPr>
          <w:b/>
        </w:rPr>
        <w:br/>
      </w:r>
      <w:r>
        <w:rPr>
          <w:b/>
          <w:bCs/>
        </w:rPr>
        <w:t xml:space="preserve">Avsikt med behandlingen i rådet: </w:t>
      </w:r>
      <w:r>
        <w:t xml:space="preserve">Rådet föreslås besluta att den sedvanliga åtta veckor långa informationsperioden till de nationella parlamenten förkortas för att möjliggöra ett skyndsamt beslut om ändringsbudget för vissa migrationsfrågor. Rådet föreslås godkänna förslaget till brev om detta till de nationella parlamenten. </w:t>
      </w:r>
    </w:p>
    <w:p w14:paraId="18303E41" w14:textId="77777777" w:rsidR="00A66AA5" w:rsidRDefault="00EB46E7">
      <w:pPr>
        <w:spacing w:after="280" w:afterAutospacing="1"/>
      </w:pPr>
      <w:r>
        <w:rPr>
          <w:b/>
          <w:bCs/>
        </w:rPr>
        <w:t xml:space="preserve">Hur regeringen ställer sig till den blivande A-punkten: </w:t>
      </w:r>
      <w:r>
        <w:t xml:space="preserve">Regeringen kan godkänna beslutet. </w:t>
      </w:r>
    </w:p>
    <w:p w14:paraId="18303E43" w14:textId="3C3D1630" w:rsidR="00A66AA5" w:rsidRDefault="00EB46E7">
      <w:pPr>
        <w:spacing w:after="280" w:afterAutospacing="1"/>
      </w:pPr>
      <w:r>
        <w:rPr>
          <w:b/>
          <w:bCs/>
        </w:rPr>
        <w:t xml:space="preserve">Bakgrund: </w:t>
      </w:r>
      <w:r>
        <w:t>Efter den senaste tidens tragiska händelser i Medelhavet då flera personer som har försökt ta sig till Europa med båt har omkommit har Europeiska rådet beslutat om särskilda åtgärder. I kommissionens förslag till ändringsbudget för 2015 föreslås resurser tillföras EU:s gränskontrollbyrå Frontex, Fonden för asyl, migration och integration (AMIF), Europeiska asylbyrån EASO, Fonden för inre säkerhet (ISF) och EU:s polisbyrå Europol. I åtaganden föreslås en höjning på totalt 75,8 miljoner euro och i betalningar 69,7 miljoner.</w:t>
      </w:r>
    </w:p>
    <w:p w14:paraId="18303E44" w14:textId="77777777" w:rsidR="00643D86" w:rsidRDefault="00EB46E7" w:rsidP="00643D86">
      <w:pPr>
        <w:pStyle w:val="Rubrik1"/>
      </w:pPr>
      <w:bookmarkStart w:id="11" w:name="_Toc420488053"/>
      <w:r>
        <w:rPr>
          <w:noProof/>
        </w:rPr>
        <w:t xml:space="preserve">Proposal for a Regulation of the European Parliament and of the Council amending Regulation (EC) No 184/2005 on Community statistics concerning balance of payments, international trade in services and foreign direct investment as regards conferring of delegated and implementing powers upon the Commission for the adoption of certain measures </w:t>
      </w:r>
      <w:r>
        <w:rPr>
          <w:noProof/>
        </w:rPr>
        <w:br/>
        <w:t>(First reading)</w:t>
      </w:r>
      <w:bookmarkEnd w:id="11"/>
    </w:p>
    <w:p w14:paraId="0D2A82FA" w14:textId="77777777" w:rsidR="00E175CC" w:rsidRDefault="00EB46E7" w:rsidP="00643D86">
      <w:pPr>
        <w:rPr>
          <w:lang w:val="en-US"/>
        </w:rPr>
      </w:pPr>
      <w:r>
        <w:rPr>
          <w:noProof/>
          <w:lang w:val="en-US"/>
        </w:rPr>
        <w:t>–</w:t>
      </w:r>
      <w:r>
        <w:rPr>
          <w:lang w:val="en-US"/>
        </w:rPr>
        <w:t>General approach</w:t>
      </w:r>
    </w:p>
    <w:p w14:paraId="18303E45" w14:textId="359F84EC" w:rsidR="00643D86" w:rsidRDefault="00EB46E7" w:rsidP="00643D86">
      <w:pPr>
        <w:rPr>
          <w:lang w:val="en-US"/>
        </w:rPr>
      </w:pPr>
      <w:r>
        <w:rPr>
          <w:noProof/>
          <w:lang w:val="en-US"/>
        </w:rPr>
        <w:t>9120</w:t>
      </w:r>
      <w:r>
        <w:rPr>
          <w:lang w:val="en-US"/>
        </w:rPr>
        <w:t>/15 ECOFIN 374 UEM 169 STATIS 46 COMER 74 CODEC 763</w:t>
      </w:r>
      <w:r w:rsidR="00E175CC">
        <w:rPr>
          <w:lang w:val="en-US"/>
        </w:rPr>
        <w:t xml:space="preserve"> </w:t>
      </w:r>
      <w:r>
        <w:rPr>
          <w:lang w:val="en-US"/>
        </w:rPr>
        <w:t>6638/15 ECOFIN 155 UEM 60 STATIS 42 COMER 63 CODEC 665</w:t>
      </w:r>
    </w:p>
    <w:p w14:paraId="18303E46" w14:textId="77777777" w:rsidR="00643D86" w:rsidRDefault="00EB46E7" w:rsidP="00643D86">
      <w:r>
        <w:rPr>
          <w:b/>
        </w:rPr>
        <w:t>Ansvarigt statsråd</w:t>
      </w:r>
      <w:r>
        <w:rPr>
          <w:b/>
        </w:rPr>
        <w:br/>
      </w:r>
      <w:r>
        <w:rPr>
          <w:noProof/>
        </w:rPr>
        <w:t>Ardalan Shekarabi</w:t>
      </w:r>
    </w:p>
    <w:p w14:paraId="18303E4A" w14:textId="3EA013AC" w:rsidR="00A66AA5" w:rsidRDefault="00EB46E7" w:rsidP="00E175CC">
      <w:r w:rsidRPr="00B44CE2">
        <w:rPr>
          <w:b/>
        </w:rPr>
        <w:t>Annotering</w:t>
      </w:r>
      <w:r>
        <w:rPr>
          <w:b/>
        </w:rPr>
        <w:br/>
      </w:r>
      <w:r>
        <w:rPr>
          <w:b/>
          <w:bCs/>
        </w:rPr>
        <w:t>Avsikt med behandlingen i rådet:</w:t>
      </w:r>
      <w:r>
        <w:t xml:space="preserve"> Rådet ska godkänna allmänna riktlinjer som grund för fortsatta diskussioner med Europaparlamentet.</w:t>
      </w:r>
    </w:p>
    <w:p w14:paraId="18303E4B" w14:textId="77777777" w:rsidR="00A66AA5" w:rsidRDefault="00EB46E7">
      <w:pPr>
        <w:spacing w:after="280" w:afterAutospacing="1"/>
      </w:pPr>
      <w:r>
        <w:rPr>
          <w:b/>
          <w:bCs/>
        </w:rPr>
        <w:t>Hur regeringen ställer sig till den blivande A-punkten:</w:t>
      </w:r>
      <w:r>
        <w:t xml:space="preserve"> Regeringen godkänner A-punkten.</w:t>
      </w:r>
    </w:p>
    <w:p w14:paraId="18303E4C" w14:textId="77777777" w:rsidR="00A66AA5" w:rsidRDefault="00EB46E7">
      <w:pPr>
        <w:spacing w:after="280" w:afterAutospacing="1"/>
      </w:pPr>
      <w:r>
        <w:rPr>
          <w:b/>
          <w:bCs/>
        </w:rPr>
        <w:t xml:space="preserve">Bakgrund: </w:t>
      </w:r>
      <w:r>
        <w:t>Förslaget innebär att förordningen om gemenskapsstatistik över betalningsbalansen, internationell handel med tjänster och utländska direktinvesteringar anpassas till artikel 290 om delegerade akter och artikel 291 om genomförande akter i fördraget om Europeiska unionens funktionssätt (EUF-fördraget).</w:t>
      </w:r>
    </w:p>
    <w:p w14:paraId="18303E4D" w14:textId="77777777" w:rsidR="00A66AA5" w:rsidRDefault="00EB46E7">
      <w:pPr>
        <w:spacing w:after="280" w:afterAutospacing="1"/>
      </w:pPr>
      <w:r>
        <w:t>Europeiska centralbanken lämnade sina synpunkter på förslaget den 5 december 2014.</w:t>
      </w:r>
    </w:p>
    <w:p w14:paraId="18303E4E" w14:textId="77777777" w:rsidR="00A66AA5" w:rsidRDefault="00EB46E7">
      <w:pPr>
        <w:spacing w:after="280" w:afterAutospacing="1"/>
      </w:pPr>
      <w:r>
        <w:t>Rådsarbetsgruppen nådde en preliminär överenskommelse om texten den 17 mars. Mot denna bakgrund och med beaktande av återkopplingen från delegationerna under det skriftliga samrådet har ORDF presenterat en slutlig kompromisstext i dokument 6638/15.</w:t>
      </w:r>
    </w:p>
    <w:p w14:paraId="18303E50" w14:textId="068E2EF5" w:rsidR="00FB32B9" w:rsidRDefault="00EB46E7">
      <w:pPr>
        <w:spacing w:after="280" w:afterAutospacing="1"/>
        <w:rPr>
          <w:noProof/>
        </w:rPr>
      </w:pPr>
      <w:r>
        <w:t>Europaparlamentets utskott för ekonomi och valutafrågor förväntas anta sina ändringsförslag den 15 juni.</w:t>
      </w:r>
    </w:p>
    <w:p w14:paraId="18303E51" w14:textId="77777777" w:rsidR="00643D86" w:rsidRDefault="00EB46E7" w:rsidP="00643D86">
      <w:pPr>
        <w:pStyle w:val="Rubrik1"/>
      </w:pPr>
      <w:bookmarkStart w:id="12" w:name="_Toc420488054"/>
      <w:r>
        <w:rPr>
          <w:noProof/>
        </w:rPr>
        <w:t>Amending Budget No. 1 for SISNET for the year 2015</w:t>
      </w:r>
      <w:bookmarkEnd w:id="12"/>
    </w:p>
    <w:p w14:paraId="18303E52" w14:textId="73800086" w:rsidR="00643D86" w:rsidRDefault="00EB46E7" w:rsidP="00643D86">
      <w:pPr>
        <w:rPr>
          <w:lang w:val="en-US"/>
        </w:rPr>
      </w:pPr>
      <w:r>
        <w:rPr>
          <w:noProof/>
          <w:lang w:val="en-US"/>
        </w:rPr>
        <w:t>8665</w:t>
      </w:r>
      <w:r>
        <w:rPr>
          <w:lang w:val="en-US"/>
        </w:rPr>
        <w:t>/15 SIRIS 35 VISA 172 COMIX 2127748/15 SIRIS 25 VISA 137 COMIX 159+ COR 1</w:t>
      </w:r>
    </w:p>
    <w:p w14:paraId="18303E53" w14:textId="77777777" w:rsidR="00643D86" w:rsidRDefault="00EB46E7" w:rsidP="00643D86">
      <w:r>
        <w:rPr>
          <w:b/>
        </w:rPr>
        <w:t>Ansvarigt statsråd</w:t>
      </w:r>
      <w:r>
        <w:rPr>
          <w:b/>
        </w:rPr>
        <w:br/>
      </w:r>
      <w:r>
        <w:rPr>
          <w:noProof/>
        </w:rPr>
        <w:t>Anders Ygeman</w:t>
      </w:r>
    </w:p>
    <w:p w14:paraId="18303E57" w14:textId="6DE0DA05" w:rsidR="00A66AA5" w:rsidRDefault="00EB46E7" w:rsidP="00E175CC">
      <w:r w:rsidRPr="00B44CE2">
        <w:rPr>
          <w:b/>
        </w:rPr>
        <w:t>Annotering</w:t>
      </w:r>
      <w:r>
        <w:rPr>
          <w:b/>
        </w:rPr>
        <w:br/>
      </w:r>
      <w:r>
        <w:rPr>
          <w:b/>
          <w:bCs/>
        </w:rPr>
        <w:t xml:space="preserve">Avsikt med behandlingen i rådet: </w:t>
      </w:r>
      <w:r>
        <w:br/>
        <w:t xml:space="preserve">Medlemsstaterna ska anta ändringsbudgeten för 2015.  </w:t>
      </w:r>
    </w:p>
    <w:p w14:paraId="18303E58" w14:textId="77777777" w:rsidR="00A66AA5" w:rsidRDefault="00EB46E7">
      <w:pPr>
        <w:spacing w:after="280" w:afterAutospacing="1"/>
      </w:pPr>
      <w:r>
        <w:rPr>
          <w:b/>
          <w:bCs/>
        </w:rPr>
        <w:t xml:space="preserve">Hur regeringen ställer sig till den blivande A-punkten: </w:t>
      </w:r>
      <w:r>
        <w:br/>
        <w:t xml:space="preserve">Sverige kan rösta ja till att godkänna punkten. </w:t>
      </w:r>
    </w:p>
    <w:p w14:paraId="18303E59" w14:textId="77777777" w:rsidR="00A66AA5" w:rsidRDefault="00EB46E7">
      <w:pPr>
        <w:spacing w:after="280" w:afterAutospacing="1"/>
      </w:pPr>
      <w:r>
        <w:rPr>
          <w:b/>
          <w:bCs/>
        </w:rPr>
        <w:t>Bakgrund:</w:t>
      </w:r>
      <w:r>
        <w:br/>
        <w:t>SISNET är det nätverk som använts av för Schengens informationssystem och kommunikationen mellan Schengenländernas s.k. SIRENE-kontor. SISNET finansieras av Schengenländerna i enlighet med ett särskilt finansieringsregelverk. Enligt detta regelverk antas årligen budgetar och tilläggsbudgetar av de deltagande medlemsstaterna församlade i rådet. Enligt rådsbeslutet om SISNET:s budgetförordning ska varje år en ändringsbudget antas till den tidigare beslutade budgeten, så att saldot från föregående år kan tas upp i denna.</w:t>
      </w:r>
    </w:p>
    <w:p w14:paraId="18303E5B" w14:textId="77777777" w:rsidR="00643D86" w:rsidRDefault="00EB46E7" w:rsidP="00643D86">
      <w:pPr>
        <w:pStyle w:val="Rubrik1"/>
      </w:pPr>
      <w:bookmarkStart w:id="13" w:name="_Toc420488055"/>
      <w:r>
        <w:rPr>
          <w:noProof/>
        </w:rPr>
        <w:t>(poss.) Draft Renewed EU-US Statement - Enhancing transatlantic cooperation in the area of Justice, Freedom and Security</w:t>
      </w:r>
      <w:bookmarkEnd w:id="13"/>
    </w:p>
    <w:p w14:paraId="18303E5C" w14:textId="61F1D91F" w:rsidR="00643D86" w:rsidRDefault="00EB46E7" w:rsidP="00643D86">
      <w:pPr>
        <w:rPr>
          <w:lang w:val="en-US"/>
        </w:rPr>
      </w:pPr>
      <w:r>
        <w:rPr>
          <w:noProof/>
          <w:lang w:val="en-US"/>
        </w:rPr>
        <w:t>8674</w:t>
      </w:r>
      <w:r>
        <w:rPr>
          <w:lang w:val="en-US"/>
        </w:rPr>
        <w:t>/15 JAIEX 22 RELEX 348 ASIM 23 CATS 51 COSI 49 CYBER 32 CORDROGUE 31 DATAPROTECT 71 JUSTCIV 102</w:t>
      </w:r>
      <w:r w:rsidR="00E175CC">
        <w:rPr>
          <w:lang w:val="en-US"/>
        </w:rPr>
        <w:t xml:space="preserve"> </w:t>
      </w:r>
      <w:r>
        <w:rPr>
          <w:lang w:val="en-US"/>
        </w:rPr>
        <w:t>EUROJUST 94 VISA 173 ENFOPOL 101 USA 16 FRONT 95</w:t>
      </w:r>
    </w:p>
    <w:p w14:paraId="18303E5D" w14:textId="77777777" w:rsidR="00643D86" w:rsidRDefault="00EB46E7" w:rsidP="00643D86">
      <w:r>
        <w:rPr>
          <w:b/>
        </w:rPr>
        <w:t>Ansvarigt statsråd</w:t>
      </w:r>
      <w:r>
        <w:rPr>
          <w:b/>
        </w:rPr>
        <w:br/>
      </w:r>
      <w:r>
        <w:rPr>
          <w:noProof/>
        </w:rPr>
        <w:t>Morgan Johansson</w:t>
      </w:r>
    </w:p>
    <w:p w14:paraId="18303E61" w14:textId="7DEB829D" w:rsidR="00A66AA5" w:rsidRDefault="00EB46E7" w:rsidP="00E175CC">
      <w:r w:rsidRPr="00B44CE2">
        <w:rPr>
          <w:b/>
        </w:rPr>
        <w:t>Annotering</w:t>
      </w:r>
      <w:r>
        <w:rPr>
          <w:b/>
        </w:rPr>
        <w:br/>
      </w:r>
      <w:r>
        <w:rPr>
          <w:b/>
          <w:bCs/>
        </w:rPr>
        <w:t xml:space="preserve">Avsikt med behandlingen i rådet: </w:t>
      </w:r>
      <w:r>
        <w:t>Rådet föreslås notera ansatsen i utkastet till ett förnyat uttalande om ett fördjupat transatlantiskt samarbete inom rättsliga och inrikes frågor, samt auktorisera ordförandeskapet, tillsammans med kommissionen, att fortsätta diskutera med USA på basis av utkastet till uttalande med avsikt att anta uttalandet vid kommande EU-USA ministermöte för rättsliga och inrikes frågor i Riga den 2-3 juni 2015.</w:t>
      </w:r>
    </w:p>
    <w:p w14:paraId="18303E62" w14:textId="77777777" w:rsidR="00A66AA5" w:rsidRDefault="00EB46E7">
      <w:pPr>
        <w:spacing w:after="280" w:afterAutospacing="1"/>
      </w:pPr>
      <w:r>
        <w:rPr>
          <w:b/>
          <w:bCs/>
        </w:rPr>
        <w:t xml:space="preserve">Hur regeringen ställer sig till den blivande A-punkten: </w:t>
      </w:r>
      <w:r>
        <w:t>Regeringen avser stödja utkastet till uttalande för antagande vid EU-USA ministermöte för rättsliga och inrikes frågor i Riga den 2-3 juni 2015.</w:t>
      </w:r>
    </w:p>
    <w:p w14:paraId="18303E63" w14:textId="77777777" w:rsidR="00A66AA5" w:rsidRDefault="00EB46E7">
      <w:pPr>
        <w:spacing w:after="280" w:afterAutospacing="1"/>
      </w:pPr>
      <w:r>
        <w:rPr>
          <w:b/>
          <w:bCs/>
        </w:rPr>
        <w:t>Bakgrund:</w:t>
      </w:r>
      <w:r>
        <w:t xml:space="preserve"> EU och USA har som strategiska partners ett utvecklat samarbete inom rättsliga och inrikes frågor. Samarbetet innefattar bl.a. frågor som IT-brottslighet, barnpornografi, internationell brottslighet, terrorism, människohandel, handel med olagliga droger, vapen och sprängämnen, migration, gränsbevakning, viseringar, dataskydd och rättsligt samarbete. </w:t>
      </w:r>
    </w:p>
    <w:p w14:paraId="18303E64" w14:textId="77777777" w:rsidR="00A66AA5" w:rsidRDefault="00EB46E7">
      <w:pPr>
        <w:spacing w:after="280" w:afterAutospacing="1"/>
      </w:pPr>
      <w:r>
        <w:t>EU och USA har ett allt mer fördjupat samarbete inom rättsliga och inrikes frågor. Flertalet av frågorna utgör även några av de mesta aktuella gemensamma utmaningarna för såväl EU som USA. Mot bakgrund av detta finns det anledning att se över den tidigare programdeklarationen för det transatlantiska RIF-samarbetet, Washington-uttalandet från det svenska ordförandeskapet 2009, för att lyfta fram en gemensam inriktning för de kommande årens samarbete. Genom en gemensam program-deklaration kan samarbetet på ett tydligt sätt ges framåtanda att ta sig an de utmaningar som partnerna är eniga om.</w:t>
      </w:r>
    </w:p>
    <w:p w14:paraId="18303E66" w14:textId="1B71FACB" w:rsidR="00FB32B9" w:rsidRDefault="00EB46E7">
      <w:pPr>
        <w:spacing w:after="280" w:afterAutospacing="1"/>
        <w:rPr>
          <w:noProof/>
        </w:rPr>
      </w:pPr>
      <w:r>
        <w:t>I utkastet till gemensamt uttalande framgår att det transatlantiska samarbetet inom rättsliga och inrikesfrågor, genom konkreta åtgärder, bör fokusera på bl.a. ingående av dataskyddsavtal, förstärkt samarbete mot terrorism och våldsam extremism, stärka dialogen och samarbetet kring migrationsfrågor och människohandel, bekämpa penningstvätt och terrorismfinansiering, bekämpa olaglig handel med vapen och sprängämnen, förstärkt samarbete mot IT-brottslighet, förstärka samarbetet mot handel med olagliga droger, förstärka det rättsliga samarbetet och utbytet av information i brottsbekämpande syfte samt fördjupa det gemensamma samarbetet med tredje länder och internationella forum för att bekämpa internationell brottslighet.</w:t>
      </w:r>
    </w:p>
    <w:p w14:paraId="18303E67" w14:textId="77777777" w:rsidR="00643D86" w:rsidRDefault="00EB46E7" w:rsidP="00643D86">
      <w:pPr>
        <w:pStyle w:val="Rubrik1"/>
      </w:pPr>
      <w:bookmarkStart w:id="14" w:name="_Toc420488056"/>
      <w:r>
        <w:rPr>
          <w:noProof/>
        </w:rPr>
        <w:t>Council Decision on the position to be adopted, on behalf of the European Union, in the EEA Joint Committee concerning an amendment to Annex II (Technical regulations, standards, testing and certification) of the EEA Agreement (Novel foods)</w:t>
      </w:r>
      <w:bookmarkEnd w:id="14"/>
    </w:p>
    <w:p w14:paraId="18303E68" w14:textId="701588D8" w:rsidR="00643D86" w:rsidRDefault="00EB46E7" w:rsidP="00643D86">
      <w:pPr>
        <w:rPr>
          <w:lang w:val="en-US"/>
        </w:rPr>
      </w:pPr>
      <w:r>
        <w:rPr>
          <w:noProof/>
          <w:lang w:val="en-US"/>
        </w:rPr>
        <w:t>8202</w:t>
      </w:r>
      <w:r>
        <w:rPr>
          <w:lang w:val="en-US"/>
        </w:rPr>
        <w:t>/15 AELE 17 EEE 5 DENLEG 59 MI 254 AGRI 2088203/15 AELE 18 EEE 6 DENLEG 60 MI 255 AGRI 209</w:t>
      </w:r>
    </w:p>
    <w:p w14:paraId="18303E69" w14:textId="77777777" w:rsidR="00643D86" w:rsidRDefault="00EB46E7" w:rsidP="00643D86">
      <w:r>
        <w:rPr>
          <w:b/>
        </w:rPr>
        <w:t>Ansvarigt statsråd</w:t>
      </w:r>
      <w:r>
        <w:rPr>
          <w:b/>
        </w:rPr>
        <w:br/>
      </w:r>
      <w:r>
        <w:rPr>
          <w:noProof/>
        </w:rPr>
        <w:t>Mikael Damberg</w:t>
      </w:r>
    </w:p>
    <w:p w14:paraId="18303E6D" w14:textId="598A3651" w:rsidR="00A66AA5" w:rsidRDefault="00EB46E7" w:rsidP="00E175CC">
      <w:r w:rsidRPr="00B44CE2">
        <w:rPr>
          <w:b/>
        </w:rPr>
        <w:t>Annotering</w:t>
      </w:r>
      <w:r>
        <w:rPr>
          <w:b/>
        </w:rPr>
        <w:br/>
      </w:r>
      <w:r w:rsidRPr="00E175CC">
        <w:rPr>
          <w:b/>
        </w:rPr>
        <w:t>Avsikt med behandlingen i rådet:</w:t>
      </w:r>
      <w:r>
        <w:t xml:space="preserve"> Coreper ska besluta om det förslag till rådsbeslut om ändringar i bilaga II till EES-avtalet som behandlades vid EFTA-arbetsgruppen den 28 april 2015.</w:t>
      </w:r>
    </w:p>
    <w:p w14:paraId="18303E6E" w14:textId="77777777" w:rsidR="00A66AA5" w:rsidRDefault="00EB46E7">
      <w:pPr>
        <w:spacing w:after="280" w:afterAutospacing="1"/>
      </w:pPr>
      <w:r w:rsidRPr="00E175CC">
        <w:rPr>
          <w:b/>
        </w:rPr>
        <w:t>Hur regeringen ställer sig till den blivande A-punkten:</w:t>
      </w:r>
      <w:r>
        <w:t xml:space="preserve"> Regeringen avser rösta ja till det föreslagna rådsbeslutet. </w:t>
      </w:r>
    </w:p>
    <w:p w14:paraId="18303E70" w14:textId="21D24D8D" w:rsidR="00FB32B9" w:rsidRDefault="00EB46E7">
      <w:pPr>
        <w:spacing w:after="280" w:afterAutospacing="1"/>
        <w:rPr>
          <w:noProof/>
        </w:rPr>
      </w:pPr>
      <w:r w:rsidRPr="00E175CC">
        <w:rPr>
          <w:b/>
        </w:rPr>
        <w:t>Bakgrund:</w:t>
      </w:r>
      <w:r>
        <w:t xml:space="preserve"> Beslutet innebär att viss livsmedelslagstiftning om framförallt nya livsmedel inkorporeras i EES-avtalet. </w:t>
      </w:r>
    </w:p>
    <w:p w14:paraId="18303E71" w14:textId="77777777" w:rsidR="00643D86" w:rsidRDefault="00EB46E7" w:rsidP="00643D86">
      <w:pPr>
        <w:pStyle w:val="Rubrik1"/>
      </w:pPr>
      <w:bookmarkStart w:id="15" w:name="_Toc420488057"/>
      <w:r>
        <w:rPr>
          <w:noProof/>
        </w:rPr>
        <w:t>Council Decision on the position to be adopted, on behalf of the European Union, in the EEA Joint Committee concerning an amendment to Protocol 31 to the EEA Agreement, on cooperation in specific fields outside the four freedoms (Budget line 04.03.01.03)</w:t>
      </w:r>
      <w:bookmarkEnd w:id="15"/>
    </w:p>
    <w:p w14:paraId="18303E72" w14:textId="3666460C" w:rsidR="00643D86" w:rsidRDefault="00EB46E7" w:rsidP="00643D86">
      <w:pPr>
        <w:rPr>
          <w:lang w:val="en-US"/>
        </w:rPr>
      </w:pPr>
      <w:r>
        <w:rPr>
          <w:noProof/>
          <w:lang w:val="en-US"/>
        </w:rPr>
        <w:t>8249</w:t>
      </w:r>
      <w:r>
        <w:rPr>
          <w:lang w:val="en-US"/>
        </w:rPr>
        <w:t>/15 EEE 8 AELE 20 SOC 251</w:t>
      </w:r>
      <w:r w:rsidR="00E175CC">
        <w:rPr>
          <w:lang w:val="en-US"/>
        </w:rPr>
        <w:t xml:space="preserve"> </w:t>
      </w:r>
      <w:r>
        <w:rPr>
          <w:lang w:val="en-US"/>
        </w:rPr>
        <w:t>8250/15 EEE 9 AELE 21 SOC 252</w:t>
      </w:r>
    </w:p>
    <w:p w14:paraId="18303E73" w14:textId="77777777" w:rsidR="00643D86" w:rsidRPr="00CC7460" w:rsidRDefault="00EB46E7" w:rsidP="00643D86">
      <w:r w:rsidRPr="00CC7460">
        <w:rPr>
          <w:b/>
        </w:rPr>
        <w:t>Ansvarigt statsråd</w:t>
      </w:r>
      <w:r w:rsidRPr="00CC7460">
        <w:rPr>
          <w:b/>
        </w:rPr>
        <w:br/>
      </w:r>
      <w:r w:rsidRPr="00CC7460">
        <w:rPr>
          <w:noProof/>
        </w:rPr>
        <w:t>Margot Wallström</w:t>
      </w:r>
    </w:p>
    <w:p w14:paraId="302270B6" w14:textId="77777777" w:rsidR="00CC7460" w:rsidRPr="00022C61" w:rsidRDefault="00EB46E7" w:rsidP="00CC7460">
      <w:pPr>
        <w:pStyle w:val="Normalwebb"/>
        <w:shd w:val="clear" w:color="auto" w:fill="FFFFFF"/>
        <w:ind w:left="714"/>
        <w:textAlignment w:val="top"/>
        <w:rPr>
          <w:rFonts w:eastAsia="Calibri"/>
          <w:sz w:val="22"/>
          <w:szCs w:val="22"/>
          <w:lang w:eastAsia="en-US"/>
        </w:rPr>
      </w:pPr>
      <w:r w:rsidRPr="00022C61">
        <w:rPr>
          <w:rFonts w:eastAsia="Calibri"/>
          <w:b/>
          <w:sz w:val="22"/>
          <w:szCs w:val="22"/>
          <w:lang w:eastAsia="en-US"/>
        </w:rPr>
        <w:t>Annotering</w:t>
      </w:r>
      <w:r w:rsidRPr="00022C61">
        <w:rPr>
          <w:rFonts w:eastAsia="Calibri"/>
          <w:sz w:val="22"/>
          <w:szCs w:val="22"/>
          <w:lang w:eastAsia="en-US"/>
        </w:rPr>
        <w:br/>
      </w:r>
      <w:r w:rsidR="00CC7460" w:rsidRPr="00022C61">
        <w:rPr>
          <w:rFonts w:eastAsia="Calibri"/>
          <w:b/>
          <w:bCs/>
          <w:sz w:val="22"/>
          <w:szCs w:val="22"/>
          <w:lang w:eastAsia="en-US"/>
        </w:rPr>
        <w:t>Avsikt med behandlingen i rådet:</w:t>
      </w:r>
      <w:r w:rsidR="00CC7460" w:rsidRPr="00022C61">
        <w:rPr>
          <w:rFonts w:eastAsia="Calibri"/>
          <w:sz w:val="22"/>
          <w:szCs w:val="22"/>
          <w:lang w:eastAsia="en-US"/>
        </w:rPr>
        <w:t>Antagande av rådsbeslut.</w:t>
      </w:r>
    </w:p>
    <w:p w14:paraId="344AC8FD" w14:textId="6BC4C81C" w:rsidR="00CC7460" w:rsidRPr="00022C61" w:rsidRDefault="00CC7460" w:rsidP="00CC7460">
      <w:pPr>
        <w:pStyle w:val="Normalwebb"/>
        <w:shd w:val="clear" w:color="auto" w:fill="FFFFFF"/>
        <w:ind w:left="714"/>
        <w:textAlignment w:val="top"/>
        <w:rPr>
          <w:rFonts w:eastAsia="Calibri"/>
          <w:sz w:val="22"/>
          <w:szCs w:val="22"/>
          <w:lang w:eastAsia="en-US"/>
        </w:rPr>
      </w:pPr>
      <w:r w:rsidRPr="00022C61">
        <w:rPr>
          <w:rFonts w:eastAsia="Calibri"/>
          <w:b/>
          <w:bCs/>
          <w:sz w:val="22"/>
          <w:szCs w:val="22"/>
          <w:lang w:eastAsia="en-US"/>
        </w:rPr>
        <w:t xml:space="preserve">Hur regeringen ställer sig till den blivande A-punkten: </w:t>
      </w:r>
      <w:r w:rsidRPr="00022C61">
        <w:rPr>
          <w:rFonts w:eastAsia="Calibri"/>
          <w:sz w:val="22"/>
          <w:szCs w:val="22"/>
          <w:lang w:eastAsia="en-US"/>
        </w:rPr>
        <w:t xml:space="preserve">Regeringen kan stödja antagandet. </w:t>
      </w:r>
    </w:p>
    <w:p w14:paraId="18303E76" w14:textId="4D2740C2" w:rsidR="00643D86" w:rsidRDefault="00CC7460" w:rsidP="00CC7460">
      <w:pPr>
        <w:pStyle w:val="Normalwebb"/>
        <w:shd w:val="clear" w:color="auto" w:fill="FFFFFF"/>
        <w:ind w:left="714"/>
        <w:textAlignment w:val="top"/>
      </w:pPr>
      <w:r w:rsidRPr="00022C61">
        <w:rPr>
          <w:rFonts w:eastAsia="Calibri"/>
          <w:b/>
          <w:bCs/>
          <w:sz w:val="22"/>
          <w:szCs w:val="22"/>
          <w:lang w:eastAsia="en-US"/>
        </w:rPr>
        <w:t xml:space="preserve">Bakgrund: </w:t>
      </w:r>
      <w:r w:rsidRPr="00022C61">
        <w:rPr>
          <w:rFonts w:eastAsia="Calibri"/>
          <w:sz w:val="22"/>
          <w:szCs w:val="22"/>
          <w:lang w:eastAsia="en-US"/>
        </w:rPr>
        <w:t xml:space="preserve">Justering av protokoll 31 till EES-avtalet avseende att Norges begränsade deltagande i programmet för sysselsättning och social innovation (EASI) ska utvidgas till programdelen Progress. Detta utvidgade samarbete ska äga rum från och med den 1 januari 2015. </w:t>
      </w:r>
    </w:p>
    <w:p w14:paraId="18303E77" w14:textId="77777777" w:rsidR="00643D86" w:rsidRPr="0047103D" w:rsidRDefault="00EB46E7" w:rsidP="00643D86">
      <w:pPr>
        <w:pStyle w:val="Rubrik1"/>
      </w:pPr>
      <w:bookmarkStart w:id="16" w:name="_Toc420488058"/>
      <w:r>
        <w:rPr>
          <w:noProof/>
        </w:rPr>
        <w:t xml:space="preserve">Council Decision on the position to be adopted, on behalf of the European Union, in the </w:t>
      </w:r>
      <w:r w:rsidRPr="0047103D">
        <w:rPr>
          <w:noProof/>
        </w:rPr>
        <w:t>EEA Joint Committee concerning an amendment to Protocol 31 to the EEA Agreement, on cooperation in specific fields outside the four freedoms (Copernicus)</w:t>
      </w:r>
      <w:bookmarkEnd w:id="16"/>
    </w:p>
    <w:p w14:paraId="18303E78" w14:textId="450D046E" w:rsidR="00643D86" w:rsidRPr="0047103D" w:rsidRDefault="00EB46E7" w:rsidP="00643D86">
      <w:pPr>
        <w:rPr>
          <w:lang w:val="en-US"/>
        </w:rPr>
      </w:pPr>
      <w:r w:rsidRPr="0047103D">
        <w:rPr>
          <w:noProof/>
          <w:lang w:val="en-US"/>
        </w:rPr>
        <w:t>8252</w:t>
      </w:r>
      <w:r w:rsidRPr="0047103D">
        <w:rPr>
          <w:lang w:val="en-US"/>
        </w:rPr>
        <w:t>/15 EEE 11 ESPACE 7 ENV 241 COMPET 1618253/15 EEE 12 ESPACE 8 ENV 242 COMPET 162</w:t>
      </w:r>
    </w:p>
    <w:p w14:paraId="18303E79" w14:textId="5091F24E" w:rsidR="00643D86" w:rsidRPr="0047103D" w:rsidRDefault="00EB46E7" w:rsidP="00643D86">
      <w:r w:rsidRPr="0047103D">
        <w:rPr>
          <w:b/>
        </w:rPr>
        <w:t>Ansvarigt statsråd</w:t>
      </w:r>
      <w:r w:rsidRPr="0047103D">
        <w:rPr>
          <w:b/>
        </w:rPr>
        <w:br/>
      </w:r>
      <w:r w:rsidR="0047103D" w:rsidRPr="0047103D">
        <w:t>Helene Hellmark Knutsson</w:t>
      </w:r>
    </w:p>
    <w:p w14:paraId="18303E7C" w14:textId="77777777" w:rsidR="00643D86" w:rsidRDefault="00EB46E7" w:rsidP="00643D86">
      <w:r w:rsidRPr="00B44CE2">
        <w:rPr>
          <w:b/>
        </w:rPr>
        <w:t>Annotering</w:t>
      </w:r>
      <w:r>
        <w:rPr>
          <w:b/>
        </w:rPr>
        <w:br/>
      </w:r>
      <w:r>
        <w:t>Föranleder ingen annotering.</w:t>
      </w:r>
    </w:p>
    <w:p w14:paraId="18303E7D" w14:textId="77777777" w:rsidR="00643D86" w:rsidRDefault="00EB46E7" w:rsidP="00643D86">
      <w:pPr>
        <w:pStyle w:val="Rubrik1"/>
      </w:pPr>
      <w:bookmarkStart w:id="17" w:name="_Toc420488059"/>
      <w:r>
        <w:rPr>
          <w:noProof/>
        </w:rPr>
        <w:t>Council Decision on the position to be adopted, on behalf of the European Union, in the EEA Joint Committee concerning an amendment to Protocol 31 to the EEA Agreement, on cooperation in specific fields outside the four freedoms (EaSI)</w:t>
      </w:r>
      <w:bookmarkEnd w:id="17"/>
    </w:p>
    <w:p w14:paraId="18303E7F" w14:textId="3DE757D3" w:rsidR="00643D86" w:rsidRDefault="00EB46E7" w:rsidP="00643D86">
      <w:r>
        <w:rPr>
          <w:noProof/>
          <w:lang w:val="en-US"/>
        </w:rPr>
        <w:t>8255</w:t>
      </w:r>
      <w:r>
        <w:rPr>
          <w:lang w:val="en-US"/>
        </w:rPr>
        <w:t>/15 EEE 14 SOC 254 ECOFIN 261 COMPET 164</w:t>
      </w:r>
      <w:r w:rsidR="0047103D">
        <w:rPr>
          <w:lang w:val="en-US"/>
        </w:rPr>
        <w:t xml:space="preserve"> </w:t>
      </w:r>
      <w:r>
        <w:rPr>
          <w:lang w:val="en-US"/>
        </w:rPr>
        <w:t>8256/15 EEE 15 SOC 255 ECOFIN 262 COMPET 165</w:t>
      </w:r>
      <w:r>
        <w:rPr>
          <w:lang w:val="en-US"/>
        </w:rPr>
        <w:br/>
      </w:r>
      <w:r>
        <w:rPr>
          <w:b/>
        </w:rPr>
        <w:t>Ansvarigt statsråd</w:t>
      </w:r>
      <w:r>
        <w:rPr>
          <w:b/>
        </w:rPr>
        <w:br/>
      </w:r>
      <w:r w:rsidR="0047103D">
        <w:t>Margot Wallström</w:t>
      </w:r>
    </w:p>
    <w:p w14:paraId="0A3A2023" w14:textId="461DBAE8" w:rsidR="0047103D" w:rsidRPr="0047103D" w:rsidRDefault="00EB46E7" w:rsidP="0047103D">
      <w:pPr>
        <w:pStyle w:val="Normalwebb"/>
        <w:shd w:val="clear" w:color="auto" w:fill="FFFFFF"/>
        <w:ind w:left="714"/>
        <w:textAlignment w:val="top"/>
        <w:rPr>
          <w:rFonts w:eastAsia="Calibri"/>
          <w:sz w:val="22"/>
          <w:szCs w:val="22"/>
          <w:lang w:val="en-US" w:eastAsia="en-US"/>
        </w:rPr>
      </w:pPr>
      <w:r w:rsidRPr="00B44CE2">
        <w:rPr>
          <w:b/>
        </w:rPr>
        <w:t>Annotering</w:t>
      </w:r>
      <w:r>
        <w:rPr>
          <w:b/>
        </w:rPr>
        <w:br/>
      </w:r>
      <w:r w:rsidR="0047103D" w:rsidRPr="0047103D">
        <w:rPr>
          <w:rFonts w:eastAsia="Calibri"/>
          <w:b/>
          <w:bCs/>
          <w:sz w:val="22"/>
          <w:szCs w:val="22"/>
          <w:lang w:eastAsia="en-US"/>
        </w:rPr>
        <w:t>Avsikt med behandlingen i rådet</w:t>
      </w:r>
      <w:r w:rsidR="0047103D">
        <w:rPr>
          <w:rStyle w:val="Stark"/>
          <w:rFonts w:ascii="Arial!important" w:hAnsi="Arial!important"/>
          <w:color w:val="444444"/>
          <w:sz w:val="18"/>
          <w:szCs w:val="18"/>
        </w:rPr>
        <w:t xml:space="preserve">: </w:t>
      </w:r>
      <w:r w:rsidR="0047103D" w:rsidRPr="0047103D">
        <w:rPr>
          <w:rFonts w:eastAsia="Calibri"/>
          <w:sz w:val="22"/>
          <w:szCs w:val="22"/>
          <w:lang w:val="en-US" w:eastAsia="en-US"/>
        </w:rPr>
        <w:t>Antagande av rådsbeslut.</w:t>
      </w:r>
    </w:p>
    <w:p w14:paraId="72EF8C32" w14:textId="51E6F2DA" w:rsidR="0047103D" w:rsidRPr="00022C61" w:rsidRDefault="0047103D" w:rsidP="0047103D">
      <w:pPr>
        <w:pStyle w:val="Normalwebb"/>
        <w:shd w:val="clear" w:color="auto" w:fill="FFFFFF"/>
        <w:ind w:left="714"/>
        <w:textAlignment w:val="top"/>
        <w:rPr>
          <w:rFonts w:eastAsia="Calibri"/>
          <w:sz w:val="22"/>
          <w:szCs w:val="22"/>
          <w:lang w:eastAsia="en-US"/>
        </w:rPr>
      </w:pPr>
      <w:r w:rsidRPr="00022C61">
        <w:rPr>
          <w:rFonts w:eastAsia="Calibri"/>
          <w:b/>
          <w:bCs/>
          <w:sz w:val="22"/>
          <w:szCs w:val="22"/>
          <w:lang w:eastAsia="en-US"/>
        </w:rPr>
        <w:t>Hur regeringen ställer sig till den blivande A-punkten:</w:t>
      </w:r>
      <w:r w:rsidRPr="00022C61">
        <w:rPr>
          <w:rFonts w:eastAsia="Calibri"/>
          <w:sz w:val="22"/>
          <w:szCs w:val="22"/>
          <w:lang w:eastAsia="en-US"/>
        </w:rPr>
        <w:t xml:space="preserve">Regeringen kan stödja antagandet. </w:t>
      </w:r>
    </w:p>
    <w:p w14:paraId="6AE23DD1" w14:textId="23FF67B2" w:rsidR="0047103D" w:rsidRPr="00022C61" w:rsidRDefault="0047103D" w:rsidP="0047103D">
      <w:pPr>
        <w:pStyle w:val="Normalwebb"/>
        <w:shd w:val="clear" w:color="auto" w:fill="FFFFFF"/>
        <w:ind w:left="714"/>
        <w:textAlignment w:val="top"/>
        <w:rPr>
          <w:rFonts w:eastAsia="Calibri"/>
          <w:bCs/>
          <w:sz w:val="22"/>
          <w:szCs w:val="22"/>
          <w:lang w:eastAsia="en-US"/>
        </w:rPr>
      </w:pPr>
      <w:r w:rsidRPr="00022C61">
        <w:rPr>
          <w:rFonts w:eastAsia="Calibri"/>
          <w:b/>
          <w:sz w:val="22"/>
          <w:szCs w:val="22"/>
          <w:lang w:eastAsia="en-US"/>
        </w:rPr>
        <w:t>Bakgrund:</w:t>
      </w:r>
      <w:r w:rsidRPr="00022C61">
        <w:rPr>
          <w:rFonts w:eastAsia="Calibri"/>
          <w:sz w:val="22"/>
          <w:szCs w:val="22"/>
          <w:lang w:eastAsia="en-US"/>
        </w:rPr>
        <w:t xml:space="preserve"> </w:t>
      </w:r>
      <w:r w:rsidRPr="00022C61">
        <w:rPr>
          <w:rFonts w:eastAsia="Calibri"/>
          <w:bCs/>
          <w:sz w:val="22"/>
          <w:szCs w:val="22"/>
          <w:lang w:eastAsia="en-US"/>
        </w:rPr>
        <w:t xml:space="preserve">Justering av protokoll 31 till EES-avtalet avseende att Norges begränsade deltagande i programmet för sysselsättning och social innovation (EASI) ska utvidgas till programdelen Progress. Detta utvidgade samarbete ska äga rum från och med den 1 januari 2015. </w:t>
      </w:r>
    </w:p>
    <w:p w14:paraId="18303E83" w14:textId="77777777" w:rsidR="00643D86" w:rsidRDefault="00EB46E7" w:rsidP="00643D86">
      <w:pPr>
        <w:pStyle w:val="Rubrik1"/>
      </w:pPr>
      <w:bookmarkStart w:id="18" w:name="_Toc420488060"/>
      <w:r>
        <w:rPr>
          <w:noProof/>
        </w:rPr>
        <w:t>Council Decision amending Joint Action 2008/124/CFSP on the European Union Rule of Law Mission in Kosovo (EULEX KOSOVO)</w:t>
      </w:r>
      <w:bookmarkEnd w:id="18"/>
    </w:p>
    <w:p w14:paraId="18303E84" w14:textId="404A3D09" w:rsidR="00643D86" w:rsidRDefault="00EB46E7" w:rsidP="00643D86">
      <w:pPr>
        <w:rPr>
          <w:lang w:val="en-US"/>
        </w:rPr>
      </w:pPr>
      <w:r>
        <w:rPr>
          <w:noProof/>
          <w:lang w:val="en-US"/>
        </w:rPr>
        <w:t>9102</w:t>
      </w:r>
      <w:r>
        <w:rPr>
          <w:lang w:val="en-US"/>
        </w:rPr>
        <w:t>/15 CFSP/PESC 181 CSDP/PSDC 300 COWEB 41 EU-LEX 6 CSC 118</w:t>
      </w:r>
      <w:r w:rsidR="0047103D">
        <w:rPr>
          <w:lang w:val="en-US"/>
        </w:rPr>
        <w:t xml:space="preserve"> </w:t>
      </w:r>
      <w:r>
        <w:rPr>
          <w:lang w:val="en-US"/>
        </w:rPr>
        <w:t>8689/15 CFSP/PESC 118 CSDP/PSDC 253 COWEB 37 EU-LEX 5 CSC 100</w:t>
      </w:r>
    </w:p>
    <w:p w14:paraId="18303E85" w14:textId="77777777" w:rsidR="00643D86" w:rsidRDefault="00EB46E7" w:rsidP="00643D86">
      <w:r>
        <w:rPr>
          <w:b/>
        </w:rPr>
        <w:t>Ansvarigt statsråd</w:t>
      </w:r>
      <w:r>
        <w:rPr>
          <w:b/>
        </w:rPr>
        <w:br/>
      </w:r>
      <w:r>
        <w:rPr>
          <w:noProof/>
        </w:rPr>
        <w:t>Margot Wallström</w:t>
      </w:r>
    </w:p>
    <w:p w14:paraId="18303E89" w14:textId="5B91252B" w:rsidR="00A66AA5" w:rsidRDefault="00EB46E7" w:rsidP="0047103D">
      <w:r w:rsidRPr="00B44CE2">
        <w:rPr>
          <w:b/>
        </w:rPr>
        <w:t>Annotering</w:t>
      </w:r>
      <w:r>
        <w:rPr>
          <w:b/>
        </w:rPr>
        <w:br/>
      </w:r>
      <w:r>
        <w:rPr>
          <w:b/>
          <w:bCs/>
        </w:rPr>
        <w:t>Avsikt med behandlingen i rådet:</w:t>
      </w:r>
      <w:r>
        <w:t xml:space="preserve"> Rådet föreslås anta beslut om ändring av insatsen EULEX Kosovos operationsplan (OPLAN). </w:t>
      </w:r>
    </w:p>
    <w:p w14:paraId="18303E8A" w14:textId="77777777" w:rsidR="00A66AA5" w:rsidRDefault="00EB46E7">
      <w:pPr>
        <w:spacing w:after="280" w:afterAutospacing="1"/>
      </w:pPr>
      <w:r>
        <w:rPr>
          <w:b/>
          <w:bCs/>
        </w:rPr>
        <w:t>Hur regeringen ställer sig till den blivande A-punkten:</w:t>
      </w:r>
      <w:r>
        <w:t xml:space="preserve"> Regeringen avser rösta ja till den blivande A-punkten.  </w:t>
      </w:r>
    </w:p>
    <w:p w14:paraId="18303E8C" w14:textId="6CF67F34" w:rsidR="00FB32B9" w:rsidRDefault="00EB46E7">
      <w:pPr>
        <w:spacing w:after="280" w:afterAutospacing="1"/>
        <w:rPr>
          <w:noProof/>
        </w:rPr>
      </w:pPr>
      <w:r>
        <w:rPr>
          <w:b/>
          <w:bCs/>
        </w:rPr>
        <w:t>Bakgrund:</w:t>
      </w:r>
      <w:r>
        <w:t xml:space="preserve"> OPLAN för EULEX Kosovo föreslås revideras. Nu lägger man till 1) det särskilt inrättade förhandlingsplaneringsteamet (CPT) för ”Special investigative Task Force” (SITF), som ska upprätta en EU-finansierad domstol för allvarliga krigsbrott; 2) ”Kosovo Property Agency Claims Commission” (KPCC) där sex tjänster kommer att finansieras ur EULEX Kosovos reguljära budget; 3) vittnesskyddsutveckling inom ramen för SITF/ Witness Security Development (WSD) samt tar bort 4) EULEX Kosovos helikoptertjänster. Enligt den genomförda konsekvensanalysen är det möjligt, både ur ett medicinsk och ett operativt perspektiv, att avsluta EULEX Kosovos helikoptertjänster och lita på KFOR:s stöd då behov uppstår. Enligt beräkningar skulle det leda till en besparing om cirka 5 miljoner euro. </w:t>
      </w:r>
    </w:p>
    <w:p w14:paraId="18303E8D" w14:textId="77777777" w:rsidR="00643D86" w:rsidRDefault="00EB46E7" w:rsidP="00643D86">
      <w:pPr>
        <w:pStyle w:val="Rubrik1"/>
      </w:pPr>
      <w:r>
        <w:rPr>
          <w:noProof/>
        </w:rPr>
        <w:t xml:space="preserve"> </w:t>
      </w:r>
      <w:bookmarkStart w:id="19" w:name="_Toc420488061"/>
      <w:r>
        <w:rPr>
          <w:noProof/>
        </w:rPr>
        <w:t>Council Implementing Decision implementing Decision 2012/642/CFSP concerning restrictive measures against Belarus</w:t>
      </w:r>
      <w:r>
        <w:rPr>
          <w:noProof/>
        </w:rPr>
        <w:br/>
        <w:t>–Council Implementing Regulation implementing Regulation (EC) No 765/2006 concerning restrictive measures in respect of Belarus</w:t>
      </w:r>
      <w:bookmarkEnd w:id="19"/>
    </w:p>
    <w:p w14:paraId="18303E8E" w14:textId="6FE9FE90" w:rsidR="00643D86" w:rsidRDefault="00EB46E7" w:rsidP="00643D86">
      <w:pPr>
        <w:rPr>
          <w:lang w:val="en-US"/>
        </w:rPr>
      </w:pPr>
      <w:r>
        <w:rPr>
          <w:noProof/>
          <w:lang w:val="en-US"/>
        </w:rPr>
        <w:t>8732</w:t>
      </w:r>
      <w:r>
        <w:rPr>
          <w:lang w:val="en-US"/>
        </w:rPr>
        <w:t>/15 CFSP/PESC 127 RELEX 355 COEST 134 FIN 348</w:t>
      </w:r>
      <w:r w:rsidR="0047103D">
        <w:rPr>
          <w:lang w:val="en-US"/>
        </w:rPr>
        <w:t xml:space="preserve"> </w:t>
      </w:r>
      <w:r>
        <w:rPr>
          <w:lang w:val="en-US"/>
        </w:rPr>
        <w:t>8729/15 CFSP/PESC 124 COEST 132 FIN 3468730/15 CFSP/PESC 125 RELEX 353 COEST 133 FIN 347</w:t>
      </w:r>
    </w:p>
    <w:p w14:paraId="18303E8F" w14:textId="77777777" w:rsidR="00643D86" w:rsidRDefault="00EB46E7" w:rsidP="00643D86">
      <w:r>
        <w:rPr>
          <w:b/>
        </w:rPr>
        <w:t>Ansvarigt statsråd</w:t>
      </w:r>
      <w:r>
        <w:rPr>
          <w:b/>
        </w:rPr>
        <w:br/>
      </w:r>
      <w:r>
        <w:rPr>
          <w:noProof/>
        </w:rPr>
        <w:t>Margot Wallström</w:t>
      </w:r>
    </w:p>
    <w:p w14:paraId="18303E93" w14:textId="5E7D53E9" w:rsidR="00A66AA5" w:rsidRDefault="00EB46E7" w:rsidP="0047103D">
      <w:r w:rsidRPr="00B44CE2">
        <w:rPr>
          <w:b/>
        </w:rPr>
        <w:t>Annotering</w:t>
      </w:r>
      <w:r>
        <w:rPr>
          <w:b/>
        </w:rPr>
        <w:br/>
      </w:r>
      <w:r>
        <w:rPr>
          <w:b/>
          <w:bCs/>
        </w:rPr>
        <w:t>Avsikt med behandlingen i rådet:</w:t>
      </w:r>
      <w:r>
        <w:t xml:space="preserve"> Rådet föreslås anta ett gemomförandebeslut och </w:t>
      </w:r>
      <w:r w:rsidR="004B2182">
        <w:t xml:space="preserve">en </w:t>
      </w:r>
      <w:r>
        <w:t xml:space="preserve">genomförandeförordning med innebörd att vissa förändringar sker i listan med personer och entiteter som omfattas av EU:s restriktiva åtgärder avseende Vitryssland. </w:t>
      </w:r>
    </w:p>
    <w:p w14:paraId="18303E95" w14:textId="1ADF718A" w:rsidR="00A66AA5" w:rsidRDefault="00EB46E7">
      <w:pPr>
        <w:spacing w:after="280" w:afterAutospacing="1"/>
      </w:pPr>
      <w:r>
        <w:rPr>
          <w:b/>
          <w:bCs/>
        </w:rPr>
        <w:t>Hur regeringen ställer sig till den blivande A-punkten:</w:t>
      </w:r>
      <w:r>
        <w:t xml:space="preserve"> Regeringen avser rösta</w:t>
      </w:r>
      <w:r w:rsidR="004561B2">
        <w:t>.</w:t>
      </w:r>
      <w:r>
        <w:t xml:space="preserve"> </w:t>
      </w:r>
    </w:p>
    <w:p w14:paraId="18303E97" w14:textId="2BE1020A" w:rsidR="00A66AA5" w:rsidRDefault="00EB46E7">
      <w:pPr>
        <w:spacing w:after="280" w:afterAutospacing="1"/>
      </w:pPr>
      <w:r>
        <w:rPr>
          <w:b/>
          <w:bCs/>
        </w:rPr>
        <w:t>Bakgrund:</w:t>
      </w:r>
      <w:r w:rsidR="0047103D">
        <w:rPr>
          <w:b/>
          <w:bCs/>
        </w:rPr>
        <w:t xml:space="preserve"> </w:t>
      </w:r>
      <w:r>
        <w:t xml:space="preserve">För två personer och fyra entiteter som omfattas av EU:s restriktiva åtgärder avseende Vitryssland har ny information inkommit som föranleder att personerna/entiteterna ifråga avförs från sanktionslistan. För ytterligare fyra personer och tre entiteter har ny information inkommit som föranleder en ändring av listningsmotiveringarna. De riktade restriktiva åtgärderna innebär frysning av tillgångar samt för listade personer även inreseförbud till EU. </w:t>
      </w:r>
    </w:p>
    <w:p w14:paraId="18303E98" w14:textId="77777777" w:rsidR="00FB32B9" w:rsidRDefault="00022C61">
      <w:pPr>
        <w:spacing w:after="280" w:afterAutospacing="1"/>
        <w:rPr>
          <w:noProof/>
        </w:rPr>
      </w:pPr>
    </w:p>
    <w:bookmarkEnd w:id="1"/>
    <w:p w14:paraId="18303E99" w14:textId="77777777" w:rsidR="00643D86" w:rsidRPr="00643D86" w:rsidRDefault="00022C61" w:rsidP="00643D86">
      <w:pPr>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9506B" w14:textId="77777777" w:rsidR="008C6207" w:rsidRDefault="008C6207">
      <w:pPr>
        <w:spacing w:after="0" w:line="240" w:lineRule="auto"/>
      </w:pPr>
      <w:r>
        <w:separator/>
      </w:r>
    </w:p>
  </w:endnote>
  <w:endnote w:type="continuationSeparator" w:id="0">
    <w:p w14:paraId="18E888B4" w14:textId="77777777" w:rsidR="008C6207" w:rsidRDefault="008C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28EAE" w14:textId="77777777" w:rsidR="008C6207" w:rsidRDefault="008C6207">
      <w:pPr>
        <w:spacing w:after="0" w:line="240" w:lineRule="auto"/>
      </w:pPr>
      <w:r>
        <w:separator/>
      </w:r>
    </w:p>
  </w:footnote>
  <w:footnote w:type="continuationSeparator" w:id="0">
    <w:p w14:paraId="30DB756E" w14:textId="77777777" w:rsidR="008C6207" w:rsidRDefault="008C6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633569"/>
      <w:docPartObj>
        <w:docPartGallery w:val="Page Numbers (Top of Page)"/>
        <w:docPartUnique/>
      </w:docPartObj>
    </w:sdtPr>
    <w:sdtEndPr/>
    <w:sdtContent>
      <w:p w14:paraId="5A56B5F1" w14:textId="4063C20C" w:rsidR="0047103D" w:rsidRDefault="0047103D">
        <w:pPr>
          <w:pStyle w:val="Sidhuvud"/>
          <w:jc w:val="right"/>
        </w:pPr>
        <w:r>
          <w:fldChar w:fldCharType="begin"/>
        </w:r>
        <w:r>
          <w:instrText>PAGE   \* MERGEFORMAT</w:instrText>
        </w:r>
        <w:r>
          <w:fldChar w:fldCharType="separate"/>
        </w:r>
        <w:r w:rsidR="00022C61">
          <w:rPr>
            <w:noProof/>
          </w:rPr>
          <w:t>2</w:t>
        </w:r>
        <w:r>
          <w:fldChar w:fldCharType="end"/>
        </w:r>
      </w:p>
    </w:sdtContent>
  </w:sdt>
  <w:p w14:paraId="18303E9B" w14:textId="77777777" w:rsidR="006F1C0D" w:rsidRDefault="00022C6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66AA5" w14:paraId="18303EA1" w14:textId="77777777" w:rsidTr="006E71D7">
      <w:tc>
        <w:tcPr>
          <w:tcW w:w="4606" w:type="dxa"/>
        </w:tcPr>
        <w:p w14:paraId="18303E9C" w14:textId="77777777" w:rsidR="006E71D7" w:rsidRDefault="00EB46E7" w:rsidP="00752770">
          <w:pPr>
            <w:pStyle w:val="Sidhuvud"/>
            <w:ind w:left="0"/>
          </w:pPr>
          <w:r>
            <w:rPr>
              <w:noProof/>
              <w:lang w:eastAsia="sv-SE"/>
            </w:rPr>
            <w:drawing>
              <wp:inline distT="0" distB="0" distL="0" distR="0" wp14:anchorId="18303EA7" wp14:editId="18303EA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8303E9D" w14:textId="77777777" w:rsidR="00FB32B9" w:rsidRDefault="00022C61" w:rsidP="00FB32B9">
          <w:pPr>
            <w:ind w:right="916"/>
            <w:rPr>
              <w:rFonts w:ascii="TradeGothic" w:hAnsi="TradeGothic"/>
              <w:b/>
            </w:rPr>
          </w:pPr>
        </w:p>
        <w:p w14:paraId="18303E9E" w14:textId="77777777" w:rsidR="00FB32B9" w:rsidRDefault="00EB46E7" w:rsidP="00FB32B9">
          <w:pPr>
            <w:ind w:right="916"/>
          </w:pPr>
          <w:r>
            <w:rPr>
              <w:rFonts w:ascii="TradeGothic" w:hAnsi="TradeGothic"/>
              <w:b/>
            </w:rPr>
            <w:t>Promemoria</w:t>
          </w:r>
        </w:p>
        <w:p w14:paraId="18303E9F" w14:textId="77777777" w:rsidR="00FB32B9" w:rsidRDefault="00022C61" w:rsidP="00FB32B9">
          <w:pPr>
            <w:jc w:val="right"/>
          </w:pPr>
        </w:p>
        <w:p w14:paraId="18303EA0" w14:textId="77777777" w:rsidR="006E71D7" w:rsidRDefault="00EB46E7" w:rsidP="00FB32B9">
          <w:pPr>
            <w:ind w:right="916"/>
          </w:pPr>
          <w:r>
            <w:rPr>
              <w:rFonts w:ascii="TradeGothic" w:hAnsi="TradeGothic"/>
              <w:b/>
              <w:noProof/>
            </w:rPr>
            <w:t>2015-05-27</w:t>
          </w:r>
          <w:r w:rsidRPr="00934953">
            <w:t xml:space="preserve"> </w:t>
          </w:r>
        </w:p>
      </w:tc>
    </w:tr>
  </w:tbl>
  <w:p w14:paraId="18303EA2" w14:textId="77777777" w:rsidR="00FB32B9" w:rsidRDefault="00022C61" w:rsidP="00FB32B9">
    <w:pPr>
      <w:pStyle w:val="Avsndare"/>
      <w:framePr w:w="0" w:hRule="auto" w:hSpace="0" w:wrap="auto" w:vAnchor="margin" w:hAnchor="text" w:xAlign="left" w:yAlign="inline"/>
      <w:rPr>
        <w:b/>
        <w:i w:val="0"/>
        <w:sz w:val="22"/>
      </w:rPr>
    </w:pPr>
  </w:p>
  <w:p w14:paraId="18303EA3" w14:textId="77777777" w:rsidR="00FB32B9" w:rsidRDefault="00EB46E7" w:rsidP="00FB32B9">
    <w:pPr>
      <w:pStyle w:val="Avsndare"/>
      <w:framePr w:w="0" w:hRule="auto" w:hSpace="0" w:wrap="auto" w:vAnchor="margin" w:hAnchor="text" w:xAlign="left" w:yAlign="inline"/>
      <w:rPr>
        <w:b/>
        <w:i w:val="0"/>
        <w:sz w:val="22"/>
      </w:rPr>
    </w:pPr>
    <w:r>
      <w:rPr>
        <w:b/>
        <w:i w:val="0"/>
        <w:sz w:val="22"/>
      </w:rPr>
      <w:t>Statsrådsberedningen</w:t>
    </w:r>
  </w:p>
  <w:p w14:paraId="18303EA4" w14:textId="77777777" w:rsidR="00FB32B9" w:rsidRDefault="00022C61" w:rsidP="00FB32B9">
    <w:pPr>
      <w:pStyle w:val="Avsndare"/>
      <w:framePr w:w="0" w:hRule="auto" w:hSpace="0" w:wrap="auto" w:vAnchor="margin" w:hAnchor="text" w:xAlign="left" w:yAlign="inline"/>
    </w:pPr>
  </w:p>
  <w:p w14:paraId="18303EA5" w14:textId="77777777" w:rsidR="00FB32B9" w:rsidRDefault="00EB46E7" w:rsidP="00FB32B9">
    <w:pPr>
      <w:pStyle w:val="Avsndare"/>
      <w:framePr w:w="0" w:hRule="auto" w:hSpace="0" w:wrap="auto" w:vAnchor="margin" w:hAnchor="text" w:xAlign="left" w:yAlign="inline"/>
    </w:pPr>
    <w:r>
      <w:t>EU-kansliet</w:t>
    </w:r>
  </w:p>
  <w:p w14:paraId="18303EA6" w14:textId="77777777" w:rsidR="0012376B" w:rsidRDefault="00022C6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4EA45160">
      <w:start w:val="1"/>
      <w:numFmt w:val="decimal"/>
      <w:pStyle w:val="Rubrik1"/>
      <w:lvlText w:val="%1."/>
      <w:lvlJc w:val="left"/>
      <w:pPr>
        <w:ind w:left="720" w:hanging="360"/>
      </w:pPr>
    </w:lvl>
    <w:lvl w:ilvl="1" w:tplc="58E01AE8" w:tentative="1">
      <w:start w:val="1"/>
      <w:numFmt w:val="lowerLetter"/>
      <w:lvlText w:val="%2."/>
      <w:lvlJc w:val="left"/>
      <w:pPr>
        <w:ind w:left="1440" w:hanging="360"/>
      </w:pPr>
    </w:lvl>
    <w:lvl w:ilvl="2" w:tplc="777C691A" w:tentative="1">
      <w:start w:val="1"/>
      <w:numFmt w:val="lowerRoman"/>
      <w:lvlText w:val="%3."/>
      <w:lvlJc w:val="right"/>
      <w:pPr>
        <w:ind w:left="2160" w:hanging="180"/>
      </w:pPr>
    </w:lvl>
    <w:lvl w:ilvl="3" w:tplc="704C9CB6" w:tentative="1">
      <w:start w:val="1"/>
      <w:numFmt w:val="decimal"/>
      <w:lvlText w:val="%4."/>
      <w:lvlJc w:val="left"/>
      <w:pPr>
        <w:ind w:left="2880" w:hanging="360"/>
      </w:pPr>
    </w:lvl>
    <w:lvl w:ilvl="4" w:tplc="7BA2533E" w:tentative="1">
      <w:start w:val="1"/>
      <w:numFmt w:val="lowerLetter"/>
      <w:lvlText w:val="%5."/>
      <w:lvlJc w:val="left"/>
      <w:pPr>
        <w:ind w:left="3600" w:hanging="360"/>
      </w:pPr>
    </w:lvl>
    <w:lvl w:ilvl="5" w:tplc="D9A4E81C" w:tentative="1">
      <w:start w:val="1"/>
      <w:numFmt w:val="lowerRoman"/>
      <w:lvlText w:val="%6."/>
      <w:lvlJc w:val="right"/>
      <w:pPr>
        <w:ind w:left="4320" w:hanging="180"/>
      </w:pPr>
    </w:lvl>
    <w:lvl w:ilvl="6" w:tplc="113CB198" w:tentative="1">
      <w:start w:val="1"/>
      <w:numFmt w:val="decimal"/>
      <w:lvlText w:val="%7."/>
      <w:lvlJc w:val="left"/>
      <w:pPr>
        <w:ind w:left="5040" w:hanging="360"/>
      </w:pPr>
    </w:lvl>
    <w:lvl w:ilvl="7" w:tplc="A7E8EE68" w:tentative="1">
      <w:start w:val="1"/>
      <w:numFmt w:val="lowerLetter"/>
      <w:lvlText w:val="%8."/>
      <w:lvlJc w:val="left"/>
      <w:pPr>
        <w:ind w:left="5760" w:hanging="360"/>
      </w:pPr>
    </w:lvl>
    <w:lvl w:ilvl="8" w:tplc="99E42FD6"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59F44300">
      <w:start w:val="1"/>
      <w:numFmt w:val="decimal"/>
      <w:lvlText w:val="%1."/>
      <w:lvlJc w:val="left"/>
      <w:pPr>
        <w:ind w:left="360" w:hanging="360"/>
      </w:pPr>
      <w:rPr>
        <w:b w:val="0"/>
      </w:rPr>
    </w:lvl>
    <w:lvl w:ilvl="1" w:tplc="B8366086" w:tentative="1">
      <w:start w:val="1"/>
      <w:numFmt w:val="lowerLetter"/>
      <w:lvlText w:val="%2."/>
      <w:lvlJc w:val="left"/>
      <w:pPr>
        <w:ind w:left="1080" w:hanging="360"/>
      </w:pPr>
    </w:lvl>
    <w:lvl w:ilvl="2" w:tplc="80EA1C26" w:tentative="1">
      <w:start w:val="1"/>
      <w:numFmt w:val="lowerRoman"/>
      <w:lvlText w:val="%3."/>
      <w:lvlJc w:val="right"/>
      <w:pPr>
        <w:ind w:left="1800" w:hanging="180"/>
      </w:pPr>
    </w:lvl>
    <w:lvl w:ilvl="3" w:tplc="2548989A" w:tentative="1">
      <w:start w:val="1"/>
      <w:numFmt w:val="decimal"/>
      <w:lvlText w:val="%4."/>
      <w:lvlJc w:val="left"/>
      <w:pPr>
        <w:ind w:left="2520" w:hanging="360"/>
      </w:pPr>
    </w:lvl>
    <w:lvl w:ilvl="4" w:tplc="F4481202" w:tentative="1">
      <w:start w:val="1"/>
      <w:numFmt w:val="lowerLetter"/>
      <w:lvlText w:val="%5."/>
      <w:lvlJc w:val="left"/>
      <w:pPr>
        <w:ind w:left="3240" w:hanging="360"/>
      </w:pPr>
    </w:lvl>
    <w:lvl w:ilvl="5" w:tplc="478C3644" w:tentative="1">
      <w:start w:val="1"/>
      <w:numFmt w:val="lowerRoman"/>
      <w:lvlText w:val="%6."/>
      <w:lvlJc w:val="right"/>
      <w:pPr>
        <w:ind w:left="3960" w:hanging="180"/>
      </w:pPr>
    </w:lvl>
    <w:lvl w:ilvl="6" w:tplc="28E43B3E" w:tentative="1">
      <w:start w:val="1"/>
      <w:numFmt w:val="decimal"/>
      <w:lvlText w:val="%7."/>
      <w:lvlJc w:val="left"/>
      <w:pPr>
        <w:ind w:left="4680" w:hanging="360"/>
      </w:pPr>
    </w:lvl>
    <w:lvl w:ilvl="7" w:tplc="33CEF1A8" w:tentative="1">
      <w:start w:val="1"/>
      <w:numFmt w:val="lowerLetter"/>
      <w:lvlText w:val="%8."/>
      <w:lvlJc w:val="left"/>
      <w:pPr>
        <w:ind w:left="5400" w:hanging="360"/>
      </w:pPr>
    </w:lvl>
    <w:lvl w:ilvl="8" w:tplc="4A260A8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A5"/>
    <w:rsid w:val="00022C61"/>
    <w:rsid w:val="00263B0B"/>
    <w:rsid w:val="003974EC"/>
    <w:rsid w:val="004561B2"/>
    <w:rsid w:val="0047103D"/>
    <w:rsid w:val="004B2182"/>
    <w:rsid w:val="008C6207"/>
    <w:rsid w:val="009553B5"/>
    <w:rsid w:val="00A66AA5"/>
    <w:rsid w:val="00CC7460"/>
    <w:rsid w:val="00E175CC"/>
    <w:rsid w:val="00EB46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3DD3"/>
  <w15:docId w15:val="{04BA757C-43BB-4A2E-A186-C6D02591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47103D"/>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471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554523">
      <w:bodyDiv w:val="1"/>
      <w:marLeft w:val="0"/>
      <w:marRight w:val="0"/>
      <w:marTop w:val="0"/>
      <w:marBottom w:val="0"/>
      <w:divBdr>
        <w:top w:val="none" w:sz="0" w:space="0" w:color="auto"/>
        <w:left w:val="none" w:sz="0" w:space="0" w:color="auto"/>
        <w:bottom w:val="none" w:sz="0" w:space="0" w:color="auto"/>
        <w:right w:val="none" w:sz="0" w:space="0" w:color="auto"/>
      </w:divBdr>
      <w:divsChild>
        <w:div w:id="1875727487">
          <w:marLeft w:val="0"/>
          <w:marRight w:val="0"/>
          <w:marTop w:val="0"/>
          <w:marBottom w:val="0"/>
          <w:divBdr>
            <w:top w:val="none" w:sz="0" w:space="0" w:color="auto"/>
            <w:left w:val="none" w:sz="0" w:space="0" w:color="auto"/>
            <w:bottom w:val="none" w:sz="0" w:space="0" w:color="auto"/>
            <w:right w:val="none" w:sz="0" w:space="0" w:color="auto"/>
          </w:divBdr>
          <w:divsChild>
            <w:div w:id="1894929180">
              <w:marLeft w:val="0"/>
              <w:marRight w:val="0"/>
              <w:marTop w:val="0"/>
              <w:marBottom w:val="0"/>
              <w:divBdr>
                <w:top w:val="none" w:sz="0" w:space="0" w:color="auto"/>
                <w:left w:val="none" w:sz="0" w:space="0" w:color="auto"/>
                <w:bottom w:val="none" w:sz="0" w:space="0" w:color="auto"/>
                <w:right w:val="none" w:sz="0" w:space="0" w:color="auto"/>
              </w:divBdr>
              <w:divsChild>
                <w:div w:id="1616131619">
                  <w:marLeft w:val="0"/>
                  <w:marRight w:val="0"/>
                  <w:marTop w:val="0"/>
                  <w:marBottom w:val="0"/>
                  <w:divBdr>
                    <w:top w:val="none" w:sz="0" w:space="0" w:color="auto"/>
                    <w:left w:val="none" w:sz="0" w:space="0" w:color="auto"/>
                    <w:bottom w:val="none" w:sz="0" w:space="0" w:color="auto"/>
                    <w:right w:val="none" w:sz="0" w:space="0" w:color="auto"/>
                  </w:divBdr>
                  <w:divsChild>
                    <w:div w:id="595746925">
                      <w:marLeft w:val="0"/>
                      <w:marRight w:val="0"/>
                      <w:marTop w:val="0"/>
                      <w:marBottom w:val="0"/>
                      <w:divBdr>
                        <w:top w:val="none" w:sz="0" w:space="0" w:color="auto"/>
                        <w:left w:val="none" w:sz="0" w:space="0" w:color="auto"/>
                        <w:bottom w:val="none" w:sz="0" w:space="0" w:color="auto"/>
                        <w:right w:val="none" w:sz="0" w:space="0" w:color="auto"/>
                      </w:divBdr>
                      <w:divsChild>
                        <w:div w:id="1219509333">
                          <w:marLeft w:val="2325"/>
                          <w:marRight w:val="0"/>
                          <w:marTop w:val="0"/>
                          <w:marBottom w:val="0"/>
                          <w:divBdr>
                            <w:top w:val="none" w:sz="0" w:space="0" w:color="auto"/>
                            <w:left w:val="none" w:sz="0" w:space="0" w:color="auto"/>
                            <w:bottom w:val="none" w:sz="0" w:space="0" w:color="auto"/>
                            <w:right w:val="none" w:sz="0" w:space="0" w:color="auto"/>
                          </w:divBdr>
                          <w:divsChild>
                            <w:div w:id="973413053">
                              <w:marLeft w:val="0"/>
                              <w:marRight w:val="0"/>
                              <w:marTop w:val="0"/>
                              <w:marBottom w:val="0"/>
                              <w:divBdr>
                                <w:top w:val="none" w:sz="0" w:space="0" w:color="auto"/>
                                <w:left w:val="none" w:sz="0" w:space="0" w:color="auto"/>
                                <w:bottom w:val="none" w:sz="0" w:space="0" w:color="auto"/>
                                <w:right w:val="none" w:sz="0" w:space="0" w:color="auto"/>
                              </w:divBdr>
                              <w:divsChild>
                                <w:div w:id="1385444187">
                                  <w:marLeft w:val="0"/>
                                  <w:marRight w:val="0"/>
                                  <w:marTop w:val="0"/>
                                  <w:marBottom w:val="0"/>
                                  <w:divBdr>
                                    <w:top w:val="none" w:sz="0" w:space="0" w:color="auto"/>
                                    <w:left w:val="none" w:sz="0" w:space="0" w:color="auto"/>
                                    <w:bottom w:val="none" w:sz="0" w:space="0" w:color="auto"/>
                                    <w:right w:val="none" w:sz="0" w:space="0" w:color="auto"/>
                                  </w:divBdr>
                                  <w:divsChild>
                                    <w:div w:id="1025327821">
                                      <w:marLeft w:val="0"/>
                                      <w:marRight w:val="0"/>
                                      <w:marTop w:val="0"/>
                                      <w:marBottom w:val="0"/>
                                      <w:divBdr>
                                        <w:top w:val="none" w:sz="0" w:space="0" w:color="auto"/>
                                        <w:left w:val="none" w:sz="0" w:space="0" w:color="auto"/>
                                        <w:bottom w:val="none" w:sz="0" w:space="0" w:color="auto"/>
                                        <w:right w:val="none" w:sz="0" w:space="0" w:color="auto"/>
                                      </w:divBdr>
                                      <w:divsChild>
                                        <w:div w:id="1918707706">
                                          <w:marLeft w:val="480"/>
                                          <w:marRight w:val="0"/>
                                          <w:marTop w:val="0"/>
                                          <w:marBottom w:val="0"/>
                                          <w:divBdr>
                                            <w:top w:val="none" w:sz="0" w:space="0" w:color="auto"/>
                                            <w:left w:val="none" w:sz="0" w:space="0" w:color="auto"/>
                                            <w:bottom w:val="none" w:sz="0" w:space="0" w:color="auto"/>
                                            <w:right w:val="none" w:sz="0" w:space="0" w:color="auto"/>
                                          </w:divBdr>
                                          <w:divsChild>
                                            <w:div w:id="1996568710">
                                              <w:marLeft w:val="0"/>
                                              <w:marRight w:val="0"/>
                                              <w:marTop w:val="0"/>
                                              <w:marBottom w:val="0"/>
                                              <w:divBdr>
                                                <w:top w:val="none" w:sz="0" w:space="0" w:color="auto"/>
                                                <w:left w:val="none" w:sz="0" w:space="0" w:color="auto"/>
                                                <w:bottom w:val="none" w:sz="0" w:space="0" w:color="auto"/>
                                                <w:right w:val="none" w:sz="0" w:space="0" w:color="auto"/>
                                              </w:divBdr>
                                              <w:divsChild>
                                                <w:div w:id="1973706602">
                                                  <w:marLeft w:val="0"/>
                                                  <w:marRight w:val="0"/>
                                                  <w:marTop w:val="0"/>
                                                  <w:marBottom w:val="0"/>
                                                  <w:divBdr>
                                                    <w:top w:val="none" w:sz="0" w:space="0" w:color="auto"/>
                                                    <w:left w:val="none" w:sz="0" w:space="0" w:color="auto"/>
                                                    <w:bottom w:val="none" w:sz="0" w:space="0" w:color="auto"/>
                                                    <w:right w:val="none" w:sz="0" w:space="0" w:color="auto"/>
                                                  </w:divBdr>
                                                  <w:divsChild>
                                                    <w:div w:id="1827160538">
                                                      <w:marLeft w:val="0"/>
                                                      <w:marRight w:val="0"/>
                                                      <w:marTop w:val="0"/>
                                                      <w:marBottom w:val="0"/>
                                                      <w:divBdr>
                                                        <w:top w:val="none" w:sz="0" w:space="0" w:color="auto"/>
                                                        <w:left w:val="none" w:sz="0" w:space="0" w:color="auto"/>
                                                        <w:bottom w:val="none" w:sz="0" w:space="0" w:color="auto"/>
                                                        <w:right w:val="none" w:sz="0" w:space="0" w:color="auto"/>
                                                      </w:divBdr>
                                                      <w:divsChild>
                                                        <w:div w:id="27801700">
                                                          <w:marLeft w:val="0"/>
                                                          <w:marRight w:val="0"/>
                                                          <w:marTop w:val="0"/>
                                                          <w:marBottom w:val="0"/>
                                                          <w:divBdr>
                                                            <w:top w:val="none" w:sz="0" w:space="0" w:color="auto"/>
                                                            <w:left w:val="none" w:sz="0" w:space="0" w:color="auto"/>
                                                            <w:bottom w:val="none" w:sz="0" w:space="0" w:color="auto"/>
                                                            <w:right w:val="none" w:sz="0" w:space="0" w:color="auto"/>
                                                          </w:divBdr>
                                                          <w:divsChild>
                                                            <w:div w:id="640115102">
                                                              <w:marLeft w:val="0"/>
                                                              <w:marRight w:val="0"/>
                                                              <w:marTop w:val="0"/>
                                                              <w:marBottom w:val="0"/>
                                                              <w:divBdr>
                                                                <w:top w:val="none" w:sz="0" w:space="0" w:color="auto"/>
                                                                <w:left w:val="none" w:sz="0" w:space="0" w:color="auto"/>
                                                                <w:bottom w:val="none" w:sz="0" w:space="0" w:color="auto"/>
                                                                <w:right w:val="none" w:sz="0" w:space="0" w:color="auto"/>
                                                              </w:divBdr>
                                                              <w:divsChild>
                                                                <w:div w:id="1195119845">
                                                                  <w:marLeft w:val="0"/>
                                                                  <w:marRight w:val="0"/>
                                                                  <w:marTop w:val="0"/>
                                                                  <w:marBottom w:val="0"/>
                                                                  <w:divBdr>
                                                                    <w:top w:val="none" w:sz="0" w:space="0" w:color="auto"/>
                                                                    <w:left w:val="none" w:sz="0" w:space="0" w:color="auto"/>
                                                                    <w:bottom w:val="none" w:sz="0" w:space="0" w:color="auto"/>
                                                                    <w:right w:val="none" w:sz="0" w:space="0" w:color="auto"/>
                                                                  </w:divBdr>
                                                                  <w:divsChild>
                                                                    <w:div w:id="2087802341">
                                                                      <w:marLeft w:val="0"/>
                                                                      <w:marRight w:val="0"/>
                                                                      <w:marTop w:val="96"/>
                                                                      <w:marBottom w:val="0"/>
                                                                      <w:divBdr>
                                                                        <w:top w:val="none" w:sz="0" w:space="0" w:color="auto"/>
                                                                        <w:left w:val="none" w:sz="0" w:space="0" w:color="auto"/>
                                                                        <w:bottom w:val="none" w:sz="0" w:space="0" w:color="auto"/>
                                                                        <w:right w:val="none" w:sz="0" w:space="0" w:color="auto"/>
                                                                      </w:divBdr>
                                                                      <w:divsChild>
                                                                        <w:div w:id="1916627572">
                                                                          <w:marLeft w:val="0"/>
                                                                          <w:marRight w:val="0"/>
                                                                          <w:marTop w:val="72"/>
                                                                          <w:marBottom w:val="0"/>
                                                                          <w:divBdr>
                                                                            <w:top w:val="none" w:sz="0" w:space="0" w:color="auto"/>
                                                                            <w:left w:val="none" w:sz="0" w:space="0" w:color="auto"/>
                                                                            <w:bottom w:val="none" w:sz="0" w:space="0" w:color="auto"/>
                                                                            <w:right w:val="none" w:sz="0" w:space="0" w:color="auto"/>
                                                                          </w:divBdr>
                                                                          <w:divsChild>
                                                                            <w:div w:id="411197616">
                                                                              <w:marLeft w:val="0"/>
                                                                              <w:marRight w:val="0"/>
                                                                              <w:marTop w:val="0"/>
                                                                              <w:marBottom w:val="0"/>
                                                                              <w:divBdr>
                                                                                <w:top w:val="none" w:sz="0" w:space="0" w:color="auto"/>
                                                                                <w:left w:val="none" w:sz="0" w:space="0" w:color="auto"/>
                                                                                <w:bottom w:val="none" w:sz="0" w:space="0" w:color="auto"/>
                                                                                <w:right w:val="none" w:sz="0" w:space="0" w:color="auto"/>
                                                                              </w:divBdr>
                                                                              <w:divsChild>
                                                                                <w:div w:id="16112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066287">
      <w:bodyDiv w:val="1"/>
      <w:marLeft w:val="0"/>
      <w:marRight w:val="0"/>
      <w:marTop w:val="0"/>
      <w:marBottom w:val="0"/>
      <w:divBdr>
        <w:top w:val="none" w:sz="0" w:space="0" w:color="auto"/>
        <w:left w:val="none" w:sz="0" w:space="0" w:color="auto"/>
        <w:bottom w:val="none" w:sz="0" w:space="0" w:color="auto"/>
        <w:right w:val="none" w:sz="0" w:space="0" w:color="auto"/>
      </w:divBdr>
      <w:divsChild>
        <w:div w:id="200477372">
          <w:marLeft w:val="0"/>
          <w:marRight w:val="0"/>
          <w:marTop w:val="0"/>
          <w:marBottom w:val="0"/>
          <w:divBdr>
            <w:top w:val="none" w:sz="0" w:space="0" w:color="auto"/>
            <w:left w:val="none" w:sz="0" w:space="0" w:color="auto"/>
            <w:bottom w:val="none" w:sz="0" w:space="0" w:color="auto"/>
            <w:right w:val="none" w:sz="0" w:space="0" w:color="auto"/>
          </w:divBdr>
          <w:divsChild>
            <w:div w:id="1630087948">
              <w:marLeft w:val="0"/>
              <w:marRight w:val="0"/>
              <w:marTop w:val="0"/>
              <w:marBottom w:val="0"/>
              <w:divBdr>
                <w:top w:val="none" w:sz="0" w:space="0" w:color="auto"/>
                <w:left w:val="none" w:sz="0" w:space="0" w:color="auto"/>
                <w:bottom w:val="none" w:sz="0" w:space="0" w:color="auto"/>
                <w:right w:val="none" w:sz="0" w:space="0" w:color="auto"/>
              </w:divBdr>
              <w:divsChild>
                <w:div w:id="493178831">
                  <w:marLeft w:val="0"/>
                  <w:marRight w:val="0"/>
                  <w:marTop w:val="0"/>
                  <w:marBottom w:val="0"/>
                  <w:divBdr>
                    <w:top w:val="none" w:sz="0" w:space="0" w:color="auto"/>
                    <w:left w:val="none" w:sz="0" w:space="0" w:color="auto"/>
                    <w:bottom w:val="none" w:sz="0" w:space="0" w:color="auto"/>
                    <w:right w:val="none" w:sz="0" w:space="0" w:color="auto"/>
                  </w:divBdr>
                  <w:divsChild>
                    <w:div w:id="1146702504">
                      <w:marLeft w:val="0"/>
                      <w:marRight w:val="0"/>
                      <w:marTop w:val="0"/>
                      <w:marBottom w:val="0"/>
                      <w:divBdr>
                        <w:top w:val="none" w:sz="0" w:space="0" w:color="auto"/>
                        <w:left w:val="none" w:sz="0" w:space="0" w:color="auto"/>
                        <w:bottom w:val="none" w:sz="0" w:space="0" w:color="auto"/>
                        <w:right w:val="none" w:sz="0" w:space="0" w:color="auto"/>
                      </w:divBdr>
                      <w:divsChild>
                        <w:div w:id="89787037">
                          <w:marLeft w:val="2325"/>
                          <w:marRight w:val="0"/>
                          <w:marTop w:val="0"/>
                          <w:marBottom w:val="0"/>
                          <w:divBdr>
                            <w:top w:val="none" w:sz="0" w:space="0" w:color="auto"/>
                            <w:left w:val="none" w:sz="0" w:space="0" w:color="auto"/>
                            <w:bottom w:val="none" w:sz="0" w:space="0" w:color="auto"/>
                            <w:right w:val="none" w:sz="0" w:space="0" w:color="auto"/>
                          </w:divBdr>
                          <w:divsChild>
                            <w:div w:id="1322391063">
                              <w:marLeft w:val="0"/>
                              <w:marRight w:val="0"/>
                              <w:marTop w:val="0"/>
                              <w:marBottom w:val="0"/>
                              <w:divBdr>
                                <w:top w:val="none" w:sz="0" w:space="0" w:color="auto"/>
                                <w:left w:val="none" w:sz="0" w:space="0" w:color="auto"/>
                                <w:bottom w:val="none" w:sz="0" w:space="0" w:color="auto"/>
                                <w:right w:val="none" w:sz="0" w:space="0" w:color="auto"/>
                              </w:divBdr>
                              <w:divsChild>
                                <w:div w:id="1953659284">
                                  <w:marLeft w:val="0"/>
                                  <w:marRight w:val="0"/>
                                  <w:marTop w:val="0"/>
                                  <w:marBottom w:val="0"/>
                                  <w:divBdr>
                                    <w:top w:val="none" w:sz="0" w:space="0" w:color="auto"/>
                                    <w:left w:val="none" w:sz="0" w:space="0" w:color="auto"/>
                                    <w:bottom w:val="none" w:sz="0" w:space="0" w:color="auto"/>
                                    <w:right w:val="none" w:sz="0" w:space="0" w:color="auto"/>
                                  </w:divBdr>
                                  <w:divsChild>
                                    <w:div w:id="1735204619">
                                      <w:marLeft w:val="0"/>
                                      <w:marRight w:val="0"/>
                                      <w:marTop w:val="0"/>
                                      <w:marBottom w:val="0"/>
                                      <w:divBdr>
                                        <w:top w:val="none" w:sz="0" w:space="0" w:color="auto"/>
                                        <w:left w:val="none" w:sz="0" w:space="0" w:color="auto"/>
                                        <w:bottom w:val="none" w:sz="0" w:space="0" w:color="auto"/>
                                        <w:right w:val="none" w:sz="0" w:space="0" w:color="auto"/>
                                      </w:divBdr>
                                      <w:divsChild>
                                        <w:div w:id="515076253">
                                          <w:marLeft w:val="480"/>
                                          <w:marRight w:val="0"/>
                                          <w:marTop w:val="0"/>
                                          <w:marBottom w:val="0"/>
                                          <w:divBdr>
                                            <w:top w:val="none" w:sz="0" w:space="0" w:color="auto"/>
                                            <w:left w:val="none" w:sz="0" w:space="0" w:color="auto"/>
                                            <w:bottom w:val="none" w:sz="0" w:space="0" w:color="auto"/>
                                            <w:right w:val="none" w:sz="0" w:space="0" w:color="auto"/>
                                          </w:divBdr>
                                          <w:divsChild>
                                            <w:div w:id="1220559714">
                                              <w:marLeft w:val="0"/>
                                              <w:marRight w:val="0"/>
                                              <w:marTop w:val="0"/>
                                              <w:marBottom w:val="0"/>
                                              <w:divBdr>
                                                <w:top w:val="none" w:sz="0" w:space="0" w:color="auto"/>
                                                <w:left w:val="none" w:sz="0" w:space="0" w:color="auto"/>
                                                <w:bottom w:val="none" w:sz="0" w:space="0" w:color="auto"/>
                                                <w:right w:val="none" w:sz="0" w:space="0" w:color="auto"/>
                                              </w:divBdr>
                                              <w:divsChild>
                                                <w:div w:id="1493334884">
                                                  <w:marLeft w:val="0"/>
                                                  <w:marRight w:val="0"/>
                                                  <w:marTop w:val="0"/>
                                                  <w:marBottom w:val="0"/>
                                                  <w:divBdr>
                                                    <w:top w:val="none" w:sz="0" w:space="0" w:color="auto"/>
                                                    <w:left w:val="none" w:sz="0" w:space="0" w:color="auto"/>
                                                    <w:bottom w:val="none" w:sz="0" w:space="0" w:color="auto"/>
                                                    <w:right w:val="none" w:sz="0" w:space="0" w:color="auto"/>
                                                  </w:divBdr>
                                                  <w:divsChild>
                                                    <w:div w:id="996614869">
                                                      <w:marLeft w:val="0"/>
                                                      <w:marRight w:val="0"/>
                                                      <w:marTop w:val="0"/>
                                                      <w:marBottom w:val="0"/>
                                                      <w:divBdr>
                                                        <w:top w:val="none" w:sz="0" w:space="0" w:color="auto"/>
                                                        <w:left w:val="none" w:sz="0" w:space="0" w:color="auto"/>
                                                        <w:bottom w:val="none" w:sz="0" w:space="0" w:color="auto"/>
                                                        <w:right w:val="none" w:sz="0" w:space="0" w:color="auto"/>
                                                      </w:divBdr>
                                                      <w:divsChild>
                                                        <w:div w:id="97222329">
                                                          <w:marLeft w:val="0"/>
                                                          <w:marRight w:val="0"/>
                                                          <w:marTop w:val="0"/>
                                                          <w:marBottom w:val="0"/>
                                                          <w:divBdr>
                                                            <w:top w:val="none" w:sz="0" w:space="0" w:color="auto"/>
                                                            <w:left w:val="none" w:sz="0" w:space="0" w:color="auto"/>
                                                            <w:bottom w:val="none" w:sz="0" w:space="0" w:color="auto"/>
                                                            <w:right w:val="none" w:sz="0" w:space="0" w:color="auto"/>
                                                          </w:divBdr>
                                                          <w:divsChild>
                                                            <w:div w:id="1161920204">
                                                              <w:marLeft w:val="0"/>
                                                              <w:marRight w:val="0"/>
                                                              <w:marTop w:val="0"/>
                                                              <w:marBottom w:val="0"/>
                                                              <w:divBdr>
                                                                <w:top w:val="none" w:sz="0" w:space="0" w:color="auto"/>
                                                                <w:left w:val="none" w:sz="0" w:space="0" w:color="auto"/>
                                                                <w:bottom w:val="none" w:sz="0" w:space="0" w:color="auto"/>
                                                                <w:right w:val="none" w:sz="0" w:space="0" w:color="auto"/>
                                                              </w:divBdr>
                                                              <w:divsChild>
                                                                <w:div w:id="2055036796">
                                                                  <w:marLeft w:val="0"/>
                                                                  <w:marRight w:val="0"/>
                                                                  <w:marTop w:val="0"/>
                                                                  <w:marBottom w:val="0"/>
                                                                  <w:divBdr>
                                                                    <w:top w:val="none" w:sz="0" w:space="0" w:color="auto"/>
                                                                    <w:left w:val="none" w:sz="0" w:space="0" w:color="auto"/>
                                                                    <w:bottom w:val="none" w:sz="0" w:space="0" w:color="auto"/>
                                                                    <w:right w:val="none" w:sz="0" w:space="0" w:color="auto"/>
                                                                  </w:divBdr>
                                                                  <w:divsChild>
                                                                    <w:div w:id="351227015">
                                                                      <w:marLeft w:val="0"/>
                                                                      <w:marRight w:val="0"/>
                                                                      <w:marTop w:val="96"/>
                                                                      <w:marBottom w:val="0"/>
                                                                      <w:divBdr>
                                                                        <w:top w:val="none" w:sz="0" w:space="0" w:color="auto"/>
                                                                        <w:left w:val="none" w:sz="0" w:space="0" w:color="auto"/>
                                                                        <w:bottom w:val="none" w:sz="0" w:space="0" w:color="auto"/>
                                                                        <w:right w:val="none" w:sz="0" w:space="0" w:color="auto"/>
                                                                      </w:divBdr>
                                                                      <w:divsChild>
                                                                        <w:div w:id="98719083">
                                                                          <w:marLeft w:val="0"/>
                                                                          <w:marRight w:val="0"/>
                                                                          <w:marTop w:val="72"/>
                                                                          <w:marBottom w:val="0"/>
                                                                          <w:divBdr>
                                                                            <w:top w:val="none" w:sz="0" w:space="0" w:color="auto"/>
                                                                            <w:left w:val="none" w:sz="0" w:space="0" w:color="auto"/>
                                                                            <w:bottom w:val="none" w:sz="0" w:space="0" w:color="auto"/>
                                                                            <w:right w:val="none" w:sz="0" w:space="0" w:color="auto"/>
                                                                          </w:divBdr>
                                                                          <w:divsChild>
                                                                            <w:div w:id="461386872">
                                                                              <w:marLeft w:val="0"/>
                                                                              <w:marRight w:val="0"/>
                                                                              <w:marTop w:val="0"/>
                                                                              <w:marBottom w:val="0"/>
                                                                              <w:divBdr>
                                                                                <w:top w:val="none" w:sz="0" w:space="0" w:color="auto"/>
                                                                                <w:left w:val="none" w:sz="0" w:space="0" w:color="auto"/>
                                                                                <w:bottom w:val="none" w:sz="0" w:space="0" w:color="auto"/>
                                                                                <w:right w:val="none" w:sz="0" w:space="0" w:color="auto"/>
                                                                              </w:divBdr>
                                                                              <w:divsChild>
                                                                                <w:div w:id="19392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JE6N4JFJXNNF-9-68105</_dlc_DocId>
    <_dlc_DocIdUrl xmlns="8b66ae41-1ec6-402e-b662-35d1932ca064">
      <Url>http://rkdhs-sb/enhet/EUKansli/_layouts/DocIdRedir.aspx?ID=JE6N4JFJXNNF-9-68105</Url>
      <Description>JE6N4JFJXNNF-9-68105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7CC84-CB27-44C1-B9A3-9B269892C72F}">
  <ds:schemaRefs>
    <ds:schemaRef ds:uri="http://purl.org/dc/elements/1.1/"/>
    <ds:schemaRef ds:uri="http://schemas.microsoft.com/office/2006/metadata/properties"/>
    <ds:schemaRef ds:uri="e4c0beb7-0294-4d25-9600-346807c0961e"/>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2CB58A2-23C1-4E15-88D4-C0678189C7E8}">
  <ds:schemaRefs>
    <ds:schemaRef ds:uri="http://schemas.microsoft.com/sharepoint/v3/contenttype/forms"/>
  </ds:schemaRefs>
</ds:datastoreItem>
</file>

<file path=customXml/itemProps3.xml><?xml version="1.0" encoding="utf-8"?>
<ds:datastoreItem xmlns:ds="http://schemas.openxmlformats.org/officeDocument/2006/customXml" ds:itemID="{4BDC5809-6F3B-4293-824D-DCA1D7A577E3}">
  <ds:schemaRefs>
    <ds:schemaRef ds:uri="http://schemas.microsoft.com/sharepoint/v3/contenttype/forms/url"/>
  </ds:schemaRefs>
</ds:datastoreItem>
</file>

<file path=customXml/itemProps4.xml><?xml version="1.0" encoding="utf-8"?>
<ds:datastoreItem xmlns:ds="http://schemas.openxmlformats.org/officeDocument/2006/customXml" ds:itemID="{EBC37D6C-0D0F-4EA7-8746-A5928D61D15C}">
  <ds:schemaRefs>
    <ds:schemaRef ds:uri="http://schemas.microsoft.com/office/2006/metadata/customXsn"/>
  </ds:schemaRefs>
</ds:datastoreItem>
</file>

<file path=customXml/itemProps5.xml><?xml version="1.0" encoding="utf-8"?>
<ds:datastoreItem xmlns:ds="http://schemas.openxmlformats.org/officeDocument/2006/customXml" ds:itemID="{FAFBC2BA-005D-4BD5-A879-B2E4C1B43CCE}">
  <ds:schemaRefs>
    <ds:schemaRef ds:uri="http://schemas.microsoft.com/sharepoint/events"/>
  </ds:schemaRefs>
</ds:datastoreItem>
</file>

<file path=customXml/itemProps6.xml><?xml version="1.0" encoding="utf-8"?>
<ds:datastoreItem xmlns:ds="http://schemas.openxmlformats.org/officeDocument/2006/customXml" ds:itemID="{32C5BACB-07E2-4F93-9FA9-068B29635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223823C-EAFE-476A-9CAE-B9F10C3D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3562</Words>
  <Characters>18880</Characters>
  <Application>Microsoft Office Word</Application>
  <DocSecurity>4</DocSecurity>
  <Lines>157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2015-05-27T11:34:00Z</dcterms:created>
  <dcterms:modified xsi:type="dcterms:W3CDTF">2015-05-27T11:34:00Z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fd5e7e8e-b810-4f28-8f7c-468c99e90a2a</vt:lpwstr>
  </property>
</Properties>
</file>