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0A963B3E9B1041D6BA8E9AB1D81EE288"/>
        </w:placeholder>
        <w:group/>
      </w:sdtPr>
      <w:sdtEndPr>
        <w:rPr>
          <w:b w:val="0"/>
        </w:rPr>
      </w:sdtEndPr>
      <w:sdtContent>
        <w:p w14:paraId="0370E22C"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1AC2AAE" wp14:editId="54EE31AC">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1CA16FA7" w14:textId="67782727" w:rsidR="00907069" w:rsidRDefault="00C85FE1" w:rsidP="001C2731">
          <w:pPr>
            <w:pStyle w:val="Sidhuvud"/>
            <w:ind w:left="3969" w:right="-567"/>
          </w:pPr>
          <w:r>
            <w:t>Riksdagså</w:t>
          </w:r>
          <w:r w:rsidR="00907069">
            <w:t xml:space="preserve">r: </w:t>
          </w:r>
          <w:sdt>
            <w:sdtPr>
              <w:alias w:val="Ar"/>
              <w:tag w:val="Ar"/>
              <w:id w:val="-280807286"/>
              <w:placeholder>
                <w:docPart w:val="B8EF67E2798049A49658701435915203"/>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1849E8">
                <w:t>2025/26</w:t>
              </w:r>
            </w:sdtContent>
          </w:sdt>
        </w:p>
        <w:p w14:paraId="78451FF3" w14:textId="70368B23"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DDA124D0F8F04E3BABF3AEB18F0D6A2D"/>
              </w:placeholder>
              <w:dataBinding w:prefixMappings="xmlns:ns0='http://rk.se/faktapm' " w:xpath="/ns0:faktaPM[1]/ns0:Nr[1]" w:storeItemID="{0B9A7431-9D19-4C2A-8E12-639802D7B40B}"/>
              <w:text/>
            </w:sdtPr>
            <w:sdtEndPr/>
            <w:sdtContent>
              <w:r w:rsidR="001849E8">
                <w:t>100</w:t>
              </w:r>
            </w:sdtContent>
          </w:sdt>
        </w:p>
        <w:sdt>
          <w:sdtPr>
            <w:alias w:val="Datum"/>
            <w:tag w:val="ccRKShow_UppDat"/>
            <w:id w:val="396561324"/>
            <w:placeholder>
              <w:docPart w:val="054A6747615641E7BCF473C171A224F5"/>
            </w:placeholder>
            <w:dataBinding w:prefixMappings="xmlns:ns0='http://rk.se/faktapm' " w:xpath="/ns0:faktaPM[1]/ns0:UppDat[1]" w:storeItemID="{0B9A7431-9D19-4C2A-8E12-639802D7B40B}"/>
            <w:date w:fullDate="2026-07-10T00:00:00Z">
              <w:dateFormat w:val="yyyy-MM-dd"/>
              <w:lid w:val="sv-SE"/>
              <w:storeMappedDataAs w:val="dateTime"/>
              <w:calendar w:val="gregorian"/>
            </w:date>
          </w:sdtPr>
          <w:sdtEndPr/>
          <w:sdtContent>
            <w:p w14:paraId="0EE795A8" w14:textId="41B2209B" w:rsidR="00907069" w:rsidRDefault="008D6375" w:rsidP="001C2731">
              <w:pPr>
                <w:pStyle w:val="Sidhuvud"/>
                <w:spacing w:after="960"/>
                <w:ind w:left="3969" w:right="-567"/>
              </w:pPr>
              <w:r>
                <w:t>2026-07-10</w:t>
              </w:r>
            </w:p>
          </w:sdtContent>
        </w:sdt>
      </w:sdtContent>
    </w:sdt>
    <w:p w14:paraId="6565028E" w14:textId="359BAF54" w:rsidR="007D542F" w:rsidRDefault="00E9396B" w:rsidP="007D542F">
      <w:pPr>
        <w:pStyle w:val="Rubrik"/>
      </w:pPr>
      <w:sdt>
        <w:sdtPr>
          <w:id w:val="886605850"/>
          <w:lock w:val="contentLocked"/>
          <w:placeholder>
            <w:docPart w:val="0A963B3E9B1041D6BA8E9AB1D81EE288"/>
          </w:placeholder>
          <w:group/>
        </w:sdtPr>
        <w:sdtEndPr/>
        <w:sdtContent>
          <w:sdt>
            <w:sdtPr>
              <w:id w:val="-1141882450"/>
              <w:placeholder>
                <w:docPart w:val="FAF3CE64911B44BFB837F6DF781B491D"/>
              </w:placeholder>
              <w:dataBinding w:prefixMappings="xmlns:ns0='http://rk.se/faktapm' " w:xpath="/ns0:faktaPM[1]/ns0:Titel[1]" w:storeItemID="{0B9A7431-9D19-4C2A-8E12-639802D7B40B}"/>
              <w:text/>
            </w:sdtPr>
            <w:sdtEndPr/>
            <w:sdtContent>
              <w:r w:rsidR="00795BBC">
                <w:t>EU:s årsbudget 2027 och teknisk justering av fleråriga budgetramen för 2027</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119FCF976CA442A193F700BFDFEEEEB4"/>
            </w:placeholder>
            <w15:repeatingSectionItem/>
          </w:sdtPr>
          <w:sdtEndPr/>
          <w:sdtContent>
            <w:p w14:paraId="6F1FE816" w14:textId="7F31F9AC" w:rsidR="007D542F" w:rsidRPr="008F4DA0" w:rsidRDefault="00E9396B" w:rsidP="007D542F">
              <w:pPr>
                <w:pStyle w:val="Brdtext"/>
                <w:rPr>
                  <w:lang w:val="en-US"/>
                </w:rPr>
              </w:pPr>
              <w:sdt>
                <w:sdtPr>
                  <w:rPr>
                    <w:rStyle w:val="Departement"/>
                    <w:lang w:val="en-US"/>
                  </w:rPr>
                  <w:id w:val="19440330"/>
                  <w:placeholder>
                    <w:docPart w:val="7D545BFC843548DDB51E103B8038833C"/>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540DE" w:rsidRPr="008F4DA0">
                    <w:rPr>
                      <w:rStyle w:val="Departement"/>
                      <w:lang w:val="en-US"/>
                    </w:rPr>
                    <w:t>Finansdepartementet</w:t>
                  </w:r>
                </w:sdtContent>
              </w:sdt>
              <w:r w:rsidR="007D542F" w:rsidRPr="008F4DA0">
                <w:rPr>
                  <w:lang w:val="en-US"/>
                </w:rPr>
                <w:t xml:space="preserve"> </w:t>
              </w:r>
            </w:p>
          </w:sdtContent>
        </w:sdt>
      </w:sdtContent>
    </w:sdt>
    <w:bookmarkStart w:id="0" w:name="_Toc93996727"/>
    <w:p w14:paraId="3617806A" w14:textId="77777777" w:rsidR="007D542F" w:rsidRPr="00580C5D" w:rsidRDefault="00E9396B" w:rsidP="00AC59D3">
      <w:pPr>
        <w:pStyle w:val="Rubrik2utannumrering"/>
        <w:rPr>
          <w:lang w:val="en-US"/>
        </w:rPr>
      </w:pPr>
      <w:sdt>
        <w:sdtPr>
          <w:id w:val="-208794150"/>
          <w:lock w:val="contentLocked"/>
          <w:placeholder>
            <w:docPart w:val="0A963B3E9B1041D6BA8E9AB1D81EE28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119FCF976CA442A193F700BFDFEEEEB4"/>
            </w:placeholder>
            <w15:repeatingSectionItem/>
          </w:sdtPr>
          <w:sdtEndPr/>
          <w:sdtContent>
            <w:p w14:paraId="3EA6360E" w14:textId="6664C2BF" w:rsidR="00390335" w:rsidRPr="00580C5D" w:rsidRDefault="00E9396B" w:rsidP="002F204A">
              <w:pPr>
                <w:pStyle w:val="Brdtext"/>
                <w:tabs>
                  <w:tab w:val="clear" w:pos="1701"/>
                  <w:tab w:val="clear" w:pos="3600"/>
                  <w:tab w:val="left" w:pos="2835"/>
                </w:tabs>
                <w:spacing w:after="80"/>
                <w:ind w:left="2835" w:hanging="2835"/>
                <w:rPr>
                  <w:lang w:val="en-US"/>
                </w:rPr>
              </w:pPr>
              <w:sdt>
                <w:sdtPr>
                  <w:rPr>
                    <w:lang w:val="en-US"/>
                  </w:rPr>
                  <w:id w:val="-1666781584"/>
                  <w:placeholder>
                    <w:docPart w:val="7087A293A20A42FB918230921821E022"/>
                  </w:placeholder>
                  <w:dataBinding w:prefixMappings="xmlns:ns0='http://rk.se/faktapm' " w:xpath="/ns0:faktaPM[1]/ns0:DokLista[1]/ns0:DokItem[1]/ns0:Beteckning[1]" w:storeItemID="{0B9A7431-9D19-4C2A-8E12-639802D7B40B}"/>
                  <w:text/>
                </w:sdtPr>
                <w:sdtEndPr/>
                <w:sdtContent>
                  <w:r w:rsidR="009E22C7" w:rsidRPr="00580C5D">
                    <w:rPr>
                      <w:lang w:val="en-US"/>
                    </w:rPr>
                    <w:t>SEC (2026) 250</w:t>
                  </w:r>
                </w:sdtContent>
              </w:sdt>
              <w:r w:rsidR="007D542F" w:rsidRPr="00580C5D">
                <w:rPr>
                  <w:lang w:val="en-US"/>
                </w:rPr>
                <w:t xml:space="preserve"> </w:t>
              </w:r>
              <w:r w:rsidR="007D542F" w:rsidRPr="00580C5D">
                <w:rPr>
                  <w:lang w:val="en-US"/>
                </w:rPr>
                <w:tab/>
                <w:t xml:space="preserve">Celexnummer </w:t>
              </w:r>
              <w:sdt>
                <w:sdtPr>
                  <w:rPr>
                    <w:lang w:val="en-US"/>
                  </w:rPr>
                  <w:id w:val="403725708"/>
                  <w:placeholder>
                    <w:docPart w:val="1709FF3EDF2049CEAFBDAF3371200E24"/>
                  </w:placeholder>
                  <w:dataBinding w:prefixMappings="xmlns:ns0='http://rk.se/faktapm' " w:xpath="/ns0:faktaPM[1]/ns0:DokLista[1]/ns0:DokItem[1]/ns0:Celexnummer[1]" w:storeItemID="{0B9A7431-9D19-4C2A-8E12-639802D7B40B}"/>
                  <w:text/>
                </w:sdtPr>
                <w:sdtEndPr/>
                <w:sdtContent>
                  <w:r w:rsidR="008D6375" w:rsidRPr="00580C5D">
                    <w:rPr>
                      <w:lang w:val="en-US"/>
                    </w:rPr>
                    <w:t>-</w:t>
                  </w:r>
                </w:sdtContent>
              </w:sdt>
            </w:p>
            <w:p w14:paraId="09747EDF" w14:textId="5A99667C" w:rsidR="007D542F" w:rsidRPr="00C540DE" w:rsidRDefault="00E9396B" w:rsidP="00390335">
              <w:pPr>
                <w:pStyle w:val="Brdtext"/>
                <w:tabs>
                  <w:tab w:val="clear" w:pos="1701"/>
                  <w:tab w:val="clear" w:pos="3600"/>
                </w:tabs>
                <w:rPr>
                  <w:lang w:val="en-GB"/>
                </w:rPr>
              </w:pPr>
              <w:sdt>
                <w:sdtPr>
                  <w:rPr>
                    <w:lang w:val="en-GB"/>
                  </w:rPr>
                  <w:id w:val="-1736688595"/>
                  <w:placeholder>
                    <w:docPart w:val="88A5BB3E121C4FA3B931A165D6B95FF2"/>
                  </w:placeholder>
                  <w:dataBinding w:prefixMappings="xmlns:ns0='http://rk.se/faktapm' " w:xpath="/ns0:faktaPM[1]/ns0:DokLista[1]/ns0:DokItem[1]/ns0:DokTitel[1]" w:storeItemID="{0B9A7431-9D19-4C2A-8E12-639802D7B40B}"/>
                  <w:text/>
                </w:sdtPr>
                <w:sdtEndPr/>
                <w:sdtContent>
                  <w:r w:rsidR="009E22C7" w:rsidRPr="00C540DE">
                    <w:rPr>
                      <w:lang w:val="en-GB"/>
                    </w:rPr>
                    <w:t>Statement of Estimates of the European Commission for the financial year 202</w:t>
                  </w:r>
                  <w:r w:rsidR="009E22C7">
                    <w:rPr>
                      <w:lang w:val="en-GB"/>
                    </w:rPr>
                    <w:t>7</w:t>
                  </w:r>
                </w:sdtContent>
              </w:sdt>
            </w:p>
          </w:sdtContent>
        </w:sdt>
        <w:bookmarkStart w:id="1" w:name="_Toc93996728" w:displacedByCustomXml="next"/>
        <w:sdt>
          <w:sdtPr>
            <w:id w:val="973328584"/>
            <w:placeholder>
              <w:docPart w:val="A17ED8F2E58D4B9CA738FBDE4BD5C987"/>
            </w:placeholder>
            <w15:repeatingSectionItem/>
          </w:sdtPr>
          <w:sdtEndPr/>
          <w:sdtContent>
            <w:p w14:paraId="7BC892C2" w14:textId="0009DAD6" w:rsidR="00D67E90" w:rsidRDefault="00E9396B" w:rsidP="002F204A">
              <w:pPr>
                <w:pStyle w:val="Brdtext"/>
                <w:tabs>
                  <w:tab w:val="clear" w:pos="1701"/>
                  <w:tab w:val="clear" w:pos="3600"/>
                  <w:tab w:val="left" w:pos="2835"/>
                </w:tabs>
                <w:spacing w:after="80"/>
                <w:ind w:left="2835" w:hanging="2835"/>
              </w:pPr>
              <w:sdt>
                <w:sdtPr>
                  <w:id w:val="-7834757"/>
                  <w:placeholder>
                    <w:docPart w:val="AFF5446CDA0644DF8625150340BB791A"/>
                  </w:placeholder>
                  <w:dataBinding w:prefixMappings="xmlns:ns0='http://rk.se/faktapm' " w:xpath="/ns0:faktaPM[1]/ns0:DokLista[1]/ns0:DokItem[2]/ns0:Beteckning[1]" w:storeItemID="{0B9A7431-9D19-4C2A-8E12-639802D7B40B}"/>
                  <w:text/>
                </w:sdtPr>
                <w:sdtEndPr/>
                <w:sdtContent>
                  <w:proofErr w:type="gramStart"/>
                  <w:r w:rsidR="0058149F">
                    <w:t>COM(</w:t>
                  </w:r>
                  <w:proofErr w:type="gramEnd"/>
                  <w:r w:rsidR="0058149F">
                    <w:t>2026) 299 final</w:t>
                  </w:r>
                </w:sdtContent>
              </w:sdt>
              <w:r w:rsidR="00D67E90">
                <w:t xml:space="preserve"> </w:t>
              </w:r>
              <w:r w:rsidR="00D67E90">
                <w:tab/>
              </w:r>
              <w:proofErr w:type="spellStart"/>
              <w:r w:rsidR="00D67E90">
                <w:t>Celexnummer</w:t>
              </w:r>
              <w:proofErr w:type="spellEnd"/>
              <w:r w:rsidR="00D67E90">
                <w:t xml:space="preserve"> </w:t>
              </w:r>
              <w:sdt>
                <w:sdtPr>
                  <w:id w:val="-1709174654"/>
                  <w:placeholder>
                    <w:docPart w:val="2DC797D9986C461A84A78509F8781D54"/>
                  </w:placeholder>
                  <w:dataBinding w:prefixMappings="xmlns:ns0='http://rk.se/faktapm' " w:xpath="/ns0:faktaPM[1]/ns0:DokLista[1]/ns0:DokItem[2]/ns0:Celexnummer[1]" w:storeItemID="{0B9A7431-9D19-4C2A-8E12-639802D7B40B}"/>
                  <w:text/>
                </w:sdtPr>
                <w:sdtEndPr/>
                <w:sdtContent>
                  <w:r w:rsidR="00A95CC5" w:rsidRPr="00A95CC5">
                    <w:t>52026DC0299</w:t>
                  </w:r>
                </w:sdtContent>
              </w:sdt>
            </w:p>
            <w:p w14:paraId="58B3121D" w14:textId="20057B9A" w:rsidR="00D67E90" w:rsidRPr="00E608F2" w:rsidRDefault="00E9396B" w:rsidP="00390335">
              <w:pPr>
                <w:pStyle w:val="Brdtext"/>
                <w:tabs>
                  <w:tab w:val="clear" w:pos="1701"/>
                  <w:tab w:val="clear" w:pos="3600"/>
                </w:tabs>
              </w:pPr>
              <w:sdt>
                <w:sdtPr>
                  <w:id w:val="-1836674830"/>
                  <w:placeholder>
                    <w:docPart w:val="E971FFE3D82B4CC0A52322E8A5B2F94A"/>
                  </w:placeholder>
                  <w:dataBinding w:prefixMappings="xmlns:ns0='http://rk.se/faktapm' " w:xpath="/ns0:faktaPM[1]/ns0:DokLista[1]/ns0:DokItem[2]/ns0:DokTitel[1]" w:storeItemID="{0B9A7431-9D19-4C2A-8E12-639802D7B40B}"/>
                  <w:text/>
                </w:sdtPr>
                <w:sdtEndPr/>
                <w:sdtContent>
                  <w:r w:rsidR="0058149F" w:rsidRPr="0058149F">
                    <w:t xml:space="preserve">MEDDELANDE FRÅN KOMMISSIONEN TILL EUROPAPARLAMENTET OCH RÅDET </w:t>
                  </w:r>
                  <w:r w:rsidR="0058149F">
                    <w:t>om t</w:t>
                  </w:r>
                  <w:r w:rsidR="0058149F" w:rsidRPr="0058149F">
                    <w:t>eknisk justering av den fleråriga budgetramen för 2027 i enlighet med artikel 4 i rådets förordning (EU, Euratom) 2020/2093 om den fleråriga budgetramen för 2021–2027</w:t>
                  </w:r>
                </w:sdtContent>
              </w:sdt>
            </w:p>
          </w:sdtContent>
        </w:sdt>
      </w:sdtContent>
    </w:sdt>
    <w:p w14:paraId="5533E4F0" w14:textId="77777777" w:rsidR="007D542F" w:rsidRDefault="00E9396B" w:rsidP="00721D8B">
      <w:pPr>
        <w:pStyle w:val="Rubrik1utannumrering"/>
      </w:pPr>
      <w:sdt>
        <w:sdtPr>
          <w:id w:val="1122497011"/>
          <w:lock w:val="contentLocked"/>
          <w:placeholder>
            <w:docPart w:val="0A963B3E9B1041D6BA8E9AB1D81EE288"/>
          </w:placeholder>
          <w:group/>
        </w:sdtPr>
        <w:sdtEndPr/>
        <w:sdtContent>
          <w:r w:rsidR="007D542F">
            <w:t>Sammanfattning</w:t>
          </w:r>
          <w:bookmarkEnd w:id="1"/>
        </w:sdtContent>
      </w:sdt>
    </w:p>
    <w:p w14:paraId="6A6668EC" w14:textId="24FF76EC" w:rsidR="00DE0164" w:rsidRDefault="00C540DE" w:rsidP="00C540DE">
      <w:pPr>
        <w:pStyle w:val="Brdtext"/>
      </w:pPr>
      <w:bookmarkStart w:id="2" w:name="_Toc93996729"/>
      <w:r>
        <w:t>Kommissionen antog och presenterade förslaget till EU:s årsbudget 202</w:t>
      </w:r>
      <w:r w:rsidR="0036501C">
        <w:t>7</w:t>
      </w:r>
      <w:r>
        <w:t xml:space="preserve"> den </w:t>
      </w:r>
      <w:r w:rsidR="0036501C">
        <w:t>10</w:t>
      </w:r>
      <w:r>
        <w:t xml:space="preserve"> juni 202</w:t>
      </w:r>
      <w:r w:rsidR="0036501C">
        <w:t>6</w:t>
      </w:r>
      <w:r>
        <w:t>. Budgeten för 202</w:t>
      </w:r>
      <w:r w:rsidR="0036501C">
        <w:t>7</w:t>
      </w:r>
      <w:r>
        <w:t xml:space="preserve"> föreslås inklusive </w:t>
      </w:r>
      <w:r w:rsidR="006B661A">
        <w:t>mobilisering</w:t>
      </w:r>
      <w:r w:rsidR="00402359">
        <w:t xml:space="preserve"> </w:t>
      </w:r>
      <w:r w:rsidR="00E07169">
        <w:t xml:space="preserve">av </w:t>
      </w:r>
      <w:r>
        <w:t xml:space="preserve">specialinstrument uppgå till </w:t>
      </w:r>
      <w:r w:rsidR="0036501C">
        <w:t>199,9</w:t>
      </w:r>
      <w:r>
        <w:t xml:space="preserve"> miljarder euro i åtaganden och </w:t>
      </w:r>
      <w:r w:rsidR="0036501C">
        <w:t>212</w:t>
      </w:r>
      <w:r w:rsidR="00DE0164">
        <w:t>,0</w:t>
      </w:r>
      <w:r>
        <w:t xml:space="preserve"> miljarder euro i betalningar.</w:t>
      </w:r>
      <w:r w:rsidR="00022E09">
        <w:t xml:space="preserve"> </w:t>
      </w:r>
      <w:r>
        <w:t>Regeringens övergripande mål är att EU:s årsbudget för 202</w:t>
      </w:r>
      <w:r w:rsidR="0036501C">
        <w:t>7</w:t>
      </w:r>
      <w:r>
        <w:t xml:space="preserve"> ska präglas av budgetrestriktivitet och att den med god marginal ska rymmas inom taken i den fleråriga budgetramen för åren 2021–2027. Regeringen kommer att driva en </w:t>
      </w:r>
      <w:r w:rsidR="006054C2">
        <w:t>budget</w:t>
      </w:r>
      <w:r>
        <w:t>restriktiv linje under budgetförfarandet och förespråkar att betalningsanslagen ska utgå från realistiska, väl underbyggda och verifierade prognoser samt spegla tidigare genomförande. Regeringen avser att driva Sveriges ståndpunkter vid behandling av EU:s årsbudget för 202</w:t>
      </w:r>
      <w:r w:rsidR="00EB50D2">
        <w:t>7</w:t>
      </w:r>
      <w:r w:rsidR="00DE0164">
        <w:t>.</w:t>
      </w:r>
    </w:p>
    <w:p w14:paraId="42E2A04E" w14:textId="1918E06D" w:rsidR="007D542F" w:rsidRDefault="00C540DE" w:rsidP="00284D7E">
      <w:r>
        <w:t xml:space="preserve">Den tekniska justeringen av den fleråriga budgetramen för 2021–2027 innebär att utgiftstaken fastställs i löpande priser. Enligt artikel 4 i förordningen om den </w:t>
      </w:r>
      <w:r>
        <w:lastRenderedPageBreak/>
        <w:t xml:space="preserve">fleråriga budgetramen ska justeringen göras årligen. </w:t>
      </w:r>
      <w:r w:rsidR="006B661A" w:rsidRPr="006B661A">
        <w:t>Den tekniska justeringen fastställer, bl</w:t>
      </w:r>
      <w:r w:rsidR="00EB50D2">
        <w:t>and annat,</w:t>
      </w:r>
      <w:r w:rsidR="006B661A" w:rsidRPr="006B661A">
        <w:t xml:space="preserve"> genom tillämpning av den </w:t>
      </w:r>
      <w:r w:rsidR="008B4D15">
        <w:t>två</w:t>
      </w:r>
      <w:r w:rsidR="006B661A" w:rsidRPr="006B661A">
        <w:t xml:space="preserve">procentiga </w:t>
      </w:r>
      <w:proofErr w:type="spellStart"/>
      <w:r w:rsidR="006B661A" w:rsidRPr="006B661A">
        <w:t>deflatorn</w:t>
      </w:r>
      <w:proofErr w:type="spellEnd"/>
      <w:r w:rsidR="006B661A" w:rsidRPr="006B661A">
        <w:t xml:space="preserve"> </w:t>
      </w:r>
      <w:r w:rsidR="009E22C7">
        <w:t>vilka</w:t>
      </w:r>
      <w:r w:rsidR="006B661A" w:rsidRPr="006B661A">
        <w:t xml:space="preserve"> tak årsbudgeten ska förhålla sig till. </w:t>
      </w:r>
      <w:r>
        <w:t xml:space="preserve">Då årsbudgeten anges i löpande priser </w:t>
      </w:r>
      <w:r w:rsidR="00022E09">
        <w:t>an</w:t>
      </w:r>
      <w:r>
        <w:t>ger den tekniska justeringen budgetens tak i rätt prisnivå för årsbudgeten 202</w:t>
      </w:r>
      <w:r w:rsidR="00EB50D2">
        <w:t>7</w:t>
      </w:r>
      <w:r>
        <w:t>. Den tekniska justeringen är inte en del av EU:s årsbudgetprocess.</w:t>
      </w:r>
    </w:p>
    <w:sdt>
      <w:sdtPr>
        <w:id w:val="181785833"/>
        <w:lock w:val="contentLocked"/>
        <w:placeholder>
          <w:docPart w:val="0A963B3E9B1041D6BA8E9AB1D81EE288"/>
        </w:placeholder>
        <w:group/>
      </w:sdtPr>
      <w:sdtEndPr/>
      <w:sdtContent>
        <w:p w14:paraId="0B2CB75E" w14:textId="77777777" w:rsidR="007D542F" w:rsidRDefault="007D542F" w:rsidP="00B84500">
          <w:pPr>
            <w:pStyle w:val="Rubrik1"/>
            <w:spacing w:before="720"/>
          </w:pPr>
          <w:r>
            <w:t>Förslaget</w:t>
          </w:r>
        </w:p>
        <w:bookmarkEnd w:id="2" w:displacedByCustomXml="next"/>
      </w:sdtContent>
    </w:sdt>
    <w:bookmarkStart w:id="3" w:name="_Toc93996730"/>
    <w:p w14:paraId="4D833B42" w14:textId="77777777" w:rsidR="007D542F" w:rsidRDefault="00E9396B" w:rsidP="007D542F">
      <w:pPr>
        <w:pStyle w:val="Rubrik2"/>
      </w:pPr>
      <w:sdt>
        <w:sdtPr>
          <w:id w:val="400485695"/>
          <w:lock w:val="contentLocked"/>
          <w:placeholder>
            <w:docPart w:val="0A963B3E9B1041D6BA8E9AB1D81EE288"/>
          </w:placeholder>
          <w:group/>
        </w:sdtPr>
        <w:sdtEndPr/>
        <w:sdtContent>
          <w:r w:rsidR="007D542F">
            <w:t>Ärendets bakgrund</w:t>
          </w:r>
          <w:bookmarkEnd w:id="3"/>
        </w:sdtContent>
      </w:sdt>
    </w:p>
    <w:p w14:paraId="58B0D705" w14:textId="00BA2CAE" w:rsidR="00C540DE" w:rsidRDefault="00C540DE" w:rsidP="00C540DE">
      <w:pPr>
        <w:pStyle w:val="Brdtext"/>
      </w:pPr>
      <w:r>
        <w:t xml:space="preserve">Enligt artikel 314 i fördraget om EU:s funktionssätt ska rådet och Europaparlamentet fastställa unionens årliga budget med ett särskilt budgetförfarande, som </w:t>
      </w:r>
      <w:r w:rsidR="00611D12">
        <w:t xml:space="preserve">utgår från det </w:t>
      </w:r>
      <w:r>
        <w:t xml:space="preserve">ordinarie lagstiftningsförfarandet. </w:t>
      </w:r>
    </w:p>
    <w:p w14:paraId="1335BCE7" w14:textId="13521FB7" w:rsidR="00C540DE" w:rsidRDefault="00C540DE" w:rsidP="00C540DE">
      <w:pPr>
        <w:pStyle w:val="Brdtext"/>
      </w:pPr>
      <w:r>
        <w:t xml:space="preserve">Budgeten är uppdelad i sju utgiftsrubriker som tillsammans ska rymmas under taket i den fleråriga budgetramen. Varje utgiftsrubrik är i sin tur indelad i olika politikområden. Vidare är budgeten uppdelad i åtagande- och betalningsanslag. Åtagandeanslagen anger den totala </w:t>
      </w:r>
      <w:r w:rsidR="00402359">
        <w:t xml:space="preserve">volymen </w:t>
      </w:r>
      <w:r>
        <w:t>utgifte</w:t>
      </w:r>
      <w:r w:rsidR="00402359">
        <w:t>r</w:t>
      </w:r>
      <w:r>
        <w:t xml:space="preserve"> för det legala åtagandet som EU får ingå under året</w:t>
      </w:r>
      <w:r w:rsidR="00D46CBD">
        <w:t>. Dessa</w:t>
      </w:r>
      <w:r>
        <w:t xml:space="preserve"> </w:t>
      </w:r>
      <w:r w:rsidR="00D46CBD">
        <w:t xml:space="preserve">åtaganden </w:t>
      </w:r>
      <w:r>
        <w:t xml:space="preserve">kan </w:t>
      </w:r>
      <w:r w:rsidR="00402359">
        <w:t>genom</w:t>
      </w:r>
      <w:r>
        <w:t>föras och utbetalas under flera budgetår. Betalningsanslagen reglerar hur stor</w:t>
      </w:r>
      <w:r w:rsidR="00402359">
        <w:t xml:space="preserve"> volym </w:t>
      </w:r>
      <w:r w:rsidR="00AB2F3B">
        <w:t xml:space="preserve">av </w:t>
      </w:r>
      <w:r>
        <w:t xml:space="preserve">betalningar som får göras från EU-budgeten under budgetåret med anledning av nya och redan ingångna åtaganden. Det är betalningsanslagen som påverkar </w:t>
      </w:r>
      <w:r w:rsidR="00402359">
        <w:t xml:space="preserve">medlemsstaternas </w:t>
      </w:r>
      <w:r>
        <w:t>avgifte</w:t>
      </w:r>
      <w:r w:rsidR="00402359">
        <w:t>r</w:t>
      </w:r>
      <w:r>
        <w:t xml:space="preserve"> för ett enskilt år. </w:t>
      </w:r>
    </w:p>
    <w:p w14:paraId="3E852FF7" w14:textId="33F79CC6" w:rsidR="007D542F" w:rsidRPr="00472EBA" w:rsidRDefault="00C540DE" w:rsidP="00475B0A">
      <w:pPr>
        <w:pStyle w:val="Brdtext"/>
      </w:pPr>
      <w:r>
        <w:t>I den fleråriga budgetramen antas rubriktak för åtagandeanslag per år och budgettak för den totala nivån för åtaganden och betalningar per år. Innanför taket i den fleråriga budgetramen</w:t>
      </w:r>
      <w:r w:rsidR="009E22C7">
        <w:t>,</w:t>
      </w:r>
      <w:r>
        <w:t xml:space="preserve"> men utanför de sju utgiftsrubrikerna</w:t>
      </w:r>
      <w:r w:rsidR="009E22C7">
        <w:t>,</w:t>
      </w:r>
      <w:r>
        <w:t xml:space="preserve"> ligger även </w:t>
      </w:r>
      <w:r w:rsidR="000C69FE">
        <w:t>sju</w:t>
      </w:r>
      <w:r>
        <w:t xml:space="preserve"> specialinstrument. Dessa syftar till att ge utrymme för flexibilitet i budgeten vid oförutsedda händelser</w:t>
      </w:r>
      <w:r w:rsidR="003E11DB">
        <w:t xml:space="preserve">. </w:t>
      </w:r>
      <w:r>
        <w:t>Det finns två typer av specialinstrument – tematiska och icke-tematiska. Tematiska specialinstrument har specificerat ändamål och reglerade utgifter, medan icke-tematiska är till för budgetförstärkning och är reglerade med maxbelopp. De tematiska är</w:t>
      </w:r>
      <w:r w:rsidR="00654820">
        <w:t xml:space="preserve"> </w:t>
      </w:r>
      <w:r>
        <w:t xml:space="preserve">Europeiska fonden för justering för globaliseringseffekter för uppsagda arbetstagare (EGF), solidaritets- och krisbiståndsreserven (SEAR) </w:t>
      </w:r>
      <w:proofErr w:type="spellStart"/>
      <w:r>
        <w:t>brexitjusteringsreserven</w:t>
      </w:r>
      <w:proofErr w:type="spellEnd"/>
      <w:r>
        <w:t xml:space="preserve"> (BAR)</w:t>
      </w:r>
      <w:r w:rsidR="000C69FE">
        <w:t xml:space="preserve"> och Ukrainareserven</w:t>
      </w:r>
      <w:r>
        <w:t>. De icke-tematiska</w:t>
      </w:r>
      <w:r w:rsidR="00654820">
        <w:t xml:space="preserve"> specialinstrumenten</w:t>
      </w:r>
      <w:r>
        <w:t xml:space="preserve"> är flexibilitetsinstrumentet</w:t>
      </w:r>
      <w:r w:rsidR="00654820">
        <w:t>,</w:t>
      </w:r>
      <w:r>
        <w:t xml:space="preserve"> marginalinstrumentet (SMI)</w:t>
      </w:r>
      <w:r w:rsidR="00654820">
        <w:t xml:space="preserve"> samt </w:t>
      </w:r>
      <w:r w:rsidR="006345CD" w:rsidRPr="006345CD">
        <w:t xml:space="preserve">Europeiska unionens återhämtningsinstrument </w:t>
      </w:r>
      <w:r w:rsidR="006345CD">
        <w:t>(EURI)</w:t>
      </w:r>
      <w:r w:rsidR="00654820">
        <w:t>.</w:t>
      </w:r>
    </w:p>
    <w:p w14:paraId="168DDA2B" w14:textId="77777777" w:rsidR="007D542F" w:rsidRDefault="00E9396B" w:rsidP="007D542F">
      <w:pPr>
        <w:pStyle w:val="Rubrik2"/>
      </w:pPr>
      <w:sdt>
        <w:sdtPr>
          <w:id w:val="-1352952988"/>
          <w:lock w:val="contentLocked"/>
          <w:placeholder>
            <w:docPart w:val="0A963B3E9B1041D6BA8E9AB1D81EE288"/>
          </w:placeholder>
          <w:group/>
        </w:sdtPr>
        <w:sdtEndPr/>
        <w:sdtContent>
          <w:r w:rsidR="007D542F">
            <w:t>Förslagets innehåll</w:t>
          </w:r>
        </w:sdtContent>
      </w:sdt>
    </w:p>
    <w:p w14:paraId="4D5DFABA" w14:textId="53D8520C" w:rsidR="00C540DE" w:rsidRDefault="00C540DE" w:rsidP="00C540DE">
      <w:pPr>
        <w:pStyle w:val="Brdtext"/>
      </w:pPr>
      <w:r>
        <w:t>Förslaget till årsbudget baseras på de budgettak som är fastlagda för 202</w:t>
      </w:r>
      <w:r w:rsidR="00654820">
        <w:t>7</w:t>
      </w:r>
      <w:r>
        <w:t xml:space="preserve"> i förordningen om den fleråriga budgetramen för perioden 2021–2027 i 2018 års prisnivå samt förslaget om den tekniska justeringen genom vilken de årliga taken räknas om till löpande priser.</w:t>
      </w:r>
    </w:p>
    <w:p w14:paraId="2C14DD2B" w14:textId="2B52678B" w:rsidR="00C540DE" w:rsidRDefault="00C540DE" w:rsidP="00C540DE">
      <w:pPr>
        <w:pStyle w:val="Brdtext"/>
      </w:pPr>
      <w:r>
        <w:t xml:space="preserve">Åtagandeanslag inklusive specialinstrument föreslås uppgå till </w:t>
      </w:r>
      <w:r w:rsidR="00654820">
        <w:t>199,9</w:t>
      </w:r>
      <w:r>
        <w:t xml:space="preserve"> miljarder euro, </w:t>
      </w:r>
      <w:r w:rsidR="00402359">
        <w:t xml:space="preserve">vilket </w:t>
      </w:r>
      <w:r w:rsidRPr="003A5F2F">
        <w:t>motsvara</w:t>
      </w:r>
      <w:r w:rsidR="00402359">
        <w:t>r</w:t>
      </w:r>
      <w:r w:rsidRPr="003A5F2F">
        <w:t xml:space="preserve"> </w:t>
      </w:r>
      <w:r w:rsidR="00654820">
        <w:t>0,99</w:t>
      </w:r>
      <w:r w:rsidRPr="003A5F2F">
        <w:t xml:space="preserve"> procent</w:t>
      </w:r>
      <w:r>
        <w:t xml:space="preserve"> av EU:s samlade BNI. Förslaget lämnar en marginal till taket för åtaganden inklusive specialinstrument på </w:t>
      </w:r>
      <w:r w:rsidR="00814BDD" w:rsidRPr="00814BDD">
        <w:t>4</w:t>
      </w:r>
      <w:r w:rsidR="00654820">
        <w:t>77</w:t>
      </w:r>
      <w:r w:rsidR="00814BDD">
        <w:t xml:space="preserve"> </w:t>
      </w:r>
      <w:r>
        <w:t>miljoner euro. Betalningsanslag</w:t>
      </w:r>
      <w:r w:rsidR="00654820">
        <w:t xml:space="preserve"> inklusive specialinstrument</w:t>
      </w:r>
      <w:r>
        <w:t xml:space="preserve"> föreslås uppgå till </w:t>
      </w:r>
      <w:r w:rsidR="00654820">
        <w:t>212</w:t>
      </w:r>
      <w:r w:rsidR="00DE0164">
        <w:t>,0</w:t>
      </w:r>
      <w:r>
        <w:t xml:space="preserve"> miljarder euro, </w:t>
      </w:r>
      <w:r w:rsidR="00402359">
        <w:t>vilket</w:t>
      </w:r>
      <w:r w:rsidR="00AB2F3B">
        <w:t xml:space="preserve"> motsvarar</w:t>
      </w:r>
      <w:r w:rsidR="00402359">
        <w:t xml:space="preserve"> </w:t>
      </w:r>
      <w:r w:rsidR="003A5F2F">
        <w:t>1,0</w:t>
      </w:r>
      <w:r w:rsidR="00654820">
        <w:t>5</w:t>
      </w:r>
      <w:r>
        <w:t xml:space="preserve"> procent</w:t>
      </w:r>
      <w:r w:rsidR="00402359">
        <w:t xml:space="preserve"> av EU:s samlade BNI</w:t>
      </w:r>
      <w:r>
        <w:t xml:space="preserve">. Förslaget lämnar en marginal till taket för betalningar inklusive specialinstrument på </w:t>
      </w:r>
      <w:r w:rsidR="00654820">
        <w:t>501</w:t>
      </w:r>
      <w:r>
        <w:t xml:space="preserve"> milj</w:t>
      </w:r>
      <w:r w:rsidR="00654820">
        <w:t>oner</w:t>
      </w:r>
      <w:r>
        <w:t xml:space="preserve"> euro. </w:t>
      </w:r>
    </w:p>
    <w:p w14:paraId="34BEE530" w14:textId="7781FD72" w:rsidR="00C540DE" w:rsidRDefault="00C540DE" w:rsidP="00C540DE">
      <w:pPr>
        <w:pStyle w:val="Brdtext"/>
      </w:pPr>
      <w:r>
        <w:t xml:space="preserve">Jämfört med </w:t>
      </w:r>
      <w:r w:rsidR="004F7033">
        <w:t xml:space="preserve">2026 års budget </w:t>
      </w:r>
      <w:r>
        <w:t xml:space="preserve">innebär kommissionens förslag </w:t>
      </w:r>
      <w:r w:rsidR="00167D13">
        <w:t xml:space="preserve">en </w:t>
      </w:r>
      <w:r w:rsidR="004F7033">
        <w:t xml:space="preserve">ökning </w:t>
      </w:r>
      <w:r>
        <w:t xml:space="preserve">med </w:t>
      </w:r>
      <w:r w:rsidR="00167D13">
        <w:t>3</w:t>
      </w:r>
      <w:r>
        <w:t>,</w:t>
      </w:r>
      <w:r w:rsidR="004F7033">
        <w:t>7</w:t>
      </w:r>
      <w:r>
        <w:t xml:space="preserve"> procent i åtagandeanslag och </w:t>
      </w:r>
      <w:r w:rsidR="00167D13">
        <w:t xml:space="preserve">en ökning med </w:t>
      </w:r>
      <w:r w:rsidR="004F7033">
        <w:t>11,5</w:t>
      </w:r>
      <w:r>
        <w:t xml:space="preserve"> procent i betalningsanslag. </w:t>
      </w:r>
      <w:r w:rsidR="004D49D6">
        <w:t xml:space="preserve">Alla jämförelser </w:t>
      </w:r>
      <w:r w:rsidR="004D49D6" w:rsidRPr="004D49D6">
        <w:t>med 20</w:t>
      </w:r>
      <w:r w:rsidR="004F7033">
        <w:t>26</w:t>
      </w:r>
      <w:r w:rsidR="004D49D6" w:rsidRPr="004D49D6">
        <w:t xml:space="preserve"> års budget görs mot</w:t>
      </w:r>
      <w:r w:rsidR="004D49D6">
        <w:t xml:space="preserve"> den</w:t>
      </w:r>
      <w:r w:rsidR="004D49D6" w:rsidRPr="004D49D6">
        <w:t xml:space="preserve"> slutligt antagn</w:t>
      </w:r>
      <w:r w:rsidR="004D49D6">
        <w:t>a</w:t>
      </w:r>
      <w:r w:rsidR="004D49D6" w:rsidRPr="004D49D6">
        <w:t xml:space="preserve"> budget</w:t>
      </w:r>
      <w:r w:rsidR="004D49D6">
        <w:t>en</w:t>
      </w:r>
      <w:r w:rsidR="00475B0A">
        <w:t xml:space="preserve">, </w:t>
      </w:r>
      <w:r w:rsidR="00C33A8A">
        <w:t>inklusive den</w:t>
      </w:r>
      <w:r w:rsidR="004F7033">
        <w:t xml:space="preserve"> första ändringsbudget</w:t>
      </w:r>
      <w:r w:rsidR="00C33A8A">
        <w:t xml:space="preserve"> för 2026</w:t>
      </w:r>
      <w:r w:rsidR="004F7033">
        <w:t>.</w:t>
      </w:r>
    </w:p>
    <w:p w14:paraId="27513B78" w14:textId="753837F0" w:rsidR="004F7033" w:rsidRPr="002C4D47" w:rsidRDefault="004F7033" w:rsidP="004F7033">
      <w:r>
        <w:t>För åtagandeanslag</w:t>
      </w:r>
      <w:r w:rsidRPr="002C4D47">
        <w:t xml:space="preserve"> föreslås de största relativa ökningarna jämfört med år 2026 för rubrik 4, migration och gränsförvaltning (15,4 procent) och rubrik 2b, resiliens och värden (14,8 procent). Ökade räntekostnader för</w:t>
      </w:r>
      <w:r w:rsidR="00C208A2">
        <w:t xml:space="preserve"> </w:t>
      </w:r>
      <w:r w:rsidR="00C208A2" w:rsidRPr="00C208A2">
        <w:t xml:space="preserve">Europeiska unionens återhämtningsinstrument </w:t>
      </w:r>
      <w:r w:rsidR="00C208A2">
        <w:t>(</w:t>
      </w:r>
      <w:proofErr w:type="spellStart"/>
      <w:r w:rsidR="00C208A2">
        <w:t>Next</w:t>
      </w:r>
      <w:proofErr w:type="spellEnd"/>
      <w:r w:rsidR="00C208A2">
        <w:t xml:space="preserve"> Generation EU eller NGEU) </w:t>
      </w:r>
      <w:r w:rsidRPr="002C4D47">
        <w:t>förklarar en stor del av ökningen i åtagandena i rubrik 2b.</w:t>
      </w:r>
    </w:p>
    <w:p w14:paraId="46038264" w14:textId="171231F6" w:rsidR="004F7033" w:rsidRDefault="004F7033" w:rsidP="00582A8D">
      <w:r>
        <w:t>För betalningsanslag</w:t>
      </w:r>
      <w:r w:rsidRPr="002C4D47">
        <w:t xml:space="preserve"> föreslås de största relativa ökning</w:t>
      </w:r>
      <w:r w:rsidR="00EC05E9">
        <w:t>arna</w:t>
      </w:r>
      <w:r w:rsidRPr="002C4D47">
        <w:t xml:space="preserve"> jämfört med år 2026 inom rubrik 3, naturresurser och miljö (16,9 procent) och rubrik 2b, resiliens och värden (</w:t>
      </w:r>
      <w:r>
        <w:t>15,2</w:t>
      </w:r>
      <w:r w:rsidRPr="002C4D47">
        <w:t xml:space="preserve"> procent).</w:t>
      </w:r>
    </w:p>
    <w:p w14:paraId="0FFA65FF" w14:textId="58C8E30B" w:rsidR="006361B0" w:rsidRDefault="006361B0" w:rsidP="00C540DE">
      <w:pPr>
        <w:pStyle w:val="Brdtext"/>
      </w:pPr>
      <w:r>
        <w:t>Utöver nivåerna i årsbudgetförslaget förstärks vissa program med betalningar</w:t>
      </w:r>
      <w:r w:rsidR="00C115A0">
        <w:t xml:space="preserve"> till mindre administrativa utgifter</w:t>
      </w:r>
      <w:r>
        <w:t xml:space="preserve"> genom</w:t>
      </w:r>
      <w:r w:rsidR="00C208A2">
        <w:t xml:space="preserve"> NGEU. </w:t>
      </w:r>
      <w:r>
        <w:t>Dessa medel ingår dock inte i årsbudgeten eller årsbudgetprocessen.</w:t>
      </w:r>
    </w:p>
    <w:p w14:paraId="0AFA6B29" w14:textId="146EECA9" w:rsidR="000D59FD" w:rsidRDefault="00C115A0" w:rsidP="003E11DB">
      <w:r>
        <w:rPr>
          <w:i/>
          <w:iCs/>
        </w:rPr>
        <w:br w:type="page"/>
      </w:r>
      <w:r w:rsidR="00C540DE" w:rsidRPr="00C540DE">
        <w:rPr>
          <w:i/>
          <w:iCs/>
        </w:rPr>
        <w:lastRenderedPageBreak/>
        <w:t>Tabell 1: Sammanställning av kommissionens förslag.</w:t>
      </w:r>
      <w:bookmarkStart w:id="4" w:name="RANGE!B3:O38"/>
      <w:bookmarkEnd w:id="4"/>
      <w:r w:rsidR="000D59FD">
        <w:fldChar w:fldCharType="begin"/>
      </w:r>
      <w:r w:rsidR="000D59FD">
        <w:instrText xml:space="preserve"> LINK Excel.Sheet.12 "https://dhs.sp.regeringskansliet.se/yta/fi-ba/EU/rsbudget/Årsbudget%202027/Jämförelsetabeller/Jämförelsetabell%20ÅB27.xlsx" "Fakta-pm!R2C2:R40C15" \a \f 5 \h  \* MERGEFORMAT </w:instrText>
      </w:r>
      <w:r w:rsidR="000D59FD">
        <w:fldChar w:fldCharType="separate"/>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28" w:type="dxa"/>
          <w:bottom w:w="28" w:type="dxa"/>
          <w:right w:w="28" w:type="dxa"/>
        </w:tblCellMar>
        <w:tblLook w:val="04A0" w:firstRow="1" w:lastRow="0" w:firstColumn="1" w:lastColumn="0" w:noHBand="0" w:noVBand="1"/>
      </w:tblPr>
      <w:tblGrid>
        <w:gridCol w:w="279"/>
        <w:gridCol w:w="1557"/>
        <w:gridCol w:w="619"/>
        <w:gridCol w:w="620"/>
        <w:gridCol w:w="620"/>
        <w:gridCol w:w="620"/>
        <w:gridCol w:w="619"/>
        <w:gridCol w:w="620"/>
        <w:gridCol w:w="620"/>
        <w:gridCol w:w="620"/>
      </w:tblGrid>
      <w:tr w:rsidR="00AF3066" w:rsidRPr="007A2F3F" w14:paraId="4CDCB11B" w14:textId="77777777" w:rsidTr="00AF3066">
        <w:trPr>
          <w:trHeight w:val="20"/>
        </w:trPr>
        <w:tc>
          <w:tcPr>
            <w:tcW w:w="279" w:type="dxa"/>
            <w:noWrap/>
            <w:hideMark/>
          </w:tcPr>
          <w:p w14:paraId="01D77375" w14:textId="2A654AFC" w:rsidR="000D59FD" w:rsidRPr="00582A8D" w:rsidRDefault="000D59FD" w:rsidP="00582A8D">
            <w:pPr>
              <w:pStyle w:val="Brdtext"/>
              <w:rPr>
                <w:rFonts w:asciiTheme="majorHAnsi" w:hAnsiTheme="majorHAnsi" w:cstheme="majorHAnsi"/>
                <w:sz w:val="12"/>
                <w:szCs w:val="12"/>
              </w:rPr>
            </w:pPr>
          </w:p>
        </w:tc>
        <w:tc>
          <w:tcPr>
            <w:tcW w:w="1557" w:type="dxa"/>
            <w:tcBorders>
              <w:right w:val="single" w:sz="4" w:space="0" w:color="auto"/>
            </w:tcBorders>
            <w:noWrap/>
            <w:hideMark/>
          </w:tcPr>
          <w:p w14:paraId="4174F4E5" w14:textId="77777777" w:rsidR="000D59FD" w:rsidRPr="00582A8D" w:rsidRDefault="000D59FD" w:rsidP="00582A8D">
            <w:pPr>
              <w:pStyle w:val="Brdtext"/>
              <w:rPr>
                <w:rFonts w:asciiTheme="majorHAnsi" w:hAnsiTheme="majorHAnsi" w:cstheme="majorHAnsi"/>
                <w:sz w:val="12"/>
                <w:szCs w:val="12"/>
              </w:rPr>
            </w:pPr>
          </w:p>
        </w:tc>
        <w:tc>
          <w:tcPr>
            <w:tcW w:w="1239" w:type="dxa"/>
            <w:gridSpan w:val="2"/>
            <w:tcBorders>
              <w:left w:val="single" w:sz="4" w:space="0" w:color="auto"/>
              <w:right w:val="single" w:sz="4" w:space="0" w:color="auto"/>
            </w:tcBorders>
            <w:noWrap/>
            <w:hideMark/>
          </w:tcPr>
          <w:p w14:paraId="3EE3C12C"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Beslutad budget</w:t>
            </w:r>
          </w:p>
        </w:tc>
        <w:tc>
          <w:tcPr>
            <w:tcW w:w="1240" w:type="dxa"/>
            <w:gridSpan w:val="2"/>
            <w:tcBorders>
              <w:left w:val="single" w:sz="4" w:space="0" w:color="auto"/>
              <w:right w:val="single" w:sz="4" w:space="0" w:color="auto"/>
            </w:tcBorders>
            <w:noWrap/>
            <w:hideMark/>
          </w:tcPr>
          <w:p w14:paraId="42768682"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KOM-förslag</w:t>
            </w:r>
          </w:p>
        </w:tc>
        <w:tc>
          <w:tcPr>
            <w:tcW w:w="1239" w:type="dxa"/>
            <w:gridSpan w:val="2"/>
            <w:tcBorders>
              <w:left w:val="single" w:sz="4" w:space="0" w:color="auto"/>
              <w:right w:val="single" w:sz="4" w:space="0" w:color="auto"/>
            </w:tcBorders>
            <w:noWrap/>
            <w:hideMark/>
          </w:tcPr>
          <w:p w14:paraId="5812F4AE"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Förändring i euro</w:t>
            </w:r>
          </w:p>
        </w:tc>
        <w:tc>
          <w:tcPr>
            <w:tcW w:w="1240" w:type="dxa"/>
            <w:gridSpan w:val="2"/>
            <w:tcBorders>
              <w:left w:val="single" w:sz="4" w:space="0" w:color="auto"/>
            </w:tcBorders>
            <w:noWrap/>
            <w:hideMark/>
          </w:tcPr>
          <w:p w14:paraId="6A418DAD"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Förändring i procent</w:t>
            </w:r>
          </w:p>
        </w:tc>
      </w:tr>
      <w:tr w:rsidR="00AF3066" w:rsidRPr="007A2F3F" w14:paraId="77AD671E" w14:textId="77777777" w:rsidTr="00AF3066">
        <w:trPr>
          <w:trHeight w:val="20"/>
        </w:trPr>
        <w:tc>
          <w:tcPr>
            <w:tcW w:w="279" w:type="dxa"/>
            <w:hideMark/>
          </w:tcPr>
          <w:p w14:paraId="42B86C00" w14:textId="77777777" w:rsidR="000D59FD" w:rsidRPr="00582A8D" w:rsidRDefault="000D59FD" w:rsidP="00582A8D">
            <w:pPr>
              <w:pStyle w:val="Brdtext"/>
              <w:rPr>
                <w:rFonts w:asciiTheme="majorHAnsi" w:hAnsiTheme="majorHAnsi" w:cstheme="majorHAnsi"/>
                <w:sz w:val="12"/>
                <w:szCs w:val="12"/>
              </w:rPr>
            </w:pPr>
          </w:p>
        </w:tc>
        <w:tc>
          <w:tcPr>
            <w:tcW w:w="1557" w:type="dxa"/>
            <w:tcBorders>
              <w:right w:val="single" w:sz="4" w:space="0" w:color="auto"/>
            </w:tcBorders>
            <w:hideMark/>
          </w:tcPr>
          <w:p w14:paraId="38141FBB" w14:textId="77777777" w:rsidR="000D59FD" w:rsidRPr="00582A8D" w:rsidRDefault="000D59FD" w:rsidP="00582A8D">
            <w:pPr>
              <w:pStyle w:val="Brdtext"/>
              <w:rPr>
                <w:rFonts w:asciiTheme="majorHAnsi" w:hAnsiTheme="majorHAnsi" w:cstheme="majorHAnsi"/>
                <w:sz w:val="12"/>
                <w:szCs w:val="12"/>
              </w:rPr>
            </w:pPr>
          </w:p>
        </w:tc>
        <w:tc>
          <w:tcPr>
            <w:tcW w:w="1239" w:type="dxa"/>
            <w:gridSpan w:val="2"/>
            <w:tcBorders>
              <w:left w:val="single" w:sz="4" w:space="0" w:color="auto"/>
              <w:right w:val="single" w:sz="4" w:space="0" w:color="auto"/>
            </w:tcBorders>
            <w:noWrap/>
            <w:hideMark/>
          </w:tcPr>
          <w:p w14:paraId="771219B4"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2026 (inkl. ÄB 1)</w:t>
            </w:r>
          </w:p>
        </w:tc>
        <w:tc>
          <w:tcPr>
            <w:tcW w:w="1240" w:type="dxa"/>
            <w:gridSpan w:val="2"/>
            <w:tcBorders>
              <w:left w:val="single" w:sz="4" w:space="0" w:color="auto"/>
              <w:right w:val="single" w:sz="4" w:space="0" w:color="auto"/>
            </w:tcBorders>
            <w:hideMark/>
          </w:tcPr>
          <w:p w14:paraId="0C710741"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ÅB 2027</w:t>
            </w:r>
          </w:p>
        </w:tc>
        <w:tc>
          <w:tcPr>
            <w:tcW w:w="1239" w:type="dxa"/>
            <w:gridSpan w:val="2"/>
            <w:tcBorders>
              <w:left w:val="single" w:sz="4" w:space="0" w:color="auto"/>
              <w:right w:val="single" w:sz="4" w:space="0" w:color="auto"/>
            </w:tcBorders>
            <w:hideMark/>
          </w:tcPr>
          <w:p w14:paraId="672FFBA3" w14:textId="77777777" w:rsidR="000D59FD" w:rsidRPr="00582A8D" w:rsidRDefault="000D59FD" w:rsidP="00582A8D">
            <w:pPr>
              <w:pStyle w:val="Brdtext"/>
              <w:rPr>
                <w:rFonts w:asciiTheme="majorHAnsi" w:hAnsiTheme="majorHAnsi" w:cstheme="majorHAnsi"/>
                <w:b/>
                <w:bCs/>
                <w:sz w:val="12"/>
                <w:szCs w:val="12"/>
              </w:rPr>
            </w:pPr>
            <w:proofErr w:type="gramStart"/>
            <w:r w:rsidRPr="00582A8D">
              <w:rPr>
                <w:rFonts w:asciiTheme="majorHAnsi" w:hAnsiTheme="majorHAnsi" w:cstheme="majorHAnsi"/>
                <w:b/>
                <w:bCs/>
                <w:sz w:val="12"/>
                <w:szCs w:val="12"/>
              </w:rPr>
              <w:t>2027-2026</w:t>
            </w:r>
            <w:proofErr w:type="gramEnd"/>
          </w:p>
        </w:tc>
        <w:tc>
          <w:tcPr>
            <w:tcW w:w="1240" w:type="dxa"/>
            <w:gridSpan w:val="2"/>
            <w:tcBorders>
              <w:left w:val="single" w:sz="4" w:space="0" w:color="auto"/>
            </w:tcBorders>
            <w:hideMark/>
          </w:tcPr>
          <w:p w14:paraId="36D590CE"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2027/2026</w:t>
            </w:r>
          </w:p>
        </w:tc>
      </w:tr>
      <w:tr w:rsidR="00943857" w:rsidRPr="007A2F3F" w14:paraId="78DF13FA" w14:textId="77777777" w:rsidTr="005F3DDE">
        <w:trPr>
          <w:trHeight w:val="20"/>
        </w:trPr>
        <w:tc>
          <w:tcPr>
            <w:tcW w:w="279" w:type="dxa"/>
            <w:tcBorders>
              <w:bottom w:val="single" w:sz="4" w:space="0" w:color="auto"/>
            </w:tcBorders>
            <w:noWrap/>
            <w:vAlign w:val="bottom"/>
            <w:hideMark/>
          </w:tcPr>
          <w:p w14:paraId="1E3A3ED6" w14:textId="77777777" w:rsidR="00943857" w:rsidRPr="00582A8D" w:rsidRDefault="00943857" w:rsidP="00582A8D">
            <w:pPr>
              <w:pStyle w:val="Brdtext"/>
              <w:rPr>
                <w:rFonts w:asciiTheme="majorHAnsi" w:hAnsiTheme="majorHAnsi" w:cstheme="majorHAnsi"/>
                <w:b/>
                <w:bCs/>
                <w:sz w:val="12"/>
                <w:szCs w:val="12"/>
              </w:rPr>
            </w:pPr>
          </w:p>
        </w:tc>
        <w:tc>
          <w:tcPr>
            <w:tcW w:w="1557" w:type="dxa"/>
            <w:tcBorders>
              <w:bottom w:val="single" w:sz="4" w:space="0" w:color="auto"/>
              <w:right w:val="single" w:sz="4" w:space="0" w:color="auto"/>
            </w:tcBorders>
            <w:noWrap/>
            <w:vAlign w:val="bottom"/>
            <w:hideMark/>
          </w:tcPr>
          <w:p w14:paraId="3B895243" w14:textId="77777777" w:rsidR="00943857" w:rsidRPr="00582A8D" w:rsidRDefault="00943857" w:rsidP="00582A8D">
            <w:pPr>
              <w:pStyle w:val="Brdtext"/>
              <w:rPr>
                <w:rFonts w:asciiTheme="majorHAnsi" w:hAnsiTheme="majorHAnsi" w:cstheme="majorHAnsi"/>
                <w:sz w:val="12"/>
                <w:szCs w:val="12"/>
              </w:rPr>
            </w:pPr>
            <w:r w:rsidRPr="00582A8D">
              <w:rPr>
                <w:rFonts w:asciiTheme="majorHAnsi" w:hAnsiTheme="majorHAnsi" w:cstheme="majorHAnsi"/>
                <w:sz w:val="12"/>
                <w:szCs w:val="12"/>
              </w:rPr>
              <w:t>Miljoner euro</w:t>
            </w:r>
          </w:p>
        </w:tc>
        <w:tc>
          <w:tcPr>
            <w:tcW w:w="619" w:type="dxa"/>
            <w:tcBorders>
              <w:left w:val="single" w:sz="4" w:space="0" w:color="auto"/>
              <w:bottom w:val="single" w:sz="4" w:space="0" w:color="auto"/>
              <w:right w:val="dotted" w:sz="4" w:space="0" w:color="auto"/>
            </w:tcBorders>
            <w:shd w:val="clear" w:color="auto" w:fill="DFDDD9" w:themeFill="accent2"/>
            <w:noWrap/>
            <w:hideMark/>
          </w:tcPr>
          <w:p w14:paraId="1E25A8DD" w14:textId="7720D459"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Åtg.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dotted" w:sz="4" w:space="0" w:color="auto"/>
              <w:bottom w:val="single" w:sz="4" w:space="0" w:color="auto"/>
              <w:right w:val="single" w:sz="4" w:space="0" w:color="auto"/>
            </w:tcBorders>
            <w:shd w:val="clear" w:color="auto" w:fill="DFDDD9" w:themeFill="accent2"/>
            <w:noWrap/>
            <w:hideMark/>
          </w:tcPr>
          <w:p w14:paraId="25CBD591" w14:textId="5F3AE8ED" w:rsidR="00943857" w:rsidRPr="00582A8D" w:rsidRDefault="00943857" w:rsidP="00582A8D">
            <w:pPr>
              <w:pStyle w:val="Brdtext"/>
            </w:pPr>
            <w:r>
              <w:rPr>
                <w:rFonts w:asciiTheme="majorHAnsi" w:hAnsiTheme="majorHAnsi" w:cstheme="majorHAnsi"/>
                <w:sz w:val="12"/>
                <w:szCs w:val="12"/>
              </w:rPr>
              <w:t xml:space="preserve">Bet.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single" w:sz="4" w:space="0" w:color="auto"/>
              <w:bottom w:val="single" w:sz="4" w:space="0" w:color="auto"/>
              <w:right w:val="dotted" w:sz="4" w:space="0" w:color="auto"/>
            </w:tcBorders>
            <w:shd w:val="clear" w:color="auto" w:fill="DFDDD9" w:themeFill="accent2"/>
            <w:noWrap/>
            <w:hideMark/>
          </w:tcPr>
          <w:p w14:paraId="17CCE6C2" w14:textId="5613F68A"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Åtg.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dotted" w:sz="4" w:space="0" w:color="auto"/>
              <w:bottom w:val="single" w:sz="4" w:space="0" w:color="auto"/>
              <w:right w:val="single" w:sz="4" w:space="0" w:color="auto"/>
            </w:tcBorders>
            <w:shd w:val="clear" w:color="auto" w:fill="DFDDD9" w:themeFill="accent2"/>
            <w:noWrap/>
            <w:hideMark/>
          </w:tcPr>
          <w:p w14:paraId="2ABD541B" w14:textId="0C4B0869"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Bet.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19" w:type="dxa"/>
            <w:tcBorders>
              <w:left w:val="single" w:sz="4" w:space="0" w:color="auto"/>
              <w:bottom w:val="single" w:sz="4" w:space="0" w:color="auto"/>
              <w:right w:val="dotted" w:sz="4" w:space="0" w:color="auto"/>
            </w:tcBorders>
            <w:shd w:val="clear" w:color="auto" w:fill="DFDDD9" w:themeFill="accent2"/>
            <w:noWrap/>
            <w:hideMark/>
          </w:tcPr>
          <w:p w14:paraId="3C50490E" w14:textId="1F60283D"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Åtg.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dotted" w:sz="4" w:space="0" w:color="auto"/>
              <w:bottom w:val="single" w:sz="4" w:space="0" w:color="auto"/>
              <w:right w:val="single" w:sz="4" w:space="0" w:color="auto"/>
            </w:tcBorders>
            <w:shd w:val="clear" w:color="auto" w:fill="DFDDD9" w:themeFill="accent2"/>
            <w:noWrap/>
            <w:hideMark/>
          </w:tcPr>
          <w:p w14:paraId="6F0F6F3B" w14:textId="4088A317"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Bet.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single" w:sz="4" w:space="0" w:color="auto"/>
              <w:bottom w:val="single" w:sz="4" w:space="0" w:color="auto"/>
              <w:right w:val="dotted" w:sz="4" w:space="0" w:color="auto"/>
            </w:tcBorders>
            <w:shd w:val="clear" w:color="auto" w:fill="DFDDD9" w:themeFill="accent2"/>
            <w:noWrap/>
            <w:hideMark/>
          </w:tcPr>
          <w:p w14:paraId="3E2B1FC6" w14:textId="1BD2D912"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Åtg.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c>
          <w:tcPr>
            <w:tcW w:w="620" w:type="dxa"/>
            <w:tcBorders>
              <w:left w:val="dotted" w:sz="4" w:space="0" w:color="auto"/>
              <w:bottom w:val="single" w:sz="4" w:space="0" w:color="auto"/>
            </w:tcBorders>
            <w:shd w:val="clear" w:color="auto" w:fill="DFDDD9" w:themeFill="accent2"/>
            <w:noWrap/>
            <w:hideMark/>
          </w:tcPr>
          <w:p w14:paraId="176EB3CB" w14:textId="40874FF3" w:rsidR="00943857" w:rsidRPr="00582A8D" w:rsidRDefault="00943857" w:rsidP="00582A8D">
            <w:pPr>
              <w:pStyle w:val="Brdtext"/>
              <w:rPr>
                <w:rFonts w:asciiTheme="majorHAnsi" w:hAnsiTheme="majorHAnsi" w:cstheme="majorHAnsi"/>
                <w:sz w:val="12"/>
                <w:szCs w:val="12"/>
              </w:rPr>
            </w:pPr>
            <w:r>
              <w:rPr>
                <w:rFonts w:asciiTheme="majorHAnsi" w:hAnsiTheme="majorHAnsi" w:cstheme="majorHAnsi"/>
                <w:sz w:val="12"/>
                <w:szCs w:val="12"/>
              </w:rPr>
              <w:t xml:space="preserve">Bet. </w:t>
            </w:r>
            <w:proofErr w:type="spellStart"/>
            <w:r w:rsidR="0099396A">
              <w:rPr>
                <w:rFonts w:asciiTheme="majorHAnsi" w:hAnsiTheme="majorHAnsi" w:cstheme="majorHAnsi"/>
                <w:sz w:val="12"/>
                <w:szCs w:val="12"/>
              </w:rPr>
              <w:t>ansl</w:t>
            </w:r>
            <w:proofErr w:type="spellEnd"/>
            <w:r>
              <w:rPr>
                <w:rFonts w:asciiTheme="majorHAnsi" w:hAnsiTheme="majorHAnsi" w:cstheme="majorHAnsi"/>
                <w:sz w:val="12"/>
                <w:szCs w:val="12"/>
              </w:rPr>
              <w:t>.</w:t>
            </w:r>
          </w:p>
        </w:tc>
      </w:tr>
      <w:tr w:rsidR="00AF3066" w:rsidRPr="007A2F3F" w14:paraId="69610C85" w14:textId="77777777" w:rsidTr="005F3DDE">
        <w:trPr>
          <w:trHeight w:val="20"/>
        </w:trPr>
        <w:tc>
          <w:tcPr>
            <w:tcW w:w="279" w:type="dxa"/>
            <w:tcBorders>
              <w:top w:val="single" w:sz="4" w:space="0" w:color="auto"/>
            </w:tcBorders>
            <w:noWrap/>
            <w:hideMark/>
          </w:tcPr>
          <w:p w14:paraId="0D00CF2B"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1.</w:t>
            </w:r>
          </w:p>
        </w:tc>
        <w:tc>
          <w:tcPr>
            <w:tcW w:w="1557" w:type="dxa"/>
            <w:tcBorders>
              <w:top w:val="single" w:sz="4" w:space="0" w:color="auto"/>
              <w:right w:val="single" w:sz="4" w:space="0" w:color="auto"/>
            </w:tcBorders>
            <w:noWrap/>
            <w:hideMark/>
          </w:tcPr>
          <w:p w14:paraId="731856AC"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Inre marknaden, innovation och den digitala ekonomin</w:t>
            </w:r>
          </w:p>
        </w:tc>
        <w:tc>
          <w:tcPr>
            <w:tcW w:w="619" w:type="dxa"/>
            <w:tcBorders>
              <w:top w:val="single" w:sz="4" w:space="0" w:color="auto"/>
              <w:left w:val="single" w:sz="4" w:space="0" w:color="auto"/>
              <w:right w:val="dotted" w:sz="4" w:space="0" w:color="auto"/>
            </w:tcBorders>
            <w:noWrap/>
            <w:vAlign w:val="center"/>
            <w:hideMark/>
          </w:tcPr>
          <w:p w14:paraId="07C1EB3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22 163</w:t>
            </w:r>
          </w:p>
        </w:tc>
        <w:tc>
          <w:tcPr>
            <w:tcW w:w="620" w:type="dxa"/>
            <w:tcBorders>
              <w:top w:val="single" w:sz="4" w:space="0" w:color="auto"/>
              <w:left w:val="dotted" w:sz="4" w:space="0" w:color="auto"/>
              <w:right w:val="single" w:sz="4" w:space="0" w:color="auto"/>
            </w:tcBorders>
            <w:noWrap/>
            <w:vAlign w:val="center"/>
            <w:hideMark/>
          </w:tcPr>
          <w:p w14:paraId="356951A8"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23 337</w:t>
            </w:r>
          </w:p>
        </w:tc>
        <w:tc>
          <w:tcPr>
            <w:tcW w:w="620" w:type="dxa"/>
            <w:tcBorders>
              <w:top w:val="single" w:sz="4" w:space="0" w:color="auto"/>
              <w:left w:val="single" w:sz="4" w:space="0" w:color="auto"/>
              <w:right w:val="dotted" w:sz="4" w:space="0" w:color="auto"/>
            </w:tcBorders>
            <w:noWrap/>
            <w:vAlign w:val="center"/>
            <w:hideMark/>
          </w:tcPr>
          <w:p w14:paraId="246E681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21 902</w:t>
            </w:r>
          </w:p>
        </w:tc>
        <w:tc>
          <w:tcPr>
            <w:tcW w:w="620" w:type="dxa"/>
            <w:tcBorders>
              <w:top w:val="single" w:sz="4" w:space="0" w:color="auto"/>
              <w:left w:val="dotted" w:sz="4" w:space="0" w:color="auto"/>
              <w:right w:val="single" w:sz="4" w:space="0" w:color="auto"/>
            </w:tcBorders>
            <w:noWrap/>
            <w:vAlign w:val="center"/>
            <w:hideMark/>
          </w:tcPr>
          <w:p w14:paraId="3A9CB7F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22 843</w:t>
            </w:r>
          </w:p>
        </w:tc>
        <w:tc>
          <w:tcPr>
            <w:tcW w:w="619" w:type="dxa"/>
            <w:tcBorders>
              <w:top w:val="single" w:sz="4" w:space="0" w:color="auto"/>
              <w:left w:val="single" w:sz="4" w:space="0" w:color="auto"/>
              <w:right w:val="dotted" w:sz="4" w:space="0" w:color="auto"/>
            </w:tcBorders>
            <w:noWrap/>
            <w:vAlign w:val="center"/>
            <w:hideMark/>
          </w:tcPr>
          <w:p w14:paraId="294B392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-261</w:t>
            </w:r>
          </w:p>
        </w:tc>
        <w:tc>
          <w:tcPr>
            <w:tcW w:w="620" w:type="dxa"/>
            <w:tcBorders>
              <w:top w:val="single" w:sz="4" w:space="0" w:color="auto"/>
              <w:left w:val="dotted" w:sz="4" w:space="0" w:color="auto"/>
              <w:right w:val="single" w:sz="4" w:space="0" w:color="auto"/>
            </w:tcBorders>
            <w:noWrap/>
            <w:vAlign w:val="center"/>
            <w:hideMark/>
          </w:tcPr>
          <w:p w14:paraId="45DB871F"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-494</w:t>
            </w:r>
          </w:p>
        </w:tc>
        <w:tc>
          <w:tcPr>
            <w:tcW w:w="620" w:type="dxa"/>
            <w:tcBorders>
              <w:top w:val="single" w:sz="4" w:space="0" w:color="auto"/>
              <w:left w:val="single" w:sz="4" w:space="0" w:color="auto"/>
              <w:right w:val="dotted" w:sz="4" w:space="0" w:color="auto"/>
            </w:tcBorders>
            <w:noWrap/>
            <w:vAlign w:val="center"/>
            <w:hideMark/>
          </w:tcPr>
          <w:p w14:paraId="11DB8BD4"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-1,2%</w:t>
            </w:r>
          </w:p>
        </w:tc>
        <w:tc>
          <w:tcPr>
            <w:tcW w:w="620" w:type="dxa"/>
            <w:tcBorders>
              <w:top w:val="single" w:sz="4" w:space="0" w:color="auto"/>
              <w:left w:val="dotted" w:sz="4" w:space="0" w:color="auto"/>
            </w:tcBorders>
            <w:noWrap/>
            <w:vAlign w:val="center"/>
            <w:hideMark/>
          </w:tcPr>
          <w:p w14:paraId="2E8FF625"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-2,1%</w:t>
            </w:r>
          </w:p>
        </w:tc>
      </w:tr>
      <w:tr w:rsidR="00AF3066" w:rsidRPr="007A2F3F" w14:paraId="229E409E" w14:textId="77777777" w:rsidTr="005F3DDE">
        <w:trPr>
          <w:trHeight w:val="20"/>
        </w:trPr>
        <w:tc>
          <w:tcPr>
            <w:tcW w:w="279" w:type="dxa"/>
            <w:tcBorders>
              <w:bottom w:val="single" w:sz="4" w:space="0" w:color="auto"/>
            </w:tcBorders>
            <w:noWrap/>
            <w:hideMark/>
          </w:tcPr>
          <w:p w14:paraId="0AA472C6"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noWrap/>
            <w:hideMark/>
          </w:tcPr>
          <w:p w14:paraId="61D3DD69"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17E1E9E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47</w:t>
            </w:r>
          </w:p>
        </w:tc>
        <w:tc>
          <w:tcPr>
            <w:tcW w:w="620" w:type="dxa"/>
            <w:tcBorders>
              <w:left w:val="dotted" w:sz="4" w:space="0" w:color="auto"/>
              <w:bottom w:val="single" w:sz="4" w:space="0" w:color="auto"/>
              <w:right w:val="single" w:sz="4" w:space="0" w:color="auto"/>
            </w:tcBorders>
            <w:noWrap/>
            <w:vAlign w:val="center"/>
            <w:hideMark/>
          </w:tcPr>
          <w:p w14:paraId="50D7E85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05F910C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178</w:t>
            </w:r>
          </w:p>
        </w:tc>
        <w:tc>
          <w:tcPr>
            <w:tcW w:w="620" w:type="dxa"/>
            <w:tcBorders>
              <w:left w:val="dotted" w:sz="4" w:space="0" w:color="auto"/>
              <w:bottom w:val="single" w:sz="4" w:space="0" w:color="auto"/>
              <w:right w:val="single" w:sz="4" w:space="0" w:color="auto"/>
            </w:tcBorders>
            <w:noWrap/>
            <w:vAlign w:val="center"/>
            <w:hideMark/>
          </w:tcPr>
          <w:p w14:paraId="3F05342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45AD924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131</w:t>
            </w:r>
          </w:p>
        </w:tc>
        <w:tc>
          <w:tcPr>
            <w:tcW w:w="620" w:type="dxa"/>
            <w:tcBorders>
              <w:left w:val="dotted" w:sz="4" w:space="0" w:color="auto"/>
              <w:bottom w:val="single" w:sz="4" w:space="0" w:color="auto"/>
              <w:right w:val="single" w:sz="4" w:space="0" w:color="auto"/>
            </w:tcBorders>
            <w:noWrap/>
            <w:vAlign w:val="center"/>
            <w:hideMark/>
          </w:tcPr>
          <w:p w14:paraId="2ED29CA5" w14:textId="27FA8FFE"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60D0256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279,7%</w:t>
            </w:r>
          </w:p>
        </w:tc>
        <w:tc>
          <w:tcPr>
            <w:tcW w:w="620" w:type="dxa"/>
            <w:tcBorders>
              <w:left w:val="dotted" w:sz="4" w:space="0" w:color="auto"/>
              <w:bottom w:val="single" w:sz="4" w:space="0" w:color="auto"/>
            </w:tcBorders>
            <w:noWrap/>
            <w:vAlign w:val="center"/>
            <w:hideMark/>
          </w:tcPr>
          <w:p w14:paraId="2C37DAD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7B21D716" w14:textId="77777777" w:rsidTr="005F3DDE">
        <w:trPr>
          <w:trHeight w:val="20"/>
        </w:trPr>
        <w:tc>
          <w:tcPr>
            <w:tcW w:w="279" w:type="dxa"/>
            <w:tcBorders>
              <w:top w:val="single" w:sz="4" w:space="0" w:color="auto"/>
            </w:tcBorders>
            <w:noWrap/>
            <w:hideMark/>
          </w:tcPr>
          <w:p w14:paraId="54FC7322"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2.</w:t>
            </w:r>
          </w:p>
        </w:tc>
        <w:tc>
          <w:tcPr>
            <w:tcW w:w="1557" w:type="dxa"/>
            <w:tcBorders>
              <w:top w:val="single" w:sz="4" w:space="0" w:color="auto"/>
              <w:right w:val="single" w:sz="4" w:space="0" w:color="auto"/>
            </w:tcBorders>
            <w:noWrap/>
            <w:hideMark/>
          </w:tcPr>
          <w:p w14:paraId="73D9B717"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Sammanhållning, resiliens och värden</w:t>
            </w:r>
          </w:p>
        </w:tc>
        <w:tc>
          <w:tcPr>
            <w:tcW w:w="619" w:type="dxa"/>
            <w:tcBorders>
              <w:top w:val="single" w:sz="4" w:space="0" w:color="auto"/>
              <w:left w:val="single" w:sz="4" w:space="0" w:color="auto"/>
              <w:right w:val="dotted" w:sz="4" w:space="0" w:color="auto"/>
            </w:tcBorders>
            <w:noWrap/>
            <w:vAlign w:val="center"/>
            <w:hideMark/>
          </w:tcPr>
          <w:p w14:paraId="0251E219"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71 650</w:t>
            </w:r>
          </w:p>
        </w:tc>
        <w:tc>
          <w:tcPr>
            <w:tcW w:w="620" w:type="dxa"/>
            <w:tcBorders>
              <w:top w:val="single" w:sz="4" w:space="0" w:color="auto"/>
              <w:left w:val="dotted" w:sz="4" w:space="0" w:color="auto"/>
              <w:right w:val="single" w:sz="4" w:space="0" w:color="auto"/>
            </w:tcBorders>
            <w:noWrap/>
            <w:vAlign w:val="center"/>
            <w:hideMark/>
          </w:tcPr>
          <w:p w14:paraId="1A5B8C8F"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73 167</w:t>
            </w:r>
          </w:p>
        </w:tc>
        <w:tc>
          <w:tcPr>
            <w:tcW w:w="620" w:type="dxa"/>
            <w:tcBorders>
              <w:top w:val="single" w:sz="4" w:space="0" w:color="auto"/>
              <w:left w:val="single" w:sz="4" w:space="0" w:color="auto"/>
              <w:right w:val="dotted" w:sz="4" w:space="0" w:color="auto"/>
            </w:tcBorders>
            <w:noWrap/>
            <w:vAlign w:val="center"/>
            <w:hideMark/>
          </w:tcPr>
          <w:p w14:paraId="452C1BA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75 761</w:t>
            </w:r>
          </w:p>
        </w:tc>
        <w:tc>
          <w:tcPr>
            <w:tcW w:w="620" w:type="dxa"/>
            <w:tcBorders>
              <w:top w:val="single" w:sz="4" w:space="0" w:color="auto"/>
              <w:left w:val="dotted" w:sz="4" w:space="0" w:color="auto"/>
              <w:right w:val="single" w:sz="4" w:space="0" w:color="auto"/>
            </w:tcBorders>
            <w:noWrap/>
            <w:vAlign w:val="center"/>
            <w:hideMark/>
          </w:tcPr>
          <w:p w14:paraId="482C932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81 850</w:t>
            </w:r>
          </w:p>
        </w:tc>
        <w:tc>
          <w:tcPr>
            <w:tcW w:w="619" w:type="dxa"/>
            <w:tcBorders>
              <w:top w:val="single" w:sz="4" w:space="0" w:color="auto"/>
              <w:left w:val="single" w:sz="4" w:space="0" w:color="auto"/>
              <w:right w:val="dotted" w:sz="4" w:space="0" w:color="auto"/>
            </w:tcBorders>
            <w:noWrap/>
            <w:vAlign w:val="center"/>
            <w:hideMark/>
          </w:tcPr>
          <w:p w14:paraId="71162AB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4 111</w:t>
            </w:r>
          </w:p>
        </w:tc>
        <w:tc>
          <w:tcPr>
            <w:tcW w:w="620" w:type="dxa"/>
            <w:tcBorders>
              <w:top w:val="single" w:sz="4" w:space="0" w:color="auto"/>
              <w:left w:val="dotted" w:sz="4" w:space="0" w:color="auto"/>
              <w:right w:val="single" w:sz="4" w:space="0" w:color="auto"/>
            </w:tcBorders>
            <w:noWrap/>
            <w:vAlign w:val="center"/>
            <w:hideMark/>
          </w:tcPr>
          <w:p w14:paraId="7A7094E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8 683</w:t>
            </w:r>
          </w:p>
        </w:tc>
        <w:tc>
          <w:tcPr>
            <w:tcW w:w="620" w:type="dxa"/>
            <w:tcBorders>
              <w:top w:val="single" w:sz="4" w:space="0" w:color="auto"/>
              <w:left w:val="single" w:sz="4" w:space="0" w:color="auto"/>
              <w:right w:val="dotted" w:sz="4" w:space="0" w:color="auto"/>
            </w:tcBorders>
            <w:noWrap/>
            <w:vAlign w:val="center"/>
            <w:hideMark/>
          </w:tcPr>
          <w:p w14:paraId="4C0C47C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5,7%</w:t>
            </w:r>
          </w:p>
        </w:tc>
        <w:tc>
          <w:tcPr>
            <w:tcW w:w="620" w:type="dxa"/>
            <w:tcBorders>
              <w:top w:val="single" w:sz="4" w:space="0" w:color="auto"/>
              <w:left w:val="dotted" w:sz="4" w:space="0" w:color="auto"/>
            </w:tcBorders>
            <w:noWrap/>
            <w:vAlign w:val="center"/>
            <w:hideMark/>
          </w:tcPr>
          <w:p w14:paraId="0E2AF85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11,9%</w:t>
            </w:r>
          </w:p>
        </w:tc>
      </w:tr>
      <w:tr w:rsidR="00AF3066" w:rsidRPr="007A2F3F" w14:paraId="37BDCFA9" w14:textId="77777777" w:rsidTr="005F3DDE">
        <w:trPr>
          <w:trHeight w:val="20"/>
        </w:trPr>
        <w:tc>
          <w:tcPr>
            <w:tcW w:w="279" w:type="dxa"/>
            <w:tcBorders>
              <w:bottom w:val="dotted" w:sz="4" w:space="0" w:color="auto"/>
            </w:tcBorders>
            <w:noWrap/>
            <w:hideMark/>
          </w:tcPr>
          <w:p w14:paraId="7DAF4C12"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dotted" w:sz="4" w:space="0" w:color="auto"/>
              <w:right w:val="single" w:sz="4" w:space="0" w:color="auto"/>
            </w:tcBorders>
            <w:noWrap/>
            <w:hideMark/>
          </w:tcPr>
          <w:p w14:paraId="49063CD5"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dotted" w:sz="4" w:space="0" w:color="auto"/>
              <w:right w:val="dotted" w:sz="4" w:space="0" w:color="auto"/>
            </w:tcBorders>
            <w:noWrap/>
            <w:vAlign w:val="center"/>
            <w:hideMark/>
          </w:tcPr>
          <w:p w14:paraId="0F589F9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-4 127</w:t>
            </w:r>
          </w:p>
        </w:tc>
        <w:tc>
          <w:tcPr>
            <w:tcW w:w="620" w:type="dxa"/>
            <w:tcBorders>
              <w:left w:val="dotted" w:sz="4" w:space="0" w:color="auto"/>
              <w:bottom w:val="dotted" w:sz="4" w:space="0" w:color="auto"/>
              <w:right w:val="single" w:sz="4" w:space="0" w:color="auto"/>
            </w:tcBorders>
            <w:noWrap/>
            <w:vAlign w:val="center"/>
            <w:hideMark/>
          </w:tcPr>
          <w:p w14:paraId="55EFCA2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dotted" w:sz="4" w:space="0" w:color="auto"/>
              <w:right w:val="dotted" w:sz="4" w:space="0" w:color="auto"/>
            </w:tcBorders>
            <w:noWrap/>
            <w:vAlign w:val="center"/>
            <w:hideMark/>
          </w:tcPr>
          <w:p w14:paraId="6B2C54D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-4 399</w:t>
            </w:r>
          </w:p>
        </w:tc>
        <w:tc>
          <w:tcPr>
            <w:tcW w:w="620" w:type="dxa"/>
            <w:tcBorders>
              <w:left w:val="dotted" w:sz="4" w:space="0" w:color="auto"/>
              <w:bottom w:val="dotted" w:sz="4" w:space="0" w:color="auto"/>
              <w:right w:val="single" w:sz="4" w:space="0" w:color="auto"/>
            </w:tcBorders>
            <w:noWrap/>
            <w:vAlign w:val="center"/>
            <w:hideMark/>
          </w:tcPr>
          <w:p w14:paraId="1EBFF8A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dotted" w:sz="4" w:space="0" w:color="auto"/>
              <w:right w:val="dotted" w:sz="4" w:space="0" w:color="auto"/>
            </w:tcBorders>
            <w:noWrap/>
            <w:vAlign w:val="center"/>
            <w:hideMark/>
          </w:tcPr>
          <w:p w14:paraId="45B1EC4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-272</w:t>
            </w:r>
          </w:p>
        </w:tc>
        <w:tc>
          <w:tcPr>
            <w:tcW w:w="620" w:type="dxa"/>
            <w:tcBorders>
              <w:left w:val="dotted" w:sz="4" w:space="0" w:color="auto"/>
              <w:bottom w:val="dotted" w:sz="4" w:space="0" w:color="auto"/>
              <w:right w:val="single" w:sz="4" w:space="0" w:color="auto"/>
            </w:tcBorders>
            <w:noWrap/>
            <w:vAlign w:val="center"/>
            <w:hideMark/>
          </w:tcPr>
          <w:p w14:paraId="55C1B3E2" w14:textId="7534ABE6"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dotted" w:sz="4" w:space="0" w:color="auto"/>
              <w:right w:val="dotted" w:sz="4" w:space="0" w:color="auto"/>
            </w:tcBorders>
            <w:noWrap/>
            <w:vAlign w:val="center"/>
            <w:hideMark/>
          </w:tcPr>
          <w:p w14:paraId="031ED46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6,6%</w:t>
            </w:r>
          </w:p>
        </w:tc>
        <w:tc>
          <w:tcPr>
            <w:tcW w:w="620" w:type="dxa"/>
            <w:tcBorders>
              <w:left w:val="dotted" w:sz="4" w:space="0" w:color="auto"/>
              <w:bottom w:val="dotted" w:sz="4" w:space="0" w:color="auto"/>
            </w:tcBorders>
            <w:noWrap/>
            <w:vAlign w:val="center"/>
            <w:hideMark/>
          </w:tcPr>
          <w:p w14:paraId="50C6103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44A56CF5" w14:textId="77777777" w:rsidTr="005F3DDE">
        <w:trPr>
          <w:trHeight w:val="20"/>
        </w:trPr>
        <w:tc>
          <w:tcPr>
            <w:tcW w:w="279" w:type="dxa"/>
            <w:tcBorders>
              <w:top w:val="dotted" w:sz="4" w:space="0" w:color="auto"/>
            </w:tcBorders>
            <w:noWrap/>
            <w:hideMark/>
          </w:tcPr>
          <w:p w14:paraId="46D7EF4D"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2.a</w:t>
            </w:r>
          </w:p>
        </w:tc>
        <w:tc>
          <w:tcPr>
            <w:tcW w:w="1557" w:type="dxa"/>
            <w:tcBorders>
              <w:top w:val="dotted" w:sz="4" w:space="0" w:color="auto"/>
              <w:right w:val="single" w:sz="4" w:space="0" w:color="auto"/>
            </w:tcBorders>
            <w:noWrap/>
            <w:hideMark/>
          </w:tcPr>
          <w:p w14:paraId="65043C48"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Ekonomisk, social och territoriell sammanhållning</w:t>
            </w:r>
          </w:p>
        </w:tc>
        <w:tc>
          <w:tcPr>
            <w:tcW w:w="619" w:type="dxa"/>
            <w:tcBorders>
              <w:top w:val="dotted" w:sz="4" w:space="0" w:color="auto"/>
              <w:left w:val="single" w:sz="4" w:space="0" w:color="auto"/>
              <w:right w:val="dotted" w:sz="4" w:space="0" w:color="auto"/>
            </w:tcBorders>
            <w:noWrap/>
            <w:vAlign w:val="center"/>
            <w:hideMark/>
          </w:tcPr>
          <w:p w14:paraId="6E8971CB"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56 594</w:t>
            </w:r>
          </w:p>
        </w:tc>
        <w:tc>
          <w:tcPr>
            <w:tcW w:w="620" w:type="dxa"/>
            <w:tcBorders>
              <w:top w:val="dotted" w:sz="4" w:space="0" w:color="auto"/>
              <w:left w:val="dotted" w:sz="4" w:space="0" w:color="auto"/>
              <w:right w:val="single" w:sz="4" w:space="0" w:color="auto"/>
            </w:tcBorders>
            <w:noWrap/>
            <w:vAlign w:val="center"/>
            <w:hideMark/>
          </w:tcPr>
          <w:p w14:paraId="29DF5835"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58 298</w:t>
            </w:r>
          </w:p>
        </w:tc>
        <w:tc>
          <w:tcPr>
            <w:tcW w:w="620" w:type="dxa"/>
            <w:tcBorders>
              <w:top w:val="dotted" w:sz="4" w:space="0" w:color="auto"/>
              <w:left w:val="single" w:sz="4" w:space="0" w:color="auto"/>
              <w:right w:val="dotted" w:sz="4" w:space="0" w:color="auto"/>
            </w:tcBorders>
            <w:noWrap/>
            <w:vAlign w:val="center"/>
            <w:hideMark/>
          </w:tcPr>
          <w:p w14:paraId="7847AC9D"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58 483</w:t>
            </w:r>
          </w:p>
        </w:tc>
        <w:tc>
          <w:tcPr>
            <w:tcW w:w="620" w:type="dxa"/>
            <w:tcBorders>
              <w:top w:val="dotted" w:sz="4" w:space="0" w:color="auto"/>
              <w:left w:val="dotted" w:sz="4" w:space="0" w:color="auto"/>
              <w:right w:val="single" w:sz="4" w:space="0" w:color="auto"/>
            </w:tcBorders>
            <w:noWrap/>
            <w:vAlign w:val="center"/>
            <w:hideMark/>
          </w:tcPr>
          <w:p w14:paraId="70B5E830"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64 727</w:t>
            </w:r>
          </w:p>
        </w:tc>
        <w:tc>
          <w:tcPr>
            <w:tcW w:w="619" w:type="dxa"/>
            <w:tcBorders>
              <w:top w:val="dotted" w:sz="4" w:space="0" w:color="auto"/>
              <w:left w:val="single" w:sz="4" w:space="0" w:color="auto"/>
              <w:right w:val="dotted" w:sz="4" w:space="0" w:color="auto"/>
            </w:tcBorders>
            <w:noWrap/>
            <w:vAlign w:val="center"/>
            <w:hideMark/>
          </w:tcPr>
          <w:p w14:paraId="0D995BAC"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1 889</w:t>
            </w:r>
          </w:p>
        </w:tc>
        <w:tc>
          <w:tcPr>
            <w:tcW w:w="620" w:type="dxa"/>
            <w:tcBorders>
              <w:top w:val="dotted" w:sz="4" w:space="0" w:color="auto"/>
              <w:left w:val="dotted" w:sz="4" w:space="0" w:color="auto"/>
              <w:right w:val="single" w:sz="4" w:space="0" w:color="auto"/>
            </w:tcBorders>
            <w:noWrap/>
            <w:vAlign w:val="center"/>
            <w:hideMark/>
          </w:tcPr>
          <w:p w14:paraId="4F5E8E0E"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6 429</w:t>
            </w:r>
          </w:p>
        </w:tc>
        <w:tc>
          <w:tcPr>
            <w:tcW w:w="620" w:type="dxa"/>
            <w:tcBorders>
              <w:top w:val="dotted" w:sz="4" w:space="0" w:color="auto"/>
              <w:left w:val="single" w:sz="4" w:space="0" w:color="auto"/>
              <w:right w:val="dotted" w:sz="4" w:space="0" w:color="auto"/>
            </w:tcBorders>
            <w:noWrap/>
            <w:vAlign w:val="center"/>
            <w:hideMark/>
          </w:tcPr>
          <w:p w14:paraId="797C8E3E"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3,3%</w:t>
            </w:r>
          </w:p>
        </w:tc>
        <w:tc>
          <w:tcPr>
            <w:tcW w:w="620" w:type="dxa"/>
            <w:tcBorders>
              <w:top w:val="dotted" w:sz="4" w:space="0" w:color="auto"/>
              <w:left w:val="dotted" w:sz="4" w:space="0" w:color="auto"/>
            </w:tcBorders>
            <w:noWrap/>
            <w:vAlign w:val="center"/>
            <w:hideMark/>
          </w:tcPr>
          <w:p w14:paraId="3A69D497"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11,0%</w:t>
            </w:r>
          </w:p>
        </w:tc>
      </w:tr>
      <w:tr w:rsidR="00AF3066" w:rsidRPr="007A2F3F" w14:paraId="77E533DC" w14:textId="77777777" w:rsidTr="005F3DDE">
        <w:trPr>
          <w:trHeight w:val="20"/>
        </w:trPr>
        <w:tc>
          <w:tcPr>
            <w:tcW w:w="279" w:type="dxa"/>
            <w:tcBorders>
              <w:bottom w:val="dotted" w:sz="4" w:space="0" w:color="auto"/>
            </w:tcBorders>
            <w:noWrap/>
            <w:hideMark/>
          </w:tcPr>
          <w:p w14:paraId="62192E7F"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dotted" w:sz="4" w:space="0" w:color="auto"/>
              <w:right w:val="single" w:sz="4" w:space="0" w:color="auto"/>
            </w:tcBorders>
            <w:noWrap/>
            <w:hideMark/>
          </w:tcPr>
          <w:p w14:paraId="7B199846"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dotted" w:sz="4" w:space="0" w:color="auto"/>
              <w:right w:val="dotted" w:sz="4" w:space="0" w:color="auto"/>
            </w:tcBorders>
            <w:noWrap/>
            <w:vAlign w:val="center"/>
            <w:hideMark/>
          </w:tcPr>
          <w:p w14:paraId="1FF3A2F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w:t>
            </w:r>
          </w:p>
        </w:tc>
        <w:tc>
          <w:tcPr>
            <w:tcW w:w="620" w:type="dxa"/>
            <w:tcBorders>
              <w:left w:val="dotted" w:sz="4" w:space="0" w:color="auto"/>
              <w:bottom w:val="dotted" w:sz="4" w:space="0" w:color="auto"/>
              <w:right w:val="single" w:sz="4" w:space="0" w:color="auto"/>
            </w:tcBorders>
            <w:noWrap/>
            <w:vAlign w:val="center"/>
            <w:hideMark/>
          </w:tcPr>
          <w:p w14:paraId="60C019E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dotted" w:sz="4" w:space="0" w:color="auto"/>
              <w:right w:val="dotted" w:sz="4" w:space="0" w:color="auto"/>
            </w:tcBorders>
            <w:noWrap/>
            <w:vAlign w:val="center"/>
            <w:hideMark/>
          </w:tcPr>
          <w:p w14:paraId="44AD840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w:t>
            </w:r>
          </w:p>
        </w:tc>
        <w:tc>
          <w:tcPr>
            <w:tcW w:w="620" w:type="dxa"/>
            <w:tcBorders>
              <w:left w:val="dotted" w:sz="4" w:space="0" w:color="auto"/>
              <w:bottom w:val="dotted" w:sz="4" w:space="0" w:color="auto"/>
              <w:right w:val="single" w:sz="4" w:space="0" w:color="auto"/>
            </w:tcBorders>
            <w:noWrap/>
            <w:vAlign w:val="center"/>
            <w:hideMark/>
          </w:tcPr>
          <w:p w14:paraId="4FAF290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dotted" w:sz="4" w:space="0" w:color="auto"/>
              <w:right w:val="dotted" w:sz="4" w:space="0" w:color="auto"/>
            </w:tcBorders>
            <w:noWrap/>
            <w:vAlign w:val="center"/>
            <w:hideMark/>
          </w:tcPr>
          <w:p w14:paraId="0DC6EB7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w:t>
            </w:r>
          </w:p>
        </w:tc>
        <w:tc>
          <w:tcPr>
            <w:tcW w:w="620" w:type="dxa"/>
            <w:tcBorders>
              <w:left w:val="dotted" w:sz="4" w:space="0" w:color="auto"/>
              <w:bottom w:val="dotted" w:sz="4" w:space="0" w:color="auto"/>
              <w:right w:val="single" w:sz="4" w:space="0" w:color="auto"/>
            </w:tcBorders>
            <w:noWrap/>
            <w:vAlign w:val="center"/>
            <w:hideMark/>
          </w:tcPr>
          <w:p w14:paraId="2344AF04" w14:textId="3C11C574"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dotted" w:sz="4" w:space="0" w:color="auto"/>
              <w:right w:val="dotted" w:sz="4" w:space="0" w:color="auto"/>
            </w:tcBorders>
            <w:noWrap/>
            <w:vAlign w:val="center"/>
            <w:hideMark/>
          </w:tcPr>
          <w:p w14:paraId="1CFB046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-161,3%</w:t>
            </w:r>
          </w:p>
        </w:tc>
        <w:tc>
          <w:tcPr>
            <w:tcW w:w="620" w:type="dxa"/>
            <w:tcBorders>
              <w:left w:val="dotted" w:sz="4" w:space="0" w:color="auto"/>
              <w:bottom w:val="dotted" w:sz="4" w:space="0" w:color="auto"/>
            </w:tcBorders>
            <w:noWrap/>
            <w:vAlign w:val="center"/>
            <w:hideMark/>
          </w:tcPr>
          <w:p w14:paraId="64E5602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2721082F" w14:textId="77777777" w:rsidTr="005F3DDE">
        <w:trPr>
          <w:trHeight w:val="20"/>
        </w:trPr>
        <w:tc>
          <w:tcPr>
            <w:tcW w:w="279" w:type="dxa"/>
            <w:tcBorders>
              <w:top w:val="dotted" w:sz="4" w:space="0" w:color="auto"/>
            </w:tcBorders>
            <w:noWrap/>
            <w:hideMark/>
          </w:tcPr>
          <w:p w14:paraId="655C1DFE"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2.b</w:t>
            </w:r>
          </w:p>
        </w:tc>
        <w:tc>
          <w:tcPr>
            <w:tcW w:w="1557" w:type="dxa"/>
            <w:tcBorders>
              <w:top w:val="dotted" w:sz="4" w:space="0" w:color="auto"/>
              <w:right w:val="single" w:sz="4" w:space="0" w:color="auto"/>
            </w:tcBorders>
            <w:noWrap/>
            <w:hideMark/>
          </w:tcPr>
          <w:p w14:paraId="19F796B5"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Resiliens och värden</w:t>
            </w:r>
          </w:p>
        </w:tc>
        <w:tc>
          <w:tcPr>
            <w:tcW w:w="619" w:type="dxa"/>
            <w:tcBorders>
              <w:top w:val="dotted" w:sz="4" w:space="0" w:color="auto"/>
              <w:left w:val="single" w:sz="4" w:space="0" w:color="auto"/>
              <w:right w:val="dotted" w:sz="4" w:space="0" w:color="auto"/>
            </w:tcBorders>
            <w:noWrap/>
            <w:vAlign w:val="center"/>
            <w:hideMark/>
          </w:tcPr>
          <w:p w14:paraId="4A5D53C7"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15 056</w:t>
            </w:r>
          </w:p>
        </w:tc>
        <w:tc>
          <w:tcPr>
            <w:tcW w:w="620" w:type="dxa"/>
            <w:tcBorders>
              <w:top w:val="dotted" w:sz="4" w:space="0" w:color="auto"/>
              <w:left w:val="dotted" w:sz="4" w:space="0" w:color="auto"/>
              <w:right w:val="single" w:sz="4" w:space="0" w:color="auto"/>
            </w:tcBorders>
            <w:noWrap/>
            <w:vAlign w:val="center"/>
            <w:hideMark/>
          </w:tcPr>
          <w:p w14:paraId="7963D1B5"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14 869</w:t>
            </w:r>
          </w:p>
        </w:tc>
        <w:tc>
          <w:tcPr>
            <w:tcW w:w="620" w:type="dxa"/>
            <w:tcBorders>
              <w:top w:val="dotted" w:sz="4" w:space="0" w:color="auto"/>
              <w:left w:val="single" w:sz="4" w:space="0" w:color="auto"/>
              <w:right w:val="dotted" w:sz="4" w:space="0" w:color="auto"/>
            </w:tcBorders>
            <w:noWrap/>
            <w:vAlign w:val="center"/>
            <w:hideMark/>
          </w:tcPr>
          <w:p w14:paraId="0570F37C"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17 278</w:t>
            </w:r>
          </w:p>
        </w:tc>
        <w:tc>
          <w:tcPr>
            <w:tcW w:w="620" w:type="dxa"/>
            <w:tcBorders>
              <w:top w:val="dotted" w:sz="4" w:space="0" w:color="auto"/>
              <w:left w:val="dotted" w:sz="4" w:space="0" w:color="auto"/>
              <w:right w:val="single" w:sz="4" w:space="0" w:color="auto"/>
            </w:tcBorders>
            <w:noWrap/>
            <w:vAlign w:val="center"/>
            <w:hideMark/>
          </w:tcPr>
          <w:p w14:paraId="593990B8"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17 122</w:t>
            </w:r>
          </w:p>
        </w:tc>
        <w:tc>
          <w:tcPr>
            <w:tcW w:w="619" w:type="dxa"/>
            <w:tcBorders>
              <w:top w:val="dotted" w:sz="4" w:space="0" w:color="auto"/>
              <w:left w:val="single" w:sz="4" w:space="0" w:color="auto"/>
              <w:right w:val="dotted" w:sz="4" w:space="0" w:color="auto"/>
            </w:tcBorders>
            <w:noWrap/>
            <w:vAlign w:val="center"/>
            <w:hideMark/>
          </w:tcPr>
          <w:p w14:paraId="1071D749"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2 222</w:t>
            </w:r>
          </w:p>
        </w:tc>
        <w:tc>
          <w:tcPr>
            <w:tcW w:w="620" w:type="dxa"/>
            <w:tcBorders>
              <w:top w:val="dotted" w:sz="4" w:space="0" w:color="auto"/>
              <w:left w:val="dotted" w:sz="4" w:space="0" w:color="auto"/>
              <w:right w:val="single" w:sz="4" w:space="0" w:color="auto"/>
            </w:tcBorders>
            <w:noWrap/>
            <w:vAlign w:val="center"/>
            <w:hideMark/>
          </w:tcPr>
          <w:p w14:paraId="7A5CC955"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2 254</w:t>
            </w:r>
          </w:p>
        </w:tc>
        <w:tc>
          <w:tcPr>
            <w:tcW w:w="620" w:type="dxa"/>
            <w:tcBorders>
              <w:top w:val="dotted" w:sz="4" w:space="0" w:color="auto"/>
              <w:left w:val="single" w:sz="4" w:space="0" w:color="auto"/>
              <w:right w:val="dotted" w:sz="4" w:space="0" w:color="auto"/>
            </w:tcBorders>
            <w:noWrap/>
            <w:vAlign w:val="center"/>
            <w:hideMark/>
          </w:tcPr>
          <w:p w14:paraId="54A4BC76"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14,8%</w:t>
            </w:r>
          </w:p>
        </w:tc>
        <w:tc>
          <w:tcPr>
            <w:tcW w:w="620" w:type="dxa"/>
            <w:tcBorders>
              <w:top w:val="dotted" w:sz="4" w:space="0" w:color="auto"/>
              <w:left w:val="dotted" w:sz="4" w:space="0" w:color="auto"/>
            </w:tcBorders>
            <w:noWrap/>
            <w:vAlign w:val="center"/>
            <w:hideMark/>
          </w:tcPr>
          <w:p w14:paraId="4EDEDB00" w14:textId="77777777" w:rsidR="000D59FD" w:rsidRPr="00582A8D" w:rsidRDefault="000D59FD" w:rsidP="00582A8D">
            <w:pPr>
              <w:pStyle w:val="Brdtext"/>
              <w:jc w:val="right"/>
              <w:rPr>
                <w:rFonts w:asciiTheme="majorHAnsi" w:hAnsiTheme="majorHAnsi" w:cstheme="majorHAnsi"/>
                <w:sz w:val="12"/>
                <w:szCs w:val="12"/>
              </w:rPr>
            </w:pPr>
            <w:r w:rsidRPr="00582A8D">
              <w:rPr>
                <w:rFonts w:asciiTheme="majorHAnsi" w:hAnsiTheme="majorHAnsi" w:cstheme="majorHAnsi"/>
                <w:sz w:val="12"/>
                <w:szCs w:val="12"/>
              </w:rPr>
              <w:t>15,2%</w:t>
            </w:r>
          </w:p>
        </w:tc>
      </w:tr>
      <w:tr w:rsidR="00AF3066" w:rsidRPr="007A2F3F" w14:paraId="2A6B994A" w14:textId="77777777" w:rsidTr="005F3DDE">
        <w:trPr>
          <w:trHeight w:val="20"/>
        </w:trPr>
        <w:tc>
          <w:tcPr>
            <w:tcW w:w="279" w:type="dxa"/>
            <w:tcBorders>
              <w:bottom w:val="single" w:sz="4" w:space="0" w:color="auto"/>
            </w:tcBorders>
            <w:noWrap/>
            <w:hideMark/>
          </w:tcPr>
          <w:p w14:paraId="30F8EECE" w14:textId="77777777" w:rsidR="000D59FD" w:rsidRPr="00582A8D" w:rsidRDefault="000D59FD" w:rsidP="00582A8D">
            <w:pPr>
              <w:pStyle w:val="Brdtext"/>
              <w:rPr>
                <w:rFonts w:asciiTheme="majorHAnsi" w:hAnsiTheme="majorHAnsi" w:cstheme="majorHAnsi"/>
                <w:sz w:val="12"/>
                <w:szCs w:val="12"/>
              </w:rPr>
            </w:pPr>
          </w:p>
        </w:tc>
        <w:tc>
          <w:tcPr>
            <w:tcW w:w="1557" w:type="dxa"/>
            <w:tcBorders>
              <w:bottom w:val="single" w:sz="4" w:space="0" w:color="auto"/>
              <w:right w:val="single" w:sz="4" w:space="0" w:color="auto"/>
            </w:tcBorders>
            <w:noWrap/>
            <w:hideMark/>
          </w:tcPr>
          <w:p w14:paraId="58EE1C2B"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41BB747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-4 126</w:t>
            </w:r>
          </w:p>
        </w:tc>
        <w:tc>
          <w:tcPr>
            <w:tcW w:w="620" w:type="dxa"/>
            <w:tcBorders>
              <w:left w:val="dotted" w:sz="4" w:space="0" w:color="auto"/>
              <w:bottom w:val="single" w:sz="4" w:space="0" w:color="auto"/>
              <w:right w:val="single" w:sz="4" w:space="0" w:color="auto"/>
            </w:tcBorders>
            <w:noWrap/>
            <w:vAlign w:val="center"/>
            <w:hideMark/>
          </w:tcPr>
          <w:p w14:paraId="4F6FC0B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0D40EAE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-4 400</w:t>
            </w:r>
          </w:p>
        </w:tc>
        <w:tc>
          <w:tcPr>
            <w:tcW w:w="620" w:type="dxa"/>
            <w:tcBorders>
              <w:left w:val="dotted" w:sz="4" w:space="0" w:color="auto"/>
              <w:bottom w:val="single" w:sz="4" w:space="0" w:color="auto"/>
              <w:right w:val="single" w:sz="4" w:space="0" w:color="auto"/>
            </w:tcBorders>
            <w:noWrap/>
            <w:vAlign w:val="center"/>
            <w:hideMark/>
          </w:tcPr>
          <w:p w14:paraId="0E8038C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680FA94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-274</w:t>
            </w:r>
          </w:p>
        </w:tc>
        <w:tc>
          <w:tcPr>
            <w:tcW w:w="620" w:type="dxa"/>
            <w:tcBorders>
              <w:left w:val="dotted" w:sz="4" w:space="0" w:color="auto"/>
              <w:bottom w:val="single" w:sz="4" w:space="0" w:color="auto"/>
              <w:right w:val="single" w:sz="4" w:space="0" w:color="auto"/>
            </w:tcBorders>
            <w:noWrap/>
            <w:vAlign w:val="center"/>
            <w:hideMark/>
          </w:tcPr>
          <w:p w14:paraId="3BDDC0FD" w14:textId="713BE551"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45418C9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6,6%</w:t>
            </w:r>
          </w:p>
        </w:tc>
        <w:tc>
          <w:tcPr>
            <w:tcW w:w="620" w:type="dxa"/>
            <w:tcBorders>
              <w:left w:val="dotted" w:sz="4" w:space="0" w:color="auto"/>
              <w:bottom w:val="single" w:sz="4" w:space="0" w:color="auto"/>
            </w:tcBorders>
            <w:noWrap/>
            <w:vAlign w:val="center"/>
            <w:hideMark/>
          </w:tcPr>
          <w:p w14:paraId="7EBB5F2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1AEAC06F" w14:textId="77777777" w:rsidTr="005F3DDE">
        <w:trPr>
          <w:trHeight w:val="20"/>
        </w:trPr>
        <w:tc>
          <w:tcPr>
            <w:tcW w:w="279" w:type="dxa"/>
            <w:tcBorders>
              <w:top w:val="single" w:sz="4" w:space="0" w:color="auto"/>
            </w:tcBorders>
            <w:noWrap/>
            <w:hideMark/>
          </w:tcPr>
          <w:p w14:paraId="7BCFC659"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3.</w:t>
            </w:r>
          </w:p>
        </w:tc>
        <w:tc>
          <w:tcPr>
            <w:tcW w:w="1557" w:type="dxa"/>
            <w:tcBorders>
              <w:top w:val="single" w:sz="4" w:space="0" w:color="auto"/>
              <w:right w:val="single" w:sz="4" w:space="0" w:color="auto"/>
            </w:tcBorders>
            <w:noWrap/>
            <w:hideMark/>
          </w:tcPr>
          <w:p w14:paraId="6CF943EF"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Naturresurser och miljö</w:t>
            </w:r>
          </w:p>
        </w:tc>
        <w:tc>
          <w:tcPr>
            <w:tcW w:w="619" w:type="dxa"/>
            <w:tcBorders>
              <w:top w:val="single" w:sz="4" w:space="0" w:color="auto"/>
              <w:left w:val="single" w:sz="4" w:space="0" w:color="auto"/>
              <w:right w:val="dotted" w:sz="4" w:space="0" w:color="auto"/>
            </w:tcBorders>
            <w:noWrap/>
            <w:vAlign w:val="center"/>
            <w:hideMark/>
          </w:tcPr>
          <w:p w14:paraId="31B00E8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56 529</w:t>
            </w:r>
          </w:p>
        </w:tc>
        <w:tc>
          <w:tcPr>
            <w:tcW w:w="620" w:type="dxa"/>
            <w:tcBorders>
              <w:top w:val="single" w:sz="4" w:space="0" w:color="auto"/>
              <w:left w:val="dotted" w:sz="4" w:space="0" w:color="auto"/>
              <w:right w:val="single" w:sz="4" w:space="0" w:color="auto"/>
            </w:tcBorders>
            <w:noWrap/>
            <w:vAlign w:val="center"/>
            <w:hideMark/>
          </w:tcPr>
          <w:p w14:paraId="4A2B1243"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52 577</w:t>
            </w:r>
          </w:p>
        </w:tc>
        <w:tc>
          <w:tcPr>
            <w:tcW w:w="620" w:type="dxa"/>
            <w:tcBorders>
              <w:top w:val="single" w:sz="4" w:space="0" w:color="auto"/>
              <w:left w:val="single" w:sz="4" w:space="0" w:color="auto"/>
              <w:right w:val="dotted" w:sz="4" w:space="0" w:color="auto"/>
            </w:tcBorders>
            <w:noWrap/>
            <w:vAlign w:val="center"/>
            <w:hideMark/>
          </w:tcPr>
          <w:p w14:paraId="7168626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57 235</w:t>
            </w:r>
          </w:p>
        </w:tc>
        <w:tc>
          <w:tcPr>
            <w:tcW w:w="620" w:type="dxa"/>
            <w:tcBorders>
              <w:top w:val="single" w:sz="4" w:space="0" w:color="auto"/>
              <w:left w:val="dotted" w:sz="4" w:space="0" w:color="auto"/>
              <w:right w:val="single" w:sz="4" w:space="0" w:color="auto"/>
            </w:tcBorders>
            <w:noWrap/>
            <w:vAlign w:val="center"/>
            <w:hideMark/>
          </w:tcPr>
          <w:p w14:paraId="4C9460B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61 455</w:t>
            </w:r>
          </w:p>
        </w:tc>
        <w:tc>
          <w:tcPr>
            <w:tcW w:w="619" w:type="dxa"/>
            <w:tcBorders>
              <w:top w:val="single" w:sz="4" w:space="0" w:color="auto"/>
              <w:left w:val="single" w:sz="4" w:space="0" w:color="auto"/>
              <w:right w:val="dotted" w:sz="4" w:space="0" w:color="auto"/>
            </w:tcBorders>
            <w:noWrap/>
            <w:vAlign w:val="center"/>
            <w:hideMark/>
          </w:tcPr>
          <w:p w14:paraId="734E143B"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706</w:t>
            </w:r>
          </w:p>
        </w:tc>
        <w:tc>
          <w:tcPr>
            <w:tcW w:w="620" w:type="dxa"/>
            <w:tcBorders>
              <w:top w:val="single" w:sz="4" w:space="0" w:color="auto"/>
              <w:left w:val="dotted" w:sz="4" w:space="0" w:color="auto"/>
              <w:right w:val="single" w:sz="4" w:space="0" w:color="auto"/>
            </w:tcBorders>
            <w:noWrap/>
            <w:vAlign w:val="center"/>
            <w:hideMark/>
          </w:tcPr>
          <w:p w14:paraId="156B028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8 877</w:t>
            </w:r>
          </w:p>
        </w:tc>
        <w:tc>
          <w:tcPr>
            <w:tcW w:w="620" w:type="dxa"/>
            <w:tcBorders>
              <w:top w:val="single" w:sz="4" w:space="0" w:color="auto"/>
              <w:left w:val="single" w:sz="4" w:space="0" w:color="auto"/>
              <w:right w:val="dotted" w:sz="4" w:space="0" w:color="auto"/>
            </w:tcBorders>
            <w:noWrap/>
            <w:vAlign w:val="center"/>
            <w:hideMark/>
          </w:tcPr>
          <w:p w14:paraId="454D193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1,2%</w:t>
            </w:r>
          </w:p>
        </w:tc>
        <w:tc>
          <w:tcPr>
            <w:tcW w:w="620" w:type="dxa"/>
            <w:tcBorders>
              <w:top w:val="single" w:sz="4" w:space="0" w:color="auto"/>
              <w:left w:val="dotted" w:sz="4" w:space="0" w:color="auto"/>
            </w:tcBorders>
            <w:noWrap/>
            <w:vAlign w:val="center"/>
            <w:hideMark/>
          </w:tcPr>
          <w:p w14:paraId="39CD057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16,9%</w:t>
            </w:r>
          </w:p>
        </w:tc>
      </w:tr>
      <w:tr w:rsidR="00AF3066" w:rsidRPr="007A2F3F" w14:paraId="4BA76A67" w14:textId="77777777" w:rsidTr="005F3DDE">
        <w:trPr>
          <w:trHeight w:val="20"/>
        </w:trPr>
        <w:tc>
          <w:tcPr>
            <w:tcW w:w="279" w:type="dxa"/>
            <w:tcBorders>
              <w:bottom w:val="single" w:sz="4" w:space="0" w:color="auto"/>
            </w:tcBorders>
            <w:noWrap/>
            <w:hideMark/>
          </w:tcPr>
          <w:p w14:paraId="164A9F29"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noWrap/>
            <w:hideMark/>
          </w:tcPr>
          <w:p w14:paraId="47C8B140"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7944B76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571</w:t>
            </w:r>
          </w:p>
        </w:tc>
        <w:tc>
          <w:tcPr>
            <w:tcW w:w="620" w:type="dxa"/>
            <w:tcBorders>
              <w:left w:val="dotted" w:sz="4" w:space="0" w:color="auto"/>
              <w:bottom w:val="single" w:sz="4" w:space="0" w:color="auto"/>
              <w:right w:val="single" w:sz="4" w:space="0" w:color="auto"/>
            </w:tcBorders>
            <w:noWrap/>
            <w:vAlign w:val="center"/>
            <w:hideMark/>
          </w:tcPr>
          <w:p w14:paraId="5C3D758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3CD2F7B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81</w:t>
            </w:r>
          </w:p>
        </w:tc>
        <w:tc>
          <w:tcPr>
            <w:tcW w:w="620" w:type="dxa"/>
            <w:tcBorders>
              <w:left w:val="dotted" w:sz="4" w:space="0" w:color="auto"/>
              <w:bottom w:val="single" w:sz="4" w:space="0" w:color="auto"/>
              <w:right w:val="single" w:sz="4" w:space="0" w:color="auto"/>
            </w:tcBorders>
            <w:noWrap/>
            <w:vAlign w:val="center"/>
            <w:hideMark/>
          </w:tcPr>
          <w:p w14:paraId="0476E7E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60AA4A8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-490</w:t>
            </w:r>
          </w:p>
        </w:tc>
        <w:tc>
          <w:tcPr>
            <w:tcW w:w="620" w:type="dxa"/>
            <w:tcBorders>
              <w:left w:val="dotted" w:sz="4" w:space="0" w:color="auto"/>
              <w:bottom w:val="single" w:sz="4" w:space="0" w:color="auto"/>
              <w:right w:val="single" w:sz="4" w:space="0" w:color="auto"/>
            </w:tcBorders>
            <w:noWrap/>
            <w:vAlign w:val="center"/>
            <w:hideMark/>
          </w:tcPr>
          <w:p w14:paraId="7FF9E1D3" w14:textId="44624892"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3059521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-85,9%</w:t>
            </w:r>
          </w:p>
        </w:tc>
        <w:tc>
          <w:tcPr>
            <w:tcW w:w="620" w:type="dxa"/>
            <w:tcBorders>
              <w:left w:val="dotted" w:sz="4" w:space="0" w:color="auto"/>
              <w:bottom w:val="single" w:sz="4" w:space="0" w:color="auto"/>
            </w:tcBorders>
            <w:noWrap/>
            <w:vAlign w:val="center"/>
            <w:hideMark/>
          </w:tcPr>
          <w:p w14:paraId="6DB0031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3FE9DD6C" w14:textId="77777777" w:rsidTr="005F3DDE">
        <w:trPr>
          <w:trHeight w:val="20"/>
        </w:trPr>
        <w:tc>
          <w:tcPr>
            <w:tcW w:w="279" w:type="dxa"/>
            <w:tcBorders>
              <w:top w:val="single" w:sz="4" w:space="0" w:color="auto"/>
            </w:tcBorders>
            <w:noWrap/>
            <w:hideMark/>
          </w:tcPr>
          <w:p w14:paraId="52B5CE68"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4.</w:t>
            </w:r>
          </w:p>
        </w:tc>
        <w:tc>
          <w:tcPr>
            <w:tcW w:w="1557" w:type="dxa"/>
            <w:tcBorders>
              <w:top w:val="single" w:sz="4" w:space="0" w:color="auto"/>
              <w:right w:val="single" w:sz="4" w:space="0" w:color="auto"/>
            </w:tcBorders>
            <w:noWrap/>
            <w:hideMark/>
          </w:tcPr>
          <w:p w14:paraId="23BC5BBA"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Migration och gränsförvaltning</w:t>
            </w:r>
          </w:p>
        </w:tc>
        <w:tc>
          <w:tcPr>
            <w:tcW w:w="619" w:type="dxa"/>
            <w:tcBorders>
              <w:top w:val="single" w:sz="4" w:space="0" w:color="auto"/>
              <w:left w:val="single" w:sz="4" w:space="0" w:color="auto"/>
              <w:right w:val="dotted" w:sz="4" w:space="0" w:color="auto"/>
            </w:tcBorders>
            <w:noWrap/>
            <w:vAlign w:val="center"/>
            <w:hideMark/>
          </w:tcPr>
          <w:p w14:paraId="0C17B049"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5 019</w:t>
            </w:r>
          </w:p>
        </w:tc>
        <w:tc>
          <w:tcPr>
            <w:tcW w:w="620" w:type="dxa"/>
            <w:tcBorders>
              <w:top w:val="single" w:sz="4" w:space="0" w:color="auto"/>
              <w:left w:val="dotted" w:sz="4" w:space="0" w:color="auto"/>
              <w:right w:val="single" w:sz="4" w:space="0" w:color="auto"/>
            </w:tcBorders>
            <w:noWrap/>
            <w:vAlign w:val="center"/>
            <w:hideMark/>
          </w:tcPr>
          <w:p w14:paraId="03D29F7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3 888</w:t>
            </w:r>
          </w:p>
        </w:tc>
        <w:tc>
          <w:tcPr>
            <w:tcW w:w="620" w:type="dxa"/>
            <w:tcBorders>
              <w:top w:val="single" w:sz="4" w:space="0" w:color="auto"/>
              <w:left w:val="single" w:sz="4" w:space="0" w:color="auto"/>
              <w:right w:val="dotted" w:sz="4" w:space="0" w:color="auto"/>
            </w:tcBorders>
            <w:noWrap/>
            <w:vAlign w:val="center"/>
            <w:hideMark/>
          </w:tcPr>
          <w:p w14:paraId="423C3B8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5 789</w:t>
            </w:r>
          </w:p>
        </w:tc>
        <w:tc>
          <w:tcPr>
            <w:tcW w:w="620" w:type="dxa"/>
            <w:tcBorders>
              <w:top w:val="single" w:sz="4" w:space="0" w:color="auto"/>
              <w:left w:val="dotted" w:sz="4" w:space="0" w:color="auto"/>
              <w:right w:val="single" w:sz="4" w:space="0" w:color="auto"/>
            </w:tcBorders>
            <w:noWrap/>
            <w:vAlign w:val="center"/>
            <w:hideMark/>
          </w:tcPr>
          <w:p w14:paraId="1BC44C5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3 870</w:t>
            </w:r>
          </w:p>
        </w:tc>
        <w:tc>
          <w:tcPr>
            <w:tcW w:w="619" w:type="dxa"/>
            <w:tcBorders>
              <w:top w:val="single" w:sz="4" w:space="0" w:color="auto"/>
              <w:left w:val="single" w:sz="4" w:space="0" w:color="auto"/>
              <w:right w:val="dotted" w:sz="4" w:space="0" w:color="auto"/>
            </w:tcBorders>
            <w:noWrap/>
            <w:vAlign w:val="center"/>
            <w:hideMark/>
          </w:tcPr>
          <w:p w14:paraId="54B2469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770</w:t>
            </w:r>
          </w:p>
        </w:tc>
        <w:tc>
          <w:tcPr>
            <w:tcW w:w="620" w:type="dxa"/>
            <w:tcBorders>
              <w:top w:val="single" w:sz="4" w:space="0" w:color="auto"/>
              <w:left w:val="dotted" w:sz="4" w:space="0" w:color="auto"/>
              <w:right w:val="single" w:sz="4" w:space="0" w:color="auto"/>
            </w:tcBorders>
            <w:noWrap/>
            <w:vAlign w:val="center"/>
            <w:hideMark/>
          </w:tcPr>
          <w:p w14:paraId="564B725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-18</w:t>
            </w:r>
          </w:p>
        </w:tc>
        <w:tc>
          <w:tcPr>
            <w:tcW w:w="620" w:type="dxa"/>
            <w:tcBorders>
              <w:top w:val="single" w:sz="4" w:space="0" w:color="auto"/>
              <w:left w:val="single" w:sz="4" w:space="0" w:color="auto"/>
              <w:right w:val="dotted" w:sz="4" w:space="0" w:color="auto"/>
            </w:tcBorders>
            <w:noWrap/>
            <w:vAlign w:val="center"/>
            <w:hideMark/>
          </w:tcPr>
          <w:p w14:paraId="276E38C4"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15,4%</w:t>
            </w:r>
          </w:p>
        </w:tc>
        <w:tc>
          <w:tcPr>
            <w:tcW w:w="620" w:type="dxa"/>
            <w:tcBorders>
              <w:top w:val="single" w:sz="4" w:space="0" w:color="auto"/>
              <w:left w:val="dotted" w:sz="4" w:space="0" w:color="auto"/>
            </w:tcBorders>
            <w:noWrap/>
            <w:vAlign w:val="center"/>
            <w:hideMark/>
          </w:tcPr>
          <w:p w14:paraId="4A8483C8"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-0,5%</w:t>
            </w:r>
          </w:p>
        </w:tc>
      </w:tr>
      <w:tr w:rsidR="00AF3066" w:rsidRPr="007A2F3F" w14:paraId="7B9EC3F1" w14:textId="77777777" w:rsidTr="005F3DDE">
        <w:trPr>
          <w:trHeight w:val="20"/>
        </w:trPr>
        <w:tc>
          <w:tcPr>
            <w:tcW w:w="279" w:type="dxa"/>
            <w:tcBorders>
              <w:bottom w:val="single" w:sz="4" w:space="0" w:color="auto"/>
            </w:tcBorders>
            <w:noWrap/>
            <w:hideMark/>
          </w:tcPr>
          <w:p w14:paraId="668556DC"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noWrap/>
            <w:hideMark/>
          </w:tcPr>
          <w:p w14:paraId="246234ED"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66953D5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84</w:t>
            </w:r>
          </w:p>
        </w:tc>
        <w:tc>
          <w:tcPr>
            <w:tcW w:w="620" w:type="dxa"/>
            <w:tcBorders>
              <w:left w:val="dotted" w:sz="4" w:space="0" w:color="auto"/>
              <w:bottom w:val="single" w:sz="4" w:space="0" w:color="auto"/>
              <w:right w:val="single" w:sz="4" w:space="0" w:color="auto"/>
            </w:tcBorders>
            <w:noWrap/>
            <w:vAlign w:val="center"/>
            <w:hideMark/>
          </w:tcPr>
          <w:p w14:paraId="06600DC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2DFC46F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104</w:t>
            </w:r>
          </w:p>
        </w:tc>
        <w:tc>
          <w:tcPr>
            <w:tcW w:w="620" w:type="dxa"/>
            <w:tcBorders>
              <w:left w:val="dotted" w:sz="4" w:space="0" w:color="auto"/>
              <w:bottom w:val="single" w:sz="4" w:space="0" w:color="auto"/>
              <w:right w:val="single" w:sz="4" w:space="0" w:color="auto"/>
            </w:tcBorders>
            <w:noWrap/>
            <w:vAlign w:val="center"/>
            <w:hideMark/>
          </w:tcPr>
          <w:p w14:paraId="423BE8E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0F63622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c>
          <w:tcPr>
            <w:tcW w:w="620" w:type="dxa"/>
            <w:tcBorders>
              <w:left w:val="dotted" w:sz="4" w:space="0" w:color="auto"/>
              <w:bottom w:val="single" w:sz="4" w:space="0" w:color="auto"/>
              <w:right w:val="single" w:sz="4" w:space="0" w:color="auto"/>
            </w:tcBorders>
            <w:noWrap/>
            <w:vAlign w:val="center"/>
            <w:hideMark/>
          </w:tcPr>
          <w:p w14:paraId="72B84EE5" w14:textId="353D2562"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23B7AF4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23,3%</w:t>
            </w:r>
          </w:p>
        </w:tc>
        <w:tc>
          <w:tcPr>
            <w:tcW w:w="620" w:type="dxa"/>
            <w:tcBorders>
              <w:left w:val="dotted" w:sz="4" w:space="0" w:color="auto"/>
              <w:bottom w:val="single" w:sz="4" w:space="0" w:color="auto"/>
            </w:tcBorders>
            <w:noWrap/>
            <w:vAlign w:val="center"/>
            <w:hideMark/>
          </w:tcPr>
          <w:p w14:paraId="58CB71C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106FD8B9" w14:textId="77777777" w:rsidTr="005F3DDE">
        <w:trPr>
          <w:trHeight w:val="20"/>
        </w:trPr>
        <w:tc>
          <w:tcPr>
            <w:tcW w:w="279" w:type="dxa"/>
            <w:tcBorders>
              <w:top w:val="single" w:sz="4" w:space="0" w:color="auto"/>
            </w:tcBorders>
            <w:noWrap/>
            <w:hideMark/>
          </w:tcPr>
          <w:p w14:paraId="12164DDE"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5.</w:t>
            </w:r>
          </w:p>
        </w:tc>
        <w:tc>
          <w:tcPr>
            <w:tcW w:w="1557" w:type="dxa"/>
            <w:tcBorders>
              <w:top w:val="single" w:sz="4" w:space="0" w:color="auto"/>
              <w:right w:val="single" w:sz="4" w:space="0" w:color="auto"/>
            </w:tcBorders>
            <w:noWrap/>
            <w:hideMark/>
          </w:tcPr>
          <w:p w14:paraId="7CB5F0E5"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Säkerhet och försvar</w:t>
            </w:r>
          </w:p>
        </w:tc>
        <w:tc>
          <w:tcPr>
            <w:tcW w:w="619" w:type="dxa"/>
            <w:tcBorders>
              <w:top w:val="single" w:sz="4" w:space="0" w:color="auto"/>
              <w:left w:val="single" w:sz="4" w:space="0" w:color="auto"/>
              <w:right w:val="dotted" w:sz="4" w:space="0" w:color="auto"/>
            </w:tcBorders>
            <w:noWrap/>
            <w:vAlign w:val="center"/>
            <w:hideMark/>
          </w:tcPr>
          <w:p w14:paraId="6AE78AAF"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2 814</w:t>
            </w:r>
          </w:p>
        </w:tc>
        <w:tc>
          <w:tcPr>
            <w:tcW w:w="620" w:type="dxa"/>
            <w:tcBorders>
              <w:top w:val="single" w:sz="4" w:space="0" w:color="auto"/>
              <w:left w:val="dotted" w:sz="4" w:space="0" w:color="auto"/>
              <w:right w:val="single" w:sz="4" w:space="0" w:color="auto"/>
            </w:tcBorders>
            <w:noWrap/>
            <w:vAlign w:val="center"/>
            <w:hideMark/>
          </w:tcPr>
          <w:p w14:paraId="4FC0416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2 253</w:t>
            </w:r>
          </w:p>
        </w:tc>
        <w:tc>
          <w:tcPr>
            <w:tcW w:w="620" w:type="dxa"/>
            <w:tcBorders>
              <w:top w:val="single" w:sz="4" w:space="0" w:color="auto"/>
              <w:left w:val="single" w:sz="4" w:space="0" w:color="auto"/>
              <w:right w:val="dotted" w:sz="4" w:space="0" w:color="auto"/>
            </w:tcBorders>
            <w:noWrap/>
            <w:vAlign w:val="center"/>
            <w:hideMark/>
          </w:tcPr>
          <w:p w14:paraId="1D99E09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3 066</w:t>
            </w:r>
          </w:p>
        </w:tc>
        <w:tc>
          <w:tcPr>
            <w:tcW w:w="620" w:type="dxa"/>
            <w:tcBorders>
              <w:top w:val="single" w:sz="4" w:space="0" w:color="auto"/>
              <w:left w:val="dotted" w:sz="4" w:space="0" w:color="auto"/>
              <w:right w:val="single" w:sz="4" w:space="0" w:color="auto"/>
            </w:tcBorders>
            <w:noWrap/>
            <w:vAlign w:val="center"/>
            <w:hideMark/>
          </w:tcPr>
          <w:p w14:paraId="3348CD7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2 231</w:t>
            </w:r>
          </w:p>
        </w:tc>
        <w:tc>
          <w:tcPr>
            <w:tcW w:w="619" w:type="dxa"/>
            <w:tcBorders>
              <w:top w:val="single" w:sz="4" w:space="0" w:color="auto"/>
              <w:left w:val="single" w:sz="4" w:space="0" w:color="auto"/>
              <w:right w:val="dotted" w:sz="4" w:space="0" w:color="auto"/>
            </w:tcBorders>
            <w:noWrap/>
            <w:vAlign w:val="center"/>
            <w:hideMark/>
          </w:tcPr>
          <w:p w14:paraId="0AFFA10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253</w:t>
            </w:r>
          </w:p>
        </w:tc>
        <w:tc>
          <w:tcPr>
            <w:tcW w:w="620" w:type="dxa"/>
            <w:tcBorders>
              <w:top w:val="single" w:sz="4" w:space="0" w:color="auto"/>
              <w:left w:val="dotted" w:sz="4" w:space="0" w:color="auto"/>
              <w:right w:val="single" w:sz="4" w:space="0" w:color="auto"/>
            </w:tcBorders>
            <w:noWrap/>
            <w:vAlign w:val="center"/>
            <w:hideMark/>
          </w:tcPr>
          <w:p w14:paraId="0BD07B7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-22</w:t>
            </w:r>
          </w:p>
        </w:tc>
        <w:tc>
          <w:tcPr>
            <w:tcW w:w="620" w:type="dxa"/>
            <w:tcBorders>
              <w:top w:val="single" w:sz="4" w:space="0" w:color="auto"/>
              <w:left w:val="single" w:sz="4" w:space="0" w:color="auto"/>
              <w:right w:val="dotted" w:sz="4" w:space="0" w:color="auto"/>
            </w:tcBorders>
            <w:noWrap/>
            <w:vAlign w:val="center"/>
            <w:hideMark/>
          </w:tcPr>
          <w:p w14:paraId="581DE889"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9,0%</w:t>
            </w:r>
          </w:p>
        </w:tc>
        <w:tc>
          <w:tcPr>
            <w:tcW w:w="620" w:type="dxa"/>
            <w:tcBorders>
              <w:top w:val="single" w:sz="4" w:space="0" w:color="auto"/>
              <w:left w:val="dotted" w:sz="4" w:space="0" w:color="auto"/>
            </w:tcBorders>
            <w:noWrap/>
            <w:vAlign w:val="center"/>
            <w:hideMark/>
          </w:tcPr>
          <w:p w14:paraId="0E6EBB38"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-1,0%</w:t>
            </w:r>
          </w:p>
        </w:tc>
      </w:tr>
      <w:tr w:rsidR="00AF3066" w:rsidRPr="007A2F3F" w14:paraId="068DA529" w14:textId="77777777" w:rsidTr="005F3DDE">
        <w:trPr>
          <w:trHeight w:val="20"/>
        </w:trPr>
        <w:tc>
          <w:tcPr>
            <w:tcW w:w="279" w:type="dxa"/>
            <w:tcBorders>
              <w:bottom w:val="single" w:sz="4" w:space="0" w:color="auto"/>
            </w:tcBorders>
            <w:noWrap/>
            <w:hideMark/>
          </w:tcPr>
          <w:p w14:paraId="2FF718AA"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noWrap/>
            <w:hideMark/>
          </w:tcPr>
          <w:p w14:paraId="357A0B4C"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26103EC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w:t>
            </w:r>
          </w:p>
        </w:tc>
        <w:tc>
          <w:tcPr>
            <w:tcW w:w="620" w:type="dxa"/>
            <w:tcBorders>
              <w:left w:val="dotted" w:sz="4" w:space="0" w:color="auto"/>
              <w:bottom w:val="single" w:sz="4" w:space="0" w:color="auto"/>
              <w:right w:val="single" w:sz="4" w:space="0" w:color="auto"/>
            </w:tcBorders>
            <w:noWrap/>
            <w:vAlign w:val="center"/>
            <w:hideMark/>
          </w:tcPr>
          <w:p w14:paraId="5844F57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6888BCC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14</w:t>
            </w:r>
          </w:p>
        </w:tc>
        <w:tc>
          <w:tcPr>
            <w:tcW w:w="620" w:type="dxa"/>
            <w:tcBorders>
              <w:left w:val="dotted" w:sz="4" w:space="0" w:color="auto"/>
              <w:bottom w:val="single" w:sz="4" w:space="0" w:color="auto"/>
              <w:right w:val="single" w:sz="4" w:space="0" w:color="auto"/>
            </w:tcBorders>
            <w:noWrap/>
            <w:vAlign w:val="center"/>
            <w:hideMark/>
          </w:tcPr>
          <w:p w14:paraId="60BEF82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1942020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17</w:t>
            </w:r>
          </w:p>
        </w:tc>
        <w:tc>
          <w:tcPr>
            <w:tcW w:w="620" w:type="dxa"/>
            <w:tcBorders>
              <w:left w:val="dotted" w:sz="4" w:space="0" w:color="auto"/>
              <w:bottom w:val="single" w:sz="4" w:space="0" w:color="auto"/>
              <w:right w:val="single" w:sz="4" w:space="0" w:color="auto"/>
            </w:tcBorders>
            <w:noWrap/>
            <w:vAlign w:val="center"/>
            <w:hideMark/>
          </w:tcPr>
          <w:p w14:paraId="14547992" w14:textId="07438148"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07C8A44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-487,8%</w:t>
            </w:r>
          </w:p>
        </w:tc>
        <w:tc>
          <w:tcPr>
            <w:tcW w:w="620" w:type="dxa"/>
            <w:tcBorders>
              <w:left w:val="dotted" w:sz="4" w:space="0" w:color="auto"/>
              <w:bottom w:val="single" w:sz="4" w:space="0" w:color="auto"/>
            </w:tcBorders>
            <w:noWrap/>
            <w:vAlign w:val="center"/>
            <w:hideMark/>
          </w:tcPr>
          <w:p w14:paraId="3752907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0078E441" w14:textId="77777777" w:rsidTr="005F3DDE">
        <w:trPr>
          <w:trHeight w:val="20"/>
        </w:trPr>
        <w:tc>
          <w:tcPr>
            <w:tcW w:w="279" w:type="dxa"/>
            <w:tcBorders>
              <w:top w:val="single" w:sz="4" w:space="0" w:color="auto"/>
            </w:tcBorders>
            <w:noWrap/>
            <w:hideMark/>
          </w:tcPr>
          <w:p w14:paraId="49BEE391"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6.</w:t>
            </w:r>
          </w:p>
        </w:tc>
        <w:tc>
          <w:tcPr>
            <w:tcW w:w="1557" w:type="dxa"/>
            <w:tcBorders>
              <w:top w:val="single" w:sz="4" w:space="0" w:color="auto"/>
              <w:right w:val="single" w:sz="4" w:space="0" w:color="auto"/>
            </w:tcBorders>
            <w:noWrap/>
            <w:hideMark/>
          </w:tcPr>
          <w:p w14:paraId="3B2D0645"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Grannländer och omvärlden</w:t>
            </w:r>
          </w:p>
        </w:tc>
        <w:tc>
          <w:tcPr>
            <w:tcW w:w="619" w:type="dxa"/>
            <w:tcBorders>
              <w:top w:val="single" w:sz="4" w:space="0" w:color="auto"/>
              <w:left w:val="single" w:sz="4" w:space="0" w:color="auto"/>
              <w:right w:val="dotted" w:sz="4" w:space="0" w:color="auto"/>
            </w:tcBorders>
            <w:noWrap/>
            <w:vAlign w:val="center"/>
            <w:hideMark/>
          </w:tcPr>
          <w:p w14:paraId="495661A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15 600</w:t>
            </w:r>
          </w:p>
        </w:tc>
        <w:tc>
          <w:tcPr>
            <w:tcW w:w="620" w:type="dxa"/>
            <w:tcBorders>
              <w:top w:val="single" w:sz="4" w:space="0" w:color="auto"/>
              <w:left w:val="dotted" w:sz="4" w:space="0" w:color="auto"/>
              <w:right w:val="single" w:sz="4" w:space="0" w:color="auto"/>
            </w:tcBorders>
            <w:noWrap/>
            <w:vAlign w:val="center"/>
            <w:hideMark/>
          </w:tcPr>
          <w:p w14:paraId="11EE172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16 570</w:t>
            </w:r>
          </w:p>
        </w:tc>
        <w:tc>
          <w:tcPr>
            <w:tcW w:w="620" w:type="dxa"/>
            <w:tcBorders>
              <w:top w:val="single" w:sz="4" w:space="0" w:color="auto"/>
              <w:left w:val="single" w:sz="4" w:space="0" w:color="auto"/>
              <w:right w:val="dotted" w:sz="4" w:space="0" w:color="auto"/>
            </w:tcBorders>
            <w:noWrap/>
            <w:vAlign w:val="center"/>
            <w:hideMark/>
          </w:tcPr>
          <w:p w14:paraId="75FBA6FB"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15 468</w:t>
            </w:r>
          </w:p>
        </w:tc>
        <w:tc>
          <w:tcPr>
            <w:tcW w:w="620" w:type="dxa"/>
            <w:tcBorders>
              <w:top w:val="single" w:sz="4" w:space="0" w:color="auto"/>
              <w:left w:val="dotted" w:sz="4" w:space="0" w:color="auto"/>
              <w:right w:val="single" w:sz="4" w:space="0" w:color="auto"/>
            </w:tcBorders>
            <w:noWrap/>
            <w:vAlign w:val="center"/>
            <w:hideMark/>
          </w:tcPr>
          <w:p w14:paraId="5241EDA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16 661</w:t>
            </w:r>
          </w:p>
        </w:tc>
        <w:tc>
          <w:tcPr>
            <w:tcW w:w="619" w:type="dxa"/>
            <w:tcBorders>
              <w:top w:val="single" w:sz="4" w:space="0" w:color="auto"/>
              <w:left w:val="single" w:sz="4" w:space="0" w:color="auto"/>
              <w:right w:val="dotted" w:sz="4" w:space="0" w:color="auto"/>
            </w:tcBorders>
            <w:noWrap/>
            <w:vAlign w:val="center"/>
            <w:hideMark/>
          </w:tcPr>
          <w:p w14:paraId="464642D5"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-132</w:t>
            </w:r>
          </w:p>
        </w:tc>
        <w:tc>
          <w:tcPr>
            <w:tcW w:w="620" w:type="dxa"/>
            <w:tcBorders>
              <w:top w:val="single" w:sz="4" w:space="0" w:color="auto"/>
              <w:left w:val="dotted" w:sz="4" w:space="0" w:color="auto"/>
              <w:right w:val="single" w:sz="4" w:space="0" w:color="auto"/>
            </w:tcBorders>
            <w:noWrap/>
            <w:vAlign w:val="center"/>
            <w:hideMark/>
          </w:tcPr>
          <w:p w14:paraId="107EBD33"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91</w:t>
            </w:r>
          </w:p>
        </w:tc>
        <w:tc>
          <w:tcPr>
            <w:tcW w:w="620" w:type="dxa"/>
            <w:tcBorders>
              <w:top w:val="single" w:sz="4" w:space="0" w:color="auto"/>
              <w:left w:val="single" w:sz="4" w:space="0" w:color="auto"/>
              <w:right w:val="dotted" w:sz="4" w:space="0" w:color="auto"/>
            </w:tcBorders>
            <w:noWrap/>
            <w:vAlign w:val="center"/>
            <w:hideMark/>
          </w:tcPr>
          <w:p w14:paraId="692CFC8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-0,8%</w:t>
            </w:r>
          </w:p>
        </w:tc>
        <w:tc>
          <w:tcPr>
            <w:tcW w:w="620" w:type="dxa"/>
            <w:tcBorders>
              <w:top w:val="single" w:sz="4" w:space="0" w:color="auto"/>
              <w:left w:val="dotted" w:sz="4" w:space="0" w:color="auto"/>
            </w:tcBorders>
            <w:noWrap/>
            <w:vAlign w:val="center"/>
            <w:hideMark/>
          </w:tcPr>
          <w:p w14:paraId="7DDFDCCB"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0,5%</w:t>
            </w:r>
          </w:p>
        </w:tc>
      </w:tr>
      <w:tr w:rsidR="00AF3066" w:rsidRPr="007A2F3F" w14:paraId="39BA058D" w14:textId="77777777" w:rsidTr="005F3DDE">
        <w:trPr>
          <w:trHeight w:val="20"/>
        </w:trPr>
        <w:tc>
          <w:tcPr>
            <w:tcW w:w="279" w:type="dxa"/>
            <w:tcBorders>
              <w:bottom w:val="single" w:sz="4" w:space="0" w:color="auto"/>
            </w:tcBorders>
            <w:noWrap/>
            <w:hideMark/>
          </w:tcPr>
          <w:p w14:paraId="26C73C88"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noWrap/>
            <w:hideMark/>
          </w:tcPr>
          <w:p w14:paraId="4469ED3F"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noWrap/>
            <w:vAlign w:val="center"/>
            <w:hideMark/>
          </w:tcPr>
          <w:p w14:paraId="2EBF5A7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14</w:t>
            </w:r>
          </w:p>
        </w:tc>
        <w:tc>
          <w:tcPr>
            <w:tcW w:w="620" w:type="dxa"/>
            <w:tcBorders>
              <w:left w:val="dotted" w:sz="4" w:space="0" w:color="auto"/>
              <w:bottom w:val="single" w:sz="4" w:space="0" w:color="auto"/>
              <w:right w:val="single" w:sz="4" w:space="0" w:color="auto"/>
            </w:tcBorders>
            <w:noWrap/>
            <w:vAlign w:val="center"/>
            <w:hideMark/>
          </w:tcPr>
          <w:p w14:paraId="7DFD384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single" w:sz="4" w:space="0" w:color="auto"/>
              <w:right w:val="dotted" w:sz="4" w:space="0" w:color="auto"/>
            </w:tcBorders>
            <w:noWrap/>
            <w:vAlign w:val="center"/>
            <w:hideMark/>
          </w:tcPr>
          <w:p w14:paraId="7664E17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603</w:t>
            </w:r>
          </w:p>
        </w:tc>
        <w:tc>
          <w:tcPr>
            <w:tcW w:w="620" w:type="dxa"/>
            <w:tcBorders>
              <w:left w:val="dotted" w:sz="4" w:space="0" w:color="auto"/>
              <w:bottom w:val="single" w:sz="4" w:space="0" w:color="auto"/>
              <w:right w:val="single" w:sz="4" w:space="0" w:color="auto"/>
            </w:tcBorders>
            <w:noWrap/>
            <w:vAlign w:val="center"/>
            <w:hideMark/>
          </w:tcPr>
          <w:p w14:paraId="172AA52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single" w:sz="4" w:space="0" w:color="auto"/>
              <w:right w:val="dotted" w:sz="4" w:space="0" w:color="auto"/>
            </w:tcBorders>
            <w:noWrap/>
            <w:vAlign w:val="center"/>
            <w:hideMark/>
          </w:tcPr>
          <w:p w14:paraId="5A0F1DB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589</w:t>
            </w:r>
          </w:p>
        </w:tc>
        <w:tc>
          <w:tcPr>
            <w:tcW w:w="620" w:type="dxa"/>
            <w:tcBorders>
              <w:left w:val="dotted" w:sz="4" w:space="0" w:color="auto"/>
              <w:bottom w:val="single" w:sz="4" w:space="0" w:color="auto"/>
              <w:right w:val="single" w:sz="4" w:space="0" w:color="auto"/>
            </w:tcBorders>
            <w:noWrap/>
            <w:vAlign w:val="center"/>
            <w:hideMark/>
          </w:tcPr>
          <w:p w14:paraId="10F4C191" w14:textId="194F68C7"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single" w:sz="4" w:space="0" w:color="auto"/>
              <w:right w:val="dotted" w:sz="4" w:space="0" w:color="auto"/>
            </w:tcBorders>
            <w:noWrap/>
            <w:vAlign w:val="center"/>
            <w:hideMark/>
          </w:tcPr>
          <w:p w14:paraId="18B28C5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4214,3%</w:t>
            </w:r>
          </w:p>
        </w:tc>
        <w:tc>
          <w:tcPr>
            <w:tcW w:w="620" w:type="dxa"/>
            <w:tcBorders>
              <w:left w:val="dotted" w:sz="4" w:space="0" w:color="auto"/>
              <w:bottom w:val="single" w:sz="4" w:space="0" w:color="auto"/>
            </w:tcBorders>
            <w:noWrap/>
            <w:vAlign w:val="center"/>
            <w:hideMark/>
          </w:tcPr>
          <w:p w14:paraId="14BF26C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181D0311" w14:textId="77777777" w:rsidTr="005F3DDE">
        <w:trPr>
          <w:trHeight w:val="20"/>
        </w:trPr>
        <w:tc>
          <w:tcPr>
            <w:tcW w:w="279" w:type="dxa"/>
            <w:tcBorders>
              <w:top w:val="single" w:sz="4" w:space="0" w:color="auto"/>
            </w:tcBorders>
            <w:noWrap/>
            <w:hideMark/>
          </w:tcPr>
          <w:p w14:paraId="084A6E9C"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7.</w:t>
            </w:r>
          </w:p>
        </w:tc>
        <w:tc>
          <w:tcPr>
            <w:tcW w:w="1557" w:type="dxa"/>
            <w:tcBorders>
              <w:top w:val="single" w:sz="4" w:space="0" w:color="auto"/>
              <w:right w:val="single" w:sz="4" w:space="0" w:color="auto"/>
            </w:tcBorders>
            <w:noWrap/>
            <w:hideMark/>
          </w:tcPr>
          <w:p w14:paraId="2A821071"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Europeisk offentlig förvaltning</w:t>
            </w:r>
          </w:p>
        </w:tc>
        <w:tc>
          <w:tcPr>
            <w:tcW w:w="619" w:type="dxa"/>
            <w:tcBorders>
              <w:top w:val="single" w:sz="4" w:space="0" w:color="auto"/>
              <w:left w:val="single" w:sz="4" w:space="0" w:color="auto"/>
              <w:right w:val="dotted" w:sz="4" w:space="0" w:color="auto"/>
            </w:tcBorders>
            <w:noWrap/>
            <w:vAlign w:val="center"/>
            <w:hideMark/>
          </w:tcPr>
          <w:p w14:paraId="5ABD9A9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13 278</w:t>
            </w:r>
          </w:p>
        </w:tc>
        <w:tc>
          <w:tcPr>
            <w:tcW w:w="620" w:type="dxa"/>
            <w:tcBorders>
              <w:top w:val="single" w:sz="4" w:space="0" w:color="auto"/>
              <w:left w:val="dotted" w:sz="4" w:space="0" w:color="auto"/>
              <w:right w:val="single" w:sz="4" w:space="0" w:color="auto"/>
            </w:tcBorders>
            <w:noWrap/>
            <w:vAlign w:val="center"/>
            <w:hideMark/>
          </w:tcPr>
          <w:p w14:paraId="36E1518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13 278</w:t>
            </w:r>
          </w:p>
        </w:tc>
        <w:tc>
          <w:tcPr>
            <w:tcW w:w="620" w:type="dxa"/>
            <w:tcBorders>
              <w:top w:val="single" w:sz="4" w:space="0" w:color="auto"/>
              <w:left w:val="single" w:sz="4" w:space="0" w:color="auto"/>
              <w:right w:val="dotted" w:sz="4" w:space="0" w:color="auto"/>
            </w:tcBorders>
            <w:noWrap/>
            <w:vAlign w:val="center"/>
            <w:hideMark/>
          </w:tcPr>
          <w:p w14:paraId="7D016F5F"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13 659</w:t>
            </w:r>
          </w:p>
        </w:tc>
        <w:tc>
          <w:tcPr>
            <w:tcW w:w="620" w:type="dxa"/>
            <w:tcBorders>
              <w:top w:val="single" w:sz="4" w:space="0" w:color="auto"/>
              <w:left w:val="dotted" w:sz="4" w:space="0" w:color="auto"/>
              <w:right w:val="single" w:sz="4" w:space="0" w:color="auto"/>
            </w:tcBorders>
            <w:noWrap/>
            <w:vAlign w:val="center"/>
            <w:hideMark/>
          </w:tcPr>
          <w:p w14:paraId="3B1A8CB8"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13 659</w:t>
            </w:r>
          </w:p>
        </w:tc>
        <w:tc>
          <w:tcPr>
            <w:tcW w:w="619" w:type="dxa"/>
            <w:tcBorders>
              <w:top w:val="single" w:sz="4" w:space="0" w:color="auto"/>
              <w:left w:val="single" w:sz="4" w:space="0" w:color="auto"/>
              <w:right w:val="dotted" w:sz="4" w:space="0" w:color="auto"/>
            </w:tcBorders>
            <w:noWrap/>
            <w:vAlign w:val="center"/>
            <w:hideMark/>
          </w:tcPr>
          <w:p w14:paraId="0495366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382</w:t>
            </w:r>
          </w:p>
        </w:tc>
        <w:tc>
          <w:tcPr>
            <w:tcW w:w="620" w:type="dxa"/>
            <w:tcBorders>
              <w:top w:val="single" w:sz="4" w:space="0" w:color="auto"/>
              <w:left w:val="dotted" w:sz="4" w:space="0" w:color="auto"/>
              <w:right w:val="single" w:sz="4" w:space="0" w:color="auto"/>
            </w:tcBorders>
            <w:noWrap/>
            <w:vAlign w:val="center"/>
            <w:hideMark/>
          </w:tcPr>
          <w:p w14:paraId="6B54D2C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382</w:t>
            </w:r>
          </w:p>
        </w:tc>
        <w:tc>
          <w:tcPr>
            <w:tcW w:w="620" w:type="dxa"/>
            <w:tcBorders>
              <w:top w:val="single" w:sz="4" w:space="0" w:color="auto"/>
              <w:left w:val="single" w:sz="4" w:space="0" w:color="auto"/>
              <w:right w:val="dotted" w:sz="4" w:space="0" w:color="auto"/>
            </w:tcBorders>
            <w:noWrap/>
            <w:vAlign w:val="center"/>
            <w:hideMark/>
          </w:tcPr>
          <w:p w14:paraId="3027E3F5"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2,9%</w:t>
            </w:r>
          </w:p>
        </w:tc>
        <w:tc>
          <w:tcPr>
            <w:tcW w:w="620" w:type="dxa"/>
            <w:tcBorders>
              <w:top w:val="single" w:sz="4" w:space="0" w:color="auto"/>
              <w:left w:val="dotted" w:sz="4" w:space="0" w:color="auto"/>
            </w:tcBorders>
            <w:noWrap/>
            <w:vAlign w:val="center"/>
            <w:hideMark/>
          </w:tcPr>
          <w:p w14:paraId="0560ED9F"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2,9%</w:t>
            </w:r>
          </w:p>
        </w:tc>
      </w:tr>
      <w:tr w:rsidR="00AF3066" w:rsidRPr="007A2F3F" w14:paraId="2FF240DD" w14:textId="77777777" w:rsidTr="005F3DDE">
        <w:trPr>
          <w:trHeight w:val="20"/>
        </w:trPr>
        <w:tc>
          <w:tcPr>
            <w:tcW w:w="279" w:type="dxa"/>
            <w:tcBorders>
              <w:bottom w:val="double" w:sz="4" w:space="0" w:color="auto"/>
            </w:tcBorders>
            <w:noWrap/>
            <w:hideMark/>
          </w:tcPr>
          <w:p w14:paraId="7FB167BB"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double" w:sz="4" w:space="0" w:color="auto"/>
              <w:right w:val="single" w:sz="4" w:space="0" w:color="auto"/>
            </w:tcBorders>
            <w:noWrap/>
            <w:hideMark/>
          </w:tcPr>
          <w:p w14:paraId="53E57BED"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double" w:sz="4" w:space="0" w:color="auto"/>
              <w:right w:val="dotted" w:sz="4" w:space="0" w:color="auto"/>
            </w:tcBorders>
            <w:noWrap/>
            <w:vAlign w:val="center"/>
            <w:hideMark/>
          </w:tcPr>
          <w:p w14:paraId="25D00AD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-772</w:t>
            </w:r>
          </w:p>
        </w:tc>
        <w:tc>
          <w:tcPr>
            <w:tcW w:w="620" w:type="dxa"/>
            <w:tcBorders>
              <w:left w:val="dotted" w:sz="4" w:space="0" w:color="auto"/>
              <w:bottom w:val="double" w:sz="4" w:space="0" w:color="auto"/>
              <w:right w:val="single" w:sz="4" w:space="0" w:color="auto"/>
            </w:tcBorders>
            <w:noWrap/>
            <w:vAlign w:val="center"/>
            <w:hideMark/>
          </w:tcPr>
          <w:p w14:paraId="393CA87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left w:val="single" w:sz="4" w:space="0" w:color="auto"/>
              <w:bottom w:val="double" w:sz="4" w:space="0" w:color="auto"/>
              <w:right w:val="dotted" w:sz="4" w:space="0" w:color="auto"/>
            </w:tcBorders>
            <w:noWrap/>
            <w:vAlign w:val="center"/>
            <w:hideMark/>
          </w:tcPr>
          <w:p w14:paraId="6718505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-700</w:t>
            </w:r>
          </w:p>
        </w:tc>
        <w:tc>
          <w:tcPr>
            <w:tcW w:w="620" w:type="dxa"/>
            <w:tcBorders>
              <w:left w:val="dotted" w:sz="4" w:space="0" w:color="auto"/>
              <w:bottom w:val="double" w:sz="4" w:space="0" w:color="auto"/>
              <w:right w:val="single" w:sz="4" w:space="0" w:color="auto"/>
            </w:tcBorders>
            <w:noWrap/>
            <w:vAlign w:val="center"/>
            <w:hideMark/>
          </w:tcPr>
          <w:p w14:paraId="2AD0369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left w:val="single" w:sz="4" w:space="0" w:color="auto"/>
              <w:bottom w:val="double" w:sz="4" w:space="0" w:color="auto"/>
              <w:right w:val="dotted" w:sz="4" w:space="0" w:color="auto"/>
            </w:tcBorders>
            <w:noWrap/>
            <w:vAlign w:val="center"/>
            <w:hideMark/>
          </w:tcPr>
          <w:p w14:paraId="10CBE04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71</w:t>
            </w:r>
          </w:p>
        </w:tc>
        <w:tc>
          <w:tcPr>
            <w:tcW w:w="620" w:type="dxa"/>
            <w:tcBorders>
              <w:left w:val="dotted" w:sz="4" w:space="0" w:color="auto"/>
              <w:bottom w:val="double" w:sz="4" w:space="0" w:color="auto"/>
              <w:right w:val="single" w:sz="4" w:space="0" w:color="auto"/>
            </w:tcBorders>
            <w:noWrap/>
            <w:vAlign w:val="center"/>
            <w:hideMark/>
          </w:tcPr>
          <w:p w14:paraId="7868DDCF" w14:textId="6BA206F8" w:rsidR="000D59FD" w:rsidRPr="00582A8D" w:rsidRDefault="000D59FD" w:rsidP="00582A8D">
            <w:pPr>
              <w:pStyle w:val="Brdtext"/>
              <w:jc w:val="right"/>
              <w:rPr>
                <w:rFonts w:asciiTheme="majorHAnsi" w:hAnsiTheme="majorHAnsi" w:cstheme="majorHAnsi"/>
                <w:i/>
                <w:iCs/>
                <w:sz w:val="12"/>
                <w:szCs w:val="12"/>
              </w:rPr>
            </w:pPr>
          </w:p>
        </w:tc>
        <w:tc>
          <w:tcPr>
            <w:tcW w:w="620" w:type="dxa"/>
            <w:tcBorders>
              <w:left w:val="single" w:sz="4" w:space="0" w:color="auto"/>
              <w:bottom w:val="double" w:sz="4" w:space="0" w:color="auto"/>
              <w:right w:val="dotted" w:sz="4" w:space="0" w:color="auto"/>
            </w:tcBorders>
            <w:noWrap/>
            <w:vAlign w:val="center"/>
            <w:hideMark/>
          </w:tcPr>
          <w:p w14:paraId="6A12475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-9,2%</w:t>
            </w:r>
          </w:p>
        </w:tc>
        <w:tc>
          <w:tcPr>
            <w:tcW w:w="620" w:type="dxa"/>
            <w:tcBorders>
              <w:left w:val="dotted" w:sz="4" w:space="0" w:color="auto"/>
              <w:bottom w:val="double" w:sz="4" w:space="0" w:color="auto"/>
            </w:tcBorders>
            <w:noWrap/>
            <w:vAlign w:val="center"/>
            <w:hideMark/>
          </w:tcPr>
          <w:p w14:paraId="5A48635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5F3DDE" w:rsidRPr="007A2F3F" w14:paraId="265D1ABB" w14:textId="77777777" w:rsidTr="005F3DDE">
        <w:trPr>
          <w:trHeight w:val="20"/>
        </w:trPr>
        <w:tc>
          <w:tcPr>
            <w:tcW w:w="279" w:type="dxa"/>
            <w:tcBorders>
              <w:top w:val="double" w:sz="4" w:space="0" w:color="auto"/>
            </w:tcBorders>
            <w:shd w:val="clear" w:color="auto" w:fill="CBC8C1" w:themeFill="accent2" w:themeFillShade="E6"/>
            <w:noWrap/>
            <w:hideMark/>
          </w:tcPr>
          <w:p w14:paraId="60EF3271"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 </w:t>
            </w:r>
          </w:p>
        </w:tc>
        <w:tc>
          <w:tcPr>
            <w:tcW w:w="1557" w:type="dxa"/>
            <w:tcBorders>
              <w:top w:val="double" w:sz="4" w:space="0" w:color="auto"/>
              <w:right w:val="single" w:sz="4" w:space="0" w:color="auto"/>
            </w:tcBorders>
            <w:shd w:val="clear" w:color="auto" w:fill="CBC8C1" w:themeFill="accent2" w:themeFillShade="E6"/>
            <w:noWrap/>
            <w:hideMark/>
          </w:tcPr>
          <w:p w14:paraId="536EFD4E"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Totalt innanför ram</w:t>
            </w:r>
          </w:p>
        </w:tc>
        <w:tc>
          <w:tcPr>
            <w:tcW w:w="619"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63F8748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187 052</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4D9B14B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185 069</w:t>
            </w:r>
          </w:p>
        </w:tc>
        <w:tc>
          <w:tcPr>
            <w:tcW w:w="620"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5175A63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192 881</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2977472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202 568</w:t>
            </w:r>
          </w:p>
        </w:tc>
        <w:tc>
          <w:tcPr>
            <w:tcW w:w="619"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5FF09614"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5 829</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2BBA55FB"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17 499</w:t>
            </w:r>
          </w:p>
        </w:tc>
        <w:tc>
          <w:tcPr>
            <w:tcW w:w="620"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26815A6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3,1%</w:t>
            </w:r>
          </w:p>
        </w:tc>
        <w:tc>
          <w:tcPr>
            <w:tcW w:w="620" w:type="dxa"/>
            <w:tcBorders>
              <w:top w:val="double" w:sz="4" w:space="0" w:color="auto"/>
              <w:left w:val="dotted" w:sz="4" w:space="0" w:color="auto"/>
            </w:tcBorders>
            <w:shd w:val="clear" w:color="auto" w:fill="CBC8C1" w:themeFill="accent2" w:themeFillShade="E6"/>
            <w:noWrap/>
            <w:vAlign w:val="center"/>
            <w:hideMark/>
          </w:tcPr>
          <w:p w14:paraId="4B76ABB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9,5%</w:t>
            </w:r>
          </w:p>
        </w:tc>
      </w:tr>
      <w:tr w:rsidR="005F3DDE" w:rsidRPr="007A2F3F" w14:paraId="03B2B1D3" w14:textId="77777777" w:rsidTr="005F3DDE">
        <w:trPr>
          <w:trHeight w:val="20"/>
        </w:trPr>
        <w:tc>
          <w:tcPr>
            <w:tcW w:w="279" w:type="dxa"/>
            <w:tcBorders>
              <w:bottom w:val="single" w:sz="4" w:space="0" w:color="auto"/>
            </w:tcBorders>
            <w:shd w:val="clear" w:color="auto" w:fill="CBC8C1" w:themeFill="accent2" w:themeFillShade="E6"/>
            <w:noWrap/>
            <w:hideMark/>
          </w:tcPr>
          <w:p w14:paraId="61F4AA34"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shd w:val="clear" w:color="auto" w:fill="CBC8C1" w:themeFill="accent2" w:themeFillShade="E6"/>
            <w:noWrap/>
            <w:hideMark/>
          </w:tcPr>
          <w:p w14:paraId="02328169"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669B379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-4 186</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6BAF85C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16 101</w:t>
            </w:r>
          </w:p>
        </w:tc>
        <w:tc>
          <w:tcPr>
            <w:tcW w:w="620"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47ABF47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-4 120</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2ACD621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-2 857</w:t>
            </w:r>
          </w:p>
        </w:tc>
        <w:tc>
          <w:tcPr>
            <w:tcW w:w="619"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24394B20"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66</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4503CFA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-18 958</w:t>
            </w:r>
          </w:p>
        </w:tc>
        <w:tc>
          <w:tcPr>
            <w:tcW w:w="620"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3E415ED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-1,6%</w:t>
            </w:r>
          </w:p>
        </w:tc>
        <w:tc>
          <w:tcPr>
            <w:tcW w:w="620" w:type="dxa"/>
            <w:tcBorders>
              <w:left w:val="dotted" w:sz="4" w:space="0" w:color="auto"/>
              <w:bottom w:val="single" w:sz="4" w:space="0" w:color="auto"/>
            </w:tcBorders>
            <w:shd w:val="clear" w:color="auto" w:fill="CBC8C1" w:themeFill="accent2" w:themeFillShade="E6"/>
            <w:noWrap/>
            <w:vAlign w:val="center"/>
            <w:hideMark/>
          </w:tcPr>
          <w:p w14:paraId="6CE0CBB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-117,7%</w:t>
            </w:r>
          </w:p>
        </w:tc>
      </w:tr>
      <w:tr w:rsidR="005F3DDE" w:rsidRPr="007A2F3F" w14:paraId="4E5E53D9" w14:textId="77777777" w:rsidTr="00943857">
        <w:trPr>
          <w:trHeight w:val="20"/>
        </w:trPr>
        <w:tc>
          <w:tcPr>
            <w:tcW w:w="279" w:type="dxa"/>
            <w:tcBorders>
              <w:top w:val="single" w:sz="4" w:space="0" w:color="auto"/>
              <w:bottom w:val="double" w:sz="4" w:space="0" w:color="auto"/>
            </w:tcBorders>
            <w:noWrap/>
            <w:hideMark/>
          </w:tcPr>
          <w:p w14:paraId="4923D46B"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single" w:sz="4" w:space="0" w:color="auto"/>
              <w:bottom w:val="double" w:sz="4" w:space="0" w:color="auto"/>
              <w:right w:val="single" w:sz="4" w:space="0" w:color="auto"/>
            </w:tcBorders>
            <w:noWrap/>
            <w:hideMark/>
          </w:tcPr>
          <w:p w14:paraId="7E98F2EC"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Ukrainastödslånet</w:t>
            </w:r>
          </w:p>
        </w:tc>
        <w:tc>
          <w:tcPr>
            <w:tcW w:w="619" w:type="dxa"/>
            <w:tcBorders>
              <w:top w:val="single" w:sz="4" w:space="0" w:color="auto"/>
              <w:left w:val="single" w:sz="4" w:space="0" w:color="auto"/>
              <w:bottom w:val="double" w:sz="4" w:space="0" w:color="auto"/>
              <w:right w:val="dotted" w:sz="4" w:space="0" w:color="auto"/>
            </w:tcBorders>
            <w:noWrap/>
            <w:vAlign w:val="center"/>
            <w:hideMark/>
          </w:tcPr>
          <w:p w14:paraId="4CAC30B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single" w:sz="4" w:space="0" w:color="auto"/>
              <w:left w:val="dotted" w:sz="4" w:space="0" w:color="auto"/>
              <w:bottom w:val="double" w:sz="4" w:space="0" w:color="auto"/>
              <w:right w:val="single" w:sz="4" w:space="0" w:color="auto"/>
            </w:tcBorders>
            <w:noWrap/>
            <w:vAlign w:val="center"/>
            <w:hideMark/>
          </w:tcPr>
          <w:p w14:paraId="04D57C0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single" w:sz="4" w:space="0" w:color="auto"/>
              <w:left w:val="single" w:sz="4" w:space="0" w:color="auto"/>
              <w:bottom w:val="double" w:sz="4" w:space="0" w:color="auto"/>
              <w:right w:val="dotted" w:sz="4" w:space="0" w:color="auto"/>
            </w:tcBorders>
            <w:noWrap/>
            <w:vAlign w:val="center"/>
            <w:hideMark/>
          </w:tcPr>
          <w:p w14:paraId="0D03DE1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1 150</w:t>
            </w:r>
          </w:p>
        </w:tc>
        <w:tc>
          <w:tcPr>
            <w:tcW w:w="620" w:type="dxa"/>
            <w:tcBorders>
              <w:top w:val="single" w:sz="4" w:space="0" w:color="auto"/>
              <w:left w:val="dotted" w:sz="4" w:space="0" w:color="auto"/>
              <w:bottom w:val="double" w:sz="4" w:space="0" w:color="auto"/>
              <w:right w:val="single" w:sz="4" w:space="0" w:color="auto"/>
            </w:tcBorders>
            <w:noWrap/>
            <w:vAlign w:val="center"/>
            <w:hideMark/>
          </w:tcPr>
          <w:p w14:paraId="686B6E5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1 150</w:t>
            </w:r>
          </w:p>
        </w:tc>
        <w:tc>
          <w:tcPr>
            <w:tcW w:w="619" w:type="dxa"/>
            <w:tcBorders>
              <w:top w:val="single" w:sz="4" w:space="0" w:color="auto"/>
              <w:left w:val="single" w:sz="4" w:space="0" w:color="auto"/>
              <w:bottom w:val="double" w:sz="4" w:space="0" w:color="auto"/>
              <w:right w:val="dotted" w:sz="4" w:space="0" w:color="auto"/>
            </w:tcBorders>
            <w:noWrap/>
            <w:vAlign w:val="center"/>
            <w:hideMark/>
          </w:tcPr>
          <w:p w14:paraId="7C741D7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1 150</w:t>
            </w:r>
          </w:p>
        </w:tc>
        <w:tc>
          <w:tcPr>
            <w:tcW w:w="620" w:type="dxa"/>
            <w:tcBorders>
              <w:top w:val="single" w:sz="4" w:space="0" w:color="auto"/>
              <w:left w:val="dotted" w:sz="4" w:space="0" w:color="auto"/>
              <w:bottom w:val="double" w:sz="4" w:space="0" w:color="auto"/>
              <w:right w:val="single" w:sz="4" w:space="0" w:color="auto"/>
            </w:tcBorders>
            <w:noWrap/>
            <w:vAlign w:val="center"/>
            <w:hideMark/>
          </w:tcPr>
          <w:p w14:paraId="0D9AA09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1 150</w:t>
            </w:r>
          </w:p>
        </w:tc>
        <w:tc>
          <w:tcPr>
            <w:tcW w:w="620" w:type="dxa"/>
            <w:tcBorders>
              <w:top w:val="single" w:sz="4" w:space="0" w:color="auto"/>
              <w:left w:val="single" w:sz="4" w:space="0" w:color="auto"/>
              <w:bottom w:val="double" w:sz="4" w:space="0" w:color="auto"/>
              <w:right w:val="dotted" w:sz="4" w:space="0" w:color="auto"/>
            </w:tcBorders>
            <w:noWrap/>
            <w:vAlign w:val="center"/>
            <w:hideMark/>
          </w:tcPr>
          <w:p w14:paraId="000EA1C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c>
          <w:tcPr>
            <w:tcW w:w="620" w:type="dxa"/>
            <w:tcBorders>
              <w:top w:val="single" w:sz="4" w:space="0" w:color="auto"/>
              <w:left w:val="dotted" w:sz="4" w:space="0" w:color="auto"/>
              <w:bottom w:val="double" w:sz="4" w:space="0" w:color="auto"/>
            </w:tcBorders>
            <w:noWrap/>
            <w:vAlign w:val="center"/>
            <w:hideMark/>
          </w:tcPr>
          <w:p w14:paraId="4C615DF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5F3DDE" w:rsidRPr="007A2F3F" w14:paraId="42798793" w14:textId="77777777" w:rsidTr="005F3DDE">
        <w:trPr>
          <w:trHeight w:val="20"/>
        </w:trPr>
        <w:tc>
          <w:tcPr>
            <w:tcW w:w="279" w:type="dxa"/>
            <w:tcBorders>
              <w:top w:val="double" w:sz="4" w:space="0" w:color="auto"/>
            </w:tcBorders>
            <w:shd w:val="clear" w:color="auto" w:fill="CBC8C1" w:themeFill="accent2" w:themeFillShade="E6"/>
            <w:noWrap/>
            <w:hideMark/>
          </w:tcPr>
          <w:p w14:paraId="13C39D20"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 </w:t>
            </w:r>
          </w:p>
        </w:tc>
        <w:tc>
          <w:tcPr>
            <w:tcW w:w="1557" w:type="dxa"/>
            <w:tcBorders>
              <w:top w:val="double" w:sz="4" w:space="0" w:color="auto"/>
              <w:right w:val="single" w:sz="4" w:space="0" w:color="auto"/>
            </w:tcBorders>
            <w:shd w:val="clear" w:color="auto" w:fill="CBC8C1" w:themeFill="accent2" w:themeFillShade="E6"/>
            <w:noWrap/>
            <w:hideMark/>
          </w:tcPr>
          <w:p w14:paraId="526FA0AD"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Totalt inkl. instrument utanför ram</w:t>
            </w:r>
          </w:p>
        </w:tc>
        <w:tc>
          <w:tcPr>
            <w:tcW w:w="619"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1F73F4B3"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192 768</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3E7F476D"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190 092</w:t>
            </w:r>
          </w:p>
        </w:tc>
        <w:tc>
          <w:tcPr>
            <w:tcW w:w="620"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33E3F69E"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199 905</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4B78D2F4"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211 975</w:t>
            </w:r>
          </w:p>
        </w:tc>
        <w:tc>
          <w:tcPr>
            <w:tcW w:w="619"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7541C66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7 137</w:t>
            </w:r>
          </w:p>
        </w:tc>
        <w:tc>
          <w:tcPr>
            <w:tcW w:w="620" w:type="dxa"/>
            <w:tcBorders>
              <w:top w:val="double" w:sz="4" w:space="0" w:color="auto"/>
              <w:left w:val="dotted" w:sz="4" w:space="0" w:color="auto"/>
              <w:right w:val="single" w:sz="4" w:space="0" w:color="auto"/>
            </w:tcBorders>
            <w:shd w:val="clear" w:color="auto" w:fill="CBC8C1" w:themeFill="accent2" w:themeFillShade="E6"/>
            <w:noWrap/>
            <w:vAlign w:val="center"/>
            <w:hideMark/>
          </w:tcPr>
          <w:p w14:paraId="7764A57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21 883</w:t>
            </w:r>
          </w:p>
        </w:tc>
        <w:tc>
          <w:tcPr>
            <w:tcW w:w="620" w:type="dxa"/>
            <w:tcBorders>
              <w:top w:val="double" w:sz="4" w:space="0" w:color="auto"/>
              <w:left w:val="single" w:sz="4" w:space="0" w:color="auto"/>
              <w:right w:val="dotted" w:sz="4" w:space="0" w:color="auto"/>
            </w:tcBorders>
            <w:shd w:val="clear" w:color="auto" w:fill="CBC8C1" w:themeFill="accent2" w:themeFillShade="E6"/>
            <w:noWrap/>
            <w:vAlign w:val="center"/>
            <w:hideMark/>
          </w:tcPr>
          <w:p w14:paraId="6B2BEC64"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3,7%</w:t>
            </w:r>
          </w:p>
        </w:tc>
        <w:tc>
          <w:tcPr>
            <w:tcW w:w="620" w:type="dxa"/>
            <w:tcBorders>
              <w:top w:val="double" w:sz="4" w:space="0" w:color="auto"/>
              <w:left w:val="dotted" w:sz="4" w:space="0" w:color="auto"/>
            </w:tcBorders>
            <w:shd w:val="clear" w:color="auto" w:fill="CBC8C1" w:themeFill="accent2" w:themeFillShade="E6"/>
            <w:noWrap/>
            <w:vAlign w:val="center"/>
            <w:hideMark/>
          </w:tcPr>
          <w:p w14:paraId="0F189A6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11,5%</w:t>
            </w:r>
          </w:p>
        </w:tc>
      </w:tr>
      <w:tr w:rsidR="005F3DDE" w:rsidRPr="007A2F3F" w14:paraId="35F31E7C" w14:textId="77777777" w:rsidTr="005F3DDE">
        <w:trPr>
          <w:trHeight w:val="20"/>
        </w:trPr>
        <w:tc>
          <w:tcPr>
            <w:tcW w:w="279" w:type="dxa"/>
            <w:tcBorders>
              <w:bottom w:val="single" w:sz="4" w:space="0" w:color="auto"/>
            </w:tcBorders>
            <w:shd w:val="clear" w:color="auto" w:fill="CBC8C1" w:themeFill="accent2" w:themeFillShade="E6"/>
            <w:noWrap/>
            <w:hideMark/>
          </w:tcPr>
          <w:p w14:paraId="1B626F7B"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1557" w:type="dxa"/>
            <w:tcBorders>
              <w:bottom w:val="single" w:sz="4" w:space="0" w:color="auto"/>
              <w:right w:val="single" w:sz="4" w:space="0" w:color="auto"/>
            </w:tcBorders>
            <w:shd w:val="clear" w:color="auto" w:fill="CBC8C1" w:themeFill="accent2" w:themeFillShade="E6"/>
            <w:noWrap/>
            <w:hideMark/>
          </w:tcPr>
          <w:p w14:paraId="2A5B8EA3"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w:t>
            </w:r>
          </w:p>
        </w:tc>
        <w:tc>
          <w:tcPr>
            <w:tcW w:w="619"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157BCB9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716</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493E71E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20 440</w:t>
            </w:r>
          </w:p>
        </w:tc>
        <w:tc>
          <w:tcPr>
            <w:tcW w:w="620"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7BA4125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477</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60607DA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501</w:t>
            </w:r>
          </w:p>
        </w:tc>
        <w:tc>
          <w:tcPr>
            <w:tcW w:w="619"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70C0643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-239</w:t>
            </w:r>
          </w:p>
        </w:tc>
        <w:tc>
          <w:tcPr>
            <w:tcW w:w="620" w:type="dxa"/>
            <w:tcBorders>
              <w:left w:val="dotted" w:sz="4" w:space="0" w:color="auto"/>
              <w:bottom w:val="single" w:sz="4" w:space="0" w:color="auto"/>
              <w:right w:val="single" w:sz="4" w:space="0" w:color="auto"/>
            </w:tcBorders>
            <w:shd w:val="clear" w:color="auto" w:fill="CBC8C1" w:themeFill="accent2" w:themeFillShade="E6"/>
            <w:noWrap/>
            <w:vAlign w:val="center"/>
            <w:hideMark/>
          </w:tcPr>
          <w:p w14:paraId="1FD1DDA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-19 939</w:t>
            </w:r>
          </w:p>
        </w:tc>
        <w:tc>
          <w:tcPr>
            <w:tcW w:w="620" w:type="dxa"/>
            <w:tcBorders>
              <w:left w:val="single" w:sz="4" w:space="0" w:color="auto"/>
              <w:bottom w:val="single" w:sz="4" w:space="0" w:color="auto"/>
              <w:right w:val="dotted" w:sz="4" w:space="0" w:color="auto"/>
            </w:tcBorders>
            <w:shd w:val="clear" w:color="auto" w:fill="CBC8C1" w:themeFill="accent2" w:themeFillShade="E6"/>
            <w:noWrap/>
            <w:vAlign w:val="center"/>
            <w:hideMark/>
          </w:tcPr>
          <w:p w14:paraId="513084A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-33,4%</w:t>
            </w:r>
          </w:p>
        </w:tc>
        <w:tc>
          <w:tcPr>
            <w:tcW w:w="620" w:type="dxa"/>
            <w:tcBorders>
              <w:left w:val="dotted" w:sz="4" w:space="0" w:color="auto"/>
              <w:bottom w:val="single" w:sz="4" w:space="0" w:color="auto"/>
            </w:tcBorders>
            <w:shd w:val="clear" w:color="auto" w:fill="CBC8C1" w:themeFill="accent2" w:themeFillShade="E6"/>
            <w:noWrap/>
            <w:vAlign w:val="center"/>
            <w:hideMark/>
          </w:tcPr>
          <w:p w14:paraId="4D5E4E6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-97,5%</w:t>
            </w:r>
          </w:p>
        </w:tc>
      </w:tr>
      <w:tr w:rsidR="005F3DDE" w:rsidRPr="007A2F3F" w14:paraId="338B21AC" w14:textId="77777777" w:rsidTr="005F3DDE">
        <w:trPr>
          <w:trHeight w:val="20"/>
        </w:trPr>
        <w:tc>
          <w:tcPr>
            <w:tcW w:w="279" w:type="dxa"/>
            <w:tcBorders>
              <w:top w:val="single" w:sz="4" w:space="0" w:color="auto"/>
              <w:bottom w:val="dotted" w:sz="4" w:space="0" w:color="auto"/>
            </w:tcBorders>
            <w:shd w:val="clear" w:color="auto" w:fill="DFDDD9" w:themeFill="accent2"/>
            <w:noWrap/>
            <w:hideMark/>
          </w:tcPr>
          <w:p w14:paraId="4AE55D0E"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 </w:t>
            </w:r>
          </w:p>
        </w:tc>
        <w:tc>
          <w:tcPr>
            <w:tcW w:w="1557" w:type="dxa"/>
            <w:tcBorders>
              <w:top w:val="single" w:sz="4" w:space="0" w:color="auto"/>
              <w:bottom w:val="dotted" w:sz="4" w:space="0" w:color="auto"/>
              <w:right w:val="single" w:sz="4" w:space="0" w:color="auto"/>
            </w:tcBorders>
            <w:shd w:val="clear" w:color="auto" w:fill="DFDDD9" w:themeFill="accent2"/>
            <w:noWrap/>
            <w:hideMark/>
          </w:tcPr>
          <w:p w14:paraId="5C2FAC0A"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Varav icke-tematiska specialinstrument</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2BE7E03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4 902</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7990622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4 339</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3311A43E"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5 747</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46D6BBF5"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4 507</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36F59340"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845</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061ED1A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168</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675D8726"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17,2%</w:t>
            </w:r>
          </w:p>
        </w:tc>
        <w:tc>
          <w:tcPr>
            <w:tcW w:w="620" w:type="dxa"/>
            <w:tcBorders>
              <w:top w:val="single" w:sz="4" w:space="0" w:color="auto"/>
              <w:left w:val="dotted" w:sz="4" w:space="0" w:color="auto"/>
              <w:bottom w:val="dotted" w:sz="4" w:space="0" w:color="auto"/>
            </w:tcBorders>
            <w:shd w:val="clear" w:color="auto" w:fill="DFDDD9" w:themeFill="accent2"/>
            <w:noWrap/>
            <w:vAlign w:val="center"/>
            <w:hideMark/>
          </w:tcPr>
          <w:p w14:paraId="0A169F5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3,9%</w:t>
            </w:r>
          </w:p>
        </w:tc>
      </w:tr>
      <w:tr w:rsidR="00AF3066" w:rsidRPr="007A2F3F" w14:paraId="75730518" w14:textId="77777777" w:rsidTr="005F3DDE">
        <w:trPr>
          <w:trHeight w:val="20"/>
        </w:trPr>
        <w:tc>
          <w:tcPr>
            <w:tcW w:w="279" w:type="dxa"/>
            <w:tcBorders>
              <w:top w:val="dotted" w:sz="4" w:space="0" w:color="auto"/>
              <w:bottom w:val="dotted" w:sz="4" w:space="0" w:color="DFDDD9" w:themeColor="accent2"/>
            </w:tcBorders>
            <w:noWrap/>
            <w:hideMark/>
          </w:tcPr>
          <w:p w14:paraId="04CBA0BF"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auto"/>
              <w:bottom w:val="dotted" w:sz="4" w:space="0" w:color="DFDDD9" w:themeColor="accent2"/>
              <w:right w:val="single" w:sz="4" w:space="0" w:color="auto"/>
            </w:tcBorders>
            <w:noWrap/>
            <w:hideMark/>
          </w:tcPr>
          <w:p w14:paraId="12E26C59"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Flexibilitetsinstrumentet</w:t>
            </w:r>
          </w:p>
        </w:tc>
        <w:tc>
          <w:tcPr>
            <w:tcW w:w="619" w:type="dxa"/>
            <w:tcBorders>
              <w:top w:val="dotted" w:sz="4" w:space="0" w:color="auto"/>
              <w:left w:val="single" w:sz="4" w:space="0" w:color="auto"/>
              <w:bottom w:val="dotted" w:sz="4" w:space="0" w:color="DFDDD9" w:themeColor="accent2"/>
              <w:right w:val="dotted" w:sz="4" w:space="0" w:color="auto"/>
            </w:tcBorders>
            <w:noWrap/>
            <w:vAlign w:val="center"/>
            <w:hideMark/>
          </w:tcPr>
          <w:p w14:paraId="1363453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2 041</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6262E8E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2 226</w:t>
            </w:r>
          </w:p>
        </w:tc>
        <w:tc>
          <w:tcPr>
            <w:tcW w:w="620" w:type="dxa"/>
            <w:tcBorders>
              <w:top w:val="dotted" w:sz="4" w:space="0" w:color="auto"/>
              <w:left w:val="single" w:sz="4" w:space="0" w:color="auto"/>
              <w:bottom w:val="dotted" w:sz="4" w:space="0" w:color="DFDDD9" w:themeColor="accent2"/>
              <w:right w:val="dotted" w:sz="4" w:space="0" w:color="auto"/>
            </w:tcBorders>
            <w:noWrap/>
            <w:vAlign w:val="center"/>
            <w:hideMark/>
          </w:tcPr>
          <w:p w14:paraId="078DE04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1 990</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68E1CF0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2 048</w:t>
            </w:r>
          </w:p>
        </w:tc>
        <w:tc>
          <w:tcPr>
            <w:tcW w:w="619" w:type="dxa"/>
            <w:tcBorders>
              <w:top w:val="dotted" w:sz="4" w:space="0" w:color="auto"/>
              <w:left w:val="single" w:sz="4" w:space="0" w:color="auto"/>
              <w:bottom w:val="dotted" w:sz="4" w:space="0" w:color="DFDDD9" w:themeColor="accent2"/>
              <w:right w:val="dotted" w:sz="4" w:space="0" w:color="auto"/>
            </w:tcBorders>
            <w:noWrap/>
            <w:vAlign w:val="center"/>
            <w:hideMark/>
          </w:tcPr>
          <w:p w14:paraId="39CFDAB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-51</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7607826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-179</w:t>
            </w:r>
          </w:p>
        </w:tc>
        <w:tc>
          <w:tcPr>
            <w:tcW w:w="620" w:type="dxa"/>
            <w:tcBorders>
              <w:top w:val="dotted" w:sz="4" w:space="0" w:color="auto"/>
              <w:left w:val="single" w:sz="4" w:space="0" w:color="auto"/>
              <w:bottom w:val="dotted" w:sz="4" w:space="0" w:color="DFDDD9" w:themeColor="accent2"/>
              <w:right w:val="dotted" w:sz="4" w:space="0" w:color="auto"/>
            </w:tcBorders>
            <w:noWrap/>
            <w:vAlign w:val="center"/>
            <w:hideMark/>
          </w:tcPr>
          <w:p w14:paraId="1922083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-2,5%</w:t>
            </w:r>
          </w:p>
        </w:tc>
        <w:tc>
          <w:tcPr>
            <w:tcW w:w="620" w:type="dxa"/>
            <w:tcBorders>
              <w:top w:val="dotted" w:sz="4" w:space="0" w:color="auto"/>
              <w:left w:val="dotted" w:sz="4" w:space="0" w:color="auto"/>
              <w:bottom w:val="dotted" w:sz="4" w:space="0" w:color="DFDDD9" w:themeColor="accent2"/>
            </w:tcBorders>
            <w:noWrap/>
            <w:vAlign w:val="center"/>
            <w:hideMark/>
          </w:tcPr>
          <w:p w14:paraId="49A2611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-8,0%</w:t>
            </w:r>
          </w:p>
        </w:tc>
      </w:tr>
      <w:tr w:rsidR="00AF3066" w:rsidRPr="007A2F3F" w14:paraId="3E8947B5" w14:textId="77777777" w:rsidTr="005F3DDE">
        <w:trPr>
          <w:trHeight w:val="20"/>
        </w:trPr>
        <w:tc>
          <w:tcPr>
            <w:tcW w:w="279" w:type="dxa"/>
            <w:tcBorders>
              <w:top w:val="dotted" w:sz="4" w:space="0" w:color="DFDDD9" w:themeColor="accent2"/>
              <w:bottom w:val="dotted" w:sz="4" w:space="0" w:color="DFDDD9" w:themeColor="accent2"/>
            </w:tcBorders>
            <w:noWrap/>
            <w:hideMark/>
          </w:tcPr>
          <w:p w14:paraId="589758D6"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dotted" w:sz="4" w:space="0" w:color="DFDDD9" w:themeColor="accent2"/>
              <w:right w:val="single" w:sz="4" w:space="0" w:color="auto"/>
            </w:tcBorders>
            <w:noWrap/>
            <w:hideMark/>
          </w:tcPr>
          <w:p w14:paraId="4137F1F8"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Marginalinstrumentet</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1A4A83F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748</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37B5A8D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4F1C3C7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1 800</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0947953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1A333FF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1 052</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3B2A6F7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660284D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140,6%</w:t>
            </w:r>
          </w:p>
        </w:tc>
        <w:tc>
          <w:tcPr>
            <w:tcW w:w="620" w:type="dxa"/>
            <w:tcBorders>
              <w:top w:val="dotted" w:sz="4" w:space="0" w:color="DFDDD9" w:themeColor="accent2"/>
              <w:left w:val="dotted" w:sz="4" w:space="0" w:color="auto"/>
              <w:bottom w:val="dotted" w:sz="4" w:space="0" w:color="DFDDD9" w:themeColor="accent2"/>
            </w:tcBorders>
            <w:noWrap/>
            <w:vAlign w:val="center"/>
            <w:hideMark/>
          </w:tcPr>
          <w:p w14:paraId="09AFF65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r w:rsidR="00AF3066" w:rsidRPr="007A2F3F" w14:paraId="0815F894" w14:textId="77777777" w:rsidTr="005F3DDE">
        <w:trPr>
          <w:trHeight w:val="20"/>
        </w:trPr>
        <w:tc>
          <w:tcPr>
            <w:tcW w:w="279" w:type="dxa"/>
            <w:tcBorders>
              <w:top w:val="dotted" w:sz="4" w:space="0" w:color="DFDDD9" w:themeColor="accent2"/>
              <w:bottom w:val="dotted" w:sz="4" w:space="0" w:color="DFDDD9" w:themeColor="accent2"/>
            </w:tcBorders>
            <w:noWrap/>
            <w:hideMark/>
          </w:tcPr>
          <w:p w14:paraId="3390D321"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dotted" w:sz="4" w:space="0" w:color="DFDDD9" w:themeColor="accent2"/>
              <w:right w:val="single" w:sz="4" w:space="0" w:color="auto"/>
            </w:tcBorders>
            <w:noWrap/>
            <w:hideMark/>
          </w:tcPr>
          <w:p w14:paraId="560073CD"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Kvittning av marginalinstrumentet</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6A675F0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1AB499E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1D812C6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-503</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7F90499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5D63590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475C4108"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3937ACA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DFDDD9" w:themeColor="accent2"/>
              <w:left w:val="dotted" w:sz="4" w:space="0" w:color="auto"/>
              <w:bottom w:val="dotted" w:sz="4" w:space="0" w:color="DFDDD9" w:themeColor="accent2"/>
            </w:tcBorders>
            <w:noWrap/>
            <w:vAlign w:val="center"/>
            <w:hideMark/>
          </w:tcPr>
          <w:p w14:paraId="27E7F10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r>
      <w:tr w:rsidR="00AF3066" w:rsidRPr="007A2F3F" w14:paraId="25AD2762" w14:textId="77777777" w:rsidTr="005F3DDE">
        <w:trPr>
          <w:trHeight w:val="20"/>
        </w:trPr>
        <w:tc>
          <w:tcPr>
            <w:tcW w:w="279" w:type="dxa"/>
            <w:tcBorders>
              <w:top w:val="dotted" w:sz="4" w:space="0" w:color="DFDDD9" w:themeColor="accent2"/>
              <w:bottom w:val="single" w:sz="4" w:space="0" w:color="auto"/>
            </w:tcBorders>
            <w:noWrap/>
            <w:hideMark/>
          </w:tcPr>
          <w:p w14:paraId="4DEDFC3D"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single" w:sz="4" w:space="0" w:color="auto"/>
              <w:right w:val="single" w:sz="4" w:space="0" w:color="auto"/>
            </w:tcBorders>
            <w:noWrap/>
            <w:hideMark/>
          </w:tcPr>
          <w:p w14:paraId="3DF28C06"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EURI-instrumentet</w:t>
            </w:r>
          </w:p>
        </w:tc>
        <w:tc>
          <w:tcPr>
            <w:tcW w:w="619" w:type="dxa"/>
            <w:tcBorders>
              <w:top w:val="dotted" w:sz="4" w:space="0" w:color="DFDDD9" w:themeColor="accent2"/>
              <w:left w:val="single" w:sz="4" w:space="0" w:color="auto"/>
              <w:bottom w:val="single" w:sz="4" w:space="0" w:color="auto"/>
              <w:right w:val="dotted" w:sz="4" w:space="0" w:color="auto"/>
            </w:tcBorders>
            <w:noWrap/>
            <w:vAlign w:val="center"/>
            <w:hideMark/>
          </w:tcPr>
          <w:p w14:paraId="1CF2902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2 113</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209211ED"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2 113</w:t>
            </w:r>
          </w:p>
        </w:tc>
        <w:tc>
          <w:tcPr>
            <w:tcW w:w="620" w:type="dxa"/>
            <w:tcBorders>
              <w:top w:val="dotted" w:sz="4" w:space="0" w:color="DFDDD9" w:themeColor="accent2"/>
              <w:left w:val="single" w:sz="4" w:space="0" w:color="auto"/>
              <w:bottom w:val="single" w:sz="4" w:space="0" w:color="auto"/>
              <w:right w:val="dotted" w:sz="4" w:space="0" w:color="auto"/>
            </w:tcBorders>
            <w:noWrap/>
            <w:vAlign w:val="center"/>
            <w:hideMark/>
          </w:tcPr>
          <w:p w14:paraId="1EC6631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2 460</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3BD3AFA9"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2 460</w:t>
            </w:r>
          </w:p>
        </w:tc>
        <w:tc>
          <w:tcPr>
            <w:tcW w:w="619" w:type="dxa"/>
            <w:tcBorders>
              <w:top w:val="dotted" w:sz="4" w:space="0" w:color="DFDDD9" w:themeColor="accent2"/>
              <w:left w:val="single" w:sz="4" w:space="0" w:color="auto"/>
              <w:bottom w:val="single" w:sz="4" w:space="0" w:color="auto"/>
              <w:right w:val="dotted" w:sz="4" w:space="0" w:color="auto"/>
            </w:tcBorders>
            <w:noWrap/>
            <w:vAlign w:val="center"/>
            <w:hideMark/>
          </w:tcPr>
          <w:p w14:paraId="4306C57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347</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75D2C66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347</w:t>
            </w:r>
          </w:p>
        </w:tc>
        <w:tc>
          <w:tcPr>
            <w:tcW w:w="620" w:type="dxa"/>
            <w:tcBorders>
              <w:top w:val="dotted" w:sz="4" w:space="0" w:color="DFDDD9" w:themeColor="accent2"/>
              <w:left w:val="single" w:sz="4" w:space="0" w:color="auto"/>
              <w:bottom w:val="single" w:sz="4" w:space="0" w:color="auto"/>
              <w:right w:val="dotted" w:sz="4" w:space="0" w:color="auto"/>
            </w:tcBorders>
            <w:noWrap/>
            <w:vAlign w:val="center"/>
            <w:hideMark/>
          </w:tcPr>
          <w:p w14:paraId="3212BC5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16,4%</w:t>
            </w:r>
          </w:p>
        </w:tc>
        <w:tc>
          <w:tcPr>
            <w:tcW w:w="620" w:type="dxa"/>
            <w:tcBorders>
              <w:top w:val="dotted" w:sz="4" w:space="0" w:color="DFDDD9" w:themeColor="accent2"/>
              <w:left w:val="dotted" w:sz="4" w:space="0" w:color="auto"/>
              <w:bottom w:val="single" w:sz="4" w:space="0" w:color="auto"/>
            </w:tcBorders>
            <w:noWrap/>
            <w:vAlign w:val="center"/>
            <w:hideMark/>
          </w:tcPr>
          <w:p w14:paraId="13CFCB0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16,4%</w:t>
            </w:r>
          </w:p>
        </w:tc>
      </w:tr>
      <w:tr w:rsidR="001F624C" w:rsidRPr="007A2F3F" w14:paraId="6326BDF9" w14:textId="77777777" w:rsidTr="005F3DDE">
        <w:trPr>
          <w:trHeight w:val="20"/>
        </w:trPr>
        <w:tc>
          <w:tcPr>
            <w:tcW w:w="279" w:type="dxa"/>
            <w:tcBorders>
              <w:top w:val="single" w:sz="4" w:space="0" w:color="auto"/>
              <w:bottom w:val="dotted" w:sz="4" w:space="0" w:color="auto"/>
            </w:tcBorders>
            <w:shd w:val="clear" w:color="auto" w:fill="DFDDD9" w:themeFill="accent2"/>
            <w:noWrap/>
            <w:hideMark/>
          </w:tcPr>
          <w:p w14:paraId="7ECCB1E4"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 </w:t>
            </w:r>
          </w:p>
        </w:tc>
        <w:tc>
          <w:tcPr>
            <w:tcW w:w="1557" w:type="dxa"/>
            <w:tcBorders>
              <w:top w:val="single" w:sz="4" w:space="0" w:color="auto"/>
              <w:bottom w:val="dotted" w:sz="4" w:space="0" w:color="auto"/>
              <w:right w:val="single" w:sz="4" w:space="0" w:color="auto"/>
            </w:tcBorders>
            <w:shd w:val="clear" w:color="auto" w:fill="DFDDD9" w:themeFill="accent2"/>
            <w:noWrap/>
            <w:hideMark/>
          </w:tcPr>
          <w:p w14:paraId="0DD16920"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Varav tematiska specialinstrument</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35BA965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5 716</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522562E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5 023</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7F507B6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5 874</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4D9B1AC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8 257</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525FF20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158</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45D4E24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3 235</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12FA125E"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2,8%</w:t>
            </w:r>
          </w:p>
        </w:tc>
        <w:tc>
          <w:tcPr>
            <w:tcW w:w="620" w:type="dxa"/>
            <w:tcBorders>
              <w:top w:val="single" w:sz="4" w:space="0" w:color="auto"/>
              <w:left w:val="dotted" w:sz="4" w:space="0" w:color="auto"/>
              <w:bottom w:val="dotted" w:sz="4" w:space="0" w:color="auto"/>
            </w:tcBorders>
            <w:shd w:val="clear" w:color="auto" w:fill="DFDDD9" w:themeFill="accent2"/>
            <w:noWrap/>
            <w:vAlign w:val="center"/>
            <w:hideMark/>
          </w:tcPr>
          <w:p w14:paraId="1E9F5FB1"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64,4%</w:t>
            </w:r>
          </w:p>
        </w:tc>
      </w:tr>
      <w:tr w:rsidR="00AF3066" w:rsidRPr="007A2F3F" w14:paraId="29225D8F" w14:textId="77777777" w:rsidTr="005F3DDE">
        <w:trPr>
          <w:trHeight w:val="20"/>
        </w:trPr>
        <w:tc>
          <w:tcPr>
            <w:tcW w:w="279" w:type="dxa"/>
            <w:tcBorders>
              <w:top w:val="dotted" w:sz="4" w:space="0" w:color="auto"/>
              <w:bottom w:val="dotted" w:sz="4" w:space="0" w:color="DFDDD9" w:themeColor="accent2"/>
            </w:tcBorders>
            <w:noWrap/>
            <w:hideMark/>
          </w:tcPr>
          <w:p w14:paraId="6052EDE5"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auto"/>
              <w:bottom w:val="dotted" w:sz="4" w:space="0" w:color="DFDDD9" w:themeColor="accent2"/>
              <w:right w:val="single" w:sz="4" w:space="0" w:color="auto"/>
            </w:tcBorders>
            <w:noWrap/>
            <w:hideMark/>
          </w:tcPr>
          <w:p w14:paraId="687D4E5E"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Europeiska solidaritetsreserven (ESR)</w:t>
            </w:r>
          </w:p>
        </w:tc>
        <w:tc>
          <w:tcPr>
            <w:tcW w:w="619" w:type="dxa"/>
            <w:tcBorders>
              <w:top w:val="dotted" w:sz="4" w:space="0" w:color="auto"/>
              <w:left w:val="single" w:sz="4" w:space="0" w:color="auto"/>
              <w:bottom w:val="dotted" w:sz="4" w:space="0" w:color="DFDDD9" w:themeColor="accent2"/>
              <w:right w:val="dotted" w:sz="4" w:space="0" w:color="auto"/>
            </w:tcBorders>
            <w:noWrap/>
            <w:vAlign w:val="center"/>
            <w:hideMark/>
          </w:tcPr>
          <w:p w14:paraId="2A3466B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1 190</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3755F41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1 190</w:t>
            </w:r>
          </w:p>
        </w:tc>
        <w:tc>
          <w:tcPr>
            <w:tcW w:w="620" w:type="dxa"/>
            <w:tcBorders>
              <w:top w:val="dotted" w:sz="4" w:space="0" w:color="auto"/>
              <w:left w:val="single" w:sz="4" w:space="0" w:color="auto"/>
              <w:bottom w:val="dotted" w:sz="4" w:space="0" w:color="DFDDD9" w:themeColor="accent2"/>
              <w:right w:val="dotted" w:sz="4" w:space="0" w:color="auto"/>
            </w:tcBorders>
            <w:noWrap/>
            <w:vAlign w:val="center"/>
            <w:hideMark/>
          </w:tcPr>
          <w:p w14:paraId="77810BB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1 214</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2CAC2A2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1 214</w:t>
            </w:r>
          </w:p>
        </w:tc>
        <w:tc>
          <w:tcPr>
            <w:tcW w:w="619" w:type="dxa"/>
            <w:tcBorders>
              <w:top w:val="dotted" w:sz="4" w:space="0" w:color="auto"/>
              <w:left w:val="single" w:sz="4" w:space="0" w:color="auto"/>
              <w:bottom w:val="dotted" w:sz="4" w:space="0" w:color="DFDDD9" w:themeColor="accent2"/>
              <w:right w:val="dotted" w:sz="4" w:space="0" w:color="auto"/>
            </w:tcBorders>
            <w:noWrap/>
            <w:vAlign w:val="center"/>
            <w:hideMark/>
          </w:tcPr>
          <w:p w14:paraId="63D9E19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24</w:t>
            </w:r>
          </w:p>
        </w:tc>
        <w:tc>
          <w:tcPr>
            <w:tcW w:w="620" w:type="dxa"/>
            <w:tcBorders>
              <w:top w:val="dotted" w:sz="4" w:space="0" w:color="auto"/>
              <w:left w:val="dotted" w:sz="4" w:space="0" w:color="auto"/>
              <w:bottom w:val="dotted" w:sz="4" w:space="0" w:color="DFDDD9" w:themeColor="accent2"/>
              <w:right w:val="single" w:sz="4" w:space="0" w:color="auto"/>
            </w:tcBorders>
            <w:noWrap/>
            <w:vAlign w:val="center"/>
            <w:hideMark/>
          </w:tcPr>
          <w:p w14:paraId="38AFA23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24</w:t>
            </w:r>
          </w:p>
        </w:tc>
        <w:tc>
          <w:tcPr>
            <w:tcW w:w="620" w:type="dxa"/>
            <w:tcBorders>
              <w:top w:val="dotted" w:sz="4" w:space="0" w:color="auto"/>
              <w:left w:val="single" w:sz="4" w:space="0" w:color="auto"/>
              <w:bottom w:val="dotted" w:sz="4" w:space="0" w:color="DFDDD9" w:themeColor="accent2"/>
              <w:right w:val="dotted" w:sz="4" w:space="0" w:color="auto"/>
            </w:tcBorders>
            <w:noWrap/>
            <w:vAlign w:val="center"/>
            <w:hideMark/>
          </w:tcPr>
          <w:p w14:paraId="44EEDB5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c>
          <w:tcPr>
            <w:tcW w:w="620" w:type="dxa"/>
            <w:tcBorders>
              <w:top w:val="dotted" w:sz="4" w:space="0" w:color="auto"/>
              <w:left w:val="dotted" w:sz="4" w:space="0" w:color="auto"/>
              <w:bottom w:val="dotted" w:sz="4" w:space="0" w:color="DFDDD9" w:themeColor="accent2"/>
            </w:tcBorders>
            <w:noWrap/>
            <w:vAlign w:val="center"/>
            <w:hideMark/>
          </w:tcPr>
          <w:p w14:paraId="1A617DC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r>
      <w:tr w:rsidR="00AF3066" w:rsidRPr="007A2F3F" w14:paraId="530C4C1C" w14:textId="77777777" w:rsidTr="005F3DDE">
        <w:trPr>
          <w:trHeight w:val="20"/>
        </w:trPr>
        <w:tc>
          <w:tcPr>
            <w:tcW w:w="279" w:type="dxa"/>
            <w:tcBorders>
              <w:top w:val="dotted" w:sz="4" w:space="0" w:color="DFDDD9" w:themeColor="accent2"/>
              <w:bottom w:val="dotted" w:sz="4" w:space="0" w:color="DFDDD9" w:themeColor="accent2"/>
            </w:tcBorders>
            <w:noWrap/>
            <w:hideMark/>
          </w:tcPr>
          <w:p w14:paraId="266C07E0"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dotted" w:sz="4" w:space="0" w:color="DFDDD9" w:themeColor="accent2"/>
              <w:right w:val="single" w:sz="4" w:space="0" w:color="auto"/>
            </w:tcBorders>
            <w:noWrap/>
            <w:hideMark/>
          </w:tcPr>
          <w:p w14:paraId="1976D672"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Krisbiståndsreserven (EAR)</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7F0DA47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595</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496C176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595</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52CB2CC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607</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57819E0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607</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2297E37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12</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37FED25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12</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45D7C8E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c>
          <w:tcPr>
            <w:tcW w:w="620" w:type="dxa"/>
            <w:tcBorders>
              <w:top w:val="dotted" w:sz="4" w:space="0" w:color="DFDDD9" w:themeColor="accent2"/>
              <w:left w:val="dotted" w:sz="4" w:space="0" w:color="auto"/>
              <w:bottom w:val="dotted" w:sz="4" w:space="0" w:color="DFDDD9" w:themeColor="accent2"/>
            </w:tcBorders>
            <w:noWrap/>
            <w:vAlign w:val="center"/>
            <w:hideMark/>
          </w:tcPr>
          <w:p w14:paraId="0242ADA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r>
      <w:tr w:rsidR="00AF3066" w:rsidRPr="007A2F3F" w14:paraId="1AE748CE" w14:textId="77777777" w:rsidTr="005F3DDE">
        <w:trPr>
          <w:trHeight w:val="20"/>
        </w:trPr>
        <w:tc>
          <w:tcPr>
            <w:tcW w:w="279" w:type="dxa"/>
            <w:tcBorders>
              <w:top w:val="dotted" w:sz="4" w:space="0" w:color="DFDDD9" w:themeColor="accent2"/>
              <w:bottom w:val="dotted" w:sz="4" w:space="0" w:color="DFDDD9" w:themeColor="accent2"/>
            </w:tcBorders>
            <w:noWrap/>
            <w:hideMark/>
          </w:tcPr>
          <w:p w14:paraId="19D0BEB8"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dotted" w:sz="4" w:space="0" w:color="DFDDD9" w:themeColor="accent2"/>
              <w:right w:val="single" w:sz="4" w:space="0" w:color="auto"/>
            </w:tcBorders>
            <w:noWrap/>
            <w:hideMark/>
          </w:tcPr>
          <w:p w14:paraId="78315C93"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Europeiska globaliseringsfonden (EGF)</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18B97B66"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35</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1EBFC59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3E0CA51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36</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0625949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32</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6AC2DBD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5077D52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12</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2038955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2,0%</w:t>
            </w:r>
          </w:p>
        </w:tc>
        <w:tc>
          <w:tcPr>
            <w:tcW w:w="620" w:type="dxa"/>
            <w:tcBorders>
              <w:top w:val="dotted" w:sz="4" w:space="0" w:color="DFDDD9" w:themeColor="accent2"/>
              <w:left w:val="dotted" w:sz="4" w:space="0" w:color="auto"/>
              <w:bottom w:val="dotted" w:sz="4" w:space="0" w:color="DFDDD9" w:themeColor="accent2"/>
            </w:tcBorders>
            <w:noWrap/>
            <w:vAlign w:val="center"/>
            <w:hideMark/>
          </w:tcPr>
          <w:p w14:paraId="35C67E4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60,0%</w:t>
            </w:r>
          </w:p>
        </w:tc>
      </w:tr>
      <w:tr w:rsidR="00AF3066" w:rsidRPr="007A2F3F" w14:paraId="330EAACF" w14:textId="77777777" w:rsidTr="005F3DDE">
        <w:trPr>
          <w:trHeight w:val="20"/>
        </w:trPr>
        <w:tc>
          <w:tcPr>
            <w:tcW w:w="279" w:type="dxa"/>
            <w:tcBorders>
              <w:top w:val="dotted" w:sz="4" w:space="0" w:color="DFDDD9" w:themeColor="accent2"/>
              <w:bottom w:val="dotted" w:sz="4" w:space="0" w:color="DFDDD9" w:themeColor="accent2"/>
            </w:tcBorders>
            <w:noWrap/>
            <w:hideMark/>
          </w:tcPr>
          <w:p w14:paraId="35E0C69A"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dotted" w:sz="4" w:space="0" w:color="DFDDD9" w:themeColor="accent2"/>
              <w:right w:val="single" w:sz="4" w:space="0" w:color="auto"/>
            </w:tcBorders>
            <w:noWrap/>
            <w:hideMark/>
          </w:tcPr>
          <w:p w14:paraId="0B2FCB87" w14:textId="77777777" w:rsidR="000D59FD" w:rsidRPr="00582A8D" w:rsidRDefault="000D59FD" w:rsidP="00582A8D">
            <w:pPr>
              <w:pStyle w:val="Brdtext"/>
              <w:rPr>
                <w:rFonts w:asciiTheme="majorHAnsi" w:hAnsiTheme="majorHAnsi" w:cstheme="majorHAnsi"/>
                <w:i/>
                <w:iCs/>
                <w:sz w:val="12"/>
                <w:szCs w:val="12"/>
              </w:rPr>
            </w:pPr>
            <w:proofErr w:type="spellStart"/>
            <w:r w:rsidRPr="00582A8D">
              <w:rPr>
                <w:rFonts w:asciiTheme="majorHAnsi" w:hAnsiTheme="majorHAnsi" w:cstheme="majorHAnsi"/>
                <w:i/>
                <w:iCs/>
                <w:sz w:val="12"/>
                <w:szCs w:val="12"/>
              </w:rPr>
              <w:t>Brexitreserven</w:t>
            </w:r>
            <w:proofErr w:type="spellEnd"/>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439FBBC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61F2C06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53</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38CC928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1B1E0DB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19"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6B01536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DFDDD9" w:themeColor="accent2"/>
              <w:left w:val="dotted" w:sz="4" w:space="0" w:color="auto"/>
              <w:bottom w:val="dotted" w:sz="4" w:space="0" w:color="DFDDD9" w:themeColor="accent2"/>
              <w:right w:val="single" w:sz="4" w:space="0" w:color="auto"/>
            </w:tcBorders>
            <w:noWrap/>
            <w:vAlign w:val="center"/>
            <w:hideMark/>
          </w:tcPr>
          <w:p w14:paraId="2CE8ED5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-53</w:t>
            </w:r>
          </w:p>
        </w:tc>
        <w:tc>
          <w:tcPr>
            <w:tcW w:w="620" w:type="dxa"/>
            <w:tcBorders>
              <w:top w:val="dotted" w:sz="4" w:space="0" w:color="DFDDD9" w:themeColor="accent2"/>
              <w:left w:val="single" w:sz="4" w:space="0" w:color="auto"/>
              <w:bottom w:val="dotted" w:sz="4" w:space="0" w:color="DFDDD9" w:themeColor="accent2"/>
              <w:right w:val="dotted" w:sz="4" w:space="0" w:color="auto"/>
            </w:tcBorders>
            <w:noWrap/>
            <w:vAlign w:val="center"/>
            <w:hideMark/>
          </w:tcPr>
          <w:p w14:paraId="7EE6A79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c>
          <w:tcPr>
            <w:tcW w:w="620" w:type="dxa"/>
            <w:tcBorders>
              <w:top w:val="dotted" w:sz="4" w:space="0" w:color="DFDDD9" w:themeColor="accent2"/>
              <w:left w:val="dotted" w:sz="4" w:space="0" w:color="auto"/>
              <w:bottom w:val="dotted" w:sz="4" w:space="0" w:color="DFDDD9" w:themeColor="accent2"/>
            </w:tcBorders>
            <w:noWrap/>
            <w:vAlign w:val="center"/>
            <w:hideMark/>
          </w:tcPr>
          <w:p w14:paraId="71B7CBB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-100,0%</w:t>
            </w:r>
          </w:p>
        </w:tc>
      </w:tr>
      <w:tr w:rsidR="00AF3066" w:rsidRPr="007A2F3F" w14:paraId="6EF62EE3" w14:textId="77777777" w:rsidTr="005F3DDE">
        <w:trPr>
          <w:trHeight w:val="20"/>
        </w:trPr>
        <w:tc>
          <w:tcPr>
            <w:tcW w:w="279" w:type="dxa"/>
            <w:tcBorders>
              <w:top w:val="dotted" w:sz="4" w:space="0" w:color="DFDDD9" w:themeColor="accent2"/>
              <w:bottom w:val="single" w:sz="4" w:space="0" w:color="auto"/>
            </w:tcBorders>
            <w:noWrap/>
            <w:hideMark/>
          </w:tcPr>
          <w:p w14:paraId="54BB88C3"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DFDDD9" w:themeColor="accent2"/>
              <w:bottom w:val="single" w:sz="4" w:space="0" w:color="auto"/>
              <w:right w:val="single" w:sz="4" w:space="0" w:color="auto"/>
            </w:tcBorders>
            <w:noWrap/>
            <w:hideMark/>
          </w:tcPr>
          <w:p w14:paraId="397A7835"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Ukrainafaciliteten</w:t>
            </w:r>
          </w:p>
        </w:tc>
        <w:tc>
          <w:tcPr>
            <w:tcW w:w="619" w:type="dxa"/>
            <w:tcBorders>
              <w:top w:val="dotted" w:sz="4" w:space="0" w:color="DFDDD9" w:themeColor="accent2"/>
              <w:left w:val="single" w:sz="4" w:space="0" w:color="auto"/>
              <w:bottom w:val="single" w:sz="4" w:space="0" w:color="auto"/>
              <w:right w:val="dotted" w:sz="4" w:space="0" w:color="auto"/>
            </w:tcBorders>
            <w:noWrap/>
            <w:vAlign w:val="center"/>
            <w:hideMark/>
          </w:tcPr>
          <w:p w14:paraId="2A625B27"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3 895</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1A4FAF1A"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3 164</w:t>
            </w:r>
          </w:p>
        </w:tc>
        <w:tc>
          <w:tcPr>
            <w:tcW w:w="620" w:type="dxa"/>
            <w:tcBorders>
              <w:top w:val="dotted" w:sz="4" w:space="0" w:color="DFDDD9" w:themeColor="accent2"/>
              <w:left w:val="single" w:sz="4" w:space="0" w:color="auto"/>
              <w:bottom w:val="single" w:sz="4" w:space="0" w:color="auto"/>
              <w:right w:val="dotted" w:sz="4" w:space="0" w:color="auto"/>
            </w:tcBorders>
            <w:noWrap/>
            <w:vAlign w:val="center"/>
            <w:hideMark/>
          </w:tcPr>
          <w:p w14:paraId="7DFD3A4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4 017</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76B2B593"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6 404</w:t>
            </w:r>
          </w:p>
        </w:tc>
        <w:tc>
          <w:tcPr>
            <w:tcW w:w="619" w:type="dxa"/>
            <w:tcBorders>
              <w:top w:val="dotted" w:sz="4" w:space="0" w:color="DFDDD9" w:themeColor="accent2"/>
              <w:left w:val="single" w:sz="4" w:space="0" w:color="auto"/>
              <w:bottom w:val="single" w:sz="4" w:space="0" w:color="auto"/>
              <w:right w:val="dotted" w:sz="4" w:space="0" w:color="auto"/>
            </w:tcBorders>
            <w:noWrap/>
            <w:vAlign w:val="center"/>
            <w:hideMark/>
          </w:tcPr>
          <w:p w14:paraId="40ECB054"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122</w:t>
            </w:r>
          </w:p>
        </w:tc>
        <w:tc>
          <w:tcPr>
            <w:tcW w:w="620" w:type="dxa"/>
            <w:tcBorders>
              <w:top w:val="dotted" w:sz="4" w:space="0" w:color="DFDDD9" w:themeColor="accent2"/>
              <w:left w:val="dotted" w:sz="4" w:space="0" w:color="auto"/>
              <w:bottom w:val="single" w:sz="4" w:space="0" w:color="auto"/>
              <w:right w:val="single" w:sz="4" w:space="0" w:color="auto"/>
            </w:tcBorders>
            <w:noWrap/>
            <w:vAlign w:val="center"/>
            <w:hideMark/>
          </w:tcPr>
          <w:p w14:paraId="53355DF5"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3 240</w:t>
            </w:r>
          </w:p>
        </w:tc>
        <w:tc>
          <w:tcPr>
            <w:tcW w:w="620" w:type="dxa"/>
            <w:tcBorders>
              <w:top w:val="dotted" w:sz="4" w:space="0" w:color="DFDDD9" w:themeColor="accent2"/>
              <w:left w:val="single" w:sz="4" w:space="0" w:color="auto"/>
              <w:bottom w:val="single" w:sz="4" w:space="0" w:color="auto"/>
              <w:right w:val="dotted" w:sz="4" w:space="0" w:color="auto"/>
            </w:tcBorders>
            <w:noWrap/>
            <w:vAlign w:val="center"/>
            <w:hideMark/>
          </w:tcPr>
          <w:p w14:paraId="416258D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3,1%</w:t>
            </w:r>
          </w:p>
        </w:tc>
        <w:tc>
          <w:tcPr>
            <w:tcW w:w="620" w:type="dxa"/>
            <w:tcBorders>
              <w:top w:val="dotted" w:sz="4" w:space="0" w:color="DFDDD9" w:themeColor="accent2"/>
              <w:left w:val="dotted" w:sz="4" w:space="0" w:color="auto"/>
              <w:bottom w:val="single" w:sz="4" w:space="0" w:color="auto"/>
            </w:tcBorders>
            <w:noWrap/>
            <w:vAlign w:val="center"/>
            <w:hideMark/>
          </w:tcPr>
          <w:p w14:paraId="74F826D2"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102,4%</w:t>
            </w:r>
          </w:p>
        </w:tc>
      </w:tr>
      <w:tr w:rsidR="005F3DDE" w:rsidRPr="007A2F3F" w14:paraId="512EFF81" w14:textId="77777777" w:rsidTr="005F3DDE">
        <w:trPr>
          <w:trHeight w:val="20"/>
        </w:trPr>
        <w:tc>
          <w:tcPr>
            <w:tcW w:w="279" w:type="dxa"/>
            <w:tcBorders>
              <w:top w:val="single" w:sz="4" w:space="0" w:color="auto"/>
              <w:bottom w:val="dotted" w:sz="4" w:space="0" w:color="auto"/>
            </w:tcBorders>
            <w:shd w:val="clear" w:color="auto" w:fill="DFDDD9" w:themeFill="accent2"/>
            <w:noWrap/>
            <w:hideMark/>
          </w:tcPr>
          <w:p w14:paraId="7571AA2E"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 </w:t>
            </w:r>
          </w:p>
        </w:tc>
        <w:tc>
          <w:tcPr>
            <w:tcW w:w="1557" w:type="dxa"/>
            <w:tcBorders>
              <w:top w:val="single" w:sz="4" w:space="0" w:color="auto"/>
              <w:bottom w:val="dotted" w:sz="4" w:space="0" w:color="auto"/>
              <w:right w:val="single" w:sz="4" w:space="0" w:color="auto"/>
            </w:tcBorders>
            <w:shd w:val="clear" w:color="auto" w:fill="DFDDD9" w:themeFill="accent2"/>
            <w:noWrap/>
            <w:hideMark/>
          </w:tcPr>
          <w:p w14:paraId="249AA052" w14:textId="77777777" w:rsidR="000D59FD" w:rsidRPr="00582A8D" w:rsidRDefault="000D59FD" w:rsidP="00582A8D">
            <w:pPr>
              <w:pStyle w:val="Brdtext"/>
              <w:rPr>
                <w:rFonts w:asciiTheme="majorHAnsi" w:hAnsiTheme="majorHAnsi" w:cstheme="majorHAnsi"/>
                <w:b/>
                <w:bCs/>
                <w:sz w:val="12"/>
                <w:szCs w:val="12"/>
              </w:rPr>
            </w:pPr>
            <w:r w:rsidRPr="00582A8D">
              <w:rPr>
                <w:rFonts w:asciiTheme="majorHAnsi" w:hAnsiTheme="majorHAnsi" w:cstheme="majorHAnsi"/>
                <w:b/>
                <w:bCs/>
                <w:sz w:val="12"/>
                <w:szCs w:val="12"/>
              </w:rPr>
              <w:t>Ytterligare tillskott genom återtagna medel</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5B053C2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148</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72E0D617"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36822638"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3A01018B"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w:t>
            </w:r>
          </w:p>
        </w:tc>
        <w:tc>
          <w:tcPr>
            <w:tcW w:w="619"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53A50B1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w:t>
            </w:r>
          </w:p>
        </w:tc>
        <w:tc>
          <w:tcPr>
            <w:tcW w:w="620" w:type="dxa"/>
            <w:tcBorders>
              <w:top w:val="single" w:sz="4" w:space="0" w:color="auto"/>
              <w:left w:val="dotted" w:sz="4" w:space="0" w:color="auto"/>
              <w:bottom w:val="dotted" w:sz="4" w:space="0" w:color="auto"/>
              <w:right w:val="single" w:sz="4" w:space="0" w:color="auto"/>
            </w:tcBorders>
            <w:shd w:val="clear" w:color="auto" w:fill="DFDDD9" w:themeFill="accent2"/>
            <w:noWrap/>
            <w:vAlign w:val="center"/>
            <w:hideMark/>
          </w:tcPr>
          <w:p w14:paraId="7DA8144C"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w:t>
            </w:r>
          </w:p>
        </w:tc>
        <w:tc>
          <w:tcPr>
            <w:tcW w:w="620" w:type="dxa"/>
            <w:tcBorders>
              <w:top w:val="single" w:sz="4" w:space="0" w:color="auto"/>
              <w:left w:val="single" w:sz="4" w:space="0" w:color="auto"/>
              <w:bottom w:val="dotted" w:sz="4" w:space="0" w:color="auto"/>
              <w:right w:val="dotted" w:sz="4" w:space="0" w:color="auto"/>
            </w:tcBorders>
            <w:shd w:val="clear" w:color="auto" w:fill="DFDDD9" w:themeFill="accent2"/>
            <w:noWrap/>
            <w:vAlign w:val="center"/>
            <w:hideMark/>
          </w:tcPr>
          <w:p w14:paraId="341FB3BA"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0,0%</w:t>
            </w:r>
          </w:p>
        </w:tc>
        <w:tc>
          <w:tcPr>
            <w:tcW w:w="620" w:type="dxa"/>
            <w:tcBorders>
              <w:top w:val="single" w:sz="4" w:space="0" w:color="auto"/>
              <w:left w:val="dotted" w:sz="4" w:space="0" w:color="auto"/>
              <w:bottom w:val="dotted" w:sz="4" w:space="0" w:color="auto"/>
            </w:tcBorders>
            <w:shd w:val="clear" w:color="auto" w:fill="DFDDD9" w:themeFill="accent2"/>
            <w:noWrap/>
            <w:vAlign w:val="center"/>
            <w:hideMark/>
          </w:tcPr>
          <w:p w14:paraId="3F3EB3D2" w14:textId="77777777" w:rsidR="000D59FD" w:rsidRPr="00582A8D" w:rsidRDefault="000D59FD" w:rsidP="00582A8D">
            <w:pPr>
              <w:pStyle w:val="Brdtext"/>
              <w:jc w:val="right"/>
              <w:rPr>
                <w:rFonts w:asciiTheme="majorHAnsi" w:hAnsiTheme="majorHAnsi" w:cstheme="majorHAnsi"/>
                <w:b/>
                <w:bCs/>
                <w:sz w:val="12"/>
                <w:szCs w:val="12"/>
              </w:rPr>
            </w:pPr>
            <w:r w:rsidRPr="00582A8D">
              <w:rPr>
                <w:rFonts w:asciiTheme="majorHAnsi" w:hAnsiTheme="majorHAnsi" w:cstheme="majorHAnsi"/>
                <w:b/>
                <w:bCs/>
                <w:sz w:val="12"/>
                <w:szCs w:val="12"/>
              </w:rPr>
              <w:t xml:space="preserve"> </w:t>
            </w:r>
          </w:p>
        </w:tc>
      </w:tr>
      <w:tr w:rsidR="00AF3066" w:rsidRPr="007A2F3F" w14:paraId="58E831F5" w14:textId="77777777" w:rsidTr="00582A8D">
        <w:trPr>
          <w:trHeight w:val="20"/>
        </w:trPr>
        <w:tc>
          <w:tcPr>
            <w:tcW w:w="279" w:type="dxa"/>
            <w:tcBorders>
              <w:top w:val="dotted" w:sz="4" w:space="0" w:color="auto"/>
            </w:tcBorders>
            <w:noWrap/>
            <w:hideMark/>
          </w:tcPr>
          <w:p w14:paraId="0F48A6B0" w14:textId="77777777" w:rsidR="000D59FD" w:rsidRPr="00582A8D" w:rsidRDefault="000D59FD" w:rsidP="00582A8D">
            <w:pPr>
              <w:pStyle w:val="Brdtext"/>
              <w:rPr>
                <w:rFonts w:asciiTheme="majorHAnsi" w:hAnsiTheme="majorHAnsi" w:cstheme="majorHAnsi"/>
                <w:sz w:val="12"/>
                <w:szCs w:val="12"/>
              </w:rPr>
            </w:pPr>
            <w:r w:rsidRPr="00582A8D">
              <w:rPr>
                <w:rFonts w:asciiTheme="majorHAnsi" w:hAnsiTheme="majorHAnsi" w:cstheme="majorHAnsi"/>
                <w:sz w:val="12"/>
                <w:szCs w:val="12"/>
              </w:rPr>
              <w:t> </w:t>
            </w:r>
          </w:p>
        </w:tc>
        <w:tc>
          <w:tcPr>
            <w:tcW w:w="1557" w:type="dxa"/>
            <w:tcBorders>
              <w:top w:val="dotted" w:sz="4" w:space="0" w:color="auto"/>
              <w:right w:val="single" w:sz="4" w:space="0" w:color="auto"/>
            </w:tcBorders>
            <w:noWrap/>
            <w:hideMark/>
          </w:tcPr>
          <w:p w14:paraId="712F6395" w14:textId="77777777" w:rsidR="000D59FD" w:rsidRPr="00582A8D" w:rsidRDefault="000D59FD" w:rsidP="00582A8D">
            <w:pPr>
              <w:pStyle w:val="Brdtext"/>
              <w:rPr>
                <w:rFonts w:asciiTheme="majorHAnsi" w:hAnsiTheme="majorHAnsi" w:cstheme="majorHAnsi"/>
                <w:i/>
                <w:iCs/>
                <w:sz w:val="12"/>
                <w:szCs w:val="12"/>
              </w:rPr>
            </w:pPr>
            <w:r w:rsidRPr="00582A8D">
              <w:rPr>
                <w:rFonts w:asciiTheme="majorHAnsi" w:hAnsiTheme="majorHAnsi" w:cstheme="majorHAnsi"/>
                <w:i/>
                <w:iCs/>
                <w:sz w:val="12"/>
                <w:szCs w:val="12"/>
              </w:rPr>
              <w:t>Artikel 15.3</w:t>
            </w:r>
          </w:p>
        </w:tc>
        <w:tc>
          <w:tcPr>
            <w:tcW w:w="619" w:type="dxa"/>
            <w:tcBorders>
              <w:top w:val="dotted" w:sz="4" w:space="0" w:color="auto"/>
              <w:left w:val="single" w:sz="4" w:space="0" w:color="auto"/>
              <w:right w:val="dotted" w:sz="4" w:space="0" w:color="auto"/>
            </w:tcBorders>
            <w:noWrap/>
            <w:vAlign w:val="center"/>
            <w:hideMark/>
          </w:tcPr>
          <w:p w14:paraId="420C4D6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148</w:t>
            </w:r>
          </w:p>
        </w:tc>
        <w:tc>
          <w:tcPr>
            <w:tcW w:w="620" w:type="dxa"/>
            <w:tcBorders>
              <w:top w:val="dotted" w:sz="4" w:space="0" w:color="auto"/>
              <w:left w:val="dotted" w:sz="4" w:space="0" w:color="auto"/>
              <w:right w:val="single" w:sz="4" w:space="0" w:color="auto"/>
            </w:tcBorders>
            <w:noWrap/>
            <w:vAlign w:val="center"/>
            <w:hideMark/>
          </w:tcPr>
          <w:p w14:paraId="6D034A01"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20" w:type="dxa"/>
            <w:tcBorders>
              <w:top w:val="dotted" w:sz="4" w:space="0" w:color="auto"/>
              <w:left w:val="single" w:sz="4" w:space="0" w:color="auto"/>
              <w:right w:val="dotted" w:sz="4" w:space="0" w:color="auto"/>
            </w:tcBorders>
            <w:noWrap/>
            <w:vAlign w:val="center"/>
            <w:hideMark/>
          </w:tcPr>
          <w:p w14:paraId="323AE86C"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32</w:t>
            </w:r>
          </w:p>
        </w:tc>
        <w:tc>
          <w:tcPr>
            <w:tcW w:w="620" w:type="dxa"/>
            <w:tcBorders>
              <w:top w:val="dotted" w:sz="4" w:space="0" w:color="auto"/>
              <w:left w:val="dotted" w:sz="4" w:space="0" w:color="auto"/>
              <w:right w:val="single" w:sz="4" w:space="0" w:color="auto"/>
            </w:tcBorders>
            <w:noWrap/>
            <w:vAlign w:val="center"/>
            <w:hideMark/>
          </w:tcPr>
          <w:p w14:paraId="18F34BF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w:t>
            </w:r>
          </w:p>
        </w:tc>
        <w:tc>
          <w:tcPr>
            <w:tcW w:w="619" w:type="dxa"/>
            <w:tcBorders>
              <w:top w:val="dotted" w:sz="4" w:space="0" w:color="auto"/>
              <w:left w:val="single" w:sz="4" w:space="0" w:color="auto"/>
              <w:right w:val="dotted" w:sz="4" w:space="0" w:color="auto"/>
            </w:tcBorders>
            <w:noWrap/>
            <w:vAlign w:val="center"/>
            <w:hideMark/>
          </w:tcPr>
          <w:p w14:paraId="48B6A05E"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-116</w:t>
            </w:r>
          </w:p>
        </w:tc>
        <w:tc>
          <w:tcPr>
            <w:tcW w:w="620" w:type="dxa"/>
            <w:tcBorders>
              <w:top w:val="dotted" w:sz="4" w:space="0" w:color="auto"/>
              <w:left w:val="dotted" w:sz="4" w:space="0" w:color="auto"/>
              <w:right w:val="single" w:sz="4" w:space="0" w:color="auto"/>
            </w:tcBorders>
            <w:noWrap/>
            <w:vAlign w:val="center"/>
            <w:hideMark/>
          </w:tcPr>
          <w:p w14:paraId="21331B3B"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0</w:t>
            </w:r>
          </w:p>
        </w:tc>
        <w:tc>
          <w:tcPr>
            <w:tcW w:w="620" w:type="dxa"/>
            <w:tcBorders>
              <w:top w:val="dotted" w:sz="4" w:space="0" w:color="auto"/>
              <w:left w:val="single" w:sz="4" w:space="0" w:color="auto"/>
              <w:right w:val="dotted" w:sz="4" w:space="0" w:color="auto"/>
            </w:tcBorders>
            <w:noWrap/>
            <w:vAlign w:val="center"/>
            <w:hideMark/>
          </w:tcPr>
          <w:p w14:paraId="40A85B2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-78,5%</w:t>
            </w:r>
          </w:p>
        </w:tc>
        <w:tc>
          <w:tcPr>
            <w:tcW w:w="620" w:type="dxa"/>
            <w:tcBorders>
              <w:top w:val="dotted" w:sz="4" w:space="0" w:color="auto"/>
              <w:left w:val="dotted" w:sz="4" w:space="0" w:color="auto"/>
            </w:tcBorders>
            <w:noWrap/>
            <w:vAlign w:val="center"/>
            <w:hideMark/>
          </w:tcPr>
          <w:p w14:paraId="15BEEF1F" w14:textId="77777777" w:rsidR="000D59FD" w:rsidRPr="00582A8D" w:rsidRDefault="000D59FD" w:rsidP="00582A8D">
            <w:pPr>
              <w:pStyle w:val="Brdtext"/>
              <w:jc w:val="right"/>
              <w:rPr>
                <w:rFonts w:asciiTheme="majorHAnsi" w:hAnsiTheme="majorHAnsi" w:cstheme="majorHAnsi"/>
                <w:i/>
                <w:iCs/>
                <w:sz w:val="12"/>
                <w:szCs w:val="12"/>
              </w:rPr>
            </w:pPr>
            <w:r w:rsidRPr="00582A8D">
              <w:rPr>
                <w:rFonts w:asciiTheme="majorHAnsi" w:hAnsiTheme="majorHAnsi" w:cstheme="majorHAnsi"/>
                <w:i/>
                <w:iCs/>
                <w:sz w:val="12"/>
                <w:szCs w:val="12"/>
              </w:rPr>
              <w:t xml:space="preserve"> </w:t>
            </w:r>
          </w:p>
        </w:tc>
      </w:tr>
    </w:tbl>
    <w:p w14:paraId="38EA4802" w14:textId="3A4840A2" w:rsidR="00C540DE" w:rsidRDefault="000D59FD" w:rsidP="007A2F3F">
      <w:pPr>
        <w:pStyle w:val="Rubrik3"/>
      </w:pPr>
      <w:r>
        <w:lastRenderedPageBreak/>
        <w:fldChar w:fldCharType="end"/>
      </w:r>
      <w:r w:rsidR="00C540DE">
        <w:t>Rubrik 1 – Inre marknaden, innovation och den digitala ekonomin</w:t>
      </w:r>
    </w:p>
    <w:p w14:paraId="0ED944FA" w14:textId="12C81E26" w:rsidR="00C540DE" w:rsidRDefault="00C540DE" w:rsidP="00C540DE">
      <w:pPr>
        <w:pStyle w:val="Brdtext"/>
      </w:pPr>
      <w:r>
        <w:t>Under rubrik 1 finansieras innovation, strategisk infrastruktur och digital omvandling. Program som går under denna rubrik är bl</w:t>
      </w:r>
      <w:r w:rsidR="00DA5F94">
        <w:t>and andra</w:t>
      </w:r>
      <w:r>
        <w:t xml:space="preserve"> Horisont Europa, </w:t>
      </w:r>
      <w:proofErr w:type="spellStart"/>
      <w:r>
        <w:t>InvestEU</w:t>
      </w:r>
      <w:proofErr w:type="spellEnd"/>
      <w:r>
        <w:t>, EU:s förordning om halvledare, fonden för ett sammanlänkat Europa och Internationell</w:t>
      </w:r>
      <w:r w:rsidR="00591D29">
        <w:t>a</w:t>
      </w:r>
      <w:r>
        <w:t xml:space="preserve"> termonukleär</w:t>
      </w:r>
      <w:r w:rsidR="00591D29">
        <w:t>a</w:t>
      </w:r>
      <w:r>
        <w:t xml:space="preserve"> experimentreaktor</w:t>
      </w:r>
      <w:r w:rsidR="00591D29">
        <w:t>n</w:t>
      </w:r>
      <w:r>
        <w:t xml:space="preserve"> (</w:t>
      </w:r>
      <w:proofErr w:type="spellStart"/>
      <w:r>
        <w:t>I</w:t>
      </w:r>
      <w:r w:rsidR="009811F9">
        <w:t>ter</w:t>
      </w:r>
      <w:proofErr w:type="spellEnd"/>
      <w:r>
        <w:t xml:space="preserve">). </w:t>
      </w:r>
    </w:p>
    <w:p w14:paraId="4037F2E7" w14:textId="4236F614" w:rsidR="00C540DE" w:rsidRDefault="00C540DE" w:rsidP="00C540DE">
      <w:pPr>
        <w:pStyle w:val="Brdtext"/>
      </w:pPr>
      <w:r>
        <w:t>Åtagandeanslagen under rubrik 1 föreslås uppgå till 2</w:t>
      </w:r>
      <w:r w:rsidR="00DA5F94">
        <w:t>1,9</w:t>
      </w:r>
      <w:r>
        <w:t xml:space="preserve"> miljarder euro och betalningsanslagen till 2</w:t>
      </w:r>
      <w:r w:rsidR="0066615B">
        <w:t>3</w:t>
      </w:r>
      <w:r>
        <w:t>,</w:t>
      </w:r>
      <w:r w:rsidR="0066615B">
        <w:t>3</w:t>
      </w:r>
      <w:r>
        <w:t xml:space="preserve"> miljarder euro. Det motsvarar en </w:t>
      </w:r>
      <w:r w:rsidR="00DA5F94">
        <w:t>minskning</w:t>
      </w:r>
      <w:r>
        <w:t xml:space="preserve"> med </w:t>
      </w:r>
      <w:r w:rsidR="00DA5F94">
        <w:t>1,2</w:t>
      </w:r>
      <w:r>
        <w:t xml:space="preserve"> procent i åtaganden och </w:t>
      </w:r>
      <w:r w:rsidR="00DA5F94">
        <w:t>2,1</w:t>
      </w:r>
      <w:r>
        <w:t xml:space="preserve"> procent i betalningar jämfört med år 202</w:t>
      </w:r>
      <w:r w:rsidR="00DA5F94">
        <w:t>6</w:t>
      </w:r>
      <w:r>
        <w:t>.</w:t>
      </w:r>
    </w:p>
    <w:p w14:paraId="3D6E57B8" w14:textId="23E7F3AC" w:rsidR="00C540DE" w:rsidRDefault="00C540DE" w:rsidP="00C540DE">
      <w:pPr>
        <w:pStyle w:val="Rubrik3"/>
      </w:pPr>
      <w:r>
        <w:t>Rubrik 2 – Sammanhållning, motståndskraft och värderingar</w:t>
      </w:r>
    </w:p>
    <w:p w14:paraId="4D27F27A" w14:textId="19476A0B" w:rsidR="00C540DE" w:rsidRDefault="000514C0" w:rsidP="00C540DE">
      <w:pPr>
        <w:pStyle w:val="Brdtext"/>
      </w:pPr>
      <w:r>
        <w:t xml:space="preserve">Rubrik 2 är budgetens största politikområde </w:t>
      </w:r>
      <w:r w:rsidR="00C540DE">
        <w:t xml:space="preserve">och </w:t>
      </w:r>
      <w:r>
        <w:t xml:space="preserve">hyser </w:t>
      </w:r>
      <w:r w:rsidR="00C540DE">
        <w:t xml:space="preserve">även den mest </w:t>
      </w:r>
      <w:r w:rsidR="00DA5F94">
        <w:t>varierade</w:t>
      </w:r>
      <w:r w:rsidR="00C540DE">
        <w:t xml:space="preserve"> uppsättningen av program och fonder. Rubriken är indelad i två underrubriker. I underrubrik 2a ingår </w:t>
      </w:r>
      <w:proofErr w:type="gramStart"/>
      <w:r w:rsidR="00C540DE">
        <w:t>framförallt</w:t>
      </w:r>
      <w:proofErr w:type="gramEnd"/>
      <w:r w:rsidR="00C540DE">
        <w:t xml:space="preserve"> sammanhållningspolitiken, som huvudsakligen levereras genom </w:t>
      </w:r>
      <w:proofErr w:type="gramStart"/>
      <w:r w:rsidR="00C540DE">
        <w:t>Europeiska</w:t>
      </w:r>
      <w:proofErr w:type="gramEnd"/>
      <w:r w:rsidR="00C540DE">
        <w:t xml:space="preserve"> regionala utvecklingsfonden</w:t>
      </w:r>
      <w:r w:rsidR="005C2C80">
        <w:t xml:space="preserve"> (</w:t>
      </w:r>
      <w:proofErr w:type="spellStart"/>
      <w:r w:rsidR="005C2C80">
        <w:t>Eruf</w:t>
      </w:r>
      <w:proofErr w:type="spellEnd"/>
      <w:r w:rsidR="005C2C80">
        <w:t>)</w:t>
      </w:r>
      <w:r w:rsidR="00C540DE">
        <w:t xml:space="preserve">, Europeiska socialfonden+ (ESF+) och </w:t>
      </w:r>
      <w:r w:rsidR="005C2C80">
        <w:t>S</w:t>
      </w:r>
      <w:r w:rsidR="00C540DE">
        <w:t xml:space="preserve">ammanhållningsfonden. I underrubrik 2b ingår faciliteten för återhämtning och resiliens (RRF), EU för hälsa, </w:t>
      </w:r>
      <w:r w:rsidR="005C2C80" w:rsidRPr="005C2C80">
        <w:t>unionens civilskyddsmekanism</w:t>
      </w:r>
      <w:r w:rsidR="005C2C80">
        <w:t xml:space="preserve"> (</w:t>
      </w:r>
      <w:proofErr w:type="spellStart"/>
      <w:r w:rsidR="00C540DE">
        <w:t>rescEU</w:t>
      </w:r>
      <w:proofErr w:type="spellEnd"/>
      <w:r w:rsidR="005C2C80">
        <w:t>)</w:t>
      </w:r>
      <w:r w:rsidR="00C540DE">
        <w:t>, finansieringskostnaderna för</w:t>
      </w:r>
      <w:r w:rsidR="00C208A2">
        <w:t xml:space="preserve"> </w:t>
      </w:r>
      <w:r w:rsidR="00C540DE">
        <w:t xml:space="preserve">NGEU samt flaggskeppsprogram som Erasmus+ och programmet för medborgare, jämlikhet, rättigheter och värden. </w:t>
      </w:r>
    </w:p>
    <w:p w14:paraId="411D3629" w14:textId="3F5C6597" w:rsidR="00B008AE" w:rsidRDefault="00C540DE" w:rsidP="00B008AE">
      <w:pPr>
        <w:pStyle w:val="Brdtext"/>
      </w:pPr>
      <w:r>
        <w:t>Åtaganden under rubrik 2 föreslås uppgå till 7</w:t>
      </w:r>
      <w:r w:rsidR="00DA5F94">
        <w:t>5,8</w:t>
      </w:r>
      <w:r>
        <w:t xml:space="preserve"> miljarder euro, vilket är en </w:t>
      </w:r>
      <w:r w:rsidR="00DA5F94">
        <w:t>ökning</w:t>
      </w:r>
      <w:r>
        <w:t xml:space="preserve"> med </w:t>
      </w:r>
      <w:r w:rsidR="00DA5F94">
        <w:t>5</w:t>
      </w:r>
      <w:r w:rsidR="003A0C5F">
        <w:t>,</w:t>
      </w:r>
      <w:r w:rsidR="00DA5F94">
        <w:t>7</w:t>
      </w:r>
      <w:r>
        <w:t xml:space="preserve"> procent jämfört med 202</w:t>
      </w:r>
      <w:r w:rsidR="00DA5F94">
        <w:t>6</w:t>
      </w:r>
      <w:r w:rsidR="005E2928">
        <w:t xml:space="preserve"> års budget</w:t>
      </w:r>
      <w:r>
        <w:t xml:space="preserve">. Betalningar föreslås uppgå till </w:t>
      </w:r>
      <w:r w:rsidR="00DA5F94">
        <w:t>81,8</w:t>
      </w:r>
      <w:r>
        <w:t xml:space="preserve"> miljarder euro, vilket är en ökning med </w:t>
      </w:r>
      <w:r w:rsidR="00DA5F94">
        <w:t>11,9</w:t>
      </w:r>
      <w:r>
        <w:t xml:space="preserve"> procent jämfört med 202</w:t>
      </w:r>
      <w:r w:rsidR="00DA5F94">
        <w:t>6</w:t>
      </w:r>
      <w:r>
        <w:t xml:space="preserve">. Ökade räntekostnader för NGEU </w:t>
      </w:r>
      <w:r w:rsidR="003F7098">
        <w:t>och ökad implementeringstakt</w:t>
      </w:r>
      <w:r w:rsidR="00526F66">
        <w:t xml:space="preserve"> av sammanhållningspolitiken</w:t>
      </w:r>
      <w:r>
        <w:t xml:space="preserve"> förklarar </w:t>
      </w:r>
      <w:r w:rsidR="00526F66">
        <w:t>till stor del</w:t>
      </w:r>
      <w:r>
        <w:t xml:space="preserve"> ökningen i betalningar.</w:t>
      </w:r>
    </w:p>
    <w:p w14:paraId="108E1AD9" w14:textId="582A3470" w:rsidR="00C540DE" w:rsidRDefault="00D510BA" w:rsidP="00B008AE">
      <w:pPr>
        <w:pStyle w:val="Brdtext"/>
      </w:pPr>
      <w:r>
        <w:t xml:space="preserve">För att </w:t>
      </w:r>
      <w:r w:rsidR="001B0F7D">
        <w:t>finansiera de</w:t>
      </w:r>
      <w:r>
        <w:t xml:space="preserve"> skuldhanteringskostnader för NGEU som överstiger </w:t>
      </w:r>
      <w:r w:rsidR="00CD789B">
        <w:t>avsatta medel</w:t>
      </w:r>
      <w:r>
        <w:t xml:space="preserve"> föreslår kommissionen enligt den så</w:t>
      </w:r>
      <w:r w:rsidR="00B008AE">
        <w:t xml:space="preserve"> kallade kaskadmekanismen </w:t>
      </w:r>
      <w:r>
        <w:t xml:space="preserve">att 50 procent </w:t>
      </w:r>
      <w:r w:rsidR="001B0F7D">
        <w:t xml:space="preserve">av överskjutande kostnader </w:t>
      </w:r>
      <w:r>
        <w:t xml:space="preserve">finansieras av outnyttjad marginal i rubrik 2b och </w:t>
      </w:r>
      <w:proofErr w:type="spellStart"/>
      <w:r>
        <w:t>flexinstrumentet</w:t>
      </w:r>
      <w:proofErr w:type="spellEnd"/>
      <w:r>
        <w:t xml:space="preserve"> samt</w:t>
      </w:r>
      <w:r w:rsidR="00B008AE">
        <w:t xml:space="preserve"> 50 procent </w:t>
      </w:r>
      <w:r>
        <w:t>genom det särskilt avsedda specialinstrumentet EURI</w:t>
      </w:r>
      <w:r w:rsidR="00B008AE">
        <w:t>.</w:t>
      </w:r>
      <w:r w:rsidR="001B0F7D">
        <w:t xml:space="preserve"> Det senare mobiliseras med 2 460 miljoner euro.</w:t>
      </w:r>
    </w:p>
    <w:p w14:paraId="36A8B938" w14:textId="2B6B4D7B" w:rsidR="00C540DE" w:rsidRDefault="00C540DE" w:rsidP="00C540DE">
      <w:pPr>
        <w:pStyle w:val="Rubrik3"/>
      </w:pPr>
      <w:r>
        <w:lastRenderedPageBreak/>
        <w:t>Rubrik 3 – Naturresurser och miljö</w:t>
      </w:r>
    </w:p>
    <w:p w14:paraId="01D670A4" w14:textId="30D75830" w:rsidR="00C540DE" w:rsidRDefault="00C540DE" w:rsidP="00C540DE">
      <w:pPr>
        <w:pStyle w:val="Brdtext"/>
      </w:pPr>
      <w:r>
        <w:t xml:space="preserve">I rubriken ingår utgifter för den gemensamma jordbrukspolitiken, den gemensamma fiskeripolitiken och vissa miljöåtgärder. Rubrik 3 spelar en nyckelroll för satsningar som den gröna given och från jord till bord-strategin, såväl som för att uppfylla åtaganden i Parisavtalet gällande klimatförändringar. </w:t>
      </w:r>
      <w:r w:rsidR="00DA5F94">
        <w:t>Rubriken</w:t>
      </w:r>
      <w:r>
        <w:t xml:space="preserve"> </w:t>
      </w:r>
      <w:r w:rsidR="00DA5F94">
        <w:t>omfattar</w:t>
      </w:r>
      <w:r>
        <w:t xml:space="preserve"> bl</w:t>
      </w:r>
      <w:r w:rsidR="00DA5F94">
        <w:t>and andra program</w:t>
      </w:r>
      <w:r>
        <w:t xml:space="preserve"> </w:t>
      </w:r>
      <w:proofErr w:type="spellStart"/>
      <w:r>
        <w:t>REPowerEU</w:t>
      </w:r>
      <w:proofErr w:type="spellEnd"/>
      <w:r>
        <w:t xml:space="preserve">, förordningen om </w:t>
      </w:r>
      <w:proofErr w:type="spellStart"/>
      <w:r>
        <w:t>nettonoll</w:t>
      </w:r>
      <w:proofErr w:type="spellEnd"/>
      <w:r>
        <w:t>-industrin, gränsjusteringsmekanismen för koldioxid och innovationsfonden.</w:t>
      </w:r>
    </w:p>
    <w:p w14:paraId="1AABE825" w14:textId="51CD99CE" w:rsidR="00C540DE" w:rsidRDefault="00C540DE" w:rsidP="00C540DE">
      <w:pPr>
        <w:pStyle w:val="Brdtext"/>
      </w:pPr>
      <w:r>
        <w:t>Åtaganden föreslås uppgå till 57,</w:t>
      </w:r>
      <w:r w:rsidR="00DA5F94">
        <w:t>2</w:t>
      </w:r>
      <w:r>
        <w:t xml:space="preserve"> miljarder euro och betalningar föreslås uppgå till </w:t>
      </w:r>
      <w:r w:rsidR="00DA5F94">
        <w:t>61,5</w:t>
      </w:r>
      <w:r>
        <w:t xml:space="preserve"> miljarder euro i 202</w:t>
      </w:r>
      <w:r w:rsidR="00DA5F94">
        <w:t>7</w:t>
      </w:r>
      <w:r>
        <w:t xml:space="preserve"> </w:t>
      </w:r>
      <w:r w:rsidR="00A62EF6">
        <w:t xml:space="preserve">års </w:t>
      </w:r>
      <w:r>
        <w:t xml:space="preserve">budget. Det motsvarar en </w:t>
      </w:r>
      <w:r w:rsidR="003A0C5F">
        <w:t>öknin</w:t>
      </w:r>
      <w:r>
        <w:t xml:space="preserve">g med </w:t>
      </w:r>
      <w:r w:rsidR="00DA5F94">
        <w:t>1,2</w:t>
      </w:r>
      <w:r>
        <w:t xml:space="preserve"> procent i åtaganden och med </w:t>
      </w:r>
      <w:r w:rsidR="00DA5F94">
        <w:t xml:space="preserve">16,9 </w:t>
      </w:r>
      <w:r>
        <w:t>procent i betalningar jämfört med 202</w:t>
      </w:r>
      <w:r w:rsidR="003A0C5F">
        <w:t>5</w:t>
      </w:r>
      <w:r>
        <w:t>.</w:t>
      </w:r>
    </w:p>
    <w:p w14:paraId="4FF59F7F" w14:textId="33872C2B" w:rsidR="00C540DE" w:rsidRDefault="00C540DE" w:rsidP="00C540DE">
      <w:pPr>
        <w:pStyle w:val="Rubrik3"/>
      </w:pPr>
      <w:r>
        <w:t>Rubrik 4 – Migration och gränsförvaltning</w:t>
      </w:r>
    </w:p>
    <w:p w14:paraId="1CF4A3A1" w14:textId="300B2051" w:rsidR="00C540DE" w:rsidRDefault="00C540DE" w:rsidP="00C540DE">
      <w:pPr>
        <w:pStyle w:val="Brdtext"/>
      </w:pPr>
      <w:r>
        <w:t xml:space="preserve">Rubrik 4 innefattar de två kategorierna EU:s migrations- och asylpolitik samt gränsförvaltning. De program som berör migration är </w:t>
      </w:r>
      <w:r w:rsidR="00A62EF6">
        <w:t>A</w:t>
      </w:r>
      <w:r>
        <w:t xml:space="preserve">syl-, migrations- och integrationsfonden (AMIF) och Europeiska unionens asylbyrå. De program som finns inom gränsförvaltning är instrumentet för ekonomiskt stöd för gränsförvaltning och viseringspolitik (BMVI) och instrumentet för ekonomiskt stöd för tullkontrollsutrustning (CCEI), som båda innefattas av </w:t>
      </w:r>
      <w:r w:rsidR="00A62EF6">
        <w:t>F</w:t>
      </w:r>
      <w:r>
        <w:t xml:space="preserve">onden för integrerad gränsförvaltning (IBMF). Även </w:t>
      </w:r>
      <w:proofErr w:type="gramStart"/>
      <w:r>
        <w:t>Europeiska</w:t>
      </w:r>
      <w:proofErr w:type="gramEnd"/>
      <w:r>
        <w:t xml:space="preserve"> gräns- och kustbevakningsbyrån (F</w:t>
      </w:r>
      <w:r w:rsidR="00DA5F94">
        <w:t>rontex</w:t>
      </w:r>
      <w:r>
        <w:t xml:space="preserve">) och </w:t>
      </w:r>
      <w:proofErr w:type="gramStart"/>
      <w:r>
        <w:t>Europeiska</w:t>
      </w:r>
      <w:proofErr w:type="gramEnd"/>
      <w:r>
        <w:t xml:space="preserve"> byrån för den operativa förvaltningen av stora </w:t>
      </w:r>
      <w:proofErr w:type="spellStart"/>
      <w:r>
        <w:t>it-system</w:t>
      </w:r>
      <w:proofErr w:type="spellEnd"/>
      <w:r>
        <w:t xml:space="preserve"> inom området frihet, säkerhet och rättvisa (eu-LISA) finansieras inom denna rubrik.</w:t>
      </w:r>
    </w:p>
    <w:p w14:paraId="70361ED1" w14:textId="035AFDB3" w:rsidR="00C540DE" w:rsidRDefault="00C540DE" w:rsidP="00C540DE">
      <w:pPr>
        <w:pStyle w:val="Brdtext"/>
      </w:pPr>
      <w:r>
        <w:t xml:space="preserve">Åtaganden föreslås uppgå till </w:t>
      </w:r>
      <w:r w:rsidR="00017278">
        <w:t>5</w:t>
      </w:r>
      <w:r w:rsidR="00DA5F94">
        <w:t>,8</w:t>
      </w:r>
      <w:r>
        <w:t xml:space="preserve"> miljarder euro för 202</w:t>
      </w:r>
      <w:r w:rsidR="00DA5F94">
        <w:t>7</w:t>
      </w:r>
      <w:r>
        <w:t xml:space="preserve">, vilket innebär en ökning med </w:t>
      </w:r>
      <w:r w:rsidR="00DA5F94">
        <w:t>15,4</w:t>
      </w:r>
      <w:r>
        <w:t xml:space="preserve"> procent jämfört med budgeten för 202</w:t>
      </w:r>
      <w:r w:rsidR="00DA5F94">
        <w:t>6</w:t>
      </w:r>
      <w:r>
        <w:t>. Betalningar föreslås uppgå till 3,</w:t>
      </w:r>
      <w:r w:rsidR="00017278">
        <w:t>9</w:t>
      </w:r>
      <w:r>
        <w:t xml:space="preserve"> miljarder euro, motsvarande en </w:t>
      </w:r>
      <w:r w:rsidR="00DA5F94">
        <w:t>minskning</w:t>
      </w:r>
      <w:r>
        <w:t xml:space="preserve"> med </w:t>
      </w:r>
      <w:r w:rsidR="00DA5F94">
        <w:t>0,5</w:t>
      </w:r>
      <w:r>
        <w:t xml:space="preserve"> procent jämfört med 202</w:t>
      </w:r>
      <w:r w:rsidR="00DA5F94">
        <w:t>6</w:t>
      </w:r>
      <w:r>
        <w:t xml:space="preserve">. </w:t>
      </w:r>
    </w:p>
    <w:p w14:paraId="67493521" w14:textId="22BE8B5B" w:rsidR="00C540DE" w:rsidRDefault="00C540DE" w:rsidP="00C540DE">
      <w:pPr>
        <w:pStyle w:val="Rubrik3"/>
      </w:pPr>
      <w:r>
        <w:t>Rubrik 5 – Motståndskraft, säkerhet och försvar</w:t>
      </w:r>
    </w:p>
    <w:p w14:paraId="7E8820E8" w14:textId="77777777" w:rsidR="00C540DE" w:rsidRDefault="00C540DE" w:rsidP="00C540DE">
      <w:pPr>
        <w:pStyle w:val="Brdtext"/>
      </w:pPr>
      <w:r>
        <w:t xml:space="preserve">Rubrik 5 omfattar säkerhets- och försvarsrelaterade program och stöd som exempelvis fonden för inre säkerhet (ISF) och europeiska försvarsfonden (EDF). </w:t>
      </w:r>
    </w:p>
    <w:p w14:paraId="47635007" w14:textId="19A16EBB" w:rsidR="00C540DE" w:rsidRDefault="00C540DE" w:rsidP="00C540DE">
      <w:pPr>
        <w:pStyle w:val="Brdtext"/>
      </w:pPr>
      <w:r>
        <w:t xml:space="preserve">Åtaganden föreslås uppgå till </w:t>
      </w:r>
      <w:r w:rsidR="00DA5F94">
        <w:t>3,1</w:t>
      </w:r>
      <w:r>
        <w:t xml:space="preserve"> miljarder euro. Betalningar föreslås uppgå till 2,</w:t>
      </w:r>
      <w:r w:rsidR="00DA5F94">
        <w:t>2</w:t>
      </w:r>
      <w:r>
        <w:t xml:space="preserve"> miljarder euro. Kommissionen föreslår därmed att åtagandeanslagen </w:t>
      </w:r>
      <w:r w:rsidR="00017278">
        <w:t>ökar</w:t>
      </w:r>
      <w:r>
        <w:t xml:space="preserve"> </w:t>
      </w:r>
      <w:r>
        <w:lastRenderedPageBreak/>
        <w:t xml:space="preserve">med </w:t>
      </w:r>
      <w:r w:rsidR="00DA5F94">
        <w:t>9,0</w:t>
      </w:r>
      <w:r>
        <w:t xml:space="preserve"> procent och att betalningsanslagen </w:t>
      </w:r>
      <w:r w:rsidR="00DA5F94">
        <w:t>minskar</w:t>
      </w:r>
      <w:r>
        <w:t xml:space="preserve"> </w:t>
      </w:r>
      <w:r w:rsidR="00DA5F94">
        <w:t>med 1,0</w:t>
      </w:r>
      <w:r>
        <w:t xml:space="preserve"> procent jämfört med 202</w:t>
      </w:r>
      <w:r w:rsidR="00FD2B38">
        <w:t>6</w:t>
      </w:r>
      <w:r>
        <w:t xml:space="preserve"> års budget. </w:t>
      </w:r>
    </w:p>
    <w:p w14:paraId="4801FE2D" w14:textId="0A23A955" w:rsidR="00C540DE" w:rsidRDefault="00C540DE" w:rsidP="00C540DE">
      <w:pPr>
        <w:pStyle w:val="Rubrik3"/>
      </w:pPr>
      <w:r>
        <w:t>Rubrik 6 – Grannskapet och omvärlden</w:t>
      </w:r>
    </w:p>
    <w:p w14:paraId="0F80D1D4" w14:textId="77777777" w:rsidR="00C540DE" w:rsidRDefault="00C540DE" w:rsidP="00C540DE">
      <w:pPr>
        <w:pStyle w:val="Brdtext"/>
      </w:pPr>
      <w:r>
        <w:t xml:space="preserve">I rubriken ingår ett samlat instrument för grannskapet, utveckling och internationellt samarbete (NDICI) vilket omfattar tre pelare: en geografisk, en tematisk och en icke-programmerad pelare som ska kunna användas vid krissituationer samt en flexibilitetsreserv. Dessutom ingår egna instrument för den gemensamma utrikes- och säkerhetspolitiken (GUSP), det humanitära stödet, föranslutningsstödet och stödet till de utomeuropeiska länderna och territorierna. </w:t>
      </w:r>
    </w:p>
    <w:p w14:paraId="5BFE5E72" w14:textId="708FC0E2" w:rsidR="00C540DE" w:rsidRDefault="00C540DE" w:rsidP="00C540DE">
      <w:pPr>
        <w:pStyle w:val="Brdtext"/>
      </w:pPr>
      <w:r>
        <w:t>Åtaganden föreslås uppgå till 1</w:t>
      </w:r>
      <w:r w:rsidR="00DA5F94">
        <w:t>5,5</w:t>
      </w:r>
      <w:r>
        <w:t xml:space="preserve"> miljarder euro, vilket är en minskning med </w:t>
      </w:r>
      <w:r w:rsidR="00DA5F94">
        <w:t>0,8</w:t>
      </w:r>
      <w:r>
        <w:t xml:space="preserve"> procent jämfört med budgeten för 202</w:t>
      </w:r>
      <w:r w:rsidR="00042FD0">
        <w:t>6</w:t>
      </w:r>
      <w:r>
        <w:t>. Betalningar föreslås uppgå till 1</w:t>
      </w:r>
      <w:r w:rsidR="00017278">
        <w:t>6</w:t>
      </w:r>
      <w:r>
        <w:t>,</w:t>
      </w:r>
      <w:r w:rsidR="00DA5F94">
        <w:t>7</w:t>
      </w:r>
      <w:r>
        <w:t xml:space="preserve"> miljarder euro, vilket motsvarar en </w:t>
      </w:r>
      <w:r w:rsidR="00017278">
        <w:t>ökning</w:t>
      </w:r>
      <w:r>
        <w:t xml:space="preserve"> med </w:t>
      </w:r>
      <w:r w:rsidR="00DA5F94">
        <w:t>0,5</w:t>
      </w:r>
      <w:r>
        <w:t xml:space="preserve"> procent.</w:t>
      </w:r>
    </w:p>
    <w:p w14:paraId="487A309A" w14:textId="1664F5F5" w:rsidR="00C540DE" w:rsidRDefault="00C540DE" w:rsidP="00C540DE">
      <w:pPr>
        <w:pStyle w:val="Rubrik3"/>
      </w:pPr>
      <w:r>
        <w:t>Rubrik 7 – EU:s offentliga förvaltning</w:t>
      </w:r>
    </w:p>
    <w:p w14:paraId="12A76116" w14:textId="77777777" w:rsidR="00C540DE" w:rsidRDefault="00C540DE" w:rsidP="00C540DE">
      <w:pPr>
        <w:pStyle w:val="Brdtext"/>
      </w:pPr>
      <w:r>
        <w:t xml:space="preserve">Rubriken täcker de administrativa utgifterna för institutionerna, pensioner och Europaskolorna. Löner och pensioner räknas upp per automatik enligt en metod som är reglerad i EU:s tjänsteföreskrifter. I synnerhet utgår uppräkningen från reallöneutvecklingen i medlemsstaternas centrala statsförvaltning och prisutvecklingen i Bryssel och Luxemburg. </w:t>
      </w:r>
    </w:p>
    <w:p w14:paraId="39383CE9" w14:textId="6ED92663" w:rsidR="00780605" w:rsidRDefault="00FE179D" w:rsidP="00C540DE">
      <w:pPr>
        <w:pStyle w:val="Brdtext"/>
      </w:pPr>
      <w:r>
        <w:t>Anslag till</w:t>
      </w:r>
      <w:r w:rsidR="006615CA">
        <w:t xml:space="preserve"> förvaltningen av EU:s institutioner och program är icke-differentierade</w:t>
      </w:r>
      <w:r w:rsidR="00042FD0">
        <w:t>, vilket innebär att alla åtagandeanslag ett år motsvaras av betalningar samma år.</w:t>
      </w:r>
      <w:r w:rsidR="006615CA">
        <w:t xml:space="preserve"> Dessa </w:t>
      </w:r>
      <w:r w:rsidR="00C540DE">
        <w:t>föreslås uppgå till 1</w:t>
      </w:r>
      <w:r w:rsidR="00A77A4B">
        <w:t>3</w:t>
      </w:r>
      <w:r w:rsidR="00C540DE">
        <w:t>,</w:t>
      </w:r>
      <w:r w:rsidR="00DA5F94">
        <w:t>7</w:t>
      </w:r>
      <w:r w:rsidR="00C540DE">
        <w:t xml:space="preserve"> miljarder euro. Rubriken föreslås öka med </w:t>
      </w:r>
      <w:r w:rsidR="00DA5F94">
        <w:t>2,9</w:t>
      </w:r>
      <w:r w:rsidR="00C540DE">
        <w:t xml:space="preserve"> procent jämfört med 202</w:t>
      </w:r>
      <w:r w:rsidR="00DA5F94">
        <w:t>6</w:t>
      </w:r>
      <w:r w:rsidR="00C540DE">
        <w:t xml:space="preserve">, vilket främst beror på att hög inflation driver upp lönekostnaderna. </w:t>
      </w:r>
    </w:p>
    <w:p w14:paraId="449DD58B" w14:textId="231558F2" w:rsidR="00780605" w:rsidRDefault="00780605" w:rsidP="00780605">
      <w:pPr>
        <w:pStyle w:val="Rubrik3"/>
      </w:pPr>
      <w:r>
        <w:t>Ukrainastödslånet</w:t>
      </w:r>
    </w:p>
    <w:p w14:paraId="3A443400" w14:textId="2399EA5E" w:rsidR="00C540DE" w:rsidRDefault="007744F7" w:rsidP="00780605">
      <w:pPr>
        <w:pStyle w:val="Brdtext"/>
      </w:pPr>
      <w:r>
        <w:t xml:space="preserve">Enligt kommissionens förslag kommer skuldhanteringen av det stödlån till Ukraina om 90 miljarder euro som antogs den 23 april 2026 att belasta budgeten med 1 150 miljoner euro under 2027. Dessa utgifter finansieras i sin helhet genom befintliga specialinstrument: flexibilitetsinstrumentet mobiliseras </w:t>
      </w:r>
      <w:r w:rsidR="0010614B">
        <w:t>med</w:t>
      </w:r>
      <w:r>
        <w:t xml:space="preserve"> 50,2 miljoner euro och marginalinstrumentet (SMI) med 1 150 miljoner </w:t>
      </w:r>
      <w:r>
        <w:lastRenderedPageBreak/>
        <w:t>euro. Det särskilda Ukrainastödlånsinstrumentet behöver därför inte mobiliseras.</w:t>
      </w:r>
    </w:p>
    <w:p w14:paraId="658BC7E1" w14:textId="62C0D92F" w:rsidR="00C540DE" w:rsidRDefault="00C540DE" w:rsidP="00C540DE">
      <w:pPr>
        <w:pStyle w:val="Rubrik3"/>
      </w:pPr>
      <w:r>
        <w:t>Teknisk justering av den fleråriga budgetramen för 202</w:t>
      </w:r>
      <w:r w:rsidR="006615CA">
        <w:t>7</w:t>
      </w:r>
    </w:p>
    <w:p w14:paraId="4AF8C308" w14:textId="1B58D364" w:rsidR="00C540DE" w:rsidRDefault="00C540DE" w:rsidP="00C540DE">
      <w:pPr>
        <w:pStyle w:val="Brdtext"/>
      </w:pPr>
      <w:r>
        <w:t xml:space="preserve">Den tekniska justeringen av den fleråriga budgetramen för 2021–2027 ska göras årligen enligt artikel 4 i rådets förordning (EU, Euratom) 2020/2093. Taken i den fleråriga budgetramen </w:t>
      </w:r>
      <w:r w:rsidR="00C72075">
        <w:t xml:space="preserve">fastställdes </w:t>
      </w:r>
      <w:r>
        <w:t>i 2018 års priser. Den tekniska justeringen innebär att taken för 202</w:t>
      </w:r>
      <w:r w:rsidR="00C115A0">
        <w:t>7</w:t>
      </w:r>
      <w:r>
        <w:t xml:space="preserve"> räknas om till löpande priser och ger därmed årsbudgeten dess tak i avsedd prisnivå. Den tekniska justeringen är inte en del av EU:s årsbudgetprocess. </w:t>
      </w:r>
    </w:p>
    <w:p w14:paraId="3B7DDC6C" w14:textId="5474700B" w:rsidR="00A12B6B" w:rsidRDefault="00C540DE" w:rsidP="00582A8D">
      <w:pPr>
        <w:pStyle w:val="Brdtext"/>
      </w:pPr>
      <w:r>
        <w:t>Tabell 2 visar taken</w:t>
      </w:r>
      <w:r w:rsidR="00A57E5C">
        <w:t xml:space="preserve"> i budgetramen</w:t>
      </w:r>
      <w:r>
        <w:t xml:space="preserve"> för åtaganden och betalningar i fasta och löpande priser efter den tekniska justeringen för 202</w:t>
      </w:r>
      <w:r w:rsidR="00FD2B38">
        <w:t>7</w:t>
      </w:r>
      <w:r>
        <w:t>. Taket för åtagandebemyndiganden för 202</w:t>
      </w:r>
      <w:r w:rsidR="00FD2B38">
        <w:t>7</w:t>
      </w:r>
      <w:r>
        <w:t xml:space="preserve"> uppgår till </w:t>
      </w:r>
      <w:r w:rsidR="00FD2B38">
        <w:t>188 761</w:t>
      </w:r>
      <w:r w:rsidR="00561758">
        <w:t xml:space="preserve"> </w:t>
      </w:r>
      <w:r>
        <w:t xml:space="preserve">miljoner euro i löpande priser, vilket motsvarar </w:t>
      </w:r>
      <w:r w:rsidR="00561758">
        <w:t>0,9</w:t>
      </w:r>
      <w:r w:rsidR="00A57E5C">
        <w:t>3</w:t>
      </w:r>
      <w:r w:rsidR="00561758">
        <w:t xml:space="preserve"> </w:t>
      </w:r>
      <w:r>
        <w:t>procent av BNI. Taket för betalningsbemyndiganden för 202</w:t>
      </w:r>
      <w:r w:rsidR="00FD2B38">
        <w:t>7</w:t>
      </w:r>
      <w:r>
        <w:t xml:space="preserve"> uppgår till </w:t>
      </w:r>
      <w:r w:rsidR="00FD2B38">
        <w:t>199 711</w:t>
      </w:r>
      <w:r>
        <w:t xml:space="preserve"> miljoner euro i löpande priser, vilket motsvarar </w:t>
      </w:r>
      <w:r w:rsidR="00561758">
        <w:t>1,0</w:t>
      </w:r>
      <w:r w:rsidR="00FD2B38">
        <w:t>1</w:t>
      </w:r>
      <w:r w:rsidR="00561758">
        <w:t xml:space="preserve"> </w:t>
      </w:r>
      <w:r>
        <w:t>procent av BNI.</w:t>
      </w:r>
    </w:p>
    <w:p w14:paraId="31ECD537" w14:textId="11FB28A5" w:rsidR="00E439F1" w:rsidRDefault="00C540DE" w:rsidP="007D542F">
      <w:pPr>
        <w:pStyle w:val="Brdtext"/>
        <w:rPr>
          <w:i/>
          <w:iCs/>
        </w:rPr>
      </w:pPr>
      <w:r w:rsidRPr="00C540DE">
        <w:rPr>
          <w:i/>
          <w:iCs/>
        </w:rPr>
        <w:t>Tabell 2: Den fleråriga budgetramen 2021–2027 i 2018 års priser och i löpande priser efter teknisk justering för 202</w:t>
      </w:r>
      <w:r w:rsidR="00E439F1">
        <w:rPr>
          <w:i/>
          <w:iCs/>
        </w:rPr>
        <w:t>7</w:t>
      </w:r>
      <w:r w:rsidRPr="00C540DE">
        <w:rPr>
          <w:i/>
          <w:iCs/>
        </w:rPr>
        <w:t>.</w:t>
      </w:r>
    </w:p>
    <w:tbl>
      <w:tblPr>
        <w:tblStyle w:val="Rutntstabell7frgstark"/>
        <w:tblW w:w="5000" w:type="pct"/>
        <w:tblCellMar>
          <w:top w:w="28" w:type="dxa"/>
          <w:left w:w="28" w:type="dxa"/>
          <w:bottom w:w="28" w:type="dxa"/>
          <w:right w:w="28" w:type="dxa"/>
        </w:tblCellMar>
        <w:tblLook w:val="04A0" w:firstRow="1" w:lastRow="0" w:firstColumn="1" w:lastColumn="0" w:noHBand="0" w:noVBand="1"/>
      </w:tblPr>
      <w:tblGrid>
        <w:gridCol w:w="684"/>
        <w:gridCol w:w="824"/>
        <w:gridCol w:w="650"/>
        <w:gridCol w:w="650"/>
        <w:gridCol w:w="650"/>
        <w:gridCol w:w="650"/>
        <w:gridCol w:w="649"/>
        <w:gridCol w:w="649"/>
        <w:gridCol w:w="649"/>
        <w:gridCol w:w="749"/>
      </w:tblGrid>
      <w:tr w:rsidR="00840A5D" w14:paraId="4716F895" w14:textId="77777777" w:rsidTr="0029106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pct"/>
            <w:gridSpan w:val="2"/>
            <w:vAlign w:val="bottom"/>
          </w:tcPr>
          <w:p w14:paraId="1BD36DF2" w14:textId="36AEA9AF" w:rsidR="00A12B6B" w:rsidRPr="00582A8D" w:rsidRDefault="00A12B6B" w:rsidP="00582A8D">
            <w:pPr>
              <w:pStyle w:val="Brdtext"/>
              <w:jc w:val="left"/>
              <w:rPr>
                <w:rFonts w:asciiTheme="majorHAnsi" w:hAnsiTheme="majorHAnsi" w:cstheme="majorHAnsi"/>
                <w:sz w:val="12"/>
                <w:szCs w:val="12"/>
                <w:bdr w:val="none" w:sz="0" w:space="0" w:color="auto" w:frame="1"/>
              </w:rPr>
            </w:pPr>
            <w:r w:rsidRPr="00582A8D">
              <w:rPr>
                <w:rFonts w:asciiTheme="majorHAnsi" w:hAnsiTheme="majorHAnsi" w:cstheme="majorHAnsi"/>
                <w:sz w:val="12"/>
                <w:szCs w:val="12"/>
                <w:bdr w:val="none" w:sz="0" w:space="0" w:color="auto" w:frame="1"/>
              </w:rPr>
              <w:t>Miljoner euro</w:t>
            </w:r>
          </w:p>
        </w:tc>
        <w:tc>
          <w:tcPr>
            <w:tcW w:w="0" w:type="pct"/>
            <w:vAlign w:val="bottom"/>
          </w:tcPr>
          <w:p w14:paraId="2BAB7EF7" w14:textId="29FE4CC2"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2021</w:t>
            </w:r>
          </w:p>
        </w:tc>
        <w:tc>
          <w:tcPr>
            <w:tcW w:w="0" w:type="pct"/>
            <w:vAlign w:val="bottom"/>
          </w:tcPr>
          <w:p w14:paraId="6D329375" w14:textId="17E0D228"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2022</w:t>
            </w:r>
          </w:p>
        </w:tc>
        <w:tc>
          <w:tcPr>
            <w:tcW w:w="0" w:type="pct"/>
            <w:vAlign w:val="bottom"/>
          </w:tcPr>
          <w:p w14:paraId="484FE584" w14:textId="26EB1123"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2023</w:t>
            </w:r>
          </w:p>
        </w:tc>
        <w:tc>
          <w:tcPr>
            <w:tcW w:w="0" w:type="pct"/>
            <w:vAlign w:val="bottom"/>
          </w:tcPr>
          <w:p w14:paraId="3C24D617" w14:textId="22FD45EE"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2024</w:t>
            </w:r>
          </w:p>
        </w:tc>
        <w:tc>
          <w:tcPr>
            <w:tcW w:w="0" w:type="pct"/>
            <w:vAlign w:val="bottom"/>
          </w:tcPr>
          <w:p w14:paraId="6C3601BA" w14:textId="6970899C"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2025</w:t>
            </w:r>
          </w:p>
        </w:tc>
        <w:tc>
          <w:tcPr>
            <w:tcW w:w="0" w:type="pct"/>
            <w:vAlign w:val="bottom"/>
          </w:tcPr>
          <w:p w14:paraId="6EED2072" w14:textId="1D5C10D2"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2026</w:t>
            </w:r>
          </w:p>
        </w:tc>
        <w:tc>
          <w:tcPr>
            <w:tcW w:w="0" w:type="pct"/>
            <w:vAlign w:val="bottom"/>
          </w:tcPr>
          <w:p w14:paraId="1A02BA90" w14:textId="6FFE1863"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2027</w:t>
            </w:r>
          </w:p>
        </w:tc>
        <w:tc>
          <w:tcPr>
            <w:tcW w:w="0" w:type="pct"/>
            <w:vAlign w:val="bottom"/>
          </w:tcPr>
          <w:p w14:paraId="75BBF79B" w14:textId="79D544DF" w:rsidR="00A12B6B" w:rsidRPr="00582A8D" w:rsidRDefault="00A12B6B" w:rsidP="002F1539">
            <w:pPr>
              <w:pStyle w:val="Brdtext"/>
              <w:jc w:val="righ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Totalt</w:t>
            </w:r>
            <w:r w:rsidRPr="00582A8D">
              <w:rPr>
                <w:rFonts w:asciiTheme="majorHAnsi" w:hAnsiTheme="majorHAnsi" w:cstheme="majorHAnsi"/>
                <w:sz w:val="12"/>
                <w:szCs w:val="12"/>
                <w:bdr w:val="none" w:sz="0" w:space="0" w:color="auto" w:frame="1"/>
              </w:rPr>
              <w:br/>
              <w:t>2021</w:t>
            </w:r>
            <w:r w:rsidRPr="00582A8D">
              <w:rPr>
                <w:rFonts w:asciiTheme="majorHAnsi" w:hAnsiTheme="majorHAnsi" w:cstheme="majorHAnsi"/>
                <w:i/>
                <w:iCs/>
                <w:sz w:val="12"/>
                <w:szCs w:val="12"/>
              </w:rPr>
              <w:t>–</w:t>
            </w:r>
            <w:r w:rsidRPr="00582A8D">
              <w:rPr>
                <w:rFonts w:asciiTheme="majorHAnsi" w:hAnsiTheme="majorHAnsi" w:cstheme="majorHAnsi"/>
                <w:sz w:val="12"/>
                <w:szCs w:val="12"/>
                <w:bdr w:val="none" w:sz="0" w:space="0" w:color="auto" w:frame="1"/>
              </w:rPr>
              <w:t>2027</w:t>
            </w:r>
          </w:p>
        </w:tc>
      </w:tr>
      <w:tr w:rsidR="00840A5D" w14:paraId="35D5E1D1" w14:textId="77777777" w:rsidTr="00582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val="restart"/>
            <w:vAlign w:val="center"/>
          </w:tcPr>
          <w:p w14:paraId="574B4EF5" w14:textId="79A8F96E" w:rsidR="00A12B6B" w:rsidRPr="00582A8D" w:rsidRDefault="00A12B6B" w:rsidP="00582A8D">
            <w:pPr>
              <w:pStyle w:val="Brdtext"/>
              <w:jc w:val="left"/>
              <w:rPr>
                <w:rFonts w:asciiTheme="majorHAnsi" w:hAnsiTheme="majorHAnsi" w:cstheme="majorHAnsi"/>
                <w:i w:val="0"/>
                <w:iCs w:val="0"/>
                <w:sz w:val="12"/>
                <w:szCs w:val="12"/>
              </w:rPr>
            </w:pPr>
            <w:r w:rsidRPr="00582A8D">
              <w:rPr>
                <w:rFonts w:asciiTheme="majorHAnsi" w:hAnsiTheme="majorHAnsi" w:cstheme="majorHAnsi"/>
                <w:sz w:val="12"/>
                <w:szCs w:val="12"/>
              </w:rPr>
              <w:t>2018 års priser</w:t>
            </w:r>
          </w:p>
        </w:tc>
        <w:tc>
          <w:tcPr>
            <w:tcW w:w="0" w:type="pct"/>
            <w:vAlign w:val="center"/>
          </w:tcPr>
          <w:p w14:paraId="032BC7F6" w14:textId="2B557924" w:rsidR="00A12B6B" w:rsidRPr="00582A8D" w:rsidRDefault="00A12B6B" w:rsidP="00AF3066">
            <w:pPr>
              <w:pStyle w:val="Brd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i/>
                <w:iCs/>
                <w:sz w:val="12"/>
                <w:szCs w:val="12"/>
              </w:rPr>
              <w:t>Åtaganden</w:t>
            </w:r>
          </w:p>
        </w:tc>
        <w:tc>
          <w:tcPr>
            <w:tcW w:w="0" w:type="pct"/>
            <w:vAlign w:val="center"/>
          </w:tcPr>
          <w:p w14:paraId="7F20FD3E" w14:textId="4D8FA3D3"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107</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885</w:t>
            </w:r>
          </w:p>
        </w:tc>
        <w:tc>
          <w:tcPr>
            <w:tcW w:w="0" w:type="pct"/>
            <w:vAlign w:val="center"/>
          </w:tcPr>
          <w:p w14:paraId="2FA03779" w14:textId="1A8CA6E1"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070</w:t>
            </w:r>
          </w:p>
        </w:tc>
        <w:tc>
          <w:tcPr>
            <w:tcW w:w="0" w:type="pct"/>
            <w:vAlign w:val="center"/>
          </w:tcPr>
          <w:p w14:paraId="307CF1DA" w14:textId="20EAB552"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443</w:t>
            </w:r>
          </w:p>
        </w:tc>
        <w:tc>
          <w:tcPr>
            <w:tcW w:w="0" w:type="pct"/>
            <w:vAlign w:val="center"/>
          </w:tcPr>
          <w:p w14:paraId="44570A51" w14:textId="673ACB60"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905</w:t>
            </w:r>
          </w:p>
        </w:tc>
        <w:tc>
          <w:tcPr>
            <w:tcW w:w="0" w:type="pct"/>
            <w:vAlign w:val="center"/>
          </w:tcPr>
          <w:p w14:paraId="5A33A243" w14:textId="559911BE"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877</w:t>
            </w:r>
          </w:p>
        </w:tc>
        <w:tc>
          <w:tcPr>
            <w:tcW w:w="0" w:type="pct"/>
            <w:vAlign w:val="center"/>
          </w:tcPr>
          <w:p w14:paraId="09E4C035" w14:textId="6C4A8721"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156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071</w:t>
            </w:r>
          </w:p>
        </w:tc>
        <w:tc>
          <w:tcPr>
            <w:tcW w:w="0" w:type="pct"/>
            <w:vAlign w:val="center"/>
          </w:tcPr>
          <w:p w14:paraId="27AE58E5" w14:textId="022EE66B"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155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772</w:t>
            </w:r>
          </w:p>
        </w:tc>
        <w:tc>
          <w:tcPr>
            <w:tcW w:w="0" w:type="pct"/>
            <w:vAlign w:val="center"/>
          </w:tcPr>
          <w:p w14:paraId="66950009" w14:textId="5C4A39DC"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083</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023</w:t>
            </w:r>
          </w:p>
        </w:tc>
      </w:tr>
      <w:tr w:rsidR="00840A5D" w14:paraId="3F2922C8" w14:textId="77777777" w:rsidTr="00582A8D">
        <w:tc>
          <w:tcPr>
            <w:cnfStyle w:val="001000000000" w:firstRow="0" w:lastRow="0" w:firstColumn="1" w:lastColumn="0" w:oddVBand="0" w:evenVBand="0" w:oddHBand="0" w:evenHBand="0" w:firstRowFirstColumn="0" w:firstRowLastColumn="0" w:lastRowFirstColumn="0" w:lastRowLastColumn="0"/>
            <w:tcW w:w="0" w:type="pct"/>
            <w:vMerge/>
            <w:vAlign w:val="center"/>
          </w:tcPr>
          <w:p w14:paraId="1C4ECB38" w14:textId="77777777" w:rsidR="00A12B6B" w:rsidRPr="00582A8D" w:rsidRDefault="00A12B6B" w:rsidP="00582A8D">
            <w:pPr>
              <w:pStyle w:val="Brdtext"/>
              <w:jc w:val="left"/>
              <w:rPr>
                <w:rFonts w:asciiTheme="majorHAnsi" w:hAnsiTheme="majorHAnsi" w:cstheme="majorHAnsi"/>
                <w:i w:val="0"/>
                <w:iCs w:val="0"/>
                <w:sz w:val="12"/>
                <w:szCs w:val="12"/>
              </w:rPr>
            </w:pPr>
          </w:p>
        </w:tc>
        <w:tc>
          <w:tcPr>
            <w:tcW w:w="0" w:type="pct"/>
            <w:vAlign w:val="center"/>
          </w:tcPr>
          <w:p w14:paraId="21570DF2" w14:textId="7F5175F3" w:rsidR="00A12B6B" w:rsidRPr="00582A8D" w:rsidRDefault="00A12B6B" w:rsidP="00AF3066">
            <w:pPr>
              <w:pStyle w:val="Brd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i/>
                <w:iCs/>
                <w:sz w:val="12"/>
                <w:szCs w:val="12"/>
              </w:rPr>
              <w:t>Betalningar</w:t>
            </w:r>
          </w:p>
        </w:tc>
        <w:tc>
          <w:tcPr>
            <w:tcW w:w="0" w:type="pct"/>
            <w:vAlign w:val="center"/>
          </w:tcPr>
          <w:p w14:paraId="15D6DC38" w14:textId="2738BD4C"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154</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065</w:t>
            </w:r>
          </w:p>
        </w:tc>
        <w:tc>
          <w:tcPr>
            <w:tcW w:w="0" w:type="pct"/>
            <w:vAlign w:val="center"/>
          </w:tcPr>
          <w:p w14:paraId="6ECAFEA6" w14:textId="46C2DF1B"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153</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850</w:t>
            </w:r>
          </w:p>
        </w:tc>
        <w:tc>
          <w:tcPr>
            <w:tcW w:w="0" w:type="pct"/>
            <w:vAlign w:val="center"/>
          </w:tcPr>
          <w:p w14:paraId="7C9809E2" w14:textId="3CF5E820"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146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775</w:t>
            </w:r>
          </w:p>
        </w:tc>
        <w:tc>
          <w:tcPr>
            <w:tcW w:w="0" w:type="pct"/>
            <w:vAlign w:val="center"/>
          </w:tcPr>
          <w:p w14:paraId="6FC00C60" w14:textId="40D6DAE2"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126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624</w:t>
            </w:r>
          </w:p>
        </w:tc>
        <w:tc>
          <w:tcPr>
            <w:tcW w:w="0" w:type="pct"/>
            <w:vAlign w:val="center"/>
          </w:tcPr>
          <w:p w14:paraId="35A7A0A8" w14:textId="0D97DFFB"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152</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675</w:t>
            </w:r>
          </w:p>
        </w:tc>
        <w:tc>
          <w:tcPr>
            <w:tcW w:w="0" w:type="pct"/>
            <w:vAlign w:val="center"/>
          </w:tcPr>
          <w:p w14:paraId="7ACB2884" w14:textId="1678456D"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171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696</w:t>
            </w:r>
          </w:p>
        </w:tc>
        <w:tc>
          <w:tcPr>
            <w:tcW w:w="0" w:type="pct"/>
            <w:vAlign w:val="center"/>
          </w:tcPr>
          <w:p w14:paraId="5EDE47D6" w14:textId="1F0C24A4"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163</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373</w:t>
            </w:r>
          </w:p>
        </w:tc>
        <w:tc>
          <w:tcPr>
            <w:tcW w:w="0" w:type="pct"/>
            <w:vAlign w:val="center"/>
          </w:tcPr>
          <w:p w14:paraId="1076CE90" w14:textId="2FE66A57"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069</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058</w:t>
            </w:r>
          </w:p>
        </w:tc>
      </w:tr>
      <w:tr w:rsidR="00840A5D" w14:paraId="55B5164A" w14:textId="77777777" w:rsidTr="00582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vMerge w:val="restart"/>
            <w:vAlign w:val="center"/>
          </w:tcPr>
          <w:p w14:paraId="620545DF" w14:textId="31ADA5E8" w:rsidR="00A12B6B" w:rsidRPr="00582A8D" w:rsidRDefault="00A12B6B" w:rsidP="00582A8D">
            <w:pPr>
              <w:pStyle w:val="Brdtext"/>
              <w:jc w:val="left"/>
              <w:rPr>
                <w:rFonts w:asciiTheme="majorHAnsi" w:hAnsiTheme="majorHAnsi" w:cstheme="majorHAnsi"/>
                <w:i w:val="0"/>
                <w:iCs w:val="0"/>
                <w:sz w:val="12"/>
                <w:szCs w:val="12"/>
              </w:rPr>
            </w:pPr>
            <w:r w:rsidRPr="00582A8D">
              <w:rPr>
                <w:rFonts w:asciiTheme="majorHAnsi" w:hAnsiTheme="majorHAnsi" w:cstheme="majorHAnsi"/>
                <w:sz w:val="12"/>
                <w:szCs w:val="12"/>
              </w:rPr>
              <w:t>Löpande priser</w:t>
            </w:r>
          </w:p>
        </w:tc>
        <w:tc>
          <w:tcPr>
            <w:tcW w:w="0" w:type="pct"/>
            <w:vAlign w:val="center"/>
          </w:tcPr>
          <w:p w14:paraId="673C6A15" w14:textId="2417CA03" w:rsidR="00A12B6B" w:rsidRPr="00582A8D" w:rsidRDefault="00A12B6B" w:rsidP="00AF3066">
            <w:pPr>
              <w:pStyle w:val="Brdtex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i/>
                <w:iCs/>
                <w:sz w:val="12"/>
                <w:szCs w:val="12"/>
              </w:rPr>
              <w:t>Åtaganden</w:t>
            </w:r>
          </w:p>
        </w:tc>
        <w:tc>
          <w:tcPr>
            <w:tcW w:w="0" w:type="pct"/>
            <w:vAlign w:val="center"/>
          </w:tcPr>
          <w:p w14:paraId="7F567564" w14:textId="1FC76E68"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114</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493</w:t>
            </w:r>
          </w:p>
        </w:tc>
        <w:tc>
          <w:tcPr>
            <w:tcW w:w="0" w:type="pct"/>
            <w:vAlign w:val="center"/>
          </w:tcPr>
          <w:p w14:paraId="32E2876C" w14:textId="40E34ADF"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179</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765</w:t>
            </w:r>
          </w:p>
        </w:tc>
        <w:tc>
          <w:tcPr>
            <w:tcW w:w="0" w:type="pct"/>
            <w:vAlign w:val="center"/>
          </w:tcPr>
          <w:p w14:paraId="37720B15" w14:textId="6ABC249A"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182</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667</w:t>
            </w:r>
          </w:p>
        </w:tc>
        <w:tc>
          <w:tcPr>
            <w:tcW w:w="0" w:type="pct"/>
            <w:vAlign w:val="center"/>
          </w:tcPr>
          <w:p w14:paraId="2D1FFE18" w14:textId="4ED50EBF"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186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840</w:t>
            </w:r>
          </w:p>
        </w:tc>
        <w:tc>
          <w:tcPr>
            <w:tcW w:w="0" w:type="pct"/>
            <w:vAlign w:val="center"/>
          </w:tcPr>
          <w:p w14:paraId="3F63B3EA" w14:textId="5EA39751"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190</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544</w:t>
            </w:r>
          </w:p>
        </w:tc>
        <w:tc>
          <w:tcPr>
            <w:tcW w:w="0" w:type="pct"/>
            <w:vAlign w:val="center"/>
          </w:tcPr>
          <w:p w14:paraId="6EF9DFA3" w14:textId="44F0E7C6"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182</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866</w:t>
            </w:r>
          </w:p>
        </w:tc>
        <w:tc>
          <w:tcPr>
            <w:tcW w:w="0" w:type="pct"/>
            <w:vAlign w:val="center"/>
          </w:tcPr>
          <w:p w14:paraId="030562EF" w14:textId="68F87F9A"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186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164</w:t>
            </w:r>
          </w:p>
        </w:tc>
        <w:tc>
          <w:tcPr>
            <w:tcW w:w="0" w:type="pct"/>
            <w:vAlign w:val="center"/>
          </w:tcPr>
          <w:p w14:paraId="00B121E7" w14:textId="20442DA2" w:rsidR="00A12B6B" w:rsidRPr="00582A8D" w:rsidRDefault="00A12B6B" w:rsidP="00582A8D">
            <w:pPr>
              <w:pStyle w:val="Brdtext"/>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223</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339</w:t>
            </w:r>
          </w:p>
        </w:tc>
      </w:tr>
      <w:tr w:rsidR="00840A5D" w14:paraId="13AA0595" w14:textId="77777777" w:rsidTr="00582A8D">
        <w:tc>
          <w:tcPr>
            <w:cnfStyle w:val="001000000000" w:firstRow="0" w:lastRow="0" w:firstColumn="1" w:lastColumn="0" w:oddVBand="0" w:evenVBand="0" w:oddHBand="0" w:evenHBand="0" w:firstRowFirstColumn="0" w:firstRowLastColumn="0" w:lastRowFirstColumn="0" w:lastRowLastColumn="0"/>
            <w:tcW w:w="0" w:type="pct"/>
            <w:vMerge/>
            <w:vAlign w:val="center"/>
          </w:tcPr>
          <w:p w14:paraId="6DEB2214" w14:textId="77777777" w:rsidR="00A12B6B" w:rsidRPr="00582A8D" w:rsidRDefault="00A12B6B" w:rsidP="00582A8D">
            <w:pPr>
              <w:pStyle w:val="Brdtext"/>
              <w:jc w:val="left"/>
              <w:rPr>
                <w:rFonts w:asciiTheme="majorHAnsi" w:hAnsiTheme="majorHAnsi" w:cstheme="majorHAnsi"/>
                <w:i w:val="0"/>
                <w:iCs w:val="0"/>
                <w:sz w:val="12"/>
                <w:szCs w:val="12"/>
              </w:rPr>
            </w:pPr>
          </w:p>
        </w:tc>
        <w:tc>
          <w:tcPr>
            <w:tcW w:w="0" w:type="pct"/>
            <w:vAlign w:val="center"/>
          </w:tcPr>
          <w:p w14:paraId="11090CC8" w14:textId="7F3CBD34" w:rsidR="00A12B6B" w:rsidRPr="00582A8D" w:rsidRDefault="00A12B6B" w:rsidP="00AF3066">
            <w:pPr>
              <w:pStyle w:val="Brdtex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i/>
                <w:iCs/>
                <w:sz w:val="12"/>
                <w:szCs w:val="12"/>
              </w:rPr>
              <w:t>Betalningar</w:t>
            </w:r>
          </w:p>
        </w:tc>
        <w:tc>
          <w:tcPr>
            <w:tcW w:w="0" w:type="pct"/>
            <w:vAlign w:val="center"/>
          </w:tcPr>
          <w:p w14:paraId="708743A0" w14:textId="72976EE6"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163</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496</w:t>
            </w:r>
          </w:p>
        </w:tc>
        <w:tc>
          <w:tcPr>
            <w:tcW w:w="0" w:type="pct"/>
            <w:vAlign w:val="center"/>
          </w:tcPr>
          <w:p w14:paraId="103A3801" w14:textId="36865F99"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534</w:t>
            </w:r>
          </w:p>
        </w:tc>
        <w:tc>
          <w:tcPr>
            <w:tcW w:w="0" w:type="pct"/>
            <w:vAlign w:val="center"/>
          </w:tcPr>
          <w:p w14:paraId="248340FA" w14:textId="5C0E35BD"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162</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053</w:t>
            </w:r>
          </w:p>
        </w:tc>
        <w:tc>
          <w:tcPr>
            <w:tcW w:w="0" w:type="pct"/>
            <w:vAlign w:val="center"/>
          </w:tcPr>
          <w:p w14:paraId="5A607CA7" w14:textId="2830869A"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142</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601</w:t>
            </w:r>
          </w:p>
        </w:tc>
        <w:tc>
          <w:tcPr>
            <w:tcW w:w="0" w:type="pct"/>
            <w:vAlign w:val="center"/>
          </w:tcPr>
          <w:p w14:paraId="429AF799" w14:textId="68A88DD8"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175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378</w:t>
            </w:r>
          </w:p>
        </w:tc>
        <w:tc>
          <w:tcPr>
            <w:tcW w:w="0" w:type="pct"/>
            <w:vAlign w:val="center"/>
          </w:tcPr>
          <w:p w14:paraId="4E1975C2" w14:textId="255697BF"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201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170</w:t>
            </w:r>
          </w:p>
        </w:tc>
        <w:tc>
          <w:tcPr>
            <w:tcW w:w="0" w:type="pct"/>
            <w:vAlign w:val="center"/>
          </w:tcPr>
          <w:p w14:paraId="41C770C3" w14:textId="06085308"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195</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246</w:t>
            </w:r>
          </w:p>
        </w:tc>
        <w:tc>
          <w:tcPr>
            <w:tcW w:w="0" w:type="pct"/>
            <w:vAlign w:val="center"/>
          </w:tcPr>
          <w:p w14:paraId="1B3DC827" w14:textId="086608D1" w:rsidR="00A12B6B" w:rsidRPr="00582A8D" w:rsidRDefault="00A12B6B" w:rsidP="00582A8D">
            <w:pPr>
              <w:pStyle w:val="Brdtext"/>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12"/>
                <w:szCs w:val="12"/>
              </w:rPr>
            </w:pPr>
            <w:r w:rsidRPr="00582A8D">
              <w:rPr>
                <w:rFonts w:asciiTheme="majorHAnsi" w:hAnsiTheme="majorHAnsi" w:cstheme="majorHAnsi"/>
                <w:sz w:val="12"/>
                <w:szCs w:val="12"/>
                <w:bdr w:val="none" w:sz="0" w:space="0" w:color="auto" w:frame="1"/>
              </w:rPr>
              <w:t>1</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206</w:t>
            </w:r>
            <w:r w:rsidRPr="00582A8D">
              <w:rPr>
                <w:rFonts w:asciiTheme="majorHAnsi" w:hAnsiTheme="majorHAnsi" w:cstheme="majorHAnsi" w:hint="eastAsia"/>
                <w:sz w:val="12"/>
                <w:szCs w:val="12"/>
                <w:bdr w:val="none" w:sz="0" w:space="0" w:color="auto" w:frame="1"/>
              </w:rPr>
              <w:t> </w:t>
            </w:r>
            <w:r w:rsidRPr="00582A8D">
              <w:rPr>
                <w:rFonts w:asciiTheme="majorHAnsi" w:hAnsiTheme="majorHAnsi" w:cstheme="majorHAnsi"/>
                <w:sz w:val="12"/>
                <w:szCs w:val="12"/>
                <w:bdr w:val="none" w:sz="0" w:space="0" w:color="auto" w:frame="1"/>
              </w:rPr>
              <w:t>478</w:t>
            </w:r>
          </w:p>
        </w:tc>
      </w:tr>
    </w:tbl>
    <w:p w14:paraId="60928C32" w14:textId="77777777" w:rsidR="007D542F" w:rsidRDefault="00E9396B" w:rsidP="007D542F">
      <w:pPr>
        <w:pStyle w:val="Rubrik2"/>
      </w:pPr>
      <w:sdt>
        <w:sdtPr>
          <w:id w:val="-2087607690"/>
          <w:lock w:val="contentLocked"/>
          <w:placeholder>
            <w:docPart w:val="0A963B3E9B1041D6BA8E9AB1D81EE288"/>
          </w:placeholder>
          <w:group/>
        </w:sdtPr>
        <w:sdtEndPr/>
        <w:sdtContent>
          <w:r w:rsidR="007D542F">
            <w:t>Gällande svenska regler och förslagets effekt på dessa</w:t>
          </w:r>
        </w:sdtContent>
      </w:sdt>
    </w:p>
    <w:p w14:paraId="711951D2" w14:textId="61597C52" w:rsidR="007D542F" w:rsidRPr="00472EBA" w:rsidRDefault="00C540DE" w:rsidP="007D542F">
      <w:pPr>
        <w:pStyle w:val="Brdtext"/>
      </w:pPr>
      <w:r w:rsidRPr="00C540DE">
        <w:t>Förslaget har ingen</w:t>
      </w:r>
      <w:r w:rsidR="00046B87">
        <w:t xml:space="preserve"> </w:t>
      </w:r>
      <w:r w:rsidRPr="00C540DE">
        <w:t>effekt på svenska regler.</w:t>
      </w:r>
    </w:p>
    <w:p w14:paraId="7364E890" w14:textId="77777777" w:rsidR="007D542F" w:rsidRDefault="00E9396B" w:rsidP="007D542F">
      <w:pPr>
        <w:pStyle w:val="Rubrik2"/>
      </w:pPr>
      <w:sdt>
        <w:sdtPr>
          <w:id w:val="-1431199353"/>
          <w:lock w:val="contentLocked"/>
          <w:placeholder>
            <w:docPart w:val="0A963B3E9B1041D6BA8E9AB1D81EE28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DD34428" w14:textId="4FD06B77" w:rsidR="00C540DE" w:rsidRDefault="00C540DE" w:rsidP="00C540DE">
      <w:pPr>
        <w:pStyle w:val="Brdtext"/>
      </w:pPr>
      <w:r>
        <w:t xml:space="preserve">Nivån på betalningarna från EU-budgeten får genom systemet för EU:s egna medel en direkt effekt på medlemsstaternas EU-avgifter under det aktuella budgetåret. Åtagandena får effekt på avgifterna när de </w:t>
      </w:r>
      <w:r w:rsidR="00780605">
        <w:t>ut</w:t>
      </w:r>
      <w:r>
        <w:t xml:space="preserve">faller till betalningar, vilket för vissa anslag sker under budgetåret och för andra sker efterföljande år.  </w:t>
      </w:r>
    </w:p>
    <w:p w14:paraId="7F037411" w14:textId="652E1002" w:rsidR="00C540DE" w:rsidRDefault="00C540DE" w:rsidP="00C540DE">
      <w:pPr>
        <w:pStyle w:val="Brdtext"/>
      </w:pPr>
      <w:r>
        <w:t>En mängd faktorer, bland annat årsbudgeten, påverkar regeringens prognoser för EU-avgiften. I regeringens proposition 202</w:t>
      </w:r>
      <w:r w:rsidR="00017278">
        <w:t>4</w:t>
      </w:r>
      <w:r>
        <w:t>/2</w:t>
      </w:r>
      <w:r w:rsidR="00017278">
        <w:t>5</w:t>
      </w:r>
      <w:r>
        <w:t xml:space="preserve">:1, budgetproposition för </w:t>
      </w:r>
      <w:r>
        <w:lastRenderedPageBreak/>
        <w:t>202</w:t>
      </w:r>
      <w:r w:rsidR="00046B87">
        <w:t>6</w:t>
      </w:r>
      <w:r>
        <w:t xml:space="preserve"> uppgick beräkningen för EU-avgiften för 202</w:t>
      </w:r>
      <w:r w:rsidR="00046B87">
        <w:t>7</w:t>
      </w:r>
      <w:r>
        <w:t xml:space="preserve"> till </w:t>
      </w:r>
      <w:r w:rsidR="00472434">
        <w:t>5</w:t>
      </w:r>
      <w:r w:rsidR="00046B87">
        <w:t>7,7</w:t>
      </w:r>
      <w:r>
        <w:t xml:space="preserve"> miljarder kronor</w:t>
      </w:r>
      <w:r w:rsidR="00215F9A">
        <w:t xml:space="preserve">. </w:t>
      </w:r>
      <w:r w:rsidR="001F563A">
        <w:t>Betalningarna beräknas öka år 202</w:t>
      </w:r>
      <w:r w:rsidR="00C115A0">
        <w:t>7</w:t>
      </w:r>
      <w:r w:rsidR="001F563A">
        <w:t xml:space="preserve"> genom infrianden av tidigare beslutade betalningsåtaganden</w:t>
      </w:r>
      <w:r w:rsidR="00390492">
        <w:t xml:space="preserve"> vilket </w:t>
      </w:r>
      <w:r w:rsidR="006E2D0C">
        <w:t>kan komma att påverka</w:t>
      </w:r>
      <w:r w:rsidR="00390492">
        <w:t xml:space="preserve"> prognosen för den svenska EU-avgiften. </w:t>
      </w:r>
      <w:r>
        <w:t>Det är först när beslutet om årsbudgeten har fattats som den svenska EU-avgiften för 202</w:t>
      </w:r>
      <w:r w:rsidR="00C115A0">
        <w:t>7</w:t>
      </w:r>
      <w:r>
        <w:t xml:space="preserve"> kan beräknas med större säkerhet. Andra faktorer kan fortsatt ändra prognosen såväl uppåt som nedåt. </w:t>
      </w:r>
    </w:p>
    <w:p w14:paraId="013ABF26" w14:textId="6CEA992E" w:rsidR="007D542F" w:rsidRPr="00472EBA" w:rsidRDefault="00C540DE" w:rsidP="00C540DE">
      <w:pPr>
        <w:pStyle w:val="Brdtext"/>
      </w:pPr>
      <w:r>
        <w:t>Årsbudgetförslaget reglerar inte politikens innehåll utan endast anslagsnivåerna för redan beslutade åtgärder. Kommissionens förslag innehåller ingen konsekvensanalys, exempelvis när det gäller jämställdhetsaspekten av förslaget.</w:t>
      </w:r>
    </w:p>
    <w:sdt>
      <w:sdtPr>
        <w:id w:val="830331803"/>
        <w:lock w:val="contentLocked"/>
        <w:placeholder>
          <w:docPart w:val="0A963B3E9B1041D6BA8E9AB1D81EE288"/>
        </w:placeholder>
        <w:group/>
      </w:sdtPr>
      <w:sdtEndPr/>
      <w:sdtContent>
        <w:p w14:paraId="45C3B865" w14:textId="77777777" w:rsidR="007D542F" w:rsidRDefault="007D542F" w:rsidP="007D542F">
          <w:pPr>
            <w:pStyle w:val="Rubrik1"/>
          </w:pPr>
          <w:r>
            <w:t>Ståndpunkter</w:t>
          </w:r>
        </w:p>
      </w:sdtContent>
    </w:sdt>
    <w:p w14:paraId="0085DF40" w14:textId="77777777" w:rsidR="007D542F" w:rsidRDefault="00E9396B" w:rsidP="007D542F">
      <w:pPr>
        <w:pStyle w:val="Rubrik2"/>
      </w:pPr>
      <w:sdt>
        <w:sdtPr>
          <w:id w:val="-483085086"/>
          <w:lock w:val="contentLocked"/>
          <w:placeholder>
            <w:docPart w:val="0A963B3E9B1041D6BA8E9AB1D81EE288"/>
          </w:placeholder>
          <w:group/>
        </w:sdtPr>
        <w:sdtEndPr/>
        <w:sdtContent>
          <w:r w:rsidR="007D542F">
            <w:t>Preliminär svensk ståndpunkt</w:t>
          </w:r>
        </w:sdtContent>
      </w:sdt>
    </w:p>
    <w:p w14:paraId="216D3057" w14:textId="35C7E29E" w:rsidR="0075652C" w:rsidRDefault="0075652C" w:rsidP="0075652C">
      <w:pPr>
        <w:overflowPunct w:val="0"/>
        <w:autoSpaceDE w:val="0"/>
        <w:autoSpaceDN w:val="0"/>
        <w:adjustRightInd w:val="0"/>
        <w:textAlignment w:val="baseline"/>
      </w:pPr>
      <w:r w:rsidRPr="009D0A68">
        <w:t>Sverige verkar för en effektiv och återhållsam budgetpolitik inom EU, i enlighet med prop. 1994/95:40. Målet innebär att regeringen ska verka för en kostnadseffektiv användning av EU:s medel och att närhetsprincipen ska tillämpas på budgetområdet. Det innebär också strikt budgetdisciplin, d</w:t>
      </w:r>
      <w:r>
        <w:t>et vill säga</w:t>
      </w:r>
      <w:r w:rsidRPr="009D0A68">
        <w:t xml:space="preserve"> att verka för en begränsning av EU:s utgifter inom budgetramen och därmed </w:t>
      </w:r>
      <w:r>
        <w:t xml:space="preserve">av </w:t>
      </w:r>
      <w:r w:rsidRPr="009D0A68">
        <w:t>den svenska avgiften till EU. Det överg</w:t>
      </w:r>
      <w:r>
        <w:t>ripande målet i arbetet med 2027</w:t>
      </w:r>
      <w:r w:rsidRPr="009D0A68">
        <w:t xml:space="preserve"> års EU-budget är därmed, liksom tidigare år, att nå en så restriktiv budget som mö</w:t>
      </w:r>
      <w:r>
        <w:t>jligt som med god marginal ryms</w:t>
      </w:r>
      <w:r w:rsidRPr="009D0A68">
        <w:t xml:space="preserve"> inom de beslutade taken i den fleråriga budgetramen för åren 20</w:t>
      </w:r>
      <w:r>
        <w:t>21</w:t>
      </w:r>
      <w:r w:rsidRPr="009D0A68">
        <w:t>–2027</w:t>
      </w:r>
      <w:r w:rsidRPr="00546E53">
        <w:t xml:space="preserve">. </w:t>
      </w:r>
      <w:r w:rsidRPr="00F3666E">
        <w:t xml:space="preserve">Vägledande för Sveriges agerande är vidare principerna om europeiskt mervärde, proportionalitet, resultatinriktning, kostnadseffektivitet och en sund ekonomisk förvaltning, där jämställdhetsintegrering utgör en del. </w:t>
      </w:r>
      <w:r w:rsidRPr="00546E53">
        <w:t>Betalningsanslagen ska baseras på realistiska och väl underbyggda och verifierade prognoser och spegla tidigare genomförande.</w:t>
      </w:r>
    </w:p>
    <w:p w14:paraId="74E43BB0" w14:textId="77777777" w:rsidR="0075652C" w:rsidRDefault="0075652C" w:rsidP="0075652C">
      <w:r w:rsidRPr="00315A4F">
        <w:t>Sverige verkar vidare för ett lojalt genomförande av halvtidsöversynen av den fleråriga budgetramen, särskilt vad gäller den så kallade kaskadmekanismen för räntebetalningar kopplade till EU:s återhämtningsinstrument.</w:t>
      </w:r>
    </w:p>
    <w:p w14:paraId="72D2D714" w14:textId="10F6CA1A" w:rsidR="0075652C" w:rsidRPr="00CD6324" w:rsidRDefault="0075652C" w:rsidP="0075652C">
      <w:r w:rsidRPr="00674AE4">
        <w:t>Sverige stö</w:t>
      </w:r>
      <w:r>
        <w:t>der</w:t>
      </w:r>
      <w:r w:rsidRPr="00674AE4">
        <w:t xml:space="preserve"> det nya stödlånet till Ukraina om 90 miljarder euro som antogs den 23 april 2026 </w:t>
      </w:r>
      <w:r>
        <w:t>och som bygger på den</w:t>
      </w:r>
      <w:r w:rsidRPr="0012461C">
        <w:t xml:space="preserve"> överenskommelse som nåddes vid Europeiska rådets möte den 18 december 2025. Sverige verkar för att lånekostnaderna i första hand ska finansieras av tillgängliga budgetmedel inom </w:t>
      </w:r>
      <w:r w:rsidRPr="0012461C">
        <w:lastRenderedPageBreak/>
        <w:t>den nuvarande fleråriga budgetramen. I andra hand ska befintliga specialinstrument användas. I sista hand ska ett nytt särskilt specialinstrument, som endast får mobiliseras för detta ändamål, nyttjas.</w:t>
      </w:r>
    </w:p>
    <w:p w14:paraId="6155C63C" w14:textId="77777777" w:rsidR="007D542F" w:rsidRDefault="00E9396B" w:rsidP="007D542F">
      <w:pPr>
        <w:pStyle w:val="Rubrik2"/>
      </w:pPr>
      <w:sdt>
        <w:sdtPr>
          <w:id w:val="1941718165"/>
          <w:lock w:val="contentLocked"/>
          <w:placeholder>
            <w:docPart w:val="0A963B3E9B1041D6BA8E9AB1D81EE288"/>
          </w:placeholder>
          <w:group/>
        </w:sdtPr>
        <w:sdtEndPr/>
        <w:sdtContent>
          <w:r w:rsidR="007D542F">
            <w:t>Medlemsstaternas ståndpunkter</w:t>
          </w:r>
        </w:sdtContent>
      </w:sdt>
    </w:p>
    <w:p w14:paraId="32A2C407" w14:textId="553F337C" w:rsidR="007D542F" w:rsidRPr="00472EBA" w:rsidRDefault="00C540DE" w:rsidP="007D542F">
      <w:pPr>
        <w:pStyle w:val="Brdtext"/>
      </w:pPr>
      <w:r w:rsidRPr="00C540DE">
        <w:t>Sverige ingår i en grupp av likasinnade medlems</w:t>
      </w:r>
      <w:r w:rsidR="00424766">
        <w:t>s</w:t>
      </w:r>
      <w:r w:rsidRPr="00C540DE">
        <w:t>tater som tillsammans förespråkar en budgetrestriktiv linje i rådet.</w:t>
      </w:r>
    </w:p>
    <w:p w14:paraId="294702A2" w14:textId="77777777" w:rsidR="007D542F" w:rsidRDefault="00E9396B" w:rsidP="007D542F">
      <w:pPr>
        <w:pStyle w:val="Rubrik2"/>
      </w:pPr>
      <w:sdt>
        <w:sdtPr>
          <w:id w:val="-1927257506"/>
          <w:lock w:val="contentLocked"/>
          <w:placeholder>
            <w:docPart w:val="0A963B3E9B1041D6BA8E9AB1D81EE288"/>
          </w:placeholder>
          <w:group/>
        </w:sdtPr>
        <w:sdtEndPr/>
        <w:sdtContent>
          <w:r w:rsidR="007D542F">
            <w:t>Institutionernas ståndpunkter</w:t>
          </w:r>
        </w:sdtContent>
      </w:sdt>
    </w:p>
    <w:p w14:paraId="243CBC46" w14:textId="6FA8C061" w:rsidR="007D542F" w:rsidRPr="00472EBA" w:rsidRDefault="00C540DE" w:rsidP="007D542F">
      <w:pPr>
        <w:pStyle w:val="Brdtext"/>
      </w:pPr>
      <w:r w:rsidRPr="00C540DE">
        <w:t>Europaparlamentets ståndpunkt är ännu inte känd.</w:t>
      </w:r>
    </w:p>
    <w:p w14:paraId="490F7E7B" w14:textId="77777777" w:rsidR="007D542F" w:rsidRDefault="00E9396B" w:rsidP="007D542F">
      <w:pPr>
        <w:pStyle w:val="Rubrik2"/>
      </w:pPr>
      <w:sdt>
        <w:sdtPr>
          <w:id w:val="-497725553"/>
          <w:lock w:val="contentLocked"/>
          <w:placeholder>
            <w:docPart w:val="0A963B3E9B1041D6BA8E9AB1D81EE288"/>
          </w:placeholder>
          <w:group/>
        </w:sdtPr>
        <w:sdtEndPr/>
        <w:sdtContent>
          <w:r w:rsidR="007D542F">
            <w:t xml:space="preserve">Remissinstansernas och </w:t>
          </w:r>
          <w:r w:rsidR="004B795E">
            <w:t xml:space="preserve">andra </w:t>
          </w:r>
          <w:r w:rsidR="007D542F">
            <w:t>intressenters ståndpunkter</w:t>
          </w:r>
        </w:sdtContent>
      </w:sdt>
    </w:p>
    <w:p w14:paraId="7273FF3C" w14:textId="439C189E" w:rsidR="007D542F" w:rsidRPr="00472EBA" w:rsidRDefault="00C540DE" w:rsidP="007D542F">
      <w:pPr>
        <w:pStyle w:val="Brdtext"/>
      </w:pPr>
      <w:r w:rsidRPr="00C540DE">
        <w:t>Förslaget har inte remitterats.</w:t>
      </w:r>
    </w:p>
    <w:sdt>
      <w:sdtPr>
        <w:id w:val="511343921"/>
        <w:lock w:val="contentLocked"/>
        <w:placeholder>
          <w:docPart w:val="0A963B3E9B1041D6BA8E9AB1D81EE288"/>
        </w:placeholder>
        <w:group/>
      </w:sdtPr>
      <w:sdtEndPr/>
      <w:sdtContent>
        <w:p w14:paraId="671396BB" w14:textId="77777777" w:rsidR="007D542F" w:rsidRDefault="007D542F" w:rsidP="007D542F">
          <w:pPr>
            <w:pStyle w:val="Rubrik1"/>
          </w:pPr>
          <w:r>
            <w:t>Förslagets förutsättningar</w:t>
          </w:r>
        </w:p>
      </w:sdtContent>
    </w:sdt>
    <w:p w14:paraId="758A8089" w14:textId="77777777" w:rsidR="007D542F" w:rsidRDefault="00E9396B" w:rsidP="007D542F">
      <w:pPr>
        <w:pStyle w:val="Rubrik2"/>
      </w:pPr>
      <w:sdt>
        <w:sdtPr>
          <w:id w:val="1163133293"/>
          <w:lock w:val="contentLocked"/>
          <w:placeholder>
            <w:docPart w:val="0A963B3E9B1041D6BA8E9AB1D81EE288"/>
          </w:placeholder>
          <w:group/>
        </w:sdtPr>
        <w:sdtEndPr/>
        <w:sdtContent>
          <w:r w:rsidR="007D542F">
            <w:t>Rättslig grund och beslutsförfarande</w:t>
          </w:r>
        </w:sdtContent>
      </w:sdt>
    </w:p>
    <w:p w14:paraId="77772D4F" w14:textId="1050533F" w:rsidR="00C540DE" w:rsidRDefault="00C540DE" w:rsidP="00C540DE">
      <w:pPr>
        <w:pStyle w:val="Brdtext"/>
      </w:pPr>
      <w:r>
        <w:t>De grundläggande reglerna för upprättandet av EU-budgeten regleras i artiklarna 313–316 i fördraget om Europeiska unionens funktionssätt. Beslut om årsbudgeten fattas av rådet och Europaparlamentet med utgångspunkt från det ordinarie lagstiftningsförfarandet. I rådet fattas beslut med kvalificerad majoritet.</w:t>
      </w:r>
    </w:p>
    <w:p w14:paraId="5D720A98" w14:textId="159EE2FB" w:rsidR="007D542F" w:rsidRPr="00472EBA" w:rsidRDefault="00C540DE" w:rsidP="00C540DE">
      <w:pPr>
        <w:pStyle w:val="Brdtext"/>
      </w:pPr>
      <w:r>
        <w:t>Den tekniska justeringen av den fleråriga budgetramen för 2021–2027 regleras i artikel 4 i rådets förordning (EU, Euratom) 2020/2093 (förordningen om den fleråriga budgetramen).</w:t>
      </w:r>
    </w:p>
    <w:p w14:paraId="7B0D48C0" w14:textId="77777777" w:rsidR="007D542F" w:rsidRDefault="00E9396B" w:rsidP="007D542F">
      <w:pPr>
        <w:pStyle w:val="Rubrik2"/>
      </w:pPr>
      <w:sdt>
        <w:sdtPr>
          <w:id w:val="-463277102"/>
          <w:lock w:val="contentLocked"/>
          <w:placeholder>
            <w:docPart w:val="0A963B3E9B1041D6BA8E9AB1D81EE288"/>
          </w:placeholder>
          <w:group/>
        </w:sdtPr>
        <w:sdtEndPr/>
        <w:sdtContent>
          <w:r w:rsidR="007D542F">
            <w:t>Subsidiaritets- och proportionalitetsprincipe</w:t>
          </w:r>
          <w:r w:rsidR="00F02290">
            <w:t>r</w:t>
          </w:r>
          <w:r w:rsidR="007D542F">
            <w:t>n</w:t>
          </w:r>
          <w:r w:rsidR="00F02290">
            <w:t>a</w:t>
          </w:r>
        </w:sdtContent>
      </w:sdt>
    </w:p>
    <w:p w14:paraId="47ACDE4B" w14:textId="32E2936C" w:rsidR="007D542F" w:rsidRPr="00472EBA" w:rsidRDefault="00C540DE" w:rsidP="007D542F">
      <w:pPr>
        <w:pStyle w:val="Brdtext"/>
      </w:pPr>
      <w:r w:rsidRPr="00C540DE">
        <w:t>EU:s årsbudget kan endast beslutas på EU-nivå.</w:t>
      </w:r>
    </w:p>
    <w:sdt>
      <w:sdtPr>
        <w:id w:val="211079442"/>
        <w:lock w:val="contentLocked"/>
        <w:placeholder>
          <w:docPart w:val="0A963B3E9B1041D6BA8E9AB1D81EE288"/>
        </w:placeholder>
        <w:group/>
      </w:sdtPr>
      <w:sdtEndPr/>
      <w:sdtContent>
        <w:p w14:paraId="4DD8B67E" w14:textId="77777777" w:rsidR="007D542F" w:rsidRDefault="007D542F" w:rsidP="007D542F">
          <w:pPr>
            <w:pStyle w:val="Rubrik1"/>
          </w:pPr>
          <w:r>
            <w:t>Övrigt</w:t>
          </w:r>
        </w:p>
      </w:sdtContent>
    </w:sdt>
    <w:p w14:paraId="0DDDD20C" w14:textId="77777777" w:rsidR="007D542F" w:rsidRDefault="00E9396B" w:rsidP="007D542F">
      <w:pPr>
        <w:pStyle w:val="Rubrik2"/>
      </w:pPr>
      <w:sdt>
        <w:sdtPr>
          <w:id w:val="-1578510440"/>
          <w:lock w:val="contentLocked"/>
          <w:placeholder>
            <w:docPart w:val="0A963B3E9B1041D6BA8E9AB1D81EE288"/>
          </w:placeholder>
          <w:group/>
        </w:sdtPr>
        <w:sdtEndPr/>
        <w:sdtContent>
          <w:r w:rsidR="007D542F">
            <w:t>Fortsatt behandling av ärendet</w:t>
          </w:r>
        </w:sdtContent>
      </w:sdt>
    </w:p>
    <w:p w14:paraId="1E8457B6" w14:textId="344A9D64" w:rsidR="0075652C" w:rsidRDefault="0075652C" w:rsidP="0075652C">
      <w:r>
        <w:t xml:space="preserve">Kommissionen presenterade förslaget till EU:s årsbudget för 2027 den 10 juni. Under juni och juli behandlas förslaget i rådets budgetkommitté och därefter i Coreper II. </w:t>
      </w:r>
      <w:proofErr w:type="spellStart"/>
      <w:r>
        <w:t>Coreperbehandlingen</w:t>
      </w:r>
      <w:proofErr w:type="spellEnd"/>
      <w:r>
        <w:t xml:space="preserve"> planeras äga rum den 15 juli. </w:t>
      </w:r>
      <w:proofErr w:type="spellStart"/>
      <w:r>
        <w:t>Ekofin</w:t>
      </w:r>
      <w:r w:rsidR="00445ACC">
        <w:t>rådets</w:t>
      </w:r>
      <w:proofErr w:type="spellEnd"/>
      <w:r>
        <w:t xml:space="preserve"> budget</w:t>
      </w:r>
      <w:r w:rsidR="00445ACC">
        <w:t>möte</w:t>
      </w:r>
      <w:r>
        <w:t xml:space="preserve"> planeras hållas den 27 juli.</w:t>
      </w:r>
    </w:p>
    <w:p w14:paraId="5625ACF2" w14:textId="40152D41" w:rsidR="0075652C" w:rsidRDefault="0075652C" w:rsidP="0075652C">
      <w:r>
        <w:t xml:space="preserve">Om en överenskommelse avseende rådets ståndpunkt kan nås i Coreper den 15 juli kommer </w:t>
      </w:r>
      <w:proofErr w:type="spellStart"/>
      <w:r>
        <w:t>Ekofin</w:t>
      </w:r>
      <w:r w:rsidR="00445ACC">
        <w:t>rådets</w:t>
      </w:r>
      <w:proofErr w:type="spellEnd"/>
      <w:r>
        <w:t xml:space="preserve"> budget</w:t>
      </w:r>
      <w:r w:rsidR="00445ACC">
        <w:t>möte</w:t>
      </w:r>
      <w:r>
        <w:t xml:space="preserve"> den 27 juli inte att vara nödvändigt och kan då ställas in. Rådet förväntas då i stället anta sin läsning av förslaget genom skriftligt förfarande i september.</w:t>
      </w:r>
    </w:p>
    <w:p w14:paraId="7E6892DB" w14:textId="6765480E" w:rsidR="0075652C" w:rsidRDefault="0075652C" w:rsidP="0075652C">
      <w:r>
        <w:t>Under hösten fortsätter processen med att Europaparlamentet antar sin läsning av förslaget under plenarsammanträde i slutet av oktober. Därefter följer ett förlikningsförfarande mellan rådet och Europa</w:t>
      </w:r>
      <w:r>
        <w:softHyphen/>
        <w:t>parlamentet. Slutförhand</w:t>
      </w:r>
      <w:r>
        <w:softHyphen/>
        <w:t xml:space="preserve">lingen väntas genomföras i november i samband med </w:t>
      </w:r>
      <w:proofErr w:type="spellStart"/>
      <w:r>
        <w:t>Ekofin</w:t>
      </w:r>
      <w:r w:rsidR="00445ACC">
        <w:t>rådets</w:t>
      </w:r>
      <w:proofErr w:type="spellEnd"/>
      <w:r>
        <w:t xml:space="preserve"> budget</w:t>
      </w:r>
      <w:r w:rsidR="00445ACC">
        <w:t>möte</w:t>
      </w:r>
      <w:r w:rsidR="00780605">
        <w:t xml:space="preserve"> som planeras till</w:t>
      </w:r>
      <w:r>
        <w:t xml:space="preserve"> den </w:t>
      </w:r>
      <w:r w:rsidR="00E07E2B">
        <w:t>10</w:t>
      </w:r>
      <w:r>
        <w:t xml:space="preserve"> november.</w:t>
      </w:r>
    </w:p>
    <w:p w14:paraId="11CFDAC6" w14:textId="4EED739D" w:rsidR="007D542F" w:rsidRDefault="00C540DE" w:rsidP="00C540DE">
      <w:pPr>
        <w:pStyle w:val="Brdtext"/>
      </w:pPr>
      <w:r>
        <w:t>Efter slutförhandlingen ska Europarlamentet inom två veckor fastställa budgeten för 202</w:t>
      </w:r>
      <w:r w:rsidR="0075652C">
        <w:t>7</w:t>
      </w:r>
      <w:r>
        <w:t>.</w:t>
      </w:r>
    </w:p>
    <w:p w14:paraId="6E088B2F" w14:textId="77777777" w:rsidR="007D542F" w:rsidRDefault="00E9396B" w:rsidP="007D542F">
      <w:pPr>
        <w:pStyle w:val="Rubrik2"/>
      </w:pPr>
      <w:sdt>
        <w:sdtPr>
          <w:id w:val="839665539"/>
          <w:lock w:val="contentLocked"/>
          <w:placeholder>
            <w:docPart w:val="0A963B3E9B1041D6BA8E9AB1D81EE288"/>
          </w:placeholder>
          <w:group/>
        </w:sdtPr>
        <w:sdtEndPr/>
        <w:sdtContent>
          <w:r w:rsidR="007D542F">
            <w:t>Fackuttryck</w:t>
          </w:r>
          <w:r w:rsidR="00821540">
            <w:t xml:space="preserve"> och </w:t>
          </w:r>
          <w:r w:rsidR="007D542F">
            <w:t>termer</w:t>
          </w:r>
        </w:sdtContent>
      </w:sdt>
    </w:p>
    <w:p w14:paraId="6C4E4BA4" w14:textId="7C09C7AD" w:rsidR="00C540DE" w:rsidRDefault="00C540DE" w:rsidP="00C540DE">
      <w:pPr>
        <w:pStyle w:val="Brdtext"/>
      </w:pPr>
      <w:r>
        <w:t>Åtagandeanslag</w:t>
      </w:r>
      <w:r w:rsidR="0075652C">
        <w:t xml:space="preserve">: </w:t>
      </w:r>
      <w:r>
        <w:t>Ram för hur mycket som får intecknas under ett budgetår.</w:t>
      </w:r>
    </w:p>
    <w:p w14:paraId="12B8BD81" w14:textId="55D3670E" w:rsidR="00C540DE" w:rsidRDefault="00C540DE" w:rsidP="00C540DE">
      <w:pPr>
        <w:pStyle w:val="Brdtext"/>
      </w:pPr>
      <w:r>
        <w:t>Betalningsanslag</w:t>
      </w:r>
      <w:r w:rsidR="0075652C">
        <w:t xml:space="preserve">: </w:t>
      </w:r>
      <w:r>
        <w:t xml:space="preserve">De betalningar som måste göras från EU-budgeten under budgetåret </w:t>
      </w:r>
      <w:r w:rsidR="0075652C">
        <w:t>som ett resultat</w:t>
      </w:r>
      <w:r>
        <w:t xml:space="preserve"> av såväl en del åtaganden som görs under året som redan gjorda åtaganden.</w:t>
      </w:r>
    </w:p>
    <w:p w14:paraId="58D07F30" w14:textId="2A25680B" w:rsidR="007D542F" w:rsidRDefault="00C540DE" w:rsidP="00C540DE">
      <w:pPr>
        <w:pStyle w:val="Brdtext"/>
      </w:pPr>
      <w:r>
        <w:t>Marginal</w:t>
      </w:r>
      <w:r w:rsidR="0075652C">
        <w:t xml:space="preserve">: </w:t>
      </w:r>
      <w:r>
        <w:t>Skillnad mellan de föreslagna anslagen i årsbudgeten och de antagna taken i den fleråriga budgetramen.</w:t>
      </w: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78B1A" w14:textId="77777777" w:rsidR="00E9396B" w:rsidRDefault="00E9396B" w:rsidP="00A87A54">
      <w:pPr>
        <w:spacing w:after="0" w:line="240" w:lineRule="auto"/>
      </w:pPr>
      <w:r>
        <w:separator/>
      </w:r>
    </w:p>
  </w:endnote>
  <w:endnote w:type="continuationSeparator" w:id="0">
    <w:p w14:paraId="5AAEFC7F" w14:textId="77777777" w:rsidR="00E9396B" w:rsidRDefault="00E9396B" w:rsidP="00A87A54">
      <w:pPr>
        <w:spacing w:after="0" w:line="240" w:lineRule="auto"/>
      </w:pPr>
      <w:r>
        <w:continuationSeparator/>
      </w:r>
    </w:p>
  </w:endnote>
  <w:endnote w:type="continuationNotice" w:id="1">
    <w:p w14:paraId="17C82B11" w14:textId="77777777" w:rsidR="00E9396B" w:rsidRDefault="00E939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C3B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4E498" w14:textId="77777777" w:rsidR="00E9396B" w:rsidRDefault="00E9396B" w:rsidP="00A87A54">
      <w:pPr>
        <w:spacing w:after="0" w:line="240" w:lineRule="auto"/>
      </w:pPr>
      <w:r>
        <w:separator/>
      </w:r>
    </w:p>
  </w:footnote>
  <w:footnote w:type="continuationSeparator" w:id="0">
    <w:p w14:paraId="2C0E5528" w14:textId="77777777" w:rsidR="00E9396B" w:rsidRDefault="00E9396B" w:rsidP="00A87A54">
      <w:pPr>
        <w:spacing w:after="0" w:line="240" w:lineRule="auto"/>
      </w:pPr>
      <w:r>
        <w:continuationSeparator/>
      </w:r>
    </w:p>
  </w:footnote>
  <w:footnote w:type="continuationNotice" w:id="1">
    <w:p w14:paraId="50F4867D" w14:textId="77777777" w:rsidR="00E9396B" w:rsidRDefault="00E939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F3BB" w14:textId="3A0C56FB" w:rsidR="003C3720" w:rsidRDefault="00E9396B" w:rsidP="00CD3BFC">
    <w:pPr>
      <w:pStyle w:val="Sidhuvud"/>
      <w:spacing w:before="240"/>
      <w:jc w:val="right"/>
    </w:pPr>
    <w:sdt>
      <w:sdtPr>
        <w:alias w:val="Ar"/>
        <w:tag w:val="Ar"/>
        <w:id w:val="375123316"/>
        <w:placeholder>
          <w:docPart w:val="3305526E126647C0AF69A8E9A00602B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1849E8">
          <w:t>2025/26</w:t>
        </w:r>
      </w:sdtContent>
    </w:sdt>
    <w:r w:rsidR="0009572A">
      <w:t>:</w:t>
    </w:r>
    <w:r w:rsidR="00002B4B">
      <w:t>FPM</w:t>
    </w:r>
    <w:sdt>
      <w:sdtPr>
        <w:alias w:val="FPMNummer"/>
        <w:tag w:val="ccRKShow_FPMNummer"/>
        <w:id w:val="-2000957076"/>
        <w:placeholder>
          <w:docPart w:val="730EDB39AC464A63AB1082F4ABC8C843"/>
        </w:placeholder>
        <w:dataBinding w:prefixMappings="xmlns:ns0='http://rk.se/faktapm' " w:xpath="/ns0:faktaPM[1]/ns0:Nr[1]" w:storeItemID="{0B9A7431-9D19-4C2A-8E12-639802D7B40B}"/>
        <w:text/>
      </w:sdtPr>
      <w:sdtEndPr/>
      <w:sdtContent>
        <w:r w:rsidR="001849E8">
          <w:t>100</w:t>
        </w:r>
      </w:sdtContent>
    </w:sdt>
  </w:p>
  <w:p w14:paraId="634A038E"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7-10"/>
    <w:docVar w:name="Ar" w:val="2025/26"/>
    <w:docVar w:name="Dep" w:val="Finansdepartementet"/>
    <w:docVar w:name="GDB1" w:val="SEC (2026) 250"/>
    <w:docVar w:name="GDB10" w:val=" "/>
    <w:docVar w:name="GDB11" w:val=" "/>
    <w:docVar w:name="GDB12" w:val=" "/>
    <w:docVar w:name="GDB13" w:val=" "/>
    <w:docVar w:name="GDB2" w:val="COM(2026) 299 final"/>
    <w:docVar w:name="GDB3" w:val=" "/>
    <w:docVar w:name="GDB4" w:val=" "/>
    <w:docVar w:name="GDB5" w:val=" "/>
    <w:docVar w:name="GDB6" w:val=" "/>
    <w:docVar w:name="GDB7" w:val=" "/>
    <w:docVar w:name="GDB8" w:val=" "/>
    <w:docVar w:name="GDB9" w:val=" "/>
    <w:docVar w:name="GDT1" w:val="Statement of Estimates of the European Commission for the financial year 2027"/>
    <w:docVar w:name="GDT10" w:val=" "/>
    <w:docVar w:name="GDT11" w:val=" "/>
    <w:docVar w:name="GDT12" w:val=" "/>
    <w:docVar w:name="GDT13" w:val=" "/>
    <w:docVar w:name="GDT2" w:val="MEDDELANDE FRÅN KOMMISSIONEN TILL EUROPAPARLAMENTET OCH RÅDET om teknisk justering av den fleråriga budgetramen för 2027 i enlighet med artikel 4 i rådets förordning (EU, Euratom) 2020/2093 om den fleråriga budgetramen för 2021–2027"/>
    <w:docVar w:name="GDT3" w:val=" "/>
    <w:docVar w:name="GDT4" w:val=" "/>
    <w:docVar w:name="GDT5" w:val=" "/>
    <w:docVar w:name="GDT6" w:val=" "/>
    <w:docVar w:name="GDT7" w:val=" "/>
    <w:docVar w:name="GDT8" w:val=" "/>
    <w:docVar w:name="GDT9" w:val=" "/>
    <w:docVar w:name="GDTWeb" w:val="SEC (2026) 250, COM(2026) 299 final"/>
    <w:docVar w:name="Nr" w:val="100"/>
    <w:docVar w:name="Rub" w:val="EU:s årsbudget 2027 och teknisk justering av fleråriga budgetramen för 2027"/>
    <w:docVar w:name="UppDat" w:val="2026-07-10"/>
    <w:docVar w:name="Utsk" w:val="Finansutskottet"/>
  </w:docVars>
  <w:rsids>
    <w:rsidRoot w:val="00D97936"/>
    <w:rsid w:val="00000290"/>
    <w:rsid w:val="00001068"/>
    <w:rsid w:val="000011F8"/>
    <w:rsid w:val="00002B4B"/>
    <w:rsid w:val="0000412C"/>
    <w:rsid w:val="00004D5C"/>
    <w:rsid w:val="00005F68"/>
    <w:rsid w:val="00006CA7"/>
    <w:rsid w:val="000128EB"/>
    <w:rsid w:val="00012B00"/>
    <w:rsid w:val="00014EF6"/>
    <w:rsid w:val="00016730"/>
    <w:rsid w:val="00017197"/>
    <w:rsid w:val="0001725B"/>
    <w:rsid w:val="00017265"/>
    <w:rsid w:val="00017278"/>
    <w:rsid w:val="000203B0"/>
    <w:rsid w:val="000205ED"/>
    <w:rsid w:val="0002213F"/>
    <w:rsid w:val="00022E09"/>
    <w:rsid w:val="000236A8"/>
    <w:rsid w:val="000241FA"/>
    <w:rsid w:val="00024737"/>
    <w:rsid w:val="00025992"/>
    <w:rsid w:val="00026711"/>
    <w:rsid w:val="0002708E"/>
    <w:rsid w:val="0002763D"/>
    <w:rsid w:val="00030DEF"/>
    <w:rsid w:val="0003679E"/>
    <w:rsid w:val="00041EDC"/>
    <w:rsid w:val="00042CE5"/>
    <w:rsid w:val="00042FD0"/>
    <w:rsid w:val="0004352E"/>
    <w:rsid w:val="00044C69"/>
    <w:rsid w:val="00046B87"/>
    <w:rsid w:val="00051341"/>
    <w:rsid w:val="000514C0"/>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437F"/>
    <w:rsid w:val="000757FC"/>
    <w:rsid w:val="00075FF0"/>
    <w:rsid w:val="00076667"/>
    <w:rsid w:val="000769B8"/>
    <w:rsid w:val="00080631"/>
    <w:rsid w:val="00082374"/>
    <w:rsid w:val="000862E0"/>
    <w:rsid w:val="000873C3"/>
    <w:rsid w:val="00093408"/>
    <w:rsid w:val="00093BBF"/>
    <w:rsid w:val="0009435C"/>
    <w:rsid w:val="0009572A"/>
    <w:rsid w:val="00096DF5"/>
    <w:rsid w:val="000A1225"/>
    <w:rsid w:val="000A13CA"/>
    <w:rsid w:val="000A456A"/>
    <w:rsid w:val="000A5E43"/>
    <w:rsid w:val="000B3C8F"/>
    <w:rsid w:val="000B56A9"/>
    <w:rsid w:val="000B5E2C"/>
    <w:rsid w:val="000C20FE"/>
    <w:rsid w:val="000C61D1"/>
    <w:rsid w:val="000C69FE"/>
    <w:rsid w:val="000D31A9"/>
    <w:rsid w:val="000D370F"/>
    <w:rsid w:val="000D5449"/>
    <w:rsid w:val="000D59FD"/>
    <w:rsid w:val="000D7110"/>
    <w:rsid w:val="000D7D18"/>
    <w:rsid w:val="000E12D9"/>
    <w:rsid w:val="000E431B"/>
    <w:rsid w:val="000E59A9"/>
    <w:rsid w:val="000E638A"/>
    <w:rsid w:val="000E6472"/>
    <w:rsid w:val="000E64CB"/>
    <w:rsid w:val="000F00B8"/>
    <w:rsid w:val="000F1EA7"/>
    <w:rsid w:val="000F2084"/>
    <w:rsid w:val="000F2A8A"/>
    <w:rsid w:val="000F3A92"/>
    <w:rsid w:val="000F4367"/>
    <w:rsid w:val="000F6462"/>
    <w:rsid w:val="000F66F8"/>
    <w:rsid w:val="00101DE6"/>
    <w:rsid w:val="0010482D"/>
    <w:rsid w:val="001055DA"/>
    <w:rsid w:val="0010614B"/>
    <w:rsid w:val="00106F29"/>
    <w:rsid w:val="00113168"/>
    <w:rsid w:val="0011413E"/>
    <w:rsid w:val="00115CF1"/>
    <w:rsid w:val="00116BC4"/>
    <w:rsid w:val="0012033A"/>
    <w:rsid w:val="00121002"/>
    <w:rsid w:val="00121EA2"/>
    <w:rsid w:val="00121FFC"/>
    <w:rsid w:val="00122D16"/>
    <w:rsid w:val="001235D9"/>
    <w:rsid w:val="001242F3"/>
    <w:rsid w:val="0012582E"/>
    <w:rsid w:val="00125B5E"/>
    <w:rsid w:val="00126408"/>
    <w:rsid w:val="00126E6B"/>
    <w:rsid w:val="00130B10"/>
    <w:rsid w:val="00130EC3"/>
    <w:rsid w:val="001318F5"/>
    <w:rsid w:val="001331B1"/>
    <w:rsid w:val="00133351"/>
    <w:rsid w:val="00133CB0"/>
    <w:rsid w:val="00134837"/>
    <w:rsid w:val="00135111"/>
    <w:rsid w:val="001428E2"/>
    <w:rsid w:val="001431C6"/>
    <w:rsid w:val="00143228"/>
    <w:rsid w:val="00143E09"/>
    <w:rsid w:val="001573AF"/>
    <w:rsid w:val="00160B48"/>
    <w:rsid w:val="0016294F"/>
    <w:rsid w:val="00164463"/>
    <w:rsid w:val="00167D13"/>
    <w:rsid w:val="00167FA8"/>
    <w:rsid w:val="001708B9"/>
    <w:rsid w:val="0017099B"/>
    <w:rsid w:val="00170CE4"/>
    <w:rsid w:val="00170E3E"/>
    <w:rsid w:val="0017300E"/>
    <w:rsid w:val="00173126"/>
    <w:rsid w:val="00176A26"/>
    <w:rsid w:val="001774F8"/>
    <w:rsid w:val="0018096C"/>
    <w:rsid w:val="00180BE1"/>
    <w:rsid w:val="001813DF"/>
    <w:rsid w:val="001849E8"/>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0F7D"/>
    <w:rsid w:val="001B4824"/>
    <w:rsid w:val="001C1C7D"/>
    <w:rsid w:val="001C2731"/>
    <w:rsid w:val="001C4566"/>
    <w:rsid w:val="001C4980"/>
    <w:rsid w:val="001C5DC9"/>
    <w:rsid w:val="001C6081"/>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563A"/>
    <w:rsid w:val="001F624C"/>
    <w:rsid w:val="001F6BBE"/>
    <w:rsid w:val="001F77B3"/>
    <w:rsid w:val="00200F24"/>
    <w:rsid w:val="00201498"/>
    <w:rsid w:val="00201776"/>
    <w:rsid w:val="00204079"/>
    <w:rsid w:val="00207CF0"/>
    <w:rsid w:val="002102FD"/>
    <w:rsid w:val="00210DAC"/>
    <w:rsid w:val="002116FE"/>
    <w:rsid w:val="00211B4E"/>
    <w:rsid w:val="00211E2A"/>
    <w:rsid w:val="00213204"/>
    <w:rsid w:val="00213258"/>
    <w:rsid w:val="00215F9A"/>
    <w:rsid w:val="002161F5"/>
    <w:rsid w:val="0021657C"/>
    <w:rsid w:val="0022187E"/>
    <w:rsid w:val="00222258"/>
    <w:rsid w:val="00223AD6"/>
    <w:rsid w:val="0022666A"/>
    <w:rsid w:val="00226A6F"/>
    <w:rsid w:val="002279BA"/>
    <w:rsid w:val="00227E43"/>
    <w:rsid w:val="002315F5"/>
    <w:rsid w:val="00232EC3"/>
    <w:rsid w:val="00233D52"/>
    <w:rsid w:val="00237147"/>
    <w:rsid w:val="00242AD1"/>
    <w:rsid w:val="0024412C"/>
    <w:rsid w:val="0024537C"/>
    <w:rsid w:val="002479CD"/>
    <w:rsid w:val="0025363B"/>
    <w:rsid w:val="00253CC8"/>
    <w:rsid w:val="00260D2D"/>
    <w:rsid w:val="00261975"/>
    <w:rsid w:val="00264503"/>
    <w:rsid w:val="00271D00"/>
    <w:rsid w:val="00274AA3"/>
    <w:rsid w:val="00275872"/>
    <w:rsid w:val="00281106"/>
    <w:rsid w:val="00282263"/>
    <w:rsid w:val="00282417"/>
    <w:rsid w:val="00282D27"/>
    <w:rsid w:val="00284D7E"/>
    <w:rsid w:val="00287F0D"/>
    <w:rsid w:val="00291065"/>
    <w:rsid w:val="00292420"/>
    <w:rsid w:val="002963B6"/>
    <w:rsid w:val="00296B7A"/>
    <w:rsid w:val="002974DC"/>
    <w:rsid w:val="002A0CB3"/>
    <w:rsid w:val="002A39EF"/>
    <w:rsid w:val="002A422F"/>
    <w:rsid w:val="002A6394"/>
    <w:rsid w:val="002A6820"/>
    <w:rsid w:val="002B00E5"/>
    <w:rsid w:val="002B67B9"/>
    <w:rsid w:val="002B6849"/>
    <w:rsid w:val="002B770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1539"/>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2DFA"/>
    <w:rsid w:val="003153D9"/>
    <w:rsid w:val="003172B4"/>
    <w:rsid w:val="00320EA7"/>
    <w:rsid w:val="00321621"/>
    <w:rsid w:val="00323EF7"/>
    <w:rsid w:val="003240E1"/>
    <w:rsid w:val="00325F89"/>
    <w:rsid w:val="00326C03"/>
    <w:rsid w:val="00327474"/>
    <w:rsid w:val="003277B5"/>
    <w:rsid w:val="00327DFF"/>
    <w:rsid w:val="003342B4"/>
    <w:rsid w:val="00336940"/>
    <w:rsid w:val="00336CD1"/>
    <w:rsid w:val="00340DE0"/>
    <w:rsid w:val="00341F47"/>
    <w:rsid w:val="0034210D"/>
    <w:rsid w:val="00342327"/>
    <w:rsid w:val="0034250B"/>
    <w:rsid w:val="00342EE1"/>
    <w:rsid w:val="00344234"/>
    <w:rsid w:val="0034523C"/>
    <w:rsid w:val="0034750A"/>
    <w:rsid w:val="00347C69"/>
    <w:rsid w:val="00347E11"/>
    <w:rsid w:val="003503DD"/>
    <w:rsid w:val="00350696"/>
    <w:rsid w:val="00350C92"/>
    <w:rsid w:val="0035266C"/>
    <w:rsid w:val="003542C5"/>
    <w:rsid w:val="00360397"/>
    <w:rsid w:val="00364EFF"/>
    <w:rsid w:val="0036501C"/>
    <w:rsid w:val="00365461"/>
    <w:rsid w:val="00367EDA"/>
    <w:rsid w:val="00370311"/>
    <w:rsid w:val="00370EB2"/>
    <w:rsid w:val="00373DC8"/>
    <w:rsid w:val="00380663"/>
    <w:rsid w:val="003807B5"/>
    <w:rsid w:val="003853E3"/>
    <w:rsid w:val="0038587E"/>
    <w:rsid w:val="00390335"/>
    <w:rsid w:val="00390492"/>
    <w:rsid w:val="00392ED4"/>
    <w:rsid w:val="00393680"/>
    <w:rsid w:val="00394D4C"/>
    <w:rsid w:val="003953B3"/>
    <w:rsid w:val="00395D9F"/>
    <w:rsid w:val="00397242"/>
    <w:rsid w:val="003A0C5F"/>
    <w:rsid w:val="003A1315"/>
    <w:rsid w:val="003A2E73"/>
    <w:rsid w:val="003A3071"/>
    <w:rsid w:val="003A3A54"/>
    <w:rsid w:val="003A587F"/>
    <w:rsid w:val="003A5969"/>
    <w:rsid w:val="003A5C58"/>
    <w:rsid w:val="003A5F2F"/>
    <w:rsid w:val="003B0C81"/>
    <w:rsid w:val="003B201F"/>
    <w:rsid w:val="003B7EF8"/>
    <w:rsid w:val="003C36FA"/>
    <w:rsid w:val="003C3720"/>
    <w:rsid w:val="003C65E7"/>
    <w:rsid w:val="003C7BE0"/>
    <w:rsid w:val="003D0DD3"/>
    <w:rsid w:val="003D17EF"/>
    <w:rsid w:val="003D2ED8"/>
    <w:rsid w:val="003D3535"/>
    <w:rsid w:val="003D4246"/>
    <w:rsid w:val="003D4CA1"/>
    <w:rsid w:val="003D4D9F"/>
    <w:rsid w:val="003D6C46"/>
    <w:rsid w:val="003D7B03"/>
    <w:rsid w:val="003E11DB"/>
    <w:rsid w:val="003E30BD"/>
    <w:rsid w:val="003E38CE"/>
    <w:rsid w:val="003E5A50"/>
    <w:rsid w:val="003E5D08"/>
    <w:rsid w:val="003E6020"/>
    <w:rsid w:val="003E65D5"/>
    <w:rsid w:val="003E7CA0"/>
    <w:rsid w:val="003F1F1F"/>
    <w:rsid w:val="003F2278"/>
    <w:rsid w:val="003F299F"/>
    <w:rsid w:val="003F2F1D"/>
    <w:rsid w:val="003F59B4"/>
    <w:rsid w:val="003F6B53"/>
    <w:rsid w:val="003F6B92"/>
    <w:rsid w:val="003F7098"/>
    <w:rsid w:val="004008FB"/>
    <w:rsid w:val="0040090E"/>
    <w:rsid w:val="00402359"/>
    <w:rsid w:val="00403D11"/>
    <w:rsid w:val="00404DB4"/>
    <w:rsid w:val="004060B1"/>
    <w:rsid w:val="0041093C"/>
    <w:rsid w:val="0041199E"/>
    <w:rsid w:val="0041223B"/>
    <w:rsid w:val="004137EE"/>
    <w:rsid w:val="00413A4E"/>
    <w:rsid w:val="00415163"/>
    <w:rsid w:val="00415273"/>
    <w:rsid w:val="004157BE"/>
    <w:rsid w:val="0042068E"/>
    <w:rsid w:val="00421C61"/>
    <w:rsid w:val="00422030"/>
    <w:rsid w:val="00422A7F"/>
    <w:rsid w:val="00424766"/>
    <w:rsid w:val="00426213"/>
    <w:rsid w:val="00431A7B"/>
    <w:rsid w:val="0043623F"/>
    <w:rsid w:val="00437459"/>
    <w:rsid w:val="00441D70"/>
    <w:rsid w:val="004425C2"/>
    <w:rsid w:val="004451EF"/>
    <w:rsid w:val="00445604"/>
    <w:rsid w:val="00445ACC"/>
    <w:rsid w:val="00446BAE"/>
    <w:rsid w:val="004508BA"/>
    <w:rsid w:val="004557F3"/>
    <w:rsid w:val="0045607E"/>
    <w:rsid w:val="00456DC3"/>
    <w:rsid w:val="004625D5"/>
    <w:rsid w:val="0046337E"/>
    <w:rsid w:val="004634C8"/>
    <w:rsid w:val="00464CA1"/>
    <w:rsid w:val="00464E56"/>
    <w:rsid w:val="004660C8"/>
    <w:rsid w:val="00467DEF"/>
    <w:rsid w:val="00471CF8"/>
    <w:rsid w:val="00472434"/>
    <w:rsid w:val="00472EBA"/>
    <w:rsid w:val="004735B6"/>
    <w:rsid w:val="004735F0"/>
    <w:rsid w:val="004745D7"/>
    <w:rsid w:val="00474676"/>
    <w:rsid w:val="0047511B"/>
    <w:rsid w:val="0047537A"/>
    <w:rsid w:val="00475B0A"/>
    <w:rsid w:val="00475B99"/>
    <w:rsid w:val="004760BE"/>
    <w:rsid w:val="00477628"/>
    <w:rsid w:val="00480A8A"/>
    <w:rsid w:val="00480EC3"/>
    <w:rsid w:val="0048212E"/>
    <w:rsid w:val="0048317E"/>
    <w:rsid w:val="00485601"/>
    <w:rsid w:val="004865B8"/>
    <w:rsid w:val="00486C0D"/>
    <w:rsid w:val="00487B96"/>
    <w:rsid w:val="004911D9"/>
    <w:rsid w:val="00491796"/>
    <w:rsid w:val="00493416"/>
    <w:rsid w:val="0049423C"/>
    <w:rsid w:val="004951AB"/>
    <w:rsid w:val="00495DD1"/>
    <w:rsid w:val="0049768A"/>
    <w:rsid w:val="004A33C6"/>
    <w:rsid w:val="004A66B1"/>
    <w:rsid w:val="004A7DC4"/>
    <w:rsid w:val="004B1D10"/>
    <w:rsid w:val="004B1E7B"/>
    <w:rsid w:val="004B3029"/>
    <w:rsid w:val="004B352B"/>
    <w:rsid w:val="004B35E7"/>
    <w:rsid w:val="004B4B73"/>
    <w:rsid w:val="004B63BF"/>
    <w:rsid w:val="004B66DA"/>
    <w:rsid w:val="004B696B"/>
    <w:rsid w:val="004B795E"/>
    <w:rsid w:val="004B7DFF"/>
    <w:rsid w:val="004C01AF"/>
    <w:rsid w:val="004C0C8D"/>
    <w:rsid w:val="004C3A3F"/>
    <w:rsid w:val="004C52AA"/>
    <w:rsid w:val="004C5686"/>
    <w:rsid w:val="004C5C1A"/>
    <w:rsid w:val="004C70EE"/>
    <w:rsid w:val="004D49D6"/>
    <w:rsid w:val="004D730B"/>
    <w:rsid w:val="004D766C"/>
    <w:rsid w:val="004E0FA8"/>
    <w:rsid w:val="004E1DE3"/>
    <w:rsid w:val="004E1F33"/>
    <w:rsid w:val="004E251B"/>
    <w:rsid w:val="004E25CD"/>
    <w:rsid w:val="004E2A4B"/>
    <w:rsid w:val="004E4419"/>
    <w:rsid w:val="004E6D22"/>
    <w:rsid w:val="004F0448"/>
    <w:rsid w:val="004F1EA0"/>
    <w:rsid w:val="004F363F"/>
    <w:rsid w:val="004F4021"/>
    <w:rsid w:val="004F5640"/>
    <w:rsid w:val="004F6525"/>
    <w:rsid w:val="004F6FE2"/>
    <w:rsid w:val="004F7033"/>
    <w:rsid w:val="004F770B"/>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26F66"/>
    <w:rsid w:val="005302E0"/>
    <w:rsid w:val="00533F49"/>
    <w:rsid w:val="00534E52"/>
    <w:rsid w:val="005365B6"/>
    <w:rsid w:val="00544738"/>
    <w:rsid w:val="005456E4"/>
    <w:rsid w:val="00547B89"/>
    <w:rsid w:val="00551027"/>
    <w:rsid w:val="005527F1"/>
    <w:rsid w:val="00552B0D"/>
    <w:rsid w:val="005568AF"/>
    <w:rsid w:val="00556AF5"/>
    <w:rsid w:val="005577F2"/>
    <w:rsid w:val="005606BC"/>
    <w:rsid w:val="00561758"/>
    <w:rsid w:val="00562D54"/>
    <w:rsid w:val="00563E73"/>
    <w:rsid w:val="0056426C"/>
    <w:rsid w:val="005651E3"/>
    <w:rsid w:val="00565792"/>
    <w:rsid w:val="00567351"/>
    <w:rsid w:val="00567799"/>
    <w:rsid w:val="005710DE"/>
    <w:rsid w:val="00571A0B"/>
    <w:rsid w:val="00573DFD"/>
    <w:rsid w:val="005747D0"/>
    <w:rsid w:val="00580C5D"/>
    <w:rsid w:val="0058149F"/>
    <w:rsid w:val="005822DF"/>
    <w:rsid w:val="005827D5"/>
    <w:rsid w:val="00582918"/>
    <w:rsid w:val="00582A8D"/>
    <w:rsid w:val="005849E3"/>
    <w:rsid w:val="005850D7"/>
    <w:rsid w:val="0058522F"/>
    <w:rsid w:val="00585282"/>
    <w:rsid w:val="00586266"/>
    <w:rsid w:val="00586D5A"/>
    <w:rsid w:val="0058703B"/>
    <w:rsid w:val="00591D29"/>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2C80"/>
    <w:rsid w:val="005C6F80"/>
    <w:rsid w:val="005D07C2"/>
    <w:rsid w:val="005D230C"/>
    <w:rsid w:val="005E2928"/>
    <w:rsid w:val="005E2F29"/>
    <w:rsid w:val="005E400D"/>
    <w:rsid w:val="005E49D4"/>
    <w:rsid w:val="005E4E79"/>
    <w:rsid w:val="005E5CE7"/>
    <w:rsid w:val="005E790C"/>
    <w:rsid w:val="005F08C5"/>
    <w:rsid w:val="005F29B4"/>
    <w:rsid w:val="005F3DDE"/>
    <w:rsid w:val="005F6EB0"/>
    <w:rsid w:val="006004F0"/>
    <w:rsid w:val="00604782"/>
    <w:rsid w:val="006054C2"/>
    <w:rsid w:val="00605718"/>
    <w:rsid w:val="00605C66"/>
    <w:rsid w:val="00606310"/>
    <w:rsid w:val="00607814"/>
    <w:rsid w:val="00610D87"/>
    <w:rsid w:val="00610E88"/>
    <w:rsid w:val="00611D12"/>
    <w:rsid w:val="00613827"/>
    <w:rsid w:val="006153B7"/>
    <w:rsid w:val="006175D7"/>
    <w:rsid w:val="006208E5"/>
    <w:rsid w:val="00622BAB"/>
    <w:rsid w:val="006273E4"/>
    <w:rsid w:val="00631F82"/>
    <w:rsid w:val="006323C5"/>
    <w:rsid w:val="006338D8"/>
    <w:rsid w:val="00633B59"/>
    <w:rsid w:val="006345CD"/>
    <w:rsid w:val="00634EF4"/>
    <w:rsid w:val="006357D0"/>
    <w:rsid w:val="006358C8"/>
    <w:rsid w:val="006361B0"/>
    <w:rsid w:val="0064133A"/>
    <w:rsid w:val="006416D1"/>
    <w:rsid w:val="00647FD7"/>
    <w:rsid w:val="00650080"/>
    <w:rsid w:val="00651F17"/>
    <w:rsid w:val="0065382D"/>
    <w:rsid w:val="00654820"/>
    <w:rsid w:val="00654B4D"/>
    <w:rsid w:val="0065559D"/>
    <w:rsid w:val="00655A40"/>
    <w:rsid w:val="00657D11"/>
    <w:rsid w:val="00660D84"/>
    <w:rsid w:val="00660EBF"/>
    <w:rsid w:val="0066133A"/>
    <w:rsid w:val="006615CA"/>
    <w:rsid w:val="00663196"/>
    <w:rsid w:val="0066378C"/>
    <w:rsid w:val="0066615B"/>
    <w:rsid w:val="0066661D"/>
    <w:rsid w:val="00670086"/>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661A"/>
    <w:rsid w:val="006B7569"/>
    <w:rsid w:val="006C28EE"/>
    <w:rsid w:val="006C4FF1"/>
    <w:rsid w:val="006C5C02"/>
    <w:rsid w:val="006D10D1"/>
    <w:rsid w:val="006D2998"/>
    <w:rsid w:val="006D3188"/>
    <w:rsid w:val="006D5159"/>
    <w:rsid w:val="006D6779"/>
    <w:rsid w:val="006D7F15"/>
    <w:rsid w:val="006E08FC"/>
    <w:rsid w:val="006E1B38"/>
    <w:rsid w:val="006E2D0C"/>
    <w:rsid w:val="006F2588"/>
    <w:rsid w:val="00710A6C"/>
    <w:rsid w:val="00710D98"/>
    <w:rsid w:val="00711CE9"/>
    <w:rsid w:val="00712266"/>
    <w:rsid w:val="00712593"/>
    <w:rsid w:val="007125C1"/>
    <w:rsid w:val="00712D82"/>
    <w:rsid w:val="00716B08"/>
    <w:rsid w:val="00716E22"/>
    <w:rsid w:val="007171AB"/>
    <w:rsid w:val="007213D0"/>
    <w:rsid w:val="007219C0"/>
    <w:rsid w:val="00721D8B"/>
    <w:rsid w:val="0072347F"/>
    <w:rsid w:val="007239F0"/>
    <w:rsid w:val="00725527"/>
    <w:rsid w:val="00731C75"/>
    <w:rsid w:val="00732599"/>
    <w:rsid w:val="00734D6F"/>
    <w:rsid w:val="00743E09"/>
    <w:rsid w:val="00744FCC"/>
    <w:rsid w:val="00747B9C"/>
    <w:rsid w:val="00750C93"/>
    <w:rsid w:val="00751B91"/>
    <w:rsid w:val="00754947"/>
    <w:rsid w:val="00754E24"/>
    <w:rsid w:val="0075652C"/>
    <w:rsid w:val="00757B3B"/>
    <w:rsid w:val="007618C5"/>
    <w:rsid w:val="00764FA6"/>
    <w:rsid w:val="00765294"/>
    <w:rsid w:val="00771DFA"/>
    <w:rsid w:val="007720D9"/>
    <w:rsid w:val="00773075"/>
    <w:rsid w:val="00773F36"/>
    <w:rsid w:val="007744F7"/>
    <w:rsid w:val="00775BF6"/>
    <w:rsid w:val="00776254"/>
    <w:rsid w:val="007769FC"/>
    <w:rsid w:val="00776C04"/>
    <w:rsid w:val="00777C9B"/>
    <w:rsid w:val="00777CFF"/>
    <w:rsid w:val="00780605"/>
    <w:rsid w:val="007815BC"/>
    <w:rsid w:val="00782B3F"/>
    <w:rsid w:val="00782E3C"/>
    <w:rsid w:val="00785292"/>
    <w:rsid w:val="007900CC"/>
    <w:rsid w:val="00793412"/>
    <w:rsid w:val="00795070"/>
    <w:rsid w:val="00795BBC"/>
    <w:rsid w:val="0079641B"/>
    <w:rsid w:val="00797A90"/>
    <w:rsid w:val="007A1856"/>
    <w:rsid w:val="007A1887"/>
    <w:rsid w:val="007A2F3F"/>
    <w:rsid w:val="007A4C79"/>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2D20"/>
    <w:rsid w:val="007F61D0"/>
    <w:rsid w:val="00800DD8"/>
    <w:rsid w:val="0080228F"/>
    <w:rsid w:val="00802E2B"/>
    <w:rsid w:val="00804C1B"/>
    <w:rsid w:val="0080595A"/>
    <w:rsid w:val="0080608A"/>
    <w:rsid w:val="00814BDD"/>
    <w:rsid w:val="008150A6"/>
    <w:rsid w:val="00815A8F"/>
    <w:rsid w:val="008162F6"/>
    <w:rsid w:val="00816EF3"/>
    <w:rsid w:val="00817098"/>
    <w:rsid w:val="008178E6"/>
    <w:rsid w:val="00821540"/>
    <w:rsid w:val="0082249C"/>
    <w:rsid w:val="008237FB"/>
    <w:rsid w:val="00824CCE"/>
    <w:rsid w:val="00830B7B"/>
    <w:rsid w:val="00832661"/>
    <w:rsid w:val="008349AA"/>
    <w:rsid w:val="0083588E"/>
    <w:rsid w:val="0083636F"/>
    <w:rsid w:val="008375D5"/>
    <w:rsid w:val="00840A5D"/>
    <w:rsid w:val="00841486"/>
    <w:rsid w:val="00842BC9"/>
    <w:rsid w:val="008431AF"/>
    <w:rsid w:val="0084476E"/>
    <w:rsid w:val="00845137"/>
    <w:rsid w:val="00845B9F"/>
    <w:rsid w:val="008504F6"/>
    <w:rsid w:val="0085240E"/>
    <w:rsid w:val="00852484"/>
    <w:rsid w:val="008573B9"/>
    <w:rsid w:val="0085782D"/>
    <w:rsid w:val="00863BB7"/>
    <w:rsid w:val="00867441"/>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2B56"/>
    <w:rsid w:val="008A32D9"/>
    <w:rsid w:val="008A3961"/>
    <w:rsid w:val="008A4CEA"/>
    <w:rsid w:val="008A5224"/>
    <w:rsid w:val="008A68D0"/>
    <w:rsid w:val="008A7506"/>
    <w:rsid w:val="008A7D14"/>
    <w:rsid w:val="008B0351"/>
    <w:rsid w:val="008B1603"/>
    <w:rsid w:val="008B20ED"/>
    <w:rsid w:val="008B4D15"/>
    <w:rsid w:val="008B6135"/>
    <w:rsid w:val="008B6268"/>
    <w:rsid w:val="008B7BEB"/>
    <w:rsid w:val="008C02B8"/>
    <w:rsid w:val="008C4538"/>
    <w:rsid w:val="008C562B"/>
    <w:rsid w:val="008C6717"/>
    <w:rsid w:val="008D0305"/>
    <w:rsid w:val="008D0A21"/>
    <w:rsid w:val="008D21CF"/>
    <w:rsid w:val="008D2D6B"/>
    <w:rsid w:val="008D3090"/>
    <w:rsid w:val="008D4306"/>
    <w:rsid w:val="008D4508"/>
    <w:rsid w:val="008D4DC4"/>
    <w:rsid w:val="008D5BCA"/>
    <w:rsid w:val="008D5E79"/>
    <w:rsid w:val="008D6375"/>
    <w:rsid w:val="008D7CAF"/>
    <w:rsid w:val="008E02EE"/>
    <w:rsid w:val="008E65A8"/>
    <w:rsid w:val="008E77D6"/>
    <w:rsid w:val="008F4DA0"/>
    <w:rsid w:val="00901D8B"/>
    <w:rsid w:val="009036E7"/>
    <w:rsid w:val="0090605F"/>
    <w:rsid w:val="00907069"/>
    <w:rsid w:val="0091053B"/>
    <w:rsid w:val="00912158"/>
    <w:rsid w:val="00912945"/>
    <w:rsid w:val="00912CBD"/>
    <w:rsid w:val="009144EE"/>
    <w:rsid w:val="00915D4C"/>
    <w:rsid w:val="0092135B"/>
    <w:rsid w:val="009279B2"/>
    <w:rsid w:val="00935814"/>
    <w:rsid w:val="00943857"/>
    <w:rsid w:val="0094502D"/>
    <w:rsid w:val="00946561"/>
    <w:rsid w:val="00946B39"/>
    <w:rsid w:val="00947013"/>
    <w:rsid w:val="0095062C"/>
    <w:rsid w:val="009546CB"/>
    <w:rsid w:val="00956EA9"/>
    <w:rsid w:val="009624E3"/>
    <w:rsid w:val="00966E40"/>
    <w:rsid w:val="00971BC4"/>
    <w:rsid w:val="00973084"/>
    <w:rsid w:val="00973422"/>
    <w:rsid w:val="00973CBD"/>
    <w:rsid w:val="00974520"/>
    <w:rsid w:val="00974B59"/>
    <w:rsid w:val="00975341"/>
    <w:rsid w:val="00976338"/>
    <w:rsid w:val="0097653D"/>
    <w:rsid w:val="009772CA"/>
    <w:rsid w:val="00977A0D"/>
    <w:rsid w:val="00977B21"/>
    <w:rsid w:val="009811F9"/>
    <w:rsid w:val="00984EA2"/>
    <w:rsid w:val="00986CC3"/>
    <w:rsid w:val="009901E6"/>
    <w:rsid w:val="0099068E"/>
    <w:rsid w:val="009920AA"/>
    <w:rsid w:val="00992943"/>
    <w:rsid w:val="009931B3"/>
    <w:rsid w:val="0099396A"/>
    <w:rsid w:val="00995A3F"/>
    <w:rsid w:val="00996279"/>
    <w:rsid w:val="009965F7"/>
    <w:rsid w:val="009A0866"/>
    <w:rsid w:val="009A4D0A"/>
    <w:rsid w:val="009A6156"/>
    <w:rsid w:val="009A759C"/>
    <w:rsid w:val="009A7DDA"/>
    <w:rsid w:val="009B2B2B"/>
    <w:rsid w:val="009B2F70"/>
    <w:rsid w:val="009B4594"/>
    <w:rsid w:val="009B4DEC"/>
    <w:rsid w:val="009B65C2"/>
    <w:rsid w:val="009C2459"/>
    <w:rsid w:val="009C255A"/>
    <w:rsid w:val="009C2B46"/>
    <w:rsid w:val="009C4448"/>
    <w:rsid w:val="009C610D"/>
    <w:rsid w:val="009C6D10"/>
    <w:rsid w:val="009D09B1"/>
    <w:rsid w:val="009D10E5"/>
    <w:rsid w:val="009D2A20"/>
    <w:rsid w:val="009D2DC4"/>
    <w:rsid w:val="009D43F3"/>
    <w:rsid w:val="009D4E9F"/>
    <w:rsid w:val="009D5D40"/>
    <w:rsid w:val="009D6B1B"/>
    <w:rsid w:val="009E107B"/>
    <w:rsid w:val="009E18D6"/>
    <w:rsid w:val="009E22C7"/>
    <w:rsid w:val="009E4DCA"/>
    <w:rsid w:val="009E53C8"/>
    <w:rsid w:val="009E5B02"/>
    <w:rsid w:val="009E7B92"/>
    <w:rsid w:val="009E7F45"/>
    <w:rsid w:val="009F19C0"/>
    <w:rsid w:val="009F2CDD"/>
    <w:rsid w:val="009F4780"/>
    <w:rsid w:val="009F505F"/>
    <w:rsid w:val="009F60C5"/>
    <w:rsid w:val="00A00AE4"/>
    <w:rsid w:val="00A00D24"/>
    <w:rsid w:val="00A0129C"/>
    <w:rsid w:val="00A01F5C"/>
    <w:rsid w:val="00A12A69"/>
    <w:rsid w:val="00A12B6B"/>
    <w:rsid w:val="00A2019A"/>
    <w:rsid w:val="00A21091"/>
    <w:rsid w:val="00A210E1"/>
    <w:rsid w:val="00A222BA"/>
    <w:rsid w:val="00A23493"/>
    <w:rsid w:val="00A2416A"/>
    <w:rsid w:val="00A30E06"/>
    <w:rsid w:val="00A31EC8"/>
    <w:rsid w:val="00A3270B"/>
    <w:rsid w:val="00A333A9"/>
    <w:rsid w:val="00A379E4"/>
    <w:rsid w:val="00A42F07"/>
    <w:rsid w:val="00A43B02"/>
    <w:rsid w:val="00A44946"/>
    <w:rsid w:val="00A457EF"/>
    <w:rsid w:val="00A45A84"/>
    <w:rsid w:val="00A46B85"/>
    <w:rsid w:val="00A47FC1"/>
    <w:rsid w:val="00A50585"/>
    <w:rsid w:val="00A506F1"/>
    <w:rsid w:val="00A5156E"/>
    <w:rsid w:val="00A53E57"/>
    <w:rsid w:val="00A548EA"/>
    <w:rsid w:val="00A56667"/>
    <w:rsid w:val="00A56824"/>
    <w:rsid w:val="00A572DA"/>
    <w:rsid w:val="00A57E5C"/>
    <w:rsid w:val="00A60D45"/>
    <w:rsid w:val="00A61F6D"/>
    <w:rsid w:val="00A62EF6"/>
    <w:rsid w:val="00A65996"/>
    <w:rsid w:val="00A67276"/>
    <w:rsid w:val="00A67588"/>
    <w:rsid w:val="00A67840"/>
    <w:rsid w:val="00A678CC"/>
    <w:rsid w:val="00A7164F"/>
    <w:rsid w:val="00A71A9E"/>
    <w:rsid w:val="00A7382D"/>
    <w:rsid w:val="00A743AC"/>
    <w:rsid w:val="00A75AB7"/>
    <w:rsid w:val="00A77A4B"/>
    <w:rsid w:val="00A833B9"/>
    <w:rsid w:val="00A8483F"/>
    <w:rsid w:val="00A870B0"/>
    <w:rsid w:val="00A8728A"/>
    <w:rsid w:val="00A87A54"/>
    <w:rsid w:val="00A95CC5"/>
    <w:rsid w:val="00AA0BFB"/>
    <w:rsid w:val="00AA105C"/>
    <w:rsid w:val="00AA1809"/>
    <w:rsid w:val="00AA1FFE"/>
    <w:rsid w:val="00AA3F2E"/>
    <w:rsid w:val="00AA72F4"/>
    <w:rsid w:val="00AB10E7"/>
    <w:rsid w:val="00AB2F3B"/>
    <w:rsid w:val="00AB4D25"/>
    <w:rsid w:val="00AB5033"/>
    <w:rsid w:val="00AB5298"/>
    <w:rsid w:val="00AB5519"/>
    <w:rsid w:val="00AB6313"/>
    <w:rsid w:val="00AB6F47"/>
    <w:rsid w:val="00AB71DD"/>
    <w:rsid w:val="00AC0425"/>
    <w:rsid w:val="00AC15C5"/>
    <w:rsid w:val="00AC59D3"/>
    <w:rsid w:val="00AD0E75"/>
    <w:rsid w:val="00AE4900"/>
    <w:rsid w:val="00AE77EB"/>
    <w:rsid w:val="00AE7BD8"/>
    <w:rsid w:val="00AE7D02"/>
    <w:rsid w:val="00AF0BB7"/>
    <w:rsid w:val="00AF0BDE"/>
    <w:rsid w:val="00AF0EDE"/>
    <w:rsid w:val="00AF194B"/>
    <w:rsid w:val="00AF3066"/>
    <w:rsid w:val="00AF36DC"/>
    <w:rsid w:val="00AF3B8D"/>
    <w:rsid w:val="00AF4853"/>
    <w:rsid w:val="00AF53B9"/>
    <w:rsid w:val="00AF73AD"/>
    <w:rsid w:val="00B00702"/>
    <w:rsid w:val="00B008AE"/>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5F55"/>
    <w:rsid w:val="00B47018"/>
    <w:rsid w:val="00B47956"/>
    <w:rsid w:val="00B47DD2"/>
    <w:rsid w:val="00B517E1"/>
    <w:rsid w:val="00B54563"/>
    <w:rsid w:val="00B556E8"/>
    <w:rsid w:val="00B55E70"/>
    <w:rsid w:val="00B5651F"/>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396"/>
    <w:rsid w:val="00BD4D7E"/>
    <w:rsid w:val="00BD5002"/>
    <w:rsid w:val="00BE0567"/>
    <w:rsid w:val="00BE18F0"/>
    <w:rsid w:val="00BE1BAF"/>
    <w:rsid w:val="00BE302F"/>
    <w:rsid w:val="00BE3210"/>
    <w:rsid w:val="00BE350E"/>
    <w:rsid w:val="00BE3E56"/>
    <w:rsid w:val="00BE4BF7"/>
    <w:rsid w:val="00BE56A7"/>
    <w:rsid w:val="00BE62F6"/>
    <w:rsid w:val="00BE638E"/>
    <w:rsid w:val="00BE689E"/>
    <w:rsid w:val="00BF27B2"/>
    <w:rsid w:val="00BF4F06"/>
    <w:rsid w:val="00BF534E"/>
    <w:rsid w:val="00BF5717"/>
    <w:rsid w:val="00BF5C91"/>
    <w:rsid w:val="00BF66D2"/>
    <w:rsid w:val="00BF7196"/>
    <w:rsid w:val="00C01348"/>
    <w:rsid w:val="00C01585"/>
    <w:rsid w:val="00C01832"/>
    <w:rsid w:val="00C0764A"/>
    <w:rsid w:val="00C115A0"/>
    <w:rsid w:val="00C1410E"/>
    <w:rsid w:val="00C141C6"/>
    <w:rsid w:val="00C15663"/>
    <w:rsid w:val="00C156CA"/>
    <w:rsid w:val="00C16508"/>
    <w:rsid w:val="00C16F5A"/>
    <w:rsid w:val="00C2071A"/>
    <w:rsid w:val="00C208A2"/>
    <w:rsid w:val="00C20ACB"/>
    <w:rsid w:val="00C23703"/>
    <w:rsid w:val="00C26068"/>
    <w:rsid w:val="00C26DF9"/>
    <w:rsid w:val="00C271A8"/>
    <w:rsid w:val="00C3050C"/>
    <w:rsid w:val="00C31F15"/>
    <w:rsid w:val="00C32067"/>
    <w:rsid w:val="00C33A8A"/>
    <w:rsid w:val="00C346AD"/>
    <w:rsid w:val="00C36E3A"/>
    <w:rsid w:val="00C37A77"/>
    <w:rsid w:val="00C41141"/>
    <w:rsid w:val="00C44285"/>
    <w:rsid w:val="00C449AD"/>
    <w:rsid w:val="00C44E30"/>
    <w:rsid w:val="00C461E6"/>
    <w:rsid w:val="00C50045"/>
    <w:rsid w:val="00C50771"/>
    <w:rsid w:val="00C508BE"/>
    <w:rsid w:val="00C540DE"/>
    <w:rsid w:val="00C55FE8"/>
    <w:rsid w:val="00C63EC4"/>
    <w:rsid w:val="00C64CD9"/>
    <w:rsid w:val="00C66E3B"/>
    <w:rsid w:val="00C670F8"/>
    <w:rsid w:val="00C6780B"/>
    <w:rsid w:val="00C72075"/>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D92"/>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C7220"/>
    <w:rsid w:val="00CD09EF"/>
    <w:rsid w:val="00CD1550"/>
    <w:rsid w:val="00CD17C1"/>
    <w:rsid w:val="00CD1C6C"/>
    <w:rsid w:val="00CD37F1"/>
    <w:rsid w:val="00CD3BFC"/>
    <w:rsid w:val="00CD4565"/>
    <w:rsid w:val="00CD6169"/>
    <w:rsid w:val="00CD6D76"/>
    <w:rsid w:val="00CD789B"/>
    <w:rsid w:val="00CE1C01"/>
    <w:rsid w:val="00CE20BC"/>
    <w:rsid w:val="00CE26C6"/>
    <w:rsid w:val="00CE39E1"/>
    <w:rsid w:val="00CF16D8"/>
    <w:rsid w:val="00CF1FD8"/>
    <w:rsid w:val="00CF20D0"/>
    <w:rsid w:val="00CF2D83"/>
    <w:rsid w:val="00CF44A1"/>
    <w:rsid w:val="00CF45F2"/>
    <w:rsid w:val="00CF4FDC"/>
    <w:rsid w:val="00CF6E13"/>
    <w:rsid w:val="00CF7776"/>
    <w:rsid w:val="00D0018A"/>
    <w:rsid w:val="00D00E9E"/>
    <w:rsid w:val="00D021D2"/>
    <w:rsid w:val="00D061BB"/>
    <w:rsid w:val="00D07BE1"/>
    <w:rsid w:val="00D116C0"/>
    <w:rsid w:val="00D13433"/>
    <w:rsid w:val="00D13D8A"/>
    <w:rsid w:val="00D172C9"/>
    <w:rsid w:val="00D20DA7"/>
    <w:rsid w:val="00D23AF8"/>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46CBD"/>
    <w:rsid w:val="00D50668"/>
    <w:rsid w:val="00D50B3B"/>
    <w:rsid w:val="00D510BA"/>
    <w:rsid w:val="00D51C1C"/>
    <w:rsid w:val="00D51FCC"/>
    <w:rsid w:val="00D5467F"/>
    <w:rsid w:val="00D55837"/>
    <w:rsid w:val="00D56A9F"/>
    <w:rsid w:val="00D57BA2"/>
    <w:rsid w:val="00D60F51"/>
    <w:rsid w:val="00D60FAC"/>
    <w:rsid w:val="00D610B0"/>
    <w:rsid w:val="00D6344D"/>
    <w:rsid w:val="00D65E43"/>
    <w:rsid w:val="00D6730A"/>
    <w:rsid w:val="00D674A6"/>
    <w:rsid w:val="00D67C54"/>
    <w:rsid w:val="00D67E90"/>
    <w:rsid w:val="00D708FC"/>
    <w:rsid w:val="00D7108F"/>
    <w:rsid w:val="00D7168E"/>
    <w:rsid w:val="00D72719"/>
    <w:rsid w:val="00D73F9D"/>
    <w:rsid w:val="00D74B7C"/>
    <w:rsid w:val="00D76068"/>
    <w:rsid w:val="00D76B01"/>
    <w:rsid w:val="00D773B2"/>
    <w:rsid w:val="00D804A2"/>
    <w:rsid w:val="00D84704"/>
    <w:rsid w:val="00D84BF9"/>
    <w:rsid w:val="00D8517D"/>
    <w:rsid w:val="00D921FD"/>
    <w:rsid w:val="00D93714"/>
    <w:rsid w:val="00D94034"/>
    <w:rsid w:val="00D95424"/>
    <w:rsid w:val="00D96717"/>
    <w:rsid w:val="00D97936"/>
    <w:rsid w:val="00DA4084"/>
    <w:rsid w:val="00DA56ED"/>
    <w:rsid w:val="00DA5A54"/>
    <w:rsid w:val="00DA5C0D"/>
    <w:rsid w:val="00DA5F94"/>
    <w:rsid w:val="00DB423C"/>
    <w:rsid w:val="00DB4E26"/>
    <w:rsid w:val="00DB714B"/>
    <w:rsid w:val="00DB7B97"/>
    <w:rsid w:val="00DC081C"/>
    <w:rsid w:val="00DC1025"/>
    <w:rsid w:val="00DC10F6"/>
    <w:rsid w:val="00DC115D"/>
    <w:rsid w:val="00DC1EB8"/>
    <w:rsid w:val="00DC3E45"/>
    <w:rsid w:val="00DC4598"/>
    <w:rsid w:val="00DD0722"/>
    <w:rsid w:val="00DD0B3D"/>
    <w:rsid w:val="00DD212F"/>
    <w:rsid w:val="00DE0164"/>
    <w:rsid w:val="00DE09BF"/>
    <w:rsid w:val="00DE18F5"/>
    <w:rsid w:val="00DE5774"/>
    <w:rsid w:val="00DE73D2"/>
    <w:rsid w:val="00DF5BFB"/>
    <w:rsid w:val="00DF5CD6"/>
    <w:rsid w:val="00E022DA"/>
    <w:rsid w:val="00E032A1"/>
    <w:rsid w:val="00E03BCB"/>
    <w:rsid w:val="00E07169"/>
    <w:rsid w:val="00E07E2B"/>
    <w:rsid w:val="00E124DC"/>
    <w:rsid w:val="00E12C7E"/>
    <w:rsid w:val="00E12EB5"/>
    <w:rsid w:val="00E15A41"/>
    <w:rsid w:val="00E16309"/>
    <w:rsid w:val="00E16825"/>
    <w:rsid w:val="00E22D68"/>
    <w:rsid w:val="00E247D9"/>
    <w:rsid w:val="00E258D8"/>
    <w:rsid w:val="00E26DDF"/>
    <w:rsid w:val="00E270E5"/>
    <w:rsid w:val="00E27F39"/>
    <w:rsid w:val="00E30167"/>
    <w:rsid w:val="00E32C2B"/>
    <w:rsid w:val="00E33493"/>
    <w:rsid w:val="00E34F51"/>
    <w:rsid w:val="00E37922"/>
    <w:rsid w:val="00E406DF"/>
    <w:rsid w:val="00E415D3"/>
    <w:rsid w:val="00E439F1"/>
    <w:rsid w:val="00E44289"/>
    <w:rsid w:val="00E469E4"/>
    <w:rsid w:val="00E475C3"/>
    <w:rsid w:val="00E509B0"/>
    <w:rsid w:val="00E50B11"/>
    <w:rsid w:val="00E54246"/>
    <w:rsid w:val="00E55D8E"/>
    <w:rsid w:val="00E608F2"/>
    <w:rsid w:val="00E6641E"/>
    <w:rsid w:val="00E66F18"/>
    <w:rsid w:val="00E6700E"/>
    <w:rsid w:val="00E70856"/>
    <w:rsid w:val="00E727DE"/>
    <w:rsid w:val="00E74A30"/>
    <w:rsid w:val="00E7500D"/>
    <w:rsid w:val="00E77778"/>
    <w:rsid w:val="00E77B7E"/>
    <w:rsid w:val="00E77BA8"/>
    <w:rsid w:val="00E8139F"/>
    <w:rsid w:val="00E82DF1"/>
    <w:rsid w:val="00E84754"/>
    <w:rsid w:val="00E85719"/>
    <w:rsid w:val="00E90CAA"/>
    <w:rsid w:val="00E93339"/>
    <w:rsid w:val="00E9396B"/>
    <w:rsid w:val="00E96532"/>
    <w:rsid w:val="00E973A0"/>
    <w:rsid w:val="00EA1688"/>
    <w:rsid w:val="00EA1AFC"/>
    <w:rsid w:val="00EA2317"/>
    <w:rsid w:val="00EA3A7D"/>
    <w:rsid w:val="00EA4C83"/>
    <w:rsid w:val="00EB0A37"/>
    <w:rsid w:val="00EB50D2"/>
    <w:rsid w:val="00EB763D"/>
    <w:rsid w:val="00EB7EC2"/>
    <w:rsid w:val="00EB7FE4"/>
    <w:rsid w:val="00EC05E9"/>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5040"/>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5E39"/>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5D5C"/>
    <w:rsid w:val="00F96B28"/>
    <w:rsid w:val="00FA1564"/>
    <w:rsid w:val="00FA41B4"/>
    <w:rsid w:val="00FA5DDD"/>
    <w:rsid w:val="00FA6255"/>
    <w:rsid w:val="00FA723B"/>
    <w:rsid w:val="00FA7644"/>
    <w:rsid w:val="00FB0647"/>
    <w:rsid w:val="00FB1FA3"/>
    <w:rsid w:val="00FB43A8"/>
    <w:rsid w:val="00FB4D12"/>
    <w:rsid w:val="00FB5279"/>
    <w:rsid w:val="00FB62AE"/>
    <w:rsid w:val="00FB759F"/>
    <w:rsid w:val="00FC069A"/>
    <w:rsid w:val="00FC08A9"/>
    <w:rsid w:val="00FC0BA0"/>
    <w:rsid w:val="00FC7600"/>
    <w:rsid w:val="00FD0385"/>
    <w:rsid w:val="00FD0B7B"/>
    <w:rsid w:val="00FD1A46"/>
    <w:rsid w:val="00FD2B38"/>
    <w:rsid w:val="00FD3F16"/>
    <w:rsid w:val="00FD4C08"/>
    <w:rsid w:val="00FD6002"/>
    <w:rsid w:val="00FE179D"/>
    <w:rsid w:val="00FE1DCC"/>
    <w:rsid w:val="00FE1DD4"/>
    <w:rsid w:val="00FE2B19"/>
    <w:rsid w:val="00FF0538"/>
    <w:rsid w:val="00FF5B88"/>
    <w:rsid w:val="00FF609D"/>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6E8FD"/>
  <w15:docId w15:val="{68DFF909-96A3-4602-8221-8E4FD75EC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B565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26612">
      <w:bodyDiv w:val="1"/>
      <w:marLeft w:val="0"/>
      <w:marRight w:val="0"/>
      <w:marTop w:val="0"/>
      <w:marBottom w:val="0"/>
      <w:divBdr>
        <w:top w:val="none" w:sz="0" w:space="0" w:color="auto"/>
        <w:left w:val="none" w:sz="0" w:space="0" w:color="auto"/>
        <w:bottom w:val="none" w:sz="0" w:space="0" w:color="auto"/>
        <w:right w:val="none" w:sz="0" w:space="0" w:color="auto"/>
      </w:divBdr>
    </w:div>
    <w:div w:id="162551564">
      <w:bodyDiv w:val="1"/>
      <w:marLeft w:val="0"/>
      <w:marRight w:val="0"/>
      <w:marTop w:val="0"/>
      <w:marBottom w:val="0"/>
      <w:divBdr>
        <w:top w:val="none" w:sz="0" w:space="0" w:color="auto"/>
        <w:left w:val="none" w:sz="0" w:space="0" w:color="auto"/>
        <w:bottom w:val="none" w:sz="0" w:space="0" w:color="auto"/>
        <w:right w:val="none" w:sz="0" w:space="0" w:color="auto"/>
      </w:divBdr>
    </w:div>
    <w:div w:id="392776660">
      <w:bodyDiv w:val="1"/>
      <w:marLeft w:val="0"/>
      <w:marRight w:val="0"/>
      <w:marTop w:val="0"/>
      <w:marBottom w:val="0"/>
      <w:divBdr>
        <w:top w:val="none" w:sz="0" w:space="0" w:color="auto"/>
        <w:left w:val="none" w:sz="0" w:space="0" w:color="auto"/>
        <w:bottom w:val="none" w:sz="0" w:space="0" w:color="auto"/>
        <w:right w:val="none" w:sz="0" w:space="0" w:color="auto"/>
      </w:divBdr>
    </w:div>
    <w:div w:id="416174386">
      <w:bodyDiv w:val="1"/>
      <w:marLeft w:val="0"/>
      <w:marRight w:val="0"/>
      <w:marTop w:val="0"/>
      <w:marBottom w:val="0"/>
      <w:divBdr>
        <w:top w:val="none" w:sz="0" w:space="0" w:color="auto"/>
        <w:left w:val="none" w:sz="0" w:space="0" w:color="auto"/>
        <w:bottom w:val="none" w:sz="0" w:space="0" w:color="auto"/>
        <w:right w:val="none" w:sz="0" w:space="0" w:color="auto"/>
      </w:divBdr>
    </w:div>
    <w:div w:id="479081443">
      <w:bodyDiv w:val="1"/>
      <w:marLeft w:val="0"/>
      <w:marRight w:val="0"/>
      <w:marTop w:val="0"/>
      <w:marBottom w:val="0"/>
      <w:divBdr>
        <w:top w:val="none" w:sz="0" w:space="0" w:color="auto"/>
        <w:left w:val="none" w:sz="0" w:space="0" w:color="auto"/>
        <w:bottom w:val="none" w:sz="0" w:space="0" w:color="auto"/>
        <w:right w:val="none" w:sz="0" w:space="0" w:color="auto"/>
      </w:divBdr>
    </w:div>
    <w:div w:id="674768675">
      <w:bodyDiv w:val="1"/>
      <w:marLeft w:val="0"/>
      <w:marRight w:val="0"/>
      <w:marTop w:val="0"/>
      <w:marBottom w:val="0"/>
      <w:divBdr>
        <w:top w:val="none" w:sz="0" w:space="0" w:color="auto"/>
        <w:left w:val="none" w:sz="0" w:space="0" w:color="auto"/>
        <w:bottom w:val="none" w:sz="0" w:space="0" w:color="auto"/>
        <w:right w:val="none" w:sz="0" w:space="0" w:color="auto"/>
      </w:divBdr>
    </w:div>
    <w:div w:id="746028401">
      <w:bodyDiv w:val="1"/>
      <w:marLeft w:val="0"/>
      <w:marRight w:val="0"/>
      <w:marTop w:val="0"/>
      <w:marBottom w:val="0"/>
      <w:divBdr>
        <w:top w:val="none" w:sz="0" w:space="0" w:color="auto"/>
        <w:left w:val="none" w:sz="0" w:space="0" w:color="auto"/>
        <w:bottom w:val="none" w:sz="0" w:space="0" w:color="auto"/>
        <w:right w:val="none" w:sz="0" w:space="0" w:color="auto"/>
      </w:divBdr>
    </w:div>
    <w:div w:id="946498245">
      <w:bodyDiv w:val="1"/>
      <w:marLeft w:val="0"/>
      <w:marRight w:val="0"/>
      <w:marTop w:val="0"/>
      <w:marBottom w:val="0"/>
      <w:divBdr>
        <w:top w:val="none" w:sz="0" w:space="0" w:color="auto"/>
        <w:left w:val="none" w:sz="0" w:space="0" w:color="auto"/>
        <w:bottom w:val="none" w:sz="0" w:space="0" w:color="auto"/>
        <w:right w:val="none" w:sz="0" w:space="0" w:color="auto"/>
      </w:divBdr>
    </w:div>
    <w:div w:id="1211842785">
      <w:bodyDiv w:val="1"/>
      <w:marLeft w:val="0"/>
      <w:marRight w:val="0"/>
      <w:marTop w:val="0"/>
      <w:marBottom w:val="0"/>
      <w:divBdr>
        <w:top w:val="none" w:sz="0" w:space="0" w:color="auto"/>
        <w:left w:val="none" w:sz="0" w:space="0" w:color="auto"/>
        <w:bottom w:val="none" w:sz="0" w:space="0" w:color="auto"/>
        <w:right w:val="none" w:sz="0" w:space="0" w:color="auto"/>
      </w:divBdr>
    </w:div>
    <w:div w:id="1271938827">
      <w:bodyDiv w:val="1"/>
      <w:marLeft w:val="0"/>
      <w:marRight w:val="0"/>
      <w:marTop w:val="0"/>
      <w:marBottom w:val="0"/>
      <w:divBdr>
        <w:top w:val="none" w:sz="0" w:space="0" w:color="auto"/>
        <w:left w:val="none" w:sz="0" w:space="0" w:color="auto"/>
        <w:bottom w:val="none" w:sz="0" w:space="0" w:color="auto"/>
        <w:right w:val="none" w:sz="0" w:space="0" w:color="auto"/>
      </w:divBdr>
    </w:div>
    <w:div w:id="1277253261">
      <w:bodyDiv w:val="1"/>
      <w:marLeft w:val="0"/>
      <w:marRight w:val="0"/>
      <w:marTop w:val="0"/>
      <w:marBottom w:val="0"/>
      <w:divBdr>
        <w:top w:val="none" w:sz="0" w:space="0" w:color="auto"/>
        <w:left w:val="none" w:sz="0" w:space="0" w:color="auto"/>
        <w:bottom w:val="none" w:sz="0" w:space="0" w:color="auto"/>
        <w:right w:val="none" w:sz="0" w:space="0" w:color="auto"/>
      </w:divBdr>
    </w:div>
    <w:div w:id="1320845128">
      <w:bodyDiv w:val="1"/>
      <w:marLeft w:val="0"/>
      <w:marRight w:val="0"/>
      <w:marTop w:val="0"/>
      <w:marBottom w:val="0"/>
      <w:divBdr>
        <w:top w:val="none" w:sz="0" w:space="0" w:color="auto"/>
        <w:left w:val="none" w:sz="0" w:space="0" w:color="auto"/>
        <w:bottom w:val="none" w:sz="0" w:space="0" w:color="auto"/>
        <w:right w:val="none" w:sz="0" w:space="0" w:color="auto"/>
      </w:divBdr>
    </w:div>
    <w:div w:id="1451513237">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760366907">
      <w:bodyDiv w:val="1"/>
      <w:marLeft w:val="0"/>
      <w:marRight w:val="0"/>
      <w:marTop w:val="0"/>
      <w:marBottom w:val="0"/>
      <w:divBdr>
        <w:top w:val="none" w:sz="0" w:space="0" w:color="auto"/>
        <w:left w:val="none" w:sz="0" w:space="0" w:color="auto"/>
        <w:bottom w:val="none" w:sz="0" w:space="0" w:color="auto"/>
        <w:right w:val="none" w:sz="0" w:space="0" w:color="auto"/>
      </w:divBdr>
    </w:div>
    <w:div w:id="1845510204">
      <w:bodyDiv w:val="1"/>
      <w:marLeft w:val="0"/>
      <w:marRight w:val="0"/>
      <w:marTop w:val="0"/>
      <w:marBottom w:val="0"/>
      <w:divBdr>
        <w:top w:val="none" w:sz="0" w:space="0" w:color="auto"/>
        <w:left w:val="none" w:sz="0" w:space="0" w:color="auto"/>
        <w:bottom w:val="none" w:sz="0" w:space="0" w:color="auto"/>
        <w:right w:val="none" w:sz="0" w:space="0" w:color="auto"/>
      </w:divBdr>
    </w:div>
    <w:div w:id="19473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1023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63B3E9B1041D6BA8E9AB1D81EE288"/>
        <w:category>
          <w:name w:val="Allmänt"/>
          <w:gallery w:val="placeholder"/>
        </w:category>
        <w:types>
          <w:type w:val="bbPlcHdr"/>
        </w:types>
        <w:behaviors>
          <w:behavior w:val="content"/>
        </w:behaviors>
        <w:guid w:val="{1EDB90CD-6C85-4CBC-8D67-3B8E4BD4CF0A}"/>
      </w:docPartPr>
      <w:docPartBody>
        <w:p w:rsidR="00507527" w:rsidRDefault="00507527">
          <w:pPr>
            <w:pStyle w:val="0A963B3E9B1041D6BA8E9AB1D81EE288"/>
          </w:pPr>
          <w:r w:rsidRPr="00FC36B9">
            <w:rPr>
              <w:rStyle w:val="Platshllartext"/>
            </w:rPr>
            <w:t>Klicka eller tryck här för att ange text.</w:t>
          </w:r>
        </w:p>
      </w:docPartBody>
    </w:docPart>
    <w:docPart>
      <w:docPartPr>
        <w:name w:val="730EDB39AC464A63AB1082F4ABC8C843"/>
        <w:category>
          <w:name w:val="Allmänt"/>
          <w:gallery w:val="placeholder"/>
        </w:category>
        <w:types>
          <w:type w:val="bbPlcHdr"/>
        </w:types>
        <w:behaviors>
          <w:behavior w:val="content"/>
        </w:behaviors>
        <w:guid w:val="{547B0CC6-8391-412F-AB06-29D6E4C8435E}"/>
      </w:docPartPr>
      <w:docPartBody>
        <w:p w:rsidR="00507527" w:rsidRDefault="00507527">
          <w:pPr>
            <w:pStyle w:val="730EDB39AC464A63AB1082F4ABC8C843"/>
          </w:pPr>
          <w:r>
            <w:rPr>
              <w:rStyle w:val="Platshllartext"/>
            </w:rPr>
            <w:t>(sätts av SB)</w:t>
          </w:r>
        </w:p>
      </w:docPartBody>
    </w:docPart>
    <w:docPart>
      <w:docPartPr>
        <w:name w:val="FAF3CE64911B44BFB837F6DF781B491D"/>
        <w:category>
          <w:name w:val="Allmänt"/>
          <w:gallery w:val="placeholder"/>
        </w:category>
        <w:types>
          <w:type w:val="bbPlcHdr"/>
        </w:types>
        <w:behaviors>
          <w:behavior w:val="content"/>
        </w:behaviors>
        <w:guid w:val="{8C0AE910-C936-4173-BBB3-C0CB3F6902E4}"/>
      </w:docPartPr>
      <w:docPartBody>
        <w:p w:rsidR="00507527" w:rsidRDefault="00507527">
          <w:pPr>
            <w:pStyle w:val="FAF3CE64911B44BFB837F6DF781B491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119FCF976CA442A193F700BFDFEEEEB4"/>
        <w:category>
          <w:name w:val="Allmänt"/>
          <w:gallery w:val="placeholder"/>
        </w:category>
        <w:types>
          <w:type w:val="bbPlcHdr"/>
        </w:types>
        <w:behaviors>
          <w:behavior w:val="content"/>
        </w:behaviors>
        <w:guid w:val="{30554963-A0EA-4FCA-94AD-A1871B7F70CD}"/>
      </w:docPartPr>
      <w:docPartBody>
        <w:p w:rsidR="00507527" w:rsidRDefault="00507527">
          <w:pPr>
            <w:pStyle w:val="119FCF976CA442A193F700BFDFEEEEB4"/>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D545BFC843548DDB51E103B8038833C"/>
        <w:category>
          <w:name w:val="Allmänt"/>
          <w:gallery w:val="placeholder"/>
        </w:category>
        <w:types>
          <w:type w:val="bbPlcHdr"/>
        </w:types>
        <w:behaviors>
          <w:behavior w:val="content"/>
        </w:behaviors>
        <w:guid w:val="{ACAEC5B2-FCFD-48E9-849F-63692125D9F7}"/>
      </w:docPartPr>
      <w:docPartBody>
        <w:p w:rsidR="00507527" w:rsidRDefault="00507527">
          <w:pPr>
            <w:pStyle w:val="7D545BFC843548DDB51E103B8038833C"/>
          </w:pPr>
          <w:r>
            <w:rPr>
              <w:rStyle w:val="Platshllartext"/>
            </w:rPr>
            <w:t>Klicka här och v</w:t>
          </w:r>
          <w:r w:rsidRPr="00D31416">
            <w:rPr>
              <w:rStyle w:val="Platshllartext"/>
            </w:rPr>
            <w:t xml:space="preserve">älj ett </w:t>
          </w:r>
          <w:r>
            <w:rPr>
              <w:rStyle w:val="Platshllartext"/>
            </w:rPr>
            <w:t>departement.</w:t>
          </w:r>
        </w:p>
      </w:docPartBody>
    </w:docPart>
    <w:docPart>
      <w:docPartPr>
        <w:name w:val="7087A293A20A42FB918230921821E022"/>
        <w:category>
          <w:name w:val="Allmänt"/>
          <w:gallery w:val="placeholder"/>
        </w:category>
        <w:types>
          <w:type w:val="bbPlcHdr"/>
        </w:types>
        <w:behaviors>
          <w:behavior w:val="content"/>
        </w:behaviors>
        <w:guid w:val="{1AFCD662-AE02-4BA0-98E3-F822D0E31174}"/>
      </w:docPartPr>
      <w:docPartBody>
        <w:p w:rsidR="00507527" w:rsidRDefault="00507527">
          <w:pPr>
            <w:pStyle w:val="7087A293A20A42FB918230921821E022"/>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8A5BB3E121C4FA3B931A165D6B95FF2"/>
        <w:category>
          <w:name w:val="Allmänt"/>
          <w:gallery w:val="placeholder"/>
        </w:category>
        <w:types>
          <w:type w:val="bbPlcHdr"/>
        </w:types>
        <w:behaviors>
          <w:behavior w:val="content"/>
        </w:behaviors>
        <w:guid w:val="{F59FCE26-490B-4392-9313-EE3DD520ACE8}"/>
      </w:docPartPr>
      <w:docPartBody>
        <w:p w:rsidR="00507527" w:rsidRDefault="00507527">
          <w:pPr>
            <w:pStyle w:val="88A5BB3E121C4FA3B931A165D6B95FF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305526E126647C0AF69A8E9A00602B5"/>
        <w:category>
          <w:name w:val="Allmänt"/>
          <w:gallery w:val="placeholder"/>
        </w:category>
        <w:types>
          <w:type w:val="bbPlcHdr"/>
        </w:types>
        <w:behaviors>
          <w:behavior w:val="content"/>
        </w:behaviors>
        <w:guid w:val="{C833E056-4FE5-4538-A6AE-B0C16C527185}"/>
      </w:docPartPr>
      <w:docPartBody>
        <w:p w:rsidR="00507527" w:rsidRDefault="00507527" w:rsidP="00507527">
          <w:pPr>
            <w:pStyle w:val="3305526E126647C0AF69A8E9A00602B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17ED8F2E58D4B9CA738FBDE4BD5C987"/>
        <w:category>
          <w:name w:val="Allmänt"/>
          <w:gallery w:val="placeholder"/>
        </w:category>
        <w:types>
          <w:type w:val="bbPlcHdr"/>
        </w:types>
        <w:behaviors>
          <w:behavior w:val="content"/>
        </w:behaviors>
        <w:guid w:val="{840DAE1B-06F3-4F31-A1BB-B7844E597826}"/>
      </w:docPartPr>
      <w:docPartBody>
        <w:p w:rsidR="00831828" w:rsidRDefault="00831828" w:rsidP="00831828">
          <w:pPr>
            <w:pStyle w:val="A17ED8F2E58D4B9CA738FBDE4BD5C98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FF5446CDA0644DF8625150340BB791A"/>
        <w:category>
          <w:name w:val="Allmänt"/>
          <w:gallery w:val="placeholder"/>
        </w:category>
        <w:types>
          <w:type w:val="bbPlcHdr"/>
        </w:types>
        <w:behaviors>
          <w:behavior w:val="content"/>
        </w:behaviors>
        <w:guid w:val="{6118F932-95D4-4F29-88AC-13C62701EA61}"/>
      </w:docPartPr>
      <w:docPartBody>
        <w:p w:rsidR="00831828" w:rsidRDefault="00831828" w:rsidP="00831828">
          <w:pPr>
            <w:pStyle w:val="AFF5446CDA0644DF8625150340BB791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971FFE3D82B4CC0A52322E8A5B2F94A"/>
        <w:category>
          <w:name w:val="Allmänt"/>
          <w:gallery w:val="placeholder"/>
        </w:category>
        <w:types>
          <w:type w:val="bbPlcHdr"/>
        </w:types>
        <w:behaviors>
          <w:behavior w:val="content"/>
        </w:behaviors>
        <w:guid w:val="{3247BA8F-AC2C-4143-AF68-75892E75D029}"/>
      </w:docPartPr>
      <w:docPartBody>
        <w:p w:rsidR="00831828" w:rsidRDefault="00831828" w:rsidP="00831828">
          <w:pPr>
            <w:pStyle w:val="E971FFE3D82B4CC0A52322E8A5B2F94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8EF67E2798049A49658701435915203"/>
        <w:category>
          <w:name w:val="Allmänt"/>
          <w:gallery w:val="placeholder"/>
        </w:category>
        <w:types>
          <w:type w:val="bbPlcHdr"/>
        </w:types>
        <w:behaviors>
          <w:behavior w:val="content"/>
        </w:behaviors>
        <w:guid w:val="{9F088F47-5A1C-4175-A91A-D68600CBCD95}"/>
      </w:docPartPr>
      <w:docPartBody>
        <w:p w:rsidR="00063D27" w:rsidRDefault="00E80A40">
          <w:r w:rsidRPr="002E4028">
            <w:rPr>
              <w:rStyle w:val="Platshllartext"/>
            </w:rPr>
            <w:t xml:space="preserve"> </w:t>
          </w:r>
        </w:p>
      </w:docPartBody>
    </w:docPart>
    <w:docPart>
      <w:docPartPr>
        <w:name w:val="DDA124D0F8F04E3BABF3AEB18F0D6A2D"/>
        <w:category>
          <w:name w:val="Allmänt"/>
          <w:gallery w:val="placeholder"/>
        </w:category>
        <w:types>
          <w:type w:val="bbPlcHdr"/>
        </w:types>
        <w:behaviors>
          <w:behavior w:val="content"/>
        </w:behaviors>
        <w:guid w:val="{3FDAE094-587F-4E1D-A8AC-356D62A2C15F}"/>
      </w:docPartPr>
      <w:docPartBody>
        <w:p w:rsidR="00063D27" w:rsidRDefault="00E80A40">
          <w:r w:rsidRPr="002E4028">
            <w:rPr>
              <w:rStyle w:val="Platshllartext"/>
            </w:rPr>
            <w:t xml:space="preserve"> </w:t>
          </w:r>
        </w:p>
      </w:docPartBody>
    </w:docPart>
    <w:docPart>
      <w:docPartPr>
        <w:name w:val="054A6747615641E7BCF473C171A224F5"/>
        <w:category>
          <w:name w:val="Allmänt"/>
          <w:gallery w:val="placeholder"/>
        </w:category>
        <w:types>
          <w:type w:val="bbPlcHdr"/>
        </w:types>
        <w:behaviors>
          <w:behavior w:val="content"/>
        </w:behaviors>
        <w:guid w:val="{82C5C7CE-5A14-4988-A44E-6ED5FB87D9D7}"/>
      </w:docPartPr>
      <w:docPartBody>
        <w:p w:rsidR="00063D27" w:rsidRDefault="00E80A40">
          <w:r w:rsidRPr="002E4028">
            <w:rPr>
              <w:rStyle w:val="Platshllartext"/>
            </w:rPr>
            <w:t xml:space="preserve"> </w:t>
          </w:r>
        </w:p>
      </w:docPartBody>
    </w:docPart>
    <w:docPart>
      <w:docPartPr>
        <w:name w:val="1709FF3EDF2049CEAFBDAF3371200E24"/>
        <w:category>
          <w:name w:val="Allmänt"/>
          <w:gallery w:val="placeholder"/>
        </w:category>
        <w:types>
          <w:type w:val="bbPlcHdr"/>
        </w:types>
        <w:behaviors>
          <w:behavior w:val="content"/>
        </w:behaviors>
        <w:guid w:val="{3B8351B4-6829-4B10-BC47-6E7E9A5D5CFE}"/>
      </w:docPartPr>
      <w:docPartBody>
        <w:p w:rsidR="00063D27" w:rsidRDefault="00E80A40">
          <w:r w:rsidRPr="002E4028">
            <w:rPr>
              <w:rStyle w:val="Platshllartext"/>
            </w:rPr>
            <w:t xml:space="preserve"> </w:t>
          </w:r>
        </w:p>
      </w:docPartBody>
    </w:docPart>
    <w:docPart>
      <w:docPartPr>
        <w:name w:val="2DC797D9986C461A84A78509F8781D54"/>
        <w:category>
          <w:name w:val="Allmänt"/>
          <w:gallery w:val="placeholder"/>
        </w:category>
        <w:types>
          <w:type w:val="bbPlcHdr"/>
        </w:types>
        <w:behaviors>
          <w:behavior w:val="content"/>
        </w:behaviors>
        <w:guid w:val="{F277B214-4668-4FDF-9306-9B24E9A27B36}"/>
      </w:docPartPr>
      <w:docPartBody>
        <w:p w:rsidR="00063D27" w:rsidRDefault="00E80A40">
          <w:r w:rsidRPr="002E4028">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27"/>
    <w:rsid w:val="00020044"/>
    <w:rsid w:val="00063D27"/>
    <w:rsid w:val="000B3C8F"/>
    <w:rsid w:val="00327DFF"/>
    <w:rsid w:val="004C01AF"/>
    <w:rsid w:val="00507527"/>
    <w:rsid w:val="005C14EB"/>
    <w:rsid w:val="005E0A66"/>
    <w:rsid w:val="006C6FB9"/>
    <w:rsid w:val="006E08C5"/>
    <w:rsid w:val="007239F0"/>
    <w:rsid w:val="00793412"/>
    <w:rsid w:val="00831828"/>
    <w:rsid w:val="00AA6B51"/>
    <w:rsid w:val="00AE4900"/>
    <w:rsid w:val="00AF194B"/>
    <w:rsid w:val="00B45F55"/>
    <w:rsid w:val="00D97DBB"/>
    <w:rsid w:val="00DE09BF"/>
    <w:rsid w:val="00E12C7E"/>
    <w:rsid w:val="00E80A40"/>
    <w:rsid w:val="00FD3F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0A40"/>
    <w:rPr>
      <w:noProof w:val="0"/>
      <w:color w:val="808080"/>
    </w:rPr>
  </w:style>
  <w:style w:type="paragraph" w:customStyle="1" w:styleId="0A963B3E9B1041D6BA8E9AB1D81EE288">
    <w:name w:val="0A963B3E9B1041D6BA8E9AB1D81EE288"/>
  </w:style>
  <w:style w:type="paragraph" w:customStyle="1" w:styleId="36DA37E995E04896807949C5DB3DDB0F">
    <w:name w:val="36DA37E995E04896807949C5DB3DDB0F"/>
  </w:style>
  <w:style w:type="paragraph" w:customStyle="1" w:styleId="730EDB39AC464A63AB1082F4ABC8C843">
    <w:name w:val="730EDB39AC464A63AB1082F4ABC8C843"/>
  </w:style>
  <w:style w:type="paragraph" w:customStyle="1" w:styleId="6AFC50DB300345A5BD6277D0C159F963">
    <w:name w:val="6AFC50DB300345A5BD6277D0C159F963"/>
  </w:style>
  <w:style w:type="paragraph" w:customStyle="1" w:styleId="FAF3CE64911B44BFB837F6DF781B491D">
    <w:name w:val="FAF3CE64911B44BFB837F6DF781B491D"/>
  </w:style>
  <w:style w:type="paragraph" w:customStyle="1" w:styleId="119FCF976CA442A193F700BFDFEEEEB4">
    <w:name w:val="119FCF976CA442A193F700BFDFEEEEB4"/>
  </w:style>
  <w:style w:type="paragraph" w:customStyle="1" w:styleId="7D545BFC843548DDB51E103B8038833C">
    <w:name w:val="7D545BFC843548DDB51E103B8038833C"/>
  </w:style>
  <w:style w:type="paragraph" w:customStyle="1" w:styleId="7087A293A20A42FB918230921821E022">
    <w:name w:val="7087A293A20A42FB918230921821E022"/>
  </w:style>
  <w:style w:type="paragraph" w:customStyle="1" w:styleId="B2A7AC87B30C43FE9CE39B6D0E753B24">
    <w:name w:val="B2A7AC87B30C43FE9CE39B6D0E753B24"/>
  </w:style>
  <w:style w:type="paragraph" w:customStyle="1" w:styleId="88A5BB3E121C4FA3B931A165D6B95FF2">
    <w:name w:val="88A5BB3E121C4FA3B931A165D6B95FF2"/>
  </w:style>
  <w:style w:type="paragraph" w:customStyle="1" w:styleId="3305526E126647C0AF69A8E9A00602B5">
    <w:name w:val="3305526E126647C0AF69A8E9A00602B5"/>
    <w:rsid w:val="00507527"/>
  </w:style>
  <w:style w:type="paragraph" w:customStyle="1" w:styleId="102352DDA71240D0A4B3D4E655A96AA9">
    <w:name w:val="102352DDA71240D0A4B3D4E655A96AA9"/>
    <w:rsid w:val="00507527"/>
  </w:style>
  <w:style w:type="paragraph" w:customStyle="1" w:styleId="B8AAD0A549C64EB0B5E9CBF69A26C3E2">
    <w:name w:val="B8AAD0A549C64EB0B5E9CBF69A26C3E2"/>
    <w:rsid w:val="00507527"/>
  </w:style>
  <w:style w:type="paragraph" w:customStyle="1" w:styleId="042EE5E4777941E8A37ED6219B839920">
    <w:name w:val="042EE5E4777941E8A37ED6219B839920"/>
    <w:rsid w:val="00507527"/>
  </w:style>
  <w:style w:type="paragraph" w:customStyle="1" w:styleId="1450B3B36A914DD8ACF140B8C1B07C80">
    <w:name w:val="1450B3B36A914DD8ACF140B8C1B07C80"/>
    <w:rsid w:val="00D97DBB"/>
    <w:pPr>
      <w:spacing w:line="278" w:lineRule="auto"/>
    </w:pPr>
    <w:rPr>
      <w:sz w:val="24"/>
      <w:szCs w:val="24"/>
    </w:rPr>
  </w:style>
  <w:style w:type="paragraph" w:customStyle="1" w:styleId="C6007E8629664205AD1092E47007580E">
    <w:name w:val="C6007E8629664205AD1092E47007580E"/>
    <w:rsid w:val="00D97DBB"/>
    <w:pPr>
      <w:spacing w:line="278" w:lineRule="auto"/>
    </w:pPr>
    <w:rPr>
      <w:sz w:val="24"/>
      <w:szCs w:val="24"/>
    </w:rPr>
  </w:style>
  <w:style w:type="paragraph" w:customStyle="1" w:styleId="5435C12FC2E542D3A5D3872A09C288F2">
    <w:name w:val="5435C12FC2E542D3A5D3872A09C288F2"/>
    <w:rsid w:val="00D97DBB"/>
    <w:pPr>
      <w:spacing w:line="278" w:lineRule="auto"/>
    </w:pPr>
    <w:rPr>
      <w:sz w:val="24"/>
      <w:szCs w:val="24"/>
    </w:rPr>
  </w:style>
  <w:style w:type="paragraph" w:customStyle="1" w:styleId="9DAA0BA6EE9C452BB06D8C508927D1AC">
    <w:name w:val="9DAA0BA6EE9C452BB06D8C508927D1AC"/>
    <w:rsid w:val="00D97DBB"/>
    <w:pPr>
      <w:spacing w:line="278" w:lineRule="auto"/>
    </w:pPr>
    <w:rPr>
      <w:sz w:val="24"/>
      <w:szCs w:val="24"/>
    </w:rPr>
  </w:style>
  <w:style w:type="paragraph" w:customStyle="1" w:styleId="08C824F068F5414CB57C8131FE0744C6">
    <w:name w:val="08C824F068F5414CB57C8131FE0744C6"/>
    <w:rsid w:val="00D97DBB"/>
    <w:pPr>
      <w:spacing w:line="278" w:lineRule="auto"/>
    </w:pPr>
    <w:rPr>
      <w:sz w:val="24"/>
      <w:szCs w:val="24"/>
    </w:rPr>
  </w:style>
  <w:style w:type="paragraph" w:customStyle="1" w:styleId="EB82CCA8086A4889B3BBF4E8B88C442D">
    <w:name w:val="EB82CCA8086A4889B3BBF4E8B88C442D"/>
    <w:rsid w:val="00D97DBB"/>
    <w:pPr>
      <w:spacing w:line="278" w:lineRule="auto"/>
    </w:pPr>
    <w:rPr>
      <w:sz w:val="24"/>
      <w:szCs w:val="24"/>
    </w:rPr>
  </w:style>
  <w:style w:type="paragraph" w:customStyle="1" w:styleId="6DFE0FF98F524A79855CF7B35166D7FE">
    <w:name w:val="6DFE0FF98F524A79855CF7B35166D7FE"/>
    <w:rsid w:val="00D97DBB"/>
    <w:pPr>
      <w:spacing w:line="278" w:lineRule="auto"/>
    </w:pPr>
    <w:rPr>
      <w:sz w:val="24"/>
      <w:szCs w:val="24"/>
    </w:rPr>
  </w:style>
  <w:style w:type="paragraph" w:customStyle="1" w:styleId="B45079987C1149F38063CE04B796EACD">
    <w:name w:val="B45079987C1149F38063CE04B796EACD"/>
    <w:rsid w:val="00D97DBB"/>
    <w:pPr>
      <w:spacing w:line="278" w:lineRule="auto"/>
    </w:pPr>
    <w:rPr>
      <w:sz w:val="24"/>
      <w:szCs w:val="24"/>
    </w:rPr>
  </w:style>
  <w:style w:type="paragraph" w:customStyle="1" w:styleId="0DFC1102EE07485A926EA30F05B77502">
    <w:name w:val="0DFC1102EE07485A926EA30F05B77502"/>
    <w:rsid w:val="00831828"/>
    <w:pPr>
      <w:spacing w:line="278" w:lineRule="auto"/>
    </w:pPr>
    <w:rPr>
      <w:sz w:val="24"/>
      <w:szCs w:val="24"/>
    </w:rPr>
  </w:style>
  <w:style w:type="paragraph" w:customStyle="1" w:styleId="0D791F254A704D3C8C44FE02A859AE89">
    <w:name w:val="0D791F254A704D3C8C44FE02A859AE89"/>
    <w:rsid w:val="00831828"/>
    <w:pPr>
      <w:spacing w:line="278" w:lineRule="auto"/>
    </w:pPr>
    <w:rPr>
      <w:sz w:val="24"/>
      <w:szCs w:val="24"/>
    </w:rPr>
  </w:style>
  <w:style w:type="paragraph" w:customStyle="1" w:styleId="34C2807404FF495084A2BBE93C567C2F">
    <w:name w:val="34C2807404FF495084A2BBE93C567C2F"/>
    <w:rsid w:val="00831828"/>
    <w:pPr>
      <w:spacing w:line="278" w:lineRule="auto"/>
    </w:pPr>
    <w:rPr>
      <w:sz w:val="24"/>
      <w:szCs w:val="24"/>
    </w:rPr>
  </w:style>
  <w:style w:type="paragraph" w:customStyle="1" w:styleId="1D834C7F0A1047E7A31CF4C1EE9716E3">
    <w:name w:val="1D834C7F0A1047E7A31CF4C1EE9716E3"/>
    <w:rsid w:val="00831828"/>
    <w:pPr>
      <w:spacing w:line="278" w:lineRule="auto"/>
    </w:pPr>
    <w:rPr>
      <w:sz w:val="24"/>
      <w:szCs w:val="24"/>
    </w:rPr>
  </w:style>
  <w:style w:type="paragraph" w:customStyle="1" w:styleId="A17ED8F2E58D4B9CA738FBDE4BD5C987">
    <w:name w:val="A17ED8F2E58D4B9CA738FBDE4BD5C987"/>
    <w:rsid w:val="00831828"/>
    <w:pPr>
      <w:spacing w:line="278" w:lineRule="auto"/>
    </w:pPr>
    <w:rPr>
      <w:sz w:val="24"/>
      <w:szCs w:val="24"/>
    </w:rPr>
  </w:style>
  <w:style w:type="paragraph" w:customStyle="1" w:styleId="AFF5446CDA0644DF8625150340BB791A">
    <w:name w:val="AFF5446CDA0644DF8625150340BB791A"/>
    <w:rsid w:val="00831828"/>
    <w:pPr>
      <w:spacing w:line="278" w:lineRule="auto"/>
    </w:pPr>
    <w:rPr>
      <w:sz w:val="24"/>
      <w:szCs w:val="24"/>
    </w:rPr>
  </w:style>
  <w:style w:type="paragraph" w:customStyle="1" w:styleId="2A0E974F39F2429B8C5E90BCEB9CE842">
    <w:name w:val="2A0E974F39F2429B8C5E90BCEB9CE842"/>
    <w:rsid w:val="00831828"/>
    <w:pPr>
      <w:spacing w:line="278" w:lineRule="auto"/>
    </w:pPr>
    <w:rPr>
      <w:sz w:val="24"/>
      <w:szCs w:val="24"/>
    </w:rPr>
  </w:style>
  <w:style w:type="paragraph" w:customStyle="1" w:styleId="E971FFE3D82B4CC0A52322E8A5B2F94A">
    <w:name w:val="E971FFE3D82B4CC0A52322E8A5B2F94A"/>
    <w:rsid w:val="00831828"/>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2024-07-16</HeaderDate>
    <Office/>
    <Dnr>Fi2024/</Dnr>
    <ParagrafNr/>
    <DocumentTitle/>
    <VisitingAddress/>
    <Extra1/>
    <Extra2/>
    <Extra3/>
    <Number/>
    <Recipient/>
    <SenderText> </SenderText>
    <DocNumber/>
    <Doclanguage>1053</Doclanguage>
    <Appendix/>
    <LogotypeName/>
  </BaseInfo>
</DocumentInfo>
</file>

<file path=customXml/item2.xml><?xml version="1.0" encoding="utf-8"?>
<?mso-contentType ?>
<customXsn xmlns="http://schemas.microsoft.com/office/2006/metadata/customXsn">
  <xsnLocation/>
  <cached>True</cached>
  <openByDefault>False</openByDefault>
  <xsnScope/>
</customXsn>
</file>

<file path=customXml/item3.xml><?xml version="1.0" encoding="utf-8"?>
<faktaPM xmlns="http://rk.se/faktapm">
  <Titel>EU:s årsbudget 2027 och teknisk justering av fleråriga budgetramen för 2027</Titel>
  <Ar>2025/26</Ar>
  <Nr>100</Nr>
  <UppDat>2026-07-10</UppDat>
  <Rub/>
  <Dep>Finansdepartementet</Dep>
  <Utsk>Finansutskottet</Utsk>
  <AnkDat>2026-07-10</AnkDat>
  <Egenskap1/>
  <Egenskap2/>
  <Egenskap3/>
  <DepLista>
    <Item>
      <itemnr/>
      <Departementsnamn>Finansdepartementet</Departementsnamn>
    </Item>
  </DepLista>
  <DokLista>
    <DokItem>
      <Beteckning>SEC (2026) 250</Beteckning>
      <Celexnummer>-</Celexnummer>
      <DokTitel>Statement of Estimates of the European Commission for the financial year 2027</DokTitel>
    </DokItem>
    <DokItem xmlns="http://rk.se/faktapm">
      <Beteckning>COM(2026) 299 final</Beteckning>
      <Celexnummer>52026DC0299</Celexnummer>
      <DokTitel>MEDDELANDE FRÅN KOMMISSIONEN TILL EUROPAPARLAMENTET OCH RÅDET om teknisk justering av den fleråriga budgetramen för 2027 i enlighet med artikel 4 i rådets förordning (EU, Euratom) 2020/2093 om den fleråriga budgetramen för 2021–2027</DokTitel>
    </DokItem>
  </DokLista>
  <GDB1>SEC (2026) 250</GDB1>
  <GDB2>COM(2026) 299 final</GDB2>
  <GDT1>Statement of Estimates of the European Commission for the financial year 2027</GDT1>
  <GDT2>MEDDELANDE FRÅN KOMMISSIONEN TILL EUROPAPARLAMENTET OCH RÅDET om teknisk justering av den fleråriga budgetramen för 2027 i enlighet med artikel 4 i rådets förordning (EU, Euratom) 2020/2093 om den fleråriga budgetramen för 2021–2027</GDT2>
  <GDTWeb>SEC (2026) 250, COM(2026) 299 final</GDTWeb>
  <Typ>FPM</Typ>
  <Dokumenttyp>FaktaPM</Dokumenttyp>
  <Epostadress>ml1023ab</Epostadress>
  <Finansdepartementet>JA</Finansdepartementet>
</faktaPM>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k46d94c0acf84ab9a79866a9d8b1905f xmlns="cc625d36-bb37-4650-91b9-0c96159295ba">
      <Terms xmlns="http://schemas.microsoft.com/office/infopath/2007/PartnerControls"/>
    </k46d94c0acf84ab9a79866a9d8b1905f>
    <IconOverlay xmlns="http://schemas.microsoft.com/sharepoint/v4" xsi:nil="true"/>
    <RecordNumber xmlns="4e9c2f0c-7bf8-49af-8356-cbf363fc78a7" xsi:nil="true"/>
    <_dlc_DocIdUrl xmlns="8b66ae41-1ec6-402e-b662-35d1932ca064">
      <Url>https://dhs.sp.regeringskansliet.se/yta/fi-ba/EU/_layouts/15/DocIdRedir.aspx?ID=Q7FPWFE5D2TP-144708326-4623</Url>
      <Description>Q7FPWFE5D2TP-144708326-4623</Description>
    </_dlc_DocIdUrl>
    <_dlc_DocId xmlns="8b66ae41-1ec6-402e-b662-35d1932ca064">Q7FPWFE5D2TP-144708326-4623</_dlc_DocId>
  </documentManagement>
</p:properties>
</file>

<file path=customXml/item9.xml><?xml version="1.0" encoding="utf-8"?>
<?mso-contentType ?>
<SharedContentType xmlns="Microsoft.SharePoint.Taxonomy.ContentTypeSync" SourceId="d07acfae-4dfa-4949-99a8-259efd31a6ae" ContentTypeId="0x010100BBA312BF02777149882D207184EC35C032" PreviousValue="true"/>
</file>

<file path=customXml/itemProps1.xml><?xml version="1.0" encoding="utf-8"?>
<ds:datastoreItem xmlns:ds="http://schemas.openxmlformats.org/officeDocument/2006/customXml" ds:itemID="{FE3BD79D-26A8-4EF6-AABD-B741EBE1FD7F}">
  <ds:schemaRefs>
    <ds:schemaRef ds:uri="http://lp/documentinfo/RK"/>
  </ds:schemaRefs>
</ds:datastoreItem>
</file>

<file path=customXml/itemProps2.xml><?xml version="1.0" encoding="utf-8"?>
<ds:datastoreItem xmlns:ds="http://schemas.openxmlformats.org/officeDocument/2006/customXml" ds:itemID="{95A7AD90-9168-4DBD-983C-EFE8F89DA3F6}">
  <ds:schemaRefs>
    <ds:schemaRef ds:uri="http://schemas.microsoft.com/office/2006/metadata/customXsn"/>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0B1FB8F4-AAD5-4E81-BD6D-EFAE96554192}">
  <ds:schemaRefs>
    <ds:schemaRef ds:uri="http://schemas.microsoft.com/sharepoint/events"/>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DADC0820-21AB-41F6-AF9A-523DE2BCA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47316B5-FB83-41D1-8C65-754EBC4B9638}">
  <ds:schemaRefs>
    <ds:schemaRef ds:uri="http://schemas.microsoft.com/sharepoint/v3/contenttype/forms"/>
  </ds:schemaRefs>
</ds:datastoreItem>
</file>

<file path=customXml/itemProps8.xml><?xml version="1.0" encoding="utf-8"?>
<ds:datastoreItem xmlns:ds="http://schemas.openxmlformats.org/officeDocument/2006/customXml" ds:itemID="{C0739EC7-9980-403C-B921-7FE6AFAE05FB}">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http://schemas.microsoft.com/sharepoint/v4"/>
    <ds:schemaRef ds:uri="8b66ae41-1ec6-402e-b662-35d1932ca064"/>
  </ds:schemaRefs>
</ds:datastoreItem>
</file>

<file path=customXml/itemProps9.xml><?xml version="1.0" encoding="utf-8"?>
<ds:datastoreItem xmlns:ds="http://schemas.openxmlformats.org/officeDocument/2006/customXml" ds:itemID="{5445C465-F9D9-4DBC-87DA-860ADFBCDE44}">
  <ds:schemaRefs>
    <ds:schemaRef ds:uri="Microsoft.SharePoint.Taxonomy.ContentTypeSync"/>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11</Pages>
  <Words>2991</Words>
  <Characters>17822</Characters>
  <Application>Microsoft Office Word</Application>
  <DocSecurity>0</DocSecurity>
  <Lines>735</Lines>
  <Paragraphs>434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FPM_202526__100</dc:title>
  <dc:subject/>
  <dc:creator>Gustav Peldán Carlsson</dc:creator>
  <cp:keywords/>
  <dc:description/>
  <cp:lastModifiedBy>Miguel Palm</cp:lastModifiedBy>
  <cp:revision>2</cp:revision>
  <cp:lastPrinted>2026-06-22T14:18:00Z</cp:lastPrinted>
  <dcterms:created xsi:type="dcterms:W3CDTF">2026-07-13T08:41:00Z</dcterms:created>
  <dcterms:modified xsi:type="dcterms:W3CDTF">2026-07-13T08:41:00Z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_dlc_DocIdItemGuid">
    <vt:lpwstr>fe0d8428-ba2d-484e-82fc-1e05968799f0</vt:lpwstr>
  </property>
  <property fmtid="{D5CDD505-2E9C-101B-9397-08002B2CF9AE}" pid="7" name="_dlc_DocId">
    <vt:lpwstr>Q7FPWFE5D2TP-144708326-4623</vt:lpwstr>
  </property>
  <property fmtid="{D5CDD505-2E9C-101B-9397-08002B2CF9AE}" pid="8" name="_dlc_DocIdUrl">
    <vt:lpwstr>https://dhs.sp.regeringskansliet.se/yta/fi-ba/EU/_layouts/15/DocIdRedir.aspx?ID=Q7FPWFE5D2TP-144708326-4623, Q7FPWFE5D2TP-144708326-4623</vt:lpwstr>
  </property>
  <property fmtid="{D5CDD505-2E9C-101B-9397-08002B2CF9AE}" pid="9" name="ActivityCategory">
    <vt:lpwstr/>
  </property>
  <property fmtid="{D5CDD505-2E9C-101B-9397-08002B2CF9AE}" pid="10" name="GDB1">
    <vt:lpwstr>SEC (2026) 250</vt:lpwstr>
  </property>
  <property fmtid="{D5CDD505-2E9C-101B-9397-08002B2CF9AE}" pid="11" name="GDB2">
    <vt:lpwstr>COM(2026) 299 final</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EU:s årsbudget 2027 och teknisk justering av fleråriga budgetramen för 2027</vt:lpwstr>
  </property>
  <property fmtid="{D5CDD505-2E9C-101B-9397-08002B2CF9AE}" pid="24" name="Ar">
    <vt:lpwstr>2025/26</vt:lpwstr>
  </property>
  <property fmtid="{D5CDD505-2E9C-101B-9397-08002B2CF9AE}" pid="25" name="Nr">
    <vt:lpwstr>100</vt:lpwstr>
  </property>
  <property fmtid="{D5CDD505-2E9C-101B-9397-08002B2CF9AE}" pid="26" name="UppDat">
    <vt:lpwstr>2026-07-10</vt:lpwstr>
  </property>
  <property fmtid="{D5CDD505-2E9C-101B-9397-08002B2CF9AE}" pid="27" name="Dep">
    <vt:lpwstr>Finansdepartementet</vt:lpwstr>
  </property>
  <property fmtid="{D5CDD505-2E9C-101B-9397-08002B2CF9AE}" pid="28" name="GDT1">
    <vt:lpwstr>Statement of Estimates of the European Commission for the financial year 2027</vt:lpwstr>
  </property>
  <property fmtid="{D5CDD505-2E9C-101B-9397-08002B2CF9AE}" pid="29" name="GDT2">
    <vt:lpwstr>MEDDELANDE FRÅN KOMMISSIONEN TILL EUROPAPARLAMENTET OCH RÅDET om teknisk justering av den fleråriga budgetramen för 2027 i enlighet med artikel 4 i rådets förordning (EU, Euratom) 2020/2093 om den fleråriga budgetramen för 2021–2027</vt:lpwstr>
  </property>
  <property fmtid="{D5CDD505-2E9C-101B-9397-08002B2CF9AE}" pid="30" name="GDT3">
    <vt:lpwstr> </vt:lpwstr>
  </property>
  <property fmtid="{D5CDD505-2E9C-101B-9397-08002B2CF9AE}" pid="31" name="GDT4">
    <vt:lpwstr> </vt:lpwstr>
  </property>
  <property fmtid="{D5CDD505-2E9C-101B-9397-08002B2CF9AE}" pid="32" name="GDT5">
    <vt:lpwstr> </vt:lpwstr>
  </property>
  <property fmtid="{D5CDD505-2E9C-101B-9397-08002B2CF9AE}" pid="33" name="GDT6">
    <vt:lpwstr> </vt:lpwstr>
  </property>
  <property fmtid="{D5CDD505-2E9C-101B-9397-08002B2CF9AE}" pid="34" name="GDT7">
    <vt:lpwstr> </vt:lpwstr>
  </property>
  <property fmtid="{D5CDD505-2E9C-101B-9397-08002B2CF9AE}" pid="35" name="GDT8">
    <vt:lpwstr> </vt:lpwstr>
  </property>
  <property fmtid="{D5CDD505-2E9C-101B-9397-08002B2CF9AE}" pid="36" name="GDT9">
    <vt:lpwstr> </vt:lpwstr>
  </property>
  <property fmtid="{D5CDD505-2E9C-101B-9397-08002B2CF9AE}" pid="37" name="GDT10">
    <vt:lpwstr> </vt:lpwstr>
  </property>
  <property fmtid="{D5CDD505-2E9C-101B-9397-08002B2CF9AE}" pid="38" name="GDT11">
    <vt:lpwstr> </vt:lpwstr>
  </property>
  <property fmtid="{D5CDD505-2E9C-101B-9397-08002B2CF9AE}" pid="39" name="GDT12">
    <vt:lpwstr> </vt:lpwstr>
  </property>
  <property fmtid="{D5CDD505-2E9C-101B-9397-08002B2CF9AE}" pid="40" name="GDT13">
    <vt:lpwstr> </vt:lpwstr>
  </property>
  <property fmtid="{D5CDD505-2E9C-101B-9397-08002B2CF9AE}" pid="41" name="Typ">
    <vt:lpwstr>FPM</vt:lpwstr>
  </property>
  <property fmtid="{D5CDD505-2E9C-101B-9397-08002B2CF9AE}" pid="42" name="AnkDat">
    <vt:lpwstr>2026-07-10</vt:lpwstr>
  </property>
  <property fmtid="{D5CDD505-2E9C-101B-9397-08002B2CF9AE}" pid="43" name="Utsk">
    <vt:lpwstr>Finansutskottet</vt:lpwstr>
  </property>
  <property fmtid="{D5CDD505-2E9C-101B-9397-08002B2CF9AE}" pid="44" name="Dokumenttyp">
    <vt:lpwstr>FaktaPM</vt:lpwstr>
  </property>
  <property fmtid="{D5CDD505-2E9C-101B-9397-08002B2CF9AE}" pid="45" name="Epostadress">
    <vt:lpwstr>ml1023ab</vt:lpwstr>
  </property>
  <property fmtid="{D5CDD505-2E9C-101B-9397-08002B2CF9AE}" pid="46" name="Finansdepartementet">
    <vt:lpwstr>JA</vt:lpwstr>
  </property>
</Properties>
</file>