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B731676" w14:textId="77777777" w:rsidTr="00EA606E">
        <w:tc>
          <w:tcPr>
            <w:tcW w:w="2268" w:type="dxa"/>
          </w:tcPr>
          <w:p w14:paraId="7B73167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731675" w14:textId="6E14FBEF" w:rsidR="006E4E11" w:rsidRPr="00D067D7" w:rsidRDefault="00D067D7" w:rsidP="007242A3">
            <w:pPr>
              <w:framePr w:w="5035" w:h="1644" w:wrap="notBeside" w:vAnchor="page" w:hAnchor="page" w:x="6573" w:y="721"/>
              <w:rPr>
                <w:rFonts w:ascii="Times New Roman" w:hAnsi="Times New Roman"/>
                <w:sz w:val="18"/>
              </w:rPr>
            </w:pPr>
            <w:r>
              <w:rPr>
                <w:rFonts w:ascii="Times New Roman" w:hAnsi="Times New Roman"/>
              </w:rPr>
              <w:t xml:space="preserve">             </w:t>
            </w:r>
            <w:bookmarkStart w:id="0" w:name="_GoBack"/>
            <w:bookmarkEnd w:id="0"/>
            <w:r w:rsidRPr="00D067D7">
              <w:rPr>
                <w:rFonts w:ascii="Times New Roman" w:hAnsi="Times New Roman"/>
              </w:rPr>
              <w:t>TTE - energi</w:t>
            </w:r>
          </w:p>
        </w:tc>
      </w:tr>
      <w:tr w:rsidR="00EA606E" w14:paraId="7B731678" w14:textId="77777777" w:rsidTr="00EA606E">
        <w:tc>
          <w:tcPr>
            <w:tcW w:w="5267" w:type="dxa"/>
            <w:gridSpan w:val="3"/>
          </w:tcPr>
          <w:p w14:paraId="7B731677" w14:textId="77777777" w:rsidR="00EA606E" w:rsidRDefault="00EA606E"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7B73167B" w14:textId="77777777" w:rsidTr="00EA606E">
        <w:tc>
          <w:tcPr>
            <w:tcW w:w="3402" w:type="dxa"/>
            <w:gridSpan w:val="2"/>
          </w:tcPr>
          <w:p w14:paraId="7B731679" w14:textId="77777777" w:rsidR="006E4E11" w:rsidRPr="00EA606E" w:rsidRDefault="00EA606E"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7B73167A" w14:textId="77777777" w:rsidR="006E4E11" w:rsidRDefault="006E4E11" w:rsidP="007242A3">
            <w:pPr>
              <w:framePr w:w="5035" w:h="1644" w:wrap="notBeside" w:vAnchor="page" w:hAnchor="page" w:x="6573" w:y="721"/>
            </w:pPr>
          </w:p>
        </w:tc>
      </w:tr>
      <w:tr w:rsidR="006E4E11" w14:paraId="7B73167E" w14:textId="77777777" w:rsidTr="00EA606E">
        <w:tc>
          <w:tcPr>
            <w:tcW w:w="2268" w:type="dxa"/>
          </w:tcPr>
          <w:p w14:paraId="7B73167C" w14:textId="79C61EC8" w:rsidR="006E4E11" w:rsidRDefault="00F54907" w:rsidP="007242A3">
            <w:pPr>
              <w:framePr w:w="5035" w:h="1644" w:wrap="notBeside" w:vAnchor="page" w:hAnchor="page" w:x="6573" w:y="721"/>
            </w:pPr>
            <w:r>
              <w:t>2015-06</w:t>
            </w:r>
            <w:r w:rsidR="004407B1">
              <w:t>-</w:t>
            </w:r>
            <w:r>
              <w:t>01</w:t>
            </w:r>
          </w:p>
        </w:tc>
        <w:tc>
          <w:tcPr>
            <w:tcW w:w="2999" w:type="dxa"/>
            <w:gridSpan w:val="2"/>
          </w:tcPr>
          <w:p w14:paraId="7B73167D" w14:textId="77777777" w:rsidR="006E4E11" w:rsidRPr="00ED583F" w:rsidRDefault="006E4E11" w:rsidP="007242A3">
            <w:pPr>
              <w:framePr w:w="5035" w:h="1644" w:wrap="notBeside" w:vAnchor="page" w:hAnchor="page" w:x="6573" w:y="721"/>
              <w:rPr>
                <w:sz w:val="20"/>
              </w:rPr>
            </w:pPr>
          </w:p>
        </w:tc>
      </w:tr>
      <w:tr w:rsidR="006E4E11" w14:paraId="7B731681" w14:textId="77777777" w:rsidTr="00EA606E">
        <w:tc>
          <w:tcPr>
            <w:tcW w:w="2268" w:type="dxa"/>
          </w:tcPr>
          <w:p w14:paraId="7B73167F" w14:textId="4DD86433" w:rsidR="006E4E11" w:rsidRDefault="006E4E11" w:rsidP="007242A3">
            <w:pPr>
              <w:framePr w:w="5035" w:h="1644" w:wrap="notBeside" w:vAnchor="page" w:hAnchor="page" w:x="6573" w:y="721"/>
            </w:pPr>
          </w:p>
        </w:tc>
        <w:tc>
          <w:tcPr>
            <w:tcW w:w="2999" w:type="dxa"/>
            <w:gridSpan w:val="2"/>
          </w:tcPr>
          <w:p w14:paraId="7B73168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731683" w14:textId="77777777">
        <w:trPr>
          <w:trHeight w:val="284"/>
        </w:trPr>
        <w:tc>
          <w:tcPr>
            <w:tcW w:w="4911" w:type="dxa"/>
          </w:tcPr>
          <w:p w14:paraId="7B731682" w14:textId="61E07897" w:rsidR="006E4E11" w:rsidRDefault="00257DC1">
            <w:pPr>
              <w:pStyle w:val="Avsndare"/>
              <w:framePr w:h="2483" w:wrap="notBeside" w:x="1504"/>
              <w:rPr>
                <w:b/>
                <w:i w:val="0"/>
                <w:sz w:val="22"/>
              </w:rPr>
            </w:pPr>
            <w:r>
              <w:rPr>
                <w:b/>
                <w:i w:val="0"/>
                <w:sz w:val="22"/>
              </w:rPr>
              <w:t>Miljö- och energidepartementet</w:t>
            </w:r>
          </w:p>
        </w:tc>
      </w:tr>
      <w:tr w:rsidR="006E4E11" w14:paraId="7B731685" w14:textId="77777777">
        <w:trPr>
          <w:trHeight w:val="284"/>
        </w:trPr>
        <w:tc>
          <w:tcPr>
            <w:tcW w:w="4911" w:type="dxa"/>
          </w:tcPr>
          <w:p w14:paraId="7B731684" w14:textId="77777777" w:rsidR="006E4E11" w:rsidRDefault="006E4E11">
            <w:pPr>
              <w:pStyle w:val="Avsndare"/>
              <w:framePr w:h="2483" w:wrap="notBeside" w:x="1504"/>
              <w:rPr>
                <w:bCs/>
                <w:iCs/>
              </w:rPr>
            </w:pPr>
          </w:p>
        </w:tc>
      </w:tr>
      <w:tr w:rsidR="006E4E11" w14:paraId="7B731687" w14:textId="77777777">
        <w:trPr>
          <w:trHeight w:val="284"/>
        </w:trPr>
        <w:tc>
          <w:tcPr>
            <w:tcW w:w="4911" w:type="dxa"/>
          </w:tcPr>
          <w:p w14:paraId="7B731686" w14:textId="77777777" w:rsidR="006E4E11" w:rsidRDefault="00EA606E">
            <w:pPr>
              <w:pStyle w:val="Avsndare"/>
              <w:framePr w:h="2483" w:wrap="notBeside" w:x="1504"/>
              <w:rPr>
                <w:bCs/>
                <w:iCs/>
              </w:rPr>
            </w:pPr>
            <w:r>
              <w:rPr>
                <w:bCs/>
                <w:iCs/>
              </w:rPr>
              <w:t>Internationella sekretariatet</w:t>
            </w:r>
          </w:p>
        </w:tc>
      </w:tr>
      <w:tr w:rsidR="006E4E11" w14:paraId="7B731689" w14:textId="77777777">
        <w:trPr>
          <w:trHeight w:val="284"/>
        </w:trPr>
        <w:tc>
          <w:tcPr>
            <w:tcW w:w="4911" w:type="dxa"/>
          </w:tcPr>
          <w:p w14:paraId="7B731688" w14:textId="77777777" w:rsidR="006E4E11" w:rsidRDefault="006E4E11">
            <w:pPr>
              <w:pStyle w:val="Avsndare"/>
              <w:framePr w:h="2483" w:wrap="notBeside" w:x="1504"/>
              <w:rPr>
                <w:bCs/>
                <w:iCs/>
              </w:rPr>
            </w:pPr>
          </w:p>
        </w:tc>
      </w:tr>
      <w:tr w:rsidR="006E4E11" w14:paraId="7B73168B" w14:textId="77777777">
        <w:trPr>
          <w:trHeight w:val="284"/>
        </w:trPr>
        <w:tc>
          <w:tcPr>
            <w:tcW w:w="4911" w:type="dxa"/>
          </w:tcPr>
          <w:p w14:paraId="7B73168A" w14:textId="77777777" w:rsidR="006E4E11" w:rsidRDefault="006E4E11">
            <w:pPr>
              <w:pStyle w:val="Avsndare"/>
              <w:framePr w:h="2483" w:wrap="notBeside" w:x="1504"/>
              <w:rPr>
                <w:bCs/>
                <w:iCs/>
              </w:rPr>
            </w:pPr>
          </w:p>
        </w:tc>
      </w:tr>
      <w:tr w:rsidR="006E4E11" w14:paraId="7B73168D" w14:textId="77777777">
        <w:trPr>
          <w:trHeight w:val="284"/>
        </w:trPr>
        <w:tc>
          <w:tcPr>
            <w:tcW w:w="4911" w:type="dxa"/>
          </w:tcPr>
          <w:p w14:paraId="7B73168C" w14:textId="77777777" w:rsidR="006E4E11" w:rsidRDefault="006E4E11">
            <w:pPr>
              <w:pStyle w:val="Avsndare"/>
              <w:framePr w:h="2483" w:wrap="notBeside" w:x="1504"/>
              <w:rPr>
                <w:bCs/>
                <w:iCs/>
              </w:rPr>
            </w:pPr>
          </w:p>
        </w:tc>
      </w:tr>
      <w:tr w:rsidR="006E4E11" w14:paraId="7B73168F" w14:textId="77777777">
        <w:trPr>
          <w:trHeight w:val="284"/>
        </w:trPr>
        <w:tc>
          <w:tcPr>
            <w:tcW w:w="4911" w:type="dxa"/>
          </w:tcPr>
          <w:p w14:paraId="7B73168E" w14:textId="77777777" w:rsidR="006E4E11" w:rsidRDefault="006E4E11">
            <w:pPr>
              <w:pStyle w:val="Avsndare"/>
              <w:framePr w:h="2483" w:wrap="notBeside" w:x="1504"/>
              <w:rPr>
                <w:bCs/>
                <w:iCs/>
              </w:rPr>
            </w:pPr>
          </w:p>
        </w:tc>
      </w:tr>
      <w:tr w:rsidR="006E4E11" w14:paraId="7B731691" w14:textId="77777777">
        <w:trPr>
          <w:trHeight w:val="284"/>
        </w:trPr>
        <w:tc>
          <w:tcPr>
            <w:tcW w:w="4911" w:type="dxa"/>
          </w:tcPr>
          <w:p w14:paraId="7B731690" w14:textId="77777777" w:rsidR="006E4E11" w:rsidRDefault="006E4E11">
            <w:pPr>
              <w:pStyle w:val="Avsndare"/>
              <w:framePr w:h="2483" w:wrap="notBeside" w:x="1504"/>
              <w:rPr>
                <w:bCs/>
                <w:iCs/>
              </w:rPr>
            </w:pPr>
          </w:p>
        </w:tc>
      </w:tr>
      <w:tr w:rsidR="006E4E11" w14:paraId="7B731693" w14:textId="77777777">
        <w:trPr>
          <w:trHeight w:val="284"/>
        </w:trPr>
        <w:tc>
          <w:tcPr>
            <w:tcW w:w="4911" w:type="dxa"/>
          </w:tcPr>
          <w:p w14:paraId="7B731692" w14:textId="77777777" w:rsidR="006E4E11" w:rsidRDefault="006E4E11">
            <w:pPr>
              <w:pStyle w:val="Avsndare"/>
              <w:framePr w:h="2483" w:wrap="notBeside" w:x="1504"/>
              <w:rPr>
                <w:bCs/>
                <w:iCs/>
              </w:rPr>
            </w:pPr>
          </w:p>
        </w:tc>
      </w:tr>
    </w:tbl>
    <w:p w14:paraId="7B731695" w14:textId="5AAE1532" w:rsidR="00EA606E" w:rsidRDefault="00EA606E">
      <w:pPr>
        <w:pStyle w:val="RKrubrik"/>
        <w:pBdr>
          <w:bottom w:val="single" w:sz="6" w:space="1" w:color="auto"/>
        </w:pBdr>
      </w:pPr>
      <w:bookmarkStart w:id="1" w:name="bRubrik"/>
      <w:bookmarkEnd w:id="1"/>
      <w:r>
        <w:t>Rådets m</w:t>
      </w:r>
      <w:r w:rsidR="00F54907">
        <w:t xml:space="preserve">öte TT(E) energi 8 juni </w:t>
      </w:r>
      <w:r w:rsidR="00257DC1">
        <w:t>2015</w:t>
      </w:r>
    </w:p>
    <w:p w14:paraId="7B731696" w14:textId="77777777" w:rsidR="00EA606E" w:rsidRDefault="00EA606E">
      <w:pPr>
        <w:pStyle w:val="RKrubrik"/>
      </w:pPr>
      <w:r>
        <w:t>Kommenterad dagordning</w:t>
      </w:r>
    </w:p>
    <w:p w14:paraId="7B731697" w14:textId="77777777" w:rsidR="00EA606E" w:rsidRDefault="00EA606E">
      <w:pPr>
        <w:pStyle w:val="RKnormal"/>
      </w:pPr>
    </w:p>
    <w:p w14:paraId="7B731698" w14:textId="77777777" w:rsidR="00EA606E" w:rsidRDefault="00EA606E">
      <w:pPr>
        <w:pStyle w:val="RKrubrik"/>
      </w:pPr>
      <w:r>
        <w:t>1.</w:t>
      </w:r>
      <w:r>
        <w:tab/>
        <w:t>Godkännande av dagordningen</w:t>
      </w:r>
    </w:p>
    <w:p w14:paraId="7B731699" w14:textId="77777777" w:rsidR="00EA606E" w:rsidRDefault="00EA606E">
      <w:pPr>
        <w:pStyle w:val="RKnormal"/>
      </w:pPr>
    </w:p>
    <w:p w14:paraId="7B73169A" w14:textId="77777777" w:rsidR="00EA606E" w:rsidRPr="00EA606E" w:rsidRDefault="00EA606E">
      <w:pPr>
        <w:pStyle w:val="RKnormal"/>
        <w:rPr>
          <w:rFonts w:ascii="TradeGothic" w:hAnsi="TradeGothic"/>
          <w:b/>
        </w:rPr>
      </w:pPr>
      <w:r w:rsidRPr="00EA606E">
        <w:rPr>
          <w:rFonts w:ascii="TradeGothic" w:hAnsi="TradeGothic"/>
          <w:b/>
        </w:rPr>
        <w:t>Lagstiftning</w:t>
      </w:r>
    </w:p>
    <w:p w14:paraId="7B73169B" w14:textId="77777777" w:rsidR="00EA606E" w:rsidRDefault="00EA606E">
      <w:pPr>
        <w:pStyle w:val="RKrubrik"/>
      </w:pPr>
      <w:r>
        <w:t>2.</w:t>
      </w:r>
      <w:r>
        <w:tab/>
        <w:t>A-punkter</w:t>
      </w:r>
    </w:p>
    <w:p w14:paraId="7B73169C" w14:textId="77777777" w:rsidR="00EA606E" w:rsidRDefault="00EA606E" w:rsidP="00EA606E">
      <w:pPr>
        <w:pStyle w:val="RKnormal"/>
        <w:rPr>
          <w:rFonts w:ascii="TradeGothic" w:hAnsi="TradeGothic"/>
          <w:b/>
        </w:rPr>
      </w:pPr>
    </w:p>
    <w:p w14:paraId="7B73169D" w14:textId="04DE781D" w:rsidR="00EA606E" w:rsidRPr="00EA606E" w:rsidRDefault="00205D53" w:rsidP="00EA606E">
      <w:pPr>
        <w:pStyle w:val="RKnormal"/>
        <w:rPr>
          <w:rFonts w:ascii="TradeGothic" w:hAnsi="TradeGothic"/>
          <w:b/>
        </w:rPr>
      </w:pPr>
      <w:r>
        <w:rPr>
          <w:rFonts w:ascii="TradeGothic" w:hAnsi="TradeGothic"/>
          <w:b/>
        </w:rPr>
        <w:t xml:space="preserve">Icke </w:t>
      </w:r>
      <w:r w:rsidR="00EA606E">
        <w:rPr>
          <w:rFonts w:ascii="TradeGothic" w:hAnsi="TradeGothic"/>
          <w:b/>
        </w:rPr>
        <w:t>l</w:t>
      </w:r>
      <w:r w:rsidR="00EA606E" w:rsidRPr="00EA606E">
        <w:rPr>
          <w:rFonts w:ascii="TradeGothic" w:hAnsi="TradeGothic"/>
          <w:b/>
        </w:rPr>
        <w:t>agstiftning</w:t>
      </w:r>
    </w:p>
    <w:p w14:paraId="7B73169E" w14:textId="77777777" w:rsidR="00EA606E" w:rsidRDefault="00EA606E">
      <w:pPr>
        <w:pStyle w:val="RKnormal"/>
      </w:pPr>
    </w:p>
    <w:p w14:paraId="7B73169F" w14:textId="77777777" w:rsidR="00EA606E" w:rsidRDefault="00EA606E">
      <w:pPr>
        <w:pStyle w:val="RKrubrik"/>
      </w:pPr>
      <w:r>
        <w:t>3.</w:t>
      </w:r>
      <w:r>
        <w:tab/>
        <w:t>A-punkter</w:t>
      </w:r>
    </w:p>
    <w:p w14:paraId="7B7316A0" w14:textId="77777777" w:rsidR="00EA606E" w:rsidRDefault="00EA606E">
      <w:pPr>
        <w:pStyle w:val="RKnormal"/>
      </w:pPr>
    </w:p>
    <w:p w14:paraId="6EF7729C" w14:textId="77179B91" w:rsidR="00407ACE" w:rsidRPr="00F54907" w:rsidRDefault="00F35528" w:rsidP="00F54907">
      <w:pPr>
        <w:pStyle w:val="RKrubrik"/>
      </w:pPr>
      <w:r>
        <w:t>4</w:t>
      </w:r>
      <w:r w:rsidR="00EA606E" w:rsidRPr="00EA606E">
        <w:t>.</w:t>
      </w:r>
      <w:r w:rsidR="008E0EC4" w:rsidRPr="008E0EC4">
        <w:t xml:space="preserve"> </w:t>
      </w:r>
      <w:r w:rsidR="00F54907">
        <w:t>Försörjningstrygghet</w:t>
      </w:r>
    </w:p>
    <w:p w14:paraId="7B58AF6B" w14:textId="0AAFB508" w:rsidR="008E0EC4" w:rsidRDefault="008E0EC4" w:rsidP="008E0EC4">
      <w:pPr>
        <w:pStyle w:val="RKnormal"/>
        <w:rPr>
          <w:i/>
        </w:rPr>
      </w:pPr>
      <w:r w:rsidRPr="00224BAE">
        <w:rPr>
          <w:i/>
        </w:rPr>
        <w:t xml:space="preserve">- </w:t>
      </w:r>
      <w:r w:rsidR="00F54907">
        <w:rPr>
          <w:i/>
        </w:rPr>
        <w:t>politisk diskussion</w:t>
      </w:r>
    </w:p>
    <w:p w14:paraId="4F900B2E" w14:textId="77777777" w:rsidR="00407ACE" w:rsidRPr="00224BAE" w:rsidRDefault="00407ACE" w:rsidP="008E0EC4">
      <w:pPr>
        <w:pStyle w:val="RKnormal"/>
        <w:rPr>
          <w:i/>
        </w:rPr>
      </w:pPr>
    </w:p>
    <w:p w14:paraId="621AA89D" w14:textId="4A3AA5CF" w:rsidR="00E76D9B" w:rsidRDefault="001A0307" w:rsidP="008E0EC4">
      <w:pPr>
        <w:pStyle w:val="RKrubrik"/>
        <w:rPr>
          <w:rFonts w:ascii="OrigGarmnd BT" w:hAnsi="OrigGarmnd BT"/>
          <w:b w:val="0"/>
          <w:sz w:val="24"/>
        </w:rPr>
      </w:pPr>
      <w:r>
        <w:rPr>
          <w:rFonts w:ascii="OrigGarmnd BT" w:hAnsi="OrigGarmnd BT"/>
          <w:b w:val="0"/>
          <w:sz w:val="24"/>
        </w:rPr>
        <w:t>Dokument:</w:t>
      </w:r>
      <w:r w:rsidR="00257DC1">
        <w:rPr>
          <w:rFonts w:ascii="OrigGarmnd BT" w:hAnsi="OrigGarmnd BT"/>
          <w:b w:val="0"/>
          <w:sz w:val="24"/>
        </w:rPr>
        <w:t xml:space="preserve"> </w:t>
      </w:r>
      <w:r w:rsidR="003967A5">
        <w:rPr>
          <w:rFonts w:ascii="OrigGarmnd BT" w:hAnsi="OrigGarmnd BT"/>
          <w:b w:val="0"/>
          <w:sz w:val="24"/>
        </w:rPr>
        <w:t>9285/15</w:t>
      </w:r>
    </w:p>
    <w:p w14:paraId="78C27F10" w14:textId="14D85EDD" w:rsidR="008E0EC4" w:rsidRDefault="00483521" w:rsidP="008E0EC4">
      <w:pPr>
        <w:pStyle w:val="RKrubrik"/>
        <w:rPr>
          <w:rFonts w:ascii="OrigGarmnd BT" w:hAnsi="OrigGarmnd BT"/>
          <w:b w:val="0"/>
          <w:sz w:val="24"/>
        </w:rPr>
      </w:pPr>
      <w:r>
        <w:rPr>
          <w:rFonts w:ascii="OrigGarmnd BT" w:hAnsi="OrigGarmnd BT"/>
          <w:b w:val="0"/>
          <w:sz w:val="24"/>
        </w:rPr>
        <w:t xml:space="preserve">Tidigare dokument: </w:t>
      </w:r>
      <w:r w:rsidR="00BB7AF1">
        <w:rPr>
          <w:rFonts w:ascii="OrigGarmnd BT" w:hAnsi="OrigGarmnd BT"/>
          <w:b w:val="0"/>
          <w:sz w:val="24"/>
        </w:rPr>
        <w:t>K</w:t>
      </w:r>
      <w:r w:rsidR="007F10ED" w:rsidRPr="007F10ED">
        <w:rPr>
          <w:rFonts w:ascii="OrigGarmnd BT" w:hAnsi="OrigGarmnd BT"/>
          <w:b w:val="0"/>
          <w:sz w:val="24"/>
        </w:rPr>
        <w:t>OM(2014) 330 final</w:t>
      </w:r>
    </w:p>
    <w:p w14:paraId="5C6C762D" w14:textId="5AC6001D" w:rsidR="00257DC1" w:rsidRDefault="00257DC1" w:rsidP="008E0EC4">
      <w:pPr>
        <w:pStyle w:val="RKnormal"/>
      </w:pPr>
      <w:r>
        <w:t>Faktapromemoria:</w:t>
      </w:r>
      <w:r w:rsidR="00B04E0E">
        <w:t xml:space="preserve"> </w:t>
      </w:r>
      <w:r w:rsidR="007F10ED" w:rsidRPr="007F10ED">
        <w:t>2013/14:FPM95</w:t>
      </w:r>
    </w:p>
    <w:p w14:paraId="47FE8D57" w14:textId="77777777" w:rsidR="00257DC1" w:rsidRDefault="00257DC1" w:rsidP="008E0EC4">
      <w:pPr>
        <w:pStyle w:val="RKnormal"/>
      </w:pPr>
    </w:p>
    <w:p w14:paraId="144E9D93" w14:textId="4BBBF058" w:rsidR="008E0EC4" w:rsidRDefault="008E0EC4" w:rsidP="008E0EC4">
      <w:pPr>
        <w:pStyle w:val="RKnormal"/>
        <w:rPr>
          <w:b/>
        </w:rPr>
      </w:pPr>
      <w:r>
        <w:t>Tidigare behandlad vid samråd med EU-nämnden:</w:t>
      </w:r>
      <w:r w:rsidR="00234556">
        <w:t xml:space="preserve"> </w:t>
      </w:r>
      <w:r w:rsidR="007F10ED">
        <w:t xml:space="preserve">den 5 juni 2014 inför TTE 13 juni 2014, </w:t>
      </w:r>
      <w:r w:rsidR="007F10ED" w:rsidRPr="007F10ED">
        <w:t xml:space="preserve">22 oktober inför Europeiska rådet 23-24 oktober </w:t>
      </w:r>
      <w:r w:rsidR="00CD4646">
        <w:t>2014</w:t>
      </w:r>
      <w:r w:rsidR="00E42FEF">
        <w:t xml:space="preserve">, </w:t>
      </w:r>
      <w:r w:rsidR="007F10ED">
        <w:t xml:space="preserve">den </w:t>
      </w:r>
      <w:r w:rsidR="00CD4646">
        <w:t xml:space="preserve">5 december </w:t>
      </w:r>
      <w:r w:rsidR="00CD4646" w:rsidRPr="00CD4646">
        <w:t xml:space="preserve">inför TTE </w:t>
      </w:r>
      <w:r w:rsidR="00CD4646">
        <w:t>9</w:t>
      </w:r>
      <w:r w:rsidR="00CD4646" w:rsidRPr="00CD4646">
        <w:t xml:space="preserve"> </w:t>
      </w:r>
      <w:r w:rsidR="00CD4646">
        <w:t>december</w:t>
      </w:r>
      <w:r w:rsidR="00CD4646" w:rsidRPr="00CD4646">
        <w:t xml:space="preserve"> 2014</w:t>
      </w:r>
      <w:r w:rsidR="00E42FEF">
        <w:t xml:space="preserve"> samt </w:t>
      </w:r>
      <w:r w:rsidR="00AD553A">
        <w:t xml:space="preserve">den 18 mars </w:t>
      </w:r>
      <w:r w:rsidR="00E42FEF">
        <w:t>inför Europeiska rådet den 20-21 mars</w:t>
      </w:r>
    </w:p>
    <w:p w14:paraId="50C9C3D7" w14:textId="77777777" w:rsidR="00F54907" w:rsidRDefault="00F54907" w:rsidP="008E0EC4">
      <w:pPr>
        <w:pStyle w:val="RKnormal"/>
        <w:rPr>
          <w:b/>
        </w:rPr>
      </w:pPr>
    </w:p>
    <w:p w14:paraId="11A018A2" w14:textId="77777777" w:rsidR="00536E4D" w:rsidRPr="00C26D38" w:rsidRDefault="00536E4D" w:rsidP="00536E4D">
      <w:pPr>
        <w:pStyle w:val="RKnormal"/>
        <w:rPr>
          <w:b/>
          <w:u w:val="single"/>
        </w:rPr>
      </w:pPr>
      <w:r w:rsidRPr="00C26D38">
        <w:rPr>
          <w:b/>
          <w:u w:val="single"/>
        </w:rPr>
        <w:t>Bakgrund</w:t>
      </w:r>
    </w:p>
    <w:p w14:paraId="45DDAE48" w14:textId="4DC55AFF" w:rsidR="00536E4D" w:rsidRDefault="00536E4D" w:rsidP="00536E4D">
      <w:pPr>
        <w:pStyle w:val="RKnormal"/>
      </w:pPr>
      <w:r w:rsidRPr="007050F1">
        <w:lastRenderedPageBreak/>
        <w:t xml:space="preserve">Mot bakgrund av händelserna i Ukraina </w:t>
      </w:r>
      <w:r>
        <w:t>under</w:t>
      </w:r>
      <w:r w:rsidRPr="007050F1">
        <w:t xml:space="preserve"> 2014 </w:t>
      </w:r>
      <w:r>
        <w:t xml:space="preserve">och </w:t>
      </w:r>
      <w:r w:rsidRPr="007050F1">
        <w:t xml:space="preserve">med fokus på en stabil och säker tillgång på energi för EU:s medborgare och ekonomi, </w:t>
      </w:r>
      <w:r>
        <w:t xml:space="preserve">publicerade </w:t>
      </w:r>
      <w:r w:rsidRPr="007050F1">
        <w:t xml:space="preserve">EU-kommissionen </w:t>
      </w:r>
      <w:r>
        <w:t xml:space="preserve">i maj förra året </w:t>
      </w:r>
      <w:r w:rsidRPr="007050F1">
        <w:t>en strategi för försörjningstrygghet i form av ett meddelande</w:t>
      </w:r>
      <w:r w:rsidR="004022F6">
        <w:t xml:space="preserve">. </w:t>
      </w:r>
      <w:r w:rsidRPr="007050F1">
        <w:t>Strategin bygger på en studie av medlemsstaternas energiberoende.</w:t>
      </w:r>
      <w:r>
        <w:t xml:space="preserve"> </w:t>
      </w:r>
      <w:r w:rsidRPr="007050F1">
        <w:t xml:space="preserve">Meddelandet </w:t>
      </w:r>
      <w:r>
        <w:t>omfattar</w:t>
      </w:r>
      <w:r w:rsidRPr="007050F1">
        <w:t xml:space="preserve"> alla medl</w:t>
      </w:r>
      <w:r>
        <w:t>e</w:t>
      </w:r>
      <w:r w:rsidRPr="007050F1">
        <w:t xml:space="preserve">msstater men tar upp Baltikum och länderna i Europas östra delar som särskilt utsatta. Bakgrunden är bland annat att sex </w:t>
      </w:r>
      <w:r>
        <w:t>medlemsstater</w:t>
      </w:r>
      <w:r w:rsidRPr="007050F1">
        <w:t xml:space="preserve"> är helt beroende av rysk gas</w:t>
      </w:r>
      <w:r>
        <w:t xml:space="preserve">. </w:t>
      </w:r>
      <w:r w:rsidRPr="008722B2">
        <w:t xml:space="preserve">Strategin består av åtta nyckelpelare </w:t>
      </w:r>
      <w:r w:rsidR="006535E5">
        <w:t xml:space="preserve">med </w:t>
      </w:r>
      <w:r w:rsidRPr="008722B2">
        <w:t>kommissionens syn på omedelbara åtgärder</w:t>
      </w:r>
      <w:r w:rsidR="006535E5">
        <w:t xml:space="preserve"> liksom</w:t>
      </w:r>
      <w:r w:rsidRPr="008722B2">
        <w:t xml:space="preserve"> åtgärder på medellång- och lång sikt. Bland annat föreslås stärkta kris- och solidaritetsmekanismer, insatser för ökad energieffektivitet, fullbordande av den inre marknaden, ökad energiproduktion inom EU, vidareutveckling av energiteknik, diversifiering av leveransvägar, utbyggnad av viktig infrastruktur samt förbättrad samordning av nationella energistrategier och att EU bör tala med en röst i externa sammanhang på energiområdet.</w:t>
      </w:r>
    </w:p>
    <w:p w14:paraId="6473D92B" w14:textId="77777777" w:rsidR="00536E4D" w:rsidRDefault="00536E4D" w:rsidP="00536E4D">
      <w:pPr>
        <w:pStyle w:val="RKnormal"/>
      </w:pPr>
    </w:p>
    <w:p w14:paraId="4B5F3EBB" w14:textId="4EA82BCE" w:rsidR="00536E4D" w:rsidRDefault="00536E4D" w:rsidP="00536E4D">
      <w:pPr>
        <w:pStyle w:val="RKnormal"/>
      </w:pPr>
      <w:r>
        <w:t>Strategin diskuterades vid Europeiska rådet den 23-24</w:t>
      </w:r>
      <w:r w:rsidRPr="007050F1">
        <w:t xml:space="preserve"> oktober </w:t>
      </w:r>
      <w:r>
        <w:t>2014</w:t>
      </w:r>
      <w:r w:rsidRPr="007050F1">
        <w:t xml:space="preserve"> </w:t>
      </w:r>
      <w:r>
        <w:t>då</w:t>
      </w:r>
      <w:r w:rsidRPr="007050F1">
        <w:t xml:space="preserve"> stats- och regeringscheferna </w:t>
      </w:r>
      <w:r>
        <w:t>bland annat</w:t>
      </w:r>
      <w:r w:rsidR="004022F6">
        <w:t xml:space="preserve"> kom</w:t>
      </w:r>
      <w:r>
        <w:t xml:space="preserve"> </w:t>
      </w:r>
      <w:r w:rsidRPr="007050F1">
        <w:t>överens om</w:t>
      </w:r>
      <w:r>
        <w:t xml:space="preserve"> att g</w:t>
      </w:r>
      <w:r w:rsidRPr="007050F1">
        <w:t xml:space="preserve">enomförandet av de </w:t>
      </w:r>
      <w:r>
        <w:t>energiinfrastruktur</w:t>
      </w:r>
      <w:r w:rsidRPr="007050F1">
        <w:t xml:space="preserve">projekt som </w:t>
      </w:r>
      <w:r>
        <w:t>i strategin</w:t>
      </w:r>
      <w:r w:rsidRPr="007050F1">
        <w:t xml:space="preserve"> identifierade</w:t>
      </w:r>
      <w:r>
        <w:t>s</w:t>
      </w:r>
      <w:r w:rsidRPr="007050F1">
        <w:t xml:space="preserve"> som kritiska för försörjningstryggheten ska få högsta prioritet och implementeras senast 2020.</w:t>
      </w:r>
      <w:r w:rsidR="00AD553A">
        <w:t xml:space="preserve"> Försörjningstrygghet på energiområdet berördes också vid Europeiska rådet den 20-21 mars i år.</w:t>
      </w:r>
    </w:p>
    <w:p w14:paraId="1FF66C4B" w14:textId="77777777" w:rsidR="00536E4D" w:rsidRDefault="00536E4D" w:rsidP="00536E4D">
      <w:pPr>
        <w:pStyle w:val="RKnormal"/>
      </w:pPr>
    </w:p>
    <w:p w14:paraId="4BA5435A" w14:textId="77777777" w:rsidR="00536E4D" w:rsidRDefault="00536E4D" w:rsidP="00536E4D">
      <w:pPr>
        <w:pStyle w:val="RKnormal"/>
      </w:pPr>
      <w:r>
        <w:t>I Europaparlamentet pågår ett arbete där ett utkast till initiativrapport tas upp i plenum i juni för slutligt godkännande.</w:t>
      </w:r>
    </w:p>
    <w:p w14:paraId="4771E55F" w14:textId="367CF4AD" w:rsidR="00F516B5" w:rsidRDefault="00F516B5" w:rsidP="00536E4D">
      <w:pPr>
        <w:pStyle w:val="RKnormal"/>
      </w:pPr>
    </w:p>
    <w:p w14:paraId="1E3370D9" w14:textId="337698FF" w:rsidR="00F516B5" w:rsidRDefault="00AB5D04" w:rsidP="00536E4D">
      <w:pPr>
        <w:pStyle w:val="RKnormal"/>
      </w:pPr>
      <w:r>
        <w:t>Dagordningspunkten grundar sig inte på några nya initiativ från k</w:t>
      </w:r>
      <w:r w:rsidR="006535E5">
        <w:t>ommissionen.</w:t>
      </w:r>
      <w:r>
        <w:t xml:space="preserve"> </w:t>
      </w:r>
      <w:r w:rsidR="006535E5">
        <w:t xml:space="preserve"> I</w:t>
      </w:r>
      <w:r w:rsidR="00F516B5">
        <w:t xml:space="preserve">nför rådsmötet har ordförandeskapet </w:t>
      </w:r>
      <w:r w:rsidR="00F973F3">
        <w:t xml:space="preserve">istället </w:t>
      </w:r>
      <w:r w:rsidR="00F516B5">
        <w:t>skickat ut frågor tänkta att li</w:t>
      </w:r>
      <w:r w:rsidR="000566A8">
        <w:t>gga till grund för diskussionen.</w:t>
      </w:r>
      <w:r w:rsidR="00F516B5">
        <w:t xml:space="preserve"> </w:t>
      </w:r>
      <w:r w:rsidR="000566A8">
        <w:t xml:space="preserve">Dessa gäller dels </w:t>
      </w:r>
      <w:r w:rsidR="00F516B5">
        <w:t>vilka åtgärder som bör vidtas för att öka försörjningstryggheten</w:t>
      </w:r>
      <w:r w:rsidR="000566A8">
        <w:t xml:space="preserve"> mot bakgrund av Europeiska rådets slutsatser i mars, dels hur balans kan uppnås mellan de olika verktyg som kan användas för att garantera säkra leveranser av energi till EU.</w:t>
      </w:r>
    </w:p>
    <w:p w14:paraId="1E159FD3" w14:textId="77777777" w:rsidR="00536E4D" w:rsidRDefault="00536E4D" w:rsidP="00536E4D">
      <w:pPr>
        <w:pStyle w:val="RKnormal"/>
      </w:pPr>
    </w:p>
    <w:p w14:paraId="3EA12A1C" w14:textId="77777777" w:rsidR="00536E4D" w:rsidRPr="00C26D38" w:rsidRDefault="00536E4D" w:rsidP="00536E4D">
      <w:pPr>
        <w:pStyle w:val="RKnormal"/>
        <w:rPr>
          <w:b/>
          <w:u w:val="single"/>
        </w:rPr>
      </w:pPr>
      <w:r w:rsidRPr="00C26D38">
        <w:rPr>
          <w:b/>
          <w:u w:val="single"/>
        </w:rPr>
        <w:t>Förslag till svensk ståndpunkt</w:t>
      </w:r>
    </w:p>
    <w:p w14:paraId="47D94073" w14:textId="6E530E25" w:rsidR="00536E4D" w:rsidRDefault="00536E4D" w:rsidP="00536E4D">
      <w:pPr>
        <w:pStyle w:val="RKnormal"/>
      </w:pPr>
      <w:r w:rsidRPr="001B4342">
        <w:t>Regeringen har förståelse för den utsatta situation som många medlemsstater befinner sig i</w:t>
      </w:r>
      <w:r>
        <w:t xml:space="preserve">. </w:t>
      </w:r>
      <w:r w:rsidRPr="008722B2">
        <w:t xml:space="preserve">Regeringen instämmer i att det krävs planering för omedelbara åtgärder i händelse </w:t>
      </w:r>
      <w:r w:rsidR="004022F6">
        <w:t xml:space="preserve">av </w:t>
      </w:r>
      <w:r w:rsidRPr="008722B2">
        <w:t xml:space="preserve">akuta problem och </w:t>
      </w:r>
      <w:r w:rsidR="00DD29AB">
        <w:t xml:space="preserve">för </w:t>
      </w:r>
      <w:r w:rsidRPr="008722B2">
        <w:t xml:space="preserve">åtgärder på medel- och lång sikt för att minska det externa beroendet. </w:t>
      </w:r>
      <w:r>
        <w:t xml:space="preserve"> </w:t>
      </w:r>
    </w:p>
    <w:p w14:paraId="748A522B" w14:textId="77777777" w:rsidR="00536E4D" w:rsidRDefault="00536E4D" w:rsidP="00536E4D">
      <w:pPr>
        <w:pStyle w:val="RKnormal"/>
      </w:pPr>
    </w:p>
    <w:p w14:paraId="797F2604" w14:textId="0352A4F2" w:rsidR="00536E4D" w:rsidRDefault="00536E4D" w:rsidP="00536E4D">
      <w:pPr>
        <w:pStyle w:val="RKnormal"/>
      </w:pPr>
      <w:r>
        <w:t xml:space="preserve">Regeringen anser att försörjningstrygghet inom energisektorn är en viktig fråga för EU </w:t>
      </w:r>
      <w:r w:rsidRPr="008722B2">
        <w:t>liksom energipolitiken</w:t>
      </w:r>
      <w:r w:rsidR="00DD29AB">
        <w:t>s övriga pelare</w:t>
      </w:r>
      <w:r w:rsidRPr="008722B2">
        <w:t>, hållbarhet och konkurrenskraft</w:t>
      </w:r>
      <w:r>
        <w:t xml:space="preserve">. </w:t>
      </w:r>
    </w:p>
    <w:p w14:paraId="1DE264F6" w14:textId="77777777" w:rsidR="00536E4D" w:rsidRDefault="00536E4D" w:rsidP="00536E4D">
      <w:pPr>
        <w:pStyle w:val="RKnormal"/>
      </w:pPr>
    </w:p>
    <w:p w14:paraId="25C36BFB" w14:textId="3F577624" w:rsidR="00B710EF" w:rsidRDefault="00B710EF" w:rsidP="00B710EF">
      <w:pPr>
        <w:pStyle w:val="RKnormal"/>
      </w:pPr>
      <w:r>
        <w:t>Vad gä</w:t>
      </w:r>
      <w:r w:rsidR="008112DC">
        <w:t>ller ordförandeskapets frågo</w:t>
      </w:r>
      <w:r>
        <w:t>r</w:t>
      </w:r>
      <w:r w:rsidR="009F498F">
        <w:t xml:space="preserve"> vill r</w:t>
      </w:r>
      <w:r w:rsidRPr="008722B2">
        <w:t xml:space="preserve">egeringen betona marknadens betydelse för försörjningstryggheten. Väl fungerande </w:t>
      </w:r>
      <w:r w:rsidRPr="008722B2">
        <w:lastRenderedPageBreak/>
        <w:t xml:space="preserve">energimarknader ger </w:t>
      </w:r>
      <w:r>
        <w:t xml:space="preserve">bland annat </w:t>
      </w:r>
      <w:r w:rsidRPr="008722B2">
        <w:t>incitament för de investeringar som krävs för att förbättra försörjningstryggheten i utsatta medlemsstater.</w:t>
      </w:r>
    </w:p>
    <w:p w14:paraId="02CF8C1A" w14:textId="77777777" w:rsidR="00B710EF" w:rsidRDefault="00B710EF" w:rsidP="00536E4D">
      <w:pPr>
        <w:pStyle w:val="RKnormal"/>
      </w:pPr>
    </w:p>
    <w:p w14:paraId="1147EE70" w14:textId="3BB85DC7" w:rsidR="00536E4D" w:rsidRDefault="009F498F" w:rsidP="00536E4D">
      <w:pPr>
        <w:pStyle w:val="RKnormal"/>
      </w:pPr>
      <w:r>
        <w:t xml:space="preserve">Vidare </w:t>
      </w:r>
      <w:r w:rsidR="00B710EF">
        <w:t>vill r</w:t>
      </w:r>
      <w:r w:rsidR="00536E4D">
        <w:t xml:space="preserve">egeringen understryka att det finns starka synergier mellan klimatpolitiken och försörjningstrygghet och att det är viktigt att åtgärder för ökad försörjningstrygghet </w:t>
      </w:r>
      <w:r w:rsidR="00B710EF">
        <w:t xml:space="preserve">är </w:t>
      </w:r>
      <w:r w:rsidR="00536E4D">
        <w:t>förenliga med långsiktiga klimatmål. Därmed anser regeringen att EU-kommissionen bör presentera förslag på åtgärder som resulterar i kraftigt minskat beroende av fossil energi. Ett centralt område är energieffektivisering inom värmesektorn där regeringen menar att EU-kommissionen, inom befintliga budgetramar, bör ta initiativ som skapar incitament och främjar investeringar i regioner med särskilt goda förutsättningar för byte av fossila bränslen till ökat utnyttjande av avfall, biomassa och industriell fjärrvärme.</w:t>
      </w:r>
    </w:p>
    <w:p w14:paraId="0F92F397" w14:textId="77777777" w:rsidR="00536E4D" w:rsidRDefault="00536E4D" w:rsidP="00536E4D">
      <w:pPr>
        <w:pStyle w:val="RKnormal"/>
      </w:pPr>
    </w:p>
    <w:p w14:paraId="0FCE6995" w14:textId="21C2062E" w:rsidR="003D0A4E" w:rsidRDefault="003D0A4E" w:rsidP="003D0A4E">
      <w:pPr>
        <w:pStyle w:val="RKrubrik"/>
      </w:pPr>
      <w:r>
        <w:t>5</w:t>
      </w:r>
      <w:r w:rsidRPr="00EA606E">
        <w:t>.</w:t>
      </w:r>
      <w:r w:rsidRPr="008E0EC4">
        <w:t xml:space="preserve"> </w:t>
      </w:r>
      <w:r w:rsidR="00F54907">
        <w:t>Energiunionen</w:t>
      </w:r>
    </w:p>
    <w:p w14:paraId="550A0C0E" w14:textId="3286D047" w:rsidR="00246903" w:rsidRDefault="00F54907" w:rsidP="003D0A4E">
      <w:pPr>
        <w:pStyle w:val="RKnormal"/>
        <w:rPr>
          <w:i/>
        </w:rPr>
      </w:pPr>
      <w:r>
        <w:rPr>
          <w:i/>
        </w:rPr>
        <w:t>- antagande av slutsatser</w:t>
      </w:r>
    </w:p>
    <w:p w14:paraId="7CB530DF" w14:textId="7B72AC0C" w:rsidR="003D0A4E" w:rsidRPr="00224BAE" w:rsidRDefault="003D0A4E" w:rsidP="003D0A4E">
      <w:pPr>
        <w:pStyle w:val="RKnormal"/>
        <w:rPr>
          <w:i/>
        </w:rPr>
      </w:pPr>
    </w:p>
    <w:p w14:paraId="4E20E09C" w14:textId="49038D70" w:rsidR="003D0A4E" w:rsidRDefault="003D0A4E" w:rsidP="003D0A4E">
      <w:pPr>
        <w:pStyle w:val="RKrubrik"/>
        <w:rPr>
          <w:rFonts w:ascii="OrigGarmnd BT" w:hAnsi="OrigGarmnd BT"/>
          <w:b w:val="0"/>
          <w:sz w:val="24"/>
        </w:rPr>
      </w:pPr>
      <w:r>
        <w:rPr>
          <w:rFonts w:ascii="OrigGarmnd BT" w:hAnsi="OrigGarmnd BT"/>
          <w:b w:val="0"/>
          <w:sz w:val="24"/>
        </w:rPr>
        <w:t xml:space="preserve">Dokument: </w:t>
      </w:r>
      <w:r w:rsidR="00300718">
        <w:rPr>
          <w:rFonts w:ascii="OrigGarmnd BT" w:hAnsi="OrigGarmnd BT"/>
          <w:b w:val="0"/>
          <w:sz w:val="24"/>
        </w:rPr>
        <w:t>9073/15</w:t>
      </w:r>
    </w:p>
    <w:p w14:paraId="557F05F0" w14:textId="2A40F38B" w:rsidR="002D4798" w:rsidRPr="00F54907" w:rsidRDefault="003D0A4E" w:rsidP="00F54907">
      <w:pPr>
        <w:pStyle w:val="RKrubrik"/>
        <w:rPr>
          <w:rFonts w:ascii="OrigGarmnd BT" w:hAnsi="OrigGarmnd BT"/>
          <w:b w:val="0"/>
          <w:sz w:val="24"/>
        </w:rPr>
      </w:pPr>
      <w:r>
        <w:rPr>
          <w:rFonts w:ascii="OrigGarmnd BT" w:hAnsi="OrigGarmnd BT"/>
          <w:b w:val="0"/>
          <w:sz w:val="24"/>
        </w:rPr>
        <w:t xml:space="preserve">Tidigare dokument: </w:t>
      </w:r>
      <w:r w:rsidR="00E42FEF">
        <w:rPr>
          <w:rFonts w:ascii="OrigGarmnd BT" w:hAnsi="OrigGarmnd BT"/>
          <w:b w:val="0"/>
          <w:sz w:val="24"/>
        </w:rPr>
        <w:t>KOM (2015) 80 final</w:t>
      </w:r>
      <w:r w:rsidR="002D4798">
        <w:rPr>
          <w:rFonts w:ascii="OrigGarmnd BT" w:hAnsi="OrigGarmnd BT"/>
          <w:b w:val="0"/>
          <w:sz w:val="24"/>
        </w:rPr>
        <w:br/>
      </w:r>
    </w:p>
    <w:p w14:paraId="1451EE0F" w14:textId="618FC90B" w:rsidR="003D0A4E" w:rsidRDefault="003D0A4E" w:rsidP="003D0A4E">
      <w:pPr>
        <w:pStyle w:val="RKnormal"/>
      </w:pPr>
      <w:r>
        <w:t xml:space="preserve">Faktapromemoria: </w:t>
      </w:r>
      <w:r w:rsidR="00024A63">
        <w:t>Fakta-PM 2014/15:FPM 23</w:t>
      </w:r>
    </w:p>
    <w:p w14:paraId="2C88F38F" w14:textId="77777777" w:rsidR="003D0A4E" w:rsidRDefault="003D0A4E" w:rsidP="003D0A4E">
      <w:pPr>
        <w:pStyle w:val="RKnormal"/>
      </w:pPr>
    </w:p>
    <w:p w14:paraId="68458489" w14:textId="67D384B1" w:rsidR="003D0A4E" w:rsidRDefault="003D0A4E" w:rsidP="00F54907">
      <w:pPr>
        <w:pStyle w:val="RKnormal"/>
      </w:pPr>
      <w:r>
        <w:t xml:space="preserve">Tidigare behandlad vid samråd med EU-nämnden: </w:t>
      </w:r>
      <w:r w:rsidR="00E42FEF">
        <w:t>Kommissionens meddelande behandlades tidigare den 27 februari 2015 inför TT(E) och den 19 mars inför Europeiska rådet.</w:t>
      </w:r>
    </w:p>
    <w:p w14:paraId="4E2C6EE8" w14:textId="2B32356D" w:rsidR="007D0810" w:rsidRDefault="007D0810" w:rsidP="00F54907">
      <w:pPr>
        <w:pStyle w:val="RKnormal"/>
        <w:rPr>
          <w:b/>
        </w:rPr>
      </w:pPr>
    </w:p>
    <w:p w14:paraId="4CF02DD4" w14:textId="77777777" w:rsidR="007D0810" w:rsidRPr="00DF0339" w:rsidRDefault="007D0810" w:rsidP="007D0810">
      <w:pPr>
        <w:pStyle w:val="RKnormal"/>
        <w:rPr>
          <w:b/>
          <w:u w:val="single"/>
        </w:rPr>
      </w:pPr>
      <w:r w:rsidRPr="00DF0339">
        <w:rPr>
          <w:b/>
          <w:u w:val="single"/>
        </w:rPr>
        <w:t>Bakgrund</w:t>
      </w:r>
    </w:p>
    <w:p w14:paraId="351B00FF" w14:textId="77777777" w:rsidR="007D0810" w:rsidRDefault="007D0810" w:rsidP="007D0810">
      <w:pPr>
        <w:pStyle w:val="RKnormal"/>
      </w:pPr>
      <w:r w:rsidRPr="00953DFB">
        <w:t>Den 25 februari 2015 presenterade kommissionen sitt åtgärdspaket för Energiunionen, ”En ramstrategi för en motståndskraftig energiunion med en framåtblickande klimatpolitik”. Förslaget ska ses som ett arbetsprogram för kommissionens mandatperiod.</w:t>
      </w:r>
    </w:p>
    <w:p w14:paraId="68020E73" w14:textId="77777777" w:rsidR="007D0810" w:rsidRDefault="007D0810" w:rsidP="007D0810">
      <w:pPr>
        <w:pStyle w:val="RKnormal"/>
      </w:pPr>
    </w:p>
    <w:p w14:paraId="31F14D7C" w14:textId="06DC6D75" w:rsidR="007D0810" w:rsidRDefault="007D0810" w:rsidP="007D0810">
      <w:pPr>
        <w:pStyle w:val="RKnormal"/>
      </w:pPr>
      <w:r>
        <w:t xml:space="preserve">Det lettiska ordförandeskapet </w:t>
      </w:r>
      <w:r w:rsidR="00990C3F">
        <w:t xml:space="preserve">föreslår att </w:t>
      </w:r>
      <w:r>
        <w:t>TTE-rådet anta</w:t>
      </w:r>
      <w:r w:rsidR="00990C3F">
        <w:t>r</w:t>
      </w:r>
      <w:r>
        <w:t xml:space="preserve"> rådsslutsatser på kommissionens meddelande. Ordförandeskapet har i slutsatserna valt att fokusera på konsumenter</w:t>
      </w:r>
      <w:r w:rsidR="004022F6">
        <w:t>nas roll kan stärkas</w:t>
      </w:r>
      <w:r>
        <w:t xml:space="preserve"> och </w:t>
      </w:r>
      <w:r w:rsidR="00C34652">
        <w:t xml:space="preserve">på </w:t>
      </w:r>
      <w:r>
        <w:t xml:space="preserve">hur EU ska kunna attrahera investeringar till energisektorn. </w:t>
      </w:r>
      <w:r w:rsidR="004022F6">
        <w:t>Sverige</w:t>
      </w:r>
      <w:r>
        <w:t xml:space="preserve"> har under förhandlingarna fått gehör för bland annat att Energiunionens ambitioner ska vara i linje med långsiktiga klimat- och energimål</w:t>
      </w:r>
      <w:r w:rsidR="00C34652">
        <w:t xml:space="preserve">. </w:t>
      </w:r>
      <w:r w:rsidR="004022F6">
        <w:t>Sverige</w:t>
      </w:r>
      <w:r w:rsidR="00C34652">
        <w:t xml:space="preserve"> har också fått stöd för </w:t>
      </w:r>
      <w:r w:rsidR="00DD29AB">
        <w:t xml:space="preserve">synen att </w:t>
      </w:r>
      <w:r w:rsidR="00C34652">
        <w:t>väl fungerande energi</w:t>
      </w:r>
      <w:r>
        <w:t>marknad</w:t>
      </w:r>
      <w:r w:rsidR="00DD29AB">
        <w:t>er</w:t>
      </w:r>
      <w:r w:rsidR="002D0E61">
        <w:t xml:space="preserve">, däribland en välfungerande marknad för koldioxid, </w:t>
      </w:r>
      <w:r w:rsidR="00C34652">
        <w:t xml:space="preserve"> </w:t>
      </w:r>
      <w:r w:rsidR="00DD29AB">
        <w:t xml:space="preserve">spelar en nyckelroll i </w:t>
      </w:r>
      <w:r>
        <w:t xml:space="preserve"> att få till stånd investeringar</w:t>
      </w:r>
      <w:r w:rsidR="00C34652">
        <w:t xml:space="preserve"> på EU-nivå</w:t>
      </w:r>
      <w:r w:rsidR="00DD29AB">
        <w:t xml:space="preserve"> och att </w:t>
      </w:r>
      <w:r w:rsidR="002D0E61">
        <w:t>marknaderna</w:t>
      </w:r>
      <w:r w:rsidR="00DD29AB">
        <w:t xml:space="preserve"> </w:t>
      </w:r>
      <w:r w:rsidR="00C34652">
        <w:t xml:space="preserve"> </w:t>
      </w:r>
      <w:r>
        <w:t xml:space="preserve">måste fortsätta </w:t>
      </w:r>
      <w:r w:rsidR="002D0E61">
        <w:t xml:space="preserve">att </w:t>
      </w:r>
      <w:r>
        <w:t>utvecklas</w:t>
      </w:r>
      <w:r w:rsidR="00DD29AB">
        <w:t>.</w:t>
      </w:r>
      <w:r>
        <w:t xml:space="preserve"> </w:t>
      </w:r>
      <w:r w:rsidR="00DD29AB">
        <w:t xml:space="preserve">Detta </w:t>
      </w:r>
      <w:r>
        <w:t>tillsammans med ett stabilt och transparent EU-regelverk</w:t>
      </w:r>
      <w:r w:rsidR="00064FDC">
        <w:t xml:space="preserve"> är avgörande för att få till stånd </w:t>
      </w:r>
      <w:r w:rsidR="00064FDC">
        <w:lastRenderedPageBreak/>
        <w:t>nödvändiga investeringar</w:t>
      </w:r>
      <w:r w:rsidR="002D0E61">
        <w:t>.</w:t>
      </w:r>
      <w:r>
        <w:t xml:space="preserve"> </w:t>
      </w:r>
      <w:r w:rsidR="00A444E2">
        <w:t>Sverige</w:t>
      </w:r>
      <w:r>
        <w:t xml:space="preserve"> har också fått gehör </w:t>
      </w:r>
      <w:r w:rsidR="00DD29AB">
        <w:t>för</w:t>
      </w:r>
      <w:r>
        <w:t xml:space="preserve"> behovet av politiskt </w:t>
      </w:r>
      <w:r w:rsidR="00DD29AB">
        <w:t xml:space="preserve">och finansiellt </w:t>
      </w:r>
      <w:r>
        <w:t xml:space="preserve">stöd </w:t>
      </w:r>
      <w:r w:rsidR="00DD29AB">
        <w:t xml:space="preserve">(inom befintliga ramar) </w:t>
      </w:r>
      <w:r>
        <w:t>för att öka investeringarna i fjärrvärme</w:t>
      </w:r>
      <w:r w:rsidR="00592AA2">
        <w:t>.</w:t>
      </w:r>
    </w:p>
    <w:p w14:paraId="44767D00" w14:textId="64D295AC" w:rsidR="00F973F3" w:rsidRPr="005463D6" w:rsidRDefault="00F973F3" w:rsidP="007D0810">
      <w:pPr>
        <w:pStyle w:val="RKnormal"/>
        <w:rPr>
          <w:i/>
        </w:rPr>
      </w:pPr>
      <w:r w:rsidRPr="005463D6">
        <w:rPr>
          <w:i/>
        </w:rPr>
        <w:t>Se PM för vidare information.</w:t>
      </w:r>
    </w:p>
    <w:p w14:paraId="1136639E" w14:textId="77777777" w:rsidR="007D0810" w:rsidRDefault="007D0810" w:rsidP="007D0810">
      <w:pPr>
        <w:pStyle w:val="RKnormal"/>
      </w:pPr>
    </w:p>
    <w:p w14:paraId="6E986881" w14:textId="77777777" w:rsidR="007D0810" w:rsidRPr="00DF0339" w:rsidRDefault="007D0810" w:rsidP="007D0810">
      <w:pPr>
        <w:pStyle w:val="RKnormal"/>
        <w:rPr>
          <w:b/>
          <w:u w:val="single"/>
        </w:rPr>
      </w:pPr>
      <w:r w:rsidRPr="00DF0339">
        <w:rPr>
          <w:b/>
          <w:u w:val="single"/>
        </w:rPr>
        <w:t>Förslag till svensk ståndpunkt</w:t>
      </w:r>
    </w:p>
    <w:p w14:paraId="3581BF7A" w14:textId="03EBF49C" w:rsidR="007D0810" w:rsidRDefault="007D0810" w:rsidP="007D0810">
      <w:pPr>
        <w:pStyle w:val="RKnormal"/>
      </w:pPr>
      <w:r>
        <w:t xml:space="preserve">Regeringen föreslår att Sverige </w:t>
      </w:r>
      <w:r w:rsidR="00E42FEF">
        <w:t xml:space="preserve">ställer </w:t>
      </w:r>
      <w:r>
        <w:t xml:space="preserve">sig bakom ordförandeskapets förslag till rådsslutsatser. </w:t>
      </w:r>
    </w:p>
    <w:p w14:paraId="007F292E" w14:textId="77777777" w:rsidR="000027EA" w:rsidRDefault="000027EA" w:rsidP="00760769">
      <w:pPr>
        <w:pStyle w:val="RKnormal"/>
        <w:rPr>
          <w:rFonts w:ascii="TradeGothic" w:hAnsi="TradeGothic"/>
          <w:b/>
        </w:rPr>
      </w:pPr>
    </w:p>
    <w:p w14:paraId="08A389EF" w14:textId="77777777" w:rsidR="00760769" w:rsidRDefault="00257DC1" w:rsidP="00760769">
      <w:pPr>
        <w:pStyle w:val="RKnormal"/>
        <w:rPr>
          <w:rFonts w:ascii="TradeGothic" w:hAnsi="TradeGothic"/>
          <w:b/>
        </w:rPr>
      </w:pPr>
      <w:r>
        <w:rPr>
          <w:rFonts w:ascii="TradeGothic" w:hAnsi="TradeGothic"/>
          <w:b/>
        </w:rPr>
        <w:t>6</w:t>
      </w:r>
      <w:r w:rsidR="00EA606E">
        <w:rPr>
          <w:rFonts w:ascii="TradeGothic" w:hAnsi="TradeGothic"/>
          <w:b/>
        </w:rPr>
        <w:t>.</w:t>
      </w:r>
      <w:r>
        <w:rPr>
          <w:rFonts w:ascii="TradeGothic" w:hAnsi="TradeGothic"/>
          <w:b/>
        </w:rPr>
        <w:t xml:space="preserve"> </w:t>
      </w:r>
      <w:r w:rsidR="00760769">
        <w:rPr>
          <w:rFonts w:ascii="TradeGothic" w:hAnsi="TradeGothic"/>
          <w:b/>
        </w:rPr>
        <w:t>Övrigt</w:t>
      </w:r>
    </w:p>
    <w:p w14:paraId="7D33AACB" w14:textId="0D3D5805" w:rsidR="00205D53" w:rsidRDefault="00205D53" w:rsidP="00205D53">
      <w:pPr>
        <w:pStyle w:val="RKrubrik"/>
      </w:pPr>
      <w:r>
        <w:t xml:space="preserve"> a) Läges</w:t>
      </w:r>
      <w:r w:rsidRPr="00224BAE">
        <w:t xml:space="preserve">uppdatering </w:t>
      </w:r>
      <w:r>
        <w:t>om EU:s externa förbindelser på energiområdet.</w:t>
      </w:r>
    </w:p>
    <w:p w14:paraId="422C1958" w14:textId="77777777" w:rsidR="00205D53" w:rsidRPr="00224BAE" w:rsidRDefault="00205D53" w:rsidP="00205D53">
      <w:pPr>
        <w:pStyle w:val="RKnormal"/>
        <w:rPr>
          <w:i/>
        </w:rPr>
      </w:pPr>
      <w:r w:rsidRPr="00224BAE">
        <w:rPr>
          <w:i/>
        </w:rPr>
        <w:t>- Information från ordförandeskapet och kommissionen</w:t>
      </w:r>
    </w:p>
    <w:p w14:paraId="32EBE6FA" w14:textId="07B36ADE" w:rsidR="00205D53" w:rsidRDefault="00205D53" w:rsidP="00205D53">
      <w:pPr>
        <w:pStyle w:val="RKrubrik"/>
        <w:keepNext w:val="0"/>
        <w:widowControl w:val="0"/>
        <w:rPr>
          <w:rFonts w:ascii="OrigGarmnd BT" w:hAnsi="OrigGarmnd BT"/>
          <w:b w:val="0"/>
          <w:sz w:val="24"/>
        </w:rPr>
      </w:pPr>
      <w:r>
        <w:rPr>
          <w:rFonts w:ascii="OrigGarmnd BT" w:hAnsi="OrigGarmnd BT"/>
          <w:b w:val="0"/>
          <w:sz w:val="24"/>
        </w:rPr>
        <w:t xml:space="preserve">Dokument: </w:t>
      </w:r>
      <w:r w:rsidR="008520EE">
        <w:rPr>
          <w:rFonts w:ascii="OrigGarmnd BT" w:hAnsi="OrigGarmnd BT"/>
          <w:b w:val="0"/>
          <w:sz w:val="24"/>
        </w:rPr>
        <w:t>9090/15</w:t>
      </w:r>
    </w:p>
    <w:p w14:paraId="4E3E6A56" w14:textId="77777777" w:rsidR="002222F9" w:rsidRDefault="002222F9" w:rsidP="00205D53">
      <w:pPr>
        <w:pStyle w:val="RKnormal"/>
      </w:pPr>
    </w:p>
    <w:p w14:paraId="7D476D91" w14:textId="1F08DA3E" w:rsidR="00205D53" w:rsidRPr="00205D53" w:rsidRDefault="00205D53" w:rsidP="00205D53">
      <w:pPr>
        <w:pStyle w:val="RKnormal"/>
      </w:pPr>
      <w:r>
        <w:t xml:space="preserve">Tidigare behandlad vid samråd med EU-nämnden: Externa förbindelser på energiområdet har behandlats återkommande. </w:t>
      </w:r>
    </w:p>
    <w:p w14:paraId="38434DF6" w14:textId="77777777" w:rsidR="00205D53" w:rsidRPr="003D000B" w:rsidRDefault="00205D53" w:rsidP="00205D53">
      <w:pPr>
        <w:pStyle w:val="RKnormal"/>
        <w:rPr>
          <w:b/>
        </w:rPr>
      </w:pPr>
    </w:p>
    <w:p w14:paraId="7A1A47BB" w14:textId="77777777" w:rsidR="00205D53" w:rsidRPr="00C26D38" w:rsidRDefault="00205D53" w:rsidP="00205D53">
      <w:pPr>
        <w:pStyle w:val="RKnormal"/>
        <w:rPr>
          <w:b/>
          <w:u w:val="single"/>
        </w:rPr>
      </w:pPr>
      <w:r w:rsidRPr="00C26D38">
        <w:rPr>
          <w:b/>
          <w:u w:val="single"/>
        </w:rPr>
        <w:t>Bakgrund</w:t>
      </w:r>
    </w:p>
    <w:p w14:paraId="4DFB3CAF" w14:textId="72FC25AE" w:rsidR="00205D53" w:rsidRDefault="00205D53" w:rsidP="00205D53">
      <w:pPr>
        <w:pStyle w:val="RKnormal"/>
      </w:pPr>
      <w:r>
        <w:t>TTE-rådet (energi)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och främja det internationella klimatarbetet. I dessa dialoger företräds EU vanligen av ordförandeskap och kommissionen, som här förväntas rap</w:t>
      </w:r>
      <w:r w:rsidR="002222F9">
        <w:t>portera om nyligen genomförda</w:t>
      </w:r>
      <w:r>
        <w:t xml:space="preserve"> och kommande internationella möten. Vid TTE-rådet den 8 juni ges information om trilateralt samarbete mellan Ukraina-Ryssland-EU samt Energigemenskapen för Sydöstra Europa.</w:t>
      </w:r>
    </w:p>
    <w:p w14:paraId="24221E29" w14:textId="77777777" w:rsidR="00205D53" w:rsidRDefault="00205D53" w:rsidP="00205D53">
      <w:pPr>
        <w:pStyle w:val="RKnormal"/>
      </w:pPr>
    </w:p>
    <w:p w14:paraId="52BFBEEB" w14:textId="65EC13E3" w:rsidR="00AE22DA" w:rsidRDefault="00AE22DA" w:rsidP="00AE22DA">
      <w:pPr>
        <w:pStyle w:val="RKrubrik"/>
      </w:pPr>
      <w:r>
        <w:t>6 b) Återrapportering från European Nuclear Energy Forum (ENEF)</w:t>
      </w:r>
    </w:p>
    <w:p w14:paraId="210C1DE2" w14:textId="04E59F30" w:rsidR="00AE22DA" w:rsidRPr="007051BE" w:rsidRDefault="00AE22DA" w:rsidP="00AE22DA">
      <w:pPr>
        <w:pStyle w:val="RKnormal"/>
        <w:rPr>
          <w:i/>
        </w:rPr>
      </w:pPr>
      <w:r w:rsidRPr="007051BE">
        <w:rPr>
          <w:i/>
        </w:rPr>
        <w:t xml:space="preserve">- Information från </w:t>
      </w:r>
      <w:r w:rsidR="007D199A">
        <w:rPr>
          <w:i/>
        </w:rPr>
        <w:t>den tjeckiska delegationen</w:t>
      </w:r>
    </w:p>
    <w:p w14:paraId="68E318C7" w14:textId="77777777" w:rsidR="00AE22DA" w:rsidRDefault="00AE22DA" w:rsidP="00AE22DA">
      <w:pPr>
        <w:pStyle w:val="RKnormal"/>
      </w:pPr>
    </w:p>
    <w:p w14:paraId="7A4218C5" w14:textId="2C38DA54" w:rsidR="00E42FEF" w:rsidRDefault="00E42FEF" w:rsidP="00AE22DA">
      <w:pPr>
        <w:pStyle w:val="RKnormal"/>
      </w:pPr>
      <w:r>
        <w:t xml:space="preserve">Dokument: </w:t>
      </w:r>
      <w:r w:rsidR="00D7022B">
        <w:t>9093/15</w:t>
      </w:r>
    </w:p>
    <w:p w14:paraId="398C7712" w14:textId="77777777" w:rsidR="00E42FEF" w:rsidRDefault="00E42FEF" w:rsidP="00AE22DA">
      <w:pPr>
        <w:pStyle w:val="RKnormal"/>
      </w:pPr>
    </w:p>
    <w:p w14:paraId="6B3A748A" w14:textId="77777777" w:rsidR="00AE22DA" w:rsidRDefault="00AE22DA" w:rsidP="00AE22DA">
      <w:pPr>
        <w:pStyle w:val="RKnormal"/>
        <w:rPr>
          <w:b/>
          <w:u w:val="single"/>
        </w:rPr>
      </w:pPr>
      <w:r w:rsidRPr="00C26D38">
        <w:rPr>
          <w:b/>
          <w:u w:val="single"/>
        </w:rPr>
        <w:t>Bakgrund</w:t>
      </w:r>
    </w:p>
    <w:p w14:paraId="5834DBB3" w14:textId="06417442" w:rsidR="00AE22DA" w:rsidRDefault="00AE22DA" w:rsidP="00AE22DA">
      <w:pPr>
        <w:pStyle w:val="RKnormal"/>
      </w:pPr>
      <w:r w:rsidRPr="00620CA6">
        <w:t>Kommissionen har tidigare föreslagit att det europeiska forumet för kärnkraft</w:t>
      </w:r>
      <w:r>
        <w:t xml:space="preserve"> (ENEF) - ett diskussionsforum - </w:t>
      </w:r>
      <w:r w:rsidRPr="00620CA6">
        <w:t>ska gå upp i det bredare Berlin forum</w:t>
      </w:r>
      <w:r>
        <w:t>, som behandlar övrig baskraftsindustri</w:t>
      </w:r>
      <w:r w:rsidRPr="00620CA6">
        <w:t xml:space="preserve">. </w:t>
      </w:r>
      <w:r w:rsidR="004A3CBB">
        <w:t xml:space="preserve">Flera medlemsstater har sedan dess velat poängtera vikten av att ENEF fortsätter som en separat process. </w:t>
      </w:r>
      <w:r w:rsidRPr="00620CA6">
        <w:t xml:space="preserve">Den </w:t>
      </w:r>
      <w:r w:rsidR="004A3CBB">
        <w:t>tjeckiska delegationen väntas vid energiministermötet redogöra för ENEFs senaste möte</w:t>
      </w:r>
      <w:r w:rsidR="00307D82">
        <w:t xml:space="preserve"> i Prag den 26-27 maj 2015.</w:t>
      </w:r>
      <w:r w:rsidRPr="00620CA6">
        <w:t xml:space="preserve"> </w:t>
      </w:r>
    </w:p>
    <w:p w14:paraId="5A42C9CF" w14:textId="77777777" w:rsidR="00AE22DA" w:rsidRDefault="00AE22DA" w:rsidP="00205D53">
      <w:pPr>
        <w:pStyle w:val="RKnormal"/>
      </w:pPr>
    </w:p>
    <w:p w14:paraId="474F10D2" w14:textId="3896636D" w:rsidR="00205D53" w:rsidRDefault="00205D53" w:rsidP="00205D53">
      <w:pPr>
        <w:pStyle w:val="RKrubrik"/>
      </w:pPr>
      <w:r>
        <w:t xml:space="preserve">6 </w:t>
      </w:r>
      <w:r w:rsidR="00AE22DA">
        <w:t>c</w:t>
      </w:r>
      <w:r>
        <w:t>) Det inkommande ordförandeskapets arbetsprogram</w:t>
      </w:r>
    </w:p>
    <w:p w14:paraId="3F45219B" w14:textId="77777777" w:rsidR="00205D53" w:rsidRPr="007051BE" w:rsidRDefault="00205D53" w:rsidP="00205D53">
      <w:pPr>
        <w:pStyle w:val="RKnormal"/>
        <w:rPr>
          <w:i/>
        </w:rPr>
      </w:pPr>
      <w:r w:rsidRPr="007051BE">
        <w:rPr>
          <w:i/>
        </w:rPr>
        <w:t>- Information från den luxemburgska delegationen</w:t>
      </w:r>
    </w:p>
    <w:p w14:paraId="7A124B3B" w14:textId="47ADCF82" w:rsidR="00205D53" w:rsidRDefault="00205D53" w:rsidP="00205D53">
      <w:pPr>
        <w:pStyle w:val="RKrubrik"/>
        <w:keepNext w:val="0"/>
        <w:widowControl w:val="0"/>
        <w:rPr>
          <w:rFonts w:ascii="OrigGarmnd BT" w:hAnsi="OrigGarmnd BT"/>
          <w:b w:val="0"/>
          <w:sz w:val="24"/>
        </w:rPr>
      </w:pPr>
      <w:r>
        <w:rPr>
          <w:rFonts w:ascii="OrigGarmnd BT" w:hAnsi="OrigGarmnd BT"/>
          <w:b w:val="0"/>
          <w:sz w:val="24"/>
        </w:rPr>
        <w:t xml:space="preserve">Dokument: </w:t>
      </w:r>
      <w:r w:rsidR="00D7022B">
        <w:rPr>
          <w:rFonts w:ascii="OrigGarmnd BT" w:hAnsi="OrigGarmnd BT"/>
          <w:b w:val="0"/>
          <w:sz w:val="24"/>
        </w:rPr>
        <w:t>9091/15</w:t>
      </w:r>
    </w:p>
    <w:p w14:paraId="04FC0C1B" w14:textId="77777777" w:rsidR="00205D53" w:rsidRDefault="00205D53" w:rsidP="00205D53">
      <w:pPr>
        <w:pStyle w:val="RKnormal"/>
        <w:rPr>
          <w:b/>
          <w:u w:val="single"/>
        </w:rPr>
      </w:pPr>
    </w:p>
    <w:p w14:paraId="2500D08D" w14:textId="77777777" w:rsidR="00205D53" w:rsidRDefault="00205D53" w:rsidP="00205D53">
      <w:pPr>
        <w:pStyle w:val="RKnormal"/>
        <w:rPr>
          <w:b/>
          <w:u w:val="single"/>
        </w:rPr>
      </w:pPr>
      <w:r w:rsidRPr="00C26D38">
        <w:rPr>
          <w:b/>
          <w:u w:val="single"/>
        </w:rPr>
        <w:t>Bakgrund</w:t>
      </w:r>
    </w:p>
    <w:p w14:paraId="0AF706BB" w14:textId="53DD0A7C" w:rsidR="002222F9" w:rsidRDefault="00205D53" w:rsidP="00205D53">
      <w:pPr>
        <w:pStyle w:val="RKnormal"/>
      </w:pPr>
      <w:r>
        <w:t xml:space="preserve">Luxemburg är ordförande i ministerrådet mellan den 1 juli och 31 december 2015. På energiområdet väntas Luxemburg prioritera </w:t>
      </w:r>
      <w:r w:rsidR="002B70AD">
        <w:t>fortsatta diskussioner</w:t>
      </w:r>
      <w:r>
        <w:t xml:space="preserve"> om </w:t>
      </w:r>
      <w:r w:rsidR="002B70AD">
        <w:t xml:space="preserve">hur ett styrramverk bör se ut </w:t>
      </w:r>
      <w:r>
        <w:t xml:space="preserve">för </w:t>
      </w:r>
      <w:r w:rsidR="002B70AD">
        <w:t xml:space="preserve">att </w:t>
      </w:r>
      <w:r>
        <w:t>genomför</w:t>
      </w:r>
      <w:r w:rsidR="002B70AD">
        <w:t>a</w:t>
      </w:r>
      <w:r>
        <w:t xml:space="preserve"> </w:t>
      </w:r>
      <w:r w:rsidR="002B70AD">
        <w:t xml:space="preserve">det </w:t>
      </w:r>
      <w:r>
        <w:t xml:space="preserve">klimat- och energipaket till 2030 som Europeiska rådet </w:t>
      </w:r>
      <w:r w:rsidR="002B70AD">
        <w:t xml:space="preserve">beslutade om </w:t>
      </w:r>
      <w:r>
        <w:t xml:space="preserve">i oktober 2014. Det luxemburgska ordförandeskapet avser att anta rådsslutsatser om </w:t>
      </w:r>
      <w:r w:rsidR="002B70AD">
        <w:t>ett styrramverk</w:t>
      </w:r>
      <w:r>
        <w:t xml:space="preserve"> vid TTE-rådet i november. </w:t>
      </w:r>
      <w:r w:rsidR="00616C2E">
        <w:t xml:space="preserve">Luxemburg </w:t>
      </w:r>
      <w:r w:rsidR="00AE22DA">
        <w:t xml:space="preserve">förväntas </w:t>
      </w:r>
      <w:r w:rsidR="00616C2E">
        <w:t xml:space="preserve"> även hantera ett kommande förslag </w:t>
      </w:r>
      <w:r w:rsidR="000027EA">
        <w:t xml:space="preserve">från kommissionen </w:t>
      </w:r>
      <w:r w:rsidR="00616C2E">
        <w:t>om reviderat Energimärkningsdirektiv.</w:t>
      </w:r>
    </w:p>
    <w:p w14:paraId="4BEBDDEA" w14:textId="77777777" w:rsidR="00205D53" w:rsidRDefault="00205D53" w:rsidP="00205D53">
      <w:pPr>
        <w:pStyle w:val="RKnormal"/>
      </w:pPr>
    </w:p>
    <w:p w14:paraId="141872B1" w14:textId="687114BC" w:rsidR="00205D53" w:rsidRDefault="00205D53" w:rsidP="003D0A4E">
      <w:pPr>
        <w:pStyle w:val="RKnormal"/>
        <w:rPr>
          <w:rFonts w:ascii="TradeGothic" w:hAnsi="TradeGothic"/>
          <w:i/>
          <w:sz w:val="22"/>
          <w:szCs w:val="22"/>
        </w:rPr>
      </w:pPr>
    </w:p>
    <w:p w14:paraId="4DBD0B8E" w14:textId="77777777" w:rsidR="00205D53" w:rsidRPr="002F18BC" w:rsidRDefault="00205D53" w:rsidP="003D0A4E">
      <w:pPr>
        <w:pStyle w:val="RKnormal"/>
        <w:rPr>
          <w:rFonts w:ascii="TradeGothic" w:hAnsi="TradeGothic"/>
          <w:i/>
          <w:sz w:val="22"/>
          <w:szCs w:val="22"/>
        </w:rPr>
      </w:pPr>
    </w:p>
    <w:p w14:paraId="7B7316AE" w14:textId="77777777" w:rsidR="006E4E11" w:rsidRDefault="006E4E11">
      <w:pPr>
        <w:pStyle w:val="RKnormal"/>
      </w:pP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1B857" w14:textId="77777777" w:rsidR="000566A8" w:rsidRDefault="000566A8">
      <w:r>
        <w:separator/>
      </w:r>
    </w:p>
  </w:endnote>
  <w:endnote w:type="continuationSeparator" w:id="0">
    <w:p w14:paraId="756BB5F4" w14:textId="77777777" w:rsidR="000566A8" w:rsidRDefault="000566A8">
      <w:r>
        <w:continuationSeparator/>
      </w:r>
    </w:p>
  </w:endnote>
  <w:endnote w:type="continuationNotice" w:id="1">
    <w:p w14:paraId="18114508" w14:textId="77777777" w:rsidR="000566A8" w:rsidRDefault="000566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Bold">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1778D" w14:textId="77777777" w:rsidR="000566A8" w:rsidRDefault="000566A8">
      <w:r>
        <w:separator/>
      </w:r>
    </w:p>
  </w:footnote>
  <w:footnote w:type="continuationSeparator" w:id="0">
    <w:p w14:paraId="60E850E2" w14:textId="77777777" w:rsidR="000566A8" w:rsidRDefault="000566A8">
      <w:r>
        <w:continuationSeparator/>
      </w:r>
    </w:p>
  </w:footnote>
  <w:footnote w:type="continuationNotice" w:id="1">
    <w:p w14:paraId="372B734C" w14:textId="77777777" w:rsidR="000566A8" w:rsidRDefault="000566A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16B3" w14:textId="77777777" w:rsidR="000566A8" w:rsidRDefault="000566A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67D7">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566A8" w14:paraId="7B7316B7" w14:textId="77777777">
      <w:trPr>
        <w:cantSplit/>
      </w:trPr>
      <w:tc>
        <w:tcPr>
          <w:tcW w:w="3119" w:type="dxa"/>
        </w:tcPr>
        <w:p w14:paraId="7B7316B4" w14:textId="77777777" w:rsidR="000566A8" w:rsidRDefault="000566A8">
          <w:pPr>
            <w:pStyle w:val="Sidhuvud"/>
            <w:spacing w:line="200" w:lineRule="atLeast"/>
            <w:ind w:right="357"/>
            <w:rPr>
              <w:rFonts w:ascii="TradeGothic" w:hAnsi="TradeGothic"/>
              <w:b/>
              <w:bCs/>
              <w:sz w:val="16"/>
            </w:rPr>
          </w:pPr>
        </w:p>
      </w:tc>
      <w:tc>
        <w:tcPr>
          <w:tcW w:w="4111" w:type="dxa"/>
          <w:tcMar>
            <w:left w:w="567" w:type="dxa"/>
          </w:tcMar>
        </w:tcPr>
        <w:p w14:paraId="7B7316B5" w14:textId="77777777" w:rsidR="000566A8" w:rsidRDefault="000566A8">
          <w:pPr>
            <w:pStyle w:val="Sidhuvud"/>
            <w:ind w:right="360"/>
          </w:pPr>
        </w:p>
      </w:tc>
      <w:tc>
        <w:tcPr>
          <w:tcW w:w="1525" w:type="dxa"/>
        </w:tcPr>
        <w:p w14:paraId="7B7316B6" w14:textId="77777777" w:rsidR="000566A8" w:rsidRDefault="000566A8">
          <w:pPr>
            <w:pStyle w:val="Sidhuvud"/>
            <w:ind w:right="360"/>
          </w:pPr>
        </w:p>
      </w:tc>
    </w:tr>
  </w:tbl>
  <w:p w14:paraId="7B7316B8" w14:textId="77777777" w:rsidR="000566A8" w:rsidRDefault="000566A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16B9" w14:textId="77777777" w:rsidR="000566A8" w:rsidRDefault="000566A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67D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566A8" w14:paraId="7B7316BD" w14:textId="77777777">
      <w:trPr>
        <w:cantSplit/>
      </w:trPr>
      <w:tc>
        <w:tcPr>
          <w:tcW w:w="3119" w:type="dxa"/>
        </w:tcPr>
        <w:p w14:paraId="7B7316BA" w14:textId="77777777" w:rsidR="000566A8" w:rsidRDefault="000566A8">
          <w:pPr>
            <w:pStyle w:val="Sidhuvud"/>
            <w:spacing w:line="200" w:lineRule="atLeast"/>
            <w:ind w:right="357"/>
            <w:rPr>
              <w:rFonts w:ascii="TradeGothic" w:hAnsi="TradeGothic"/>
              <w:b/>
              <w:bCs/>
              <w:sz w:val="16"/>
            </w:rPr>
          </w:pPr>
        </w:p>
      </w:tc>
      <w:tc>
        <w:tcPr>
          <w:tcW w:w="4111" w:type="dxa"/>
          <w:tcMar>
            <w:left w:w="567" w:type="dxa"/>
          </w:tcMar>
        </w:tcPr>
        <w:p w14:paraId="7B7316BB" w14:textId="77777777" w:rsidR="000566A8" w:rsidRDefault="000566A8">
          <w:pPr>
            <w:pStyle w:val="Sidhuvud"/>
            <w:ind w:right="360"/>
          </w:pPr>
        </w:p>
      </w:tc>
      <w:tc>
        <w:tcPr>
          <w:tcW w:w="1525" w:type="dxa"/>
        </w:tcPr>
        <w:p w14:paraId="7B7316BC" w14:textId="77777777" w:rsidR="000566A8" w:rsidRDefault="000566A8">
          <w:pPr>
            <w:pStyle w:val="Sidhuvud"/>
            <w:ind w:right="360"/>
          </w:pPr>
        </w:p>
      </w:tc>
    </w:tr>
  </w:tbl>
  <w:p w14:paraId="7B7316BE" w14:textId="77777777" w:rsidR="000566A8" w:rsidRDefault="000566A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16BF" w14:textId="77777777" w:rsidR="000566A8" w:rsidRDefault="000566A8">
    <w:pPr>
      <w:framePr w:w="2948" w:h="1321" w:hRule="exact" w:wrap="notBeside" w:vAnchor="page" w:hAnchor="page" w:x="1362" w:y="653"/>
    </w:pPr>
    <w:r>
      <w:rPr>
        <w:noProof/>
        <w:lang w:eastAsia="sv-SE"/>
      </w:rPr>
      <w:drawing>
        <wp:inline distT="0" distB="0" distL="0" distR="0" wp14:anchorId="7B7316C4" wp14:editId="7B7316C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7316C0" w14:textId="77777777" w:rsidR="000566A8" w:rsidRDefault="000566A8">
    <w:pPr>
      <w:pStyle w:val="RKrubrik"/>
      <w:keepNext w:val="0"/>
      <w:tabs>
        <w:tab w:val="clear" w:pos="1134"/>
        <w:tab w:val="clear" w:pos="2835"/>
      </w:tabs>
      <w:spacing w:before="0" w:after="0" w:line="320" w:lineRule="atLeast"/>
      <w:rPr>
        <w:bCs/>
      </w:rPr>
    </w:pPr>
  </w:p>
  <w:p w14:paraId="7B7316C1" w14:textId="77777777" w:rsidR="000566A8" w:rsidRDefault="000566A8">
    <w:pPr>
      <w:rPr>
        <w:rFonts w:ascii="TradeGothic" w:hAnsi="TradeGothic"/>
        <w:b/>
        <w:bCs/>
        <w:spacing w:val="12"/>
        <w:sz w:val="22"/>
      </w:rPr>
    </w:pPr>
  </w:p>
  <w:p w14:paraId="7B7316C2" w14:textId="77777777" w:rsidR="000566A8" w:rsidRDefault="000566A8">
    <w:pPr>
      <w:pStyle w:val="RKrubrik"/>
      <w:keepNext w:val="0"/>
      <w:tabs>
        <w:tab w:val="clear" w:pos="1134"/>
        <w:tab w:val="clear" w:pos="2835"/>
      </w:tabs>
      <w:spacing w:before="0" w:after="0" w:line="320" w:lineRule="atLeast"/>
      <w:rPr>
        <w:bCs/>
      </w:rPr>
    </w:pPr>
  </w:p>
  <w:p w14:paraId="7B7316C3" w14:textId="77777777" w:rsidR="000566A8" w:rsidRDefault="000566A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4048"/>
    <w:multiLevelType w:val="hybridMultilevel"/>
    <w:tmpl w:val="F4643AE8"/>
    <w:lvl w:ilvl="0" w:tplc="857A2216">
      <w:start w:val="2015"/>
      <w:numFmt w:val="bullet"/>
      <w:lvlText w:val="-"/>
      <w:lvlJc w:val="left"/>
      <w:pPr>
        <w:ind w:left="720" w:hanging="360"/>
      </w:pPr>
      <w:rPr>
        <w:rFonts w:ascii="OrigGarmnd BT" w:eastAsia="Times New Roman" w:hAnsi="OrigGarmnd BT" w:cs="Times New Roman" w:hint="default"/>
        <w:i/>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D865B74"/>
    <w:multiLevelType w:val="hybridMultilevel"/>
    <w:tmpl w:val="473A13E2"/>
    <w:lvl w:ilvl="0" w:tplc="6EA41314">
      <w:start w:val="8"/>
      <w:numFmt w:val="bullet"/>
      <w:lvlText w:val="-"/>
      <w:lvlJc w:val="left"/>
      <w:pPr>
        <w:ind w:left="1065" w:hanging="360"/>
      </w:pPr>
      <w:rPr>
        <w:rFonts w:ascii="OrigGarmnd BT" w:eastAsia="Times New Roman" w:hAnsi="OrigGarmnd BT" w:cs="Times New Roman" w:hint="default"/>
        <w:b w:val="0"/>
        <w:i/>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2" w15:restartNumberingAfterBreak="0">
    <w:nsid w:val="3F0144AA"/>
    <w:multiLevelType w:val="hybridMultilevel"/>
    <w:tmpl w:val="6B3666A0"/>
    <w:lvl w:ilvl="0" w:tplc="11F07F5C">
      <w:numFmt w:val="bullet"/>
      <w:lvlText w:val="-"/>
      <w:lvlJc w:val="left"/>
      <w:pPr>
        <w:ind w:left="720" w:hanging="360"/>
      </w:pPr>
      <w:rPr>
        <w:rFonts w:ascii="TradeGothic Bold" w:eastAsia="Times New Roman" w:hAnsi="TradeGothic Bold" w:cs="Times New Roman" w:hint="default"/>
        <w:i w:val="0"/>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0BF4A58"/>
    <w:multiLevelType w:val="hybridMultilevel"/>
    <w:tmpl w:val="F6689858"/>
    <w:lvl w:ilvl="0" w:tplc="EB8CDE64">
      <w:start w:val="1"/>
      <w:numFmt w:val="decimal"/>
      <w:lvlText w:val="%1."/>
      <w:lvlJc w:val="left"/>
      <w:pPr>
        <w:ind w:left="360" w:hanging="360"/>
      </w:pPr>
      <w:rPr>
        <w:rFonts w:ascii="TradeGothic" w:hAnsi="TradeGothic"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FCF16AA"/>
    <w:multiLevelType w:val="hybridMultilevel"/>
    <w:tmpl w:val="440E553A"/>
    <w:lvl w:ilvl="0" w:tplc="CF86D0FE">
      <w:start w:val="6"/>
      <w:numFmt w:val="bullet"/>
      <w:lvlText w:val="-"/>
      <w:lvlJc w:val="left"/>
      <w:pPr>
        <w:ind w:left="720" w:hanging="360"/>
      </w:pPr>
      <w:rPr>
        <w:rFonts w:ascii="OrigGarmnd BT" w:eastAsia="Times New Roman" w:hAnsi="OrigGarmnd BT"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EA606E"/>
    <w:rsid w:val="000027EA"/>
    <w:rsid w:val="00013EF6"/>
    <w:rsid w:val="00024A63"/>
    <w:rsid w:val="000566A8"/>
    <w:rsid w:val="00063323"/>
    <w:rsid w:val="00064FDC"/>
    <w:rsid w:val="0006654D"/>
    <w:rsid w:val="000733B5"/>
    <w:rsid w:val="00081017"/>
    <w:rsid w:val="0008556E"/>
    <w:rsid w:val="000862C6"/>
    <w:rsid w:val="000A54A2"/>
    <w:rsid w:val="000B3C9B"/>
    <w:rsid w:val="000C3D34"/>
    <w:rsid w:val="000E2264"/>
    <w:rsid w:val="00101022"/>
    <w:rsid w:val="00107D83"/>
    <w:rsid w:val="001453F9"/>
    <w:rsid w:val="00146C4F"/>
    <w:rsid w:val="00150384"/>
    <w:rsid w:val="00150E80"/>
    <w:rsid w:val="0015222D"/>
    <w:rsid w:val="001606D4"/>
    <w:rsid w:val="00160901"/>
    <w:rsid w:val="00162C55"/>
    <w:rsid w:val="00176C13"/>
    <w:rsid w:val="001805B7"/>
    <w:rsid w:val="00187EFD"/>
    <w:rsid w:val="001A0307"/>
    <w:rsid w:val="001A3736"/>
    <w:rsid w:val="001A3AEE"/>
    <w:rsid w:val="001B1CA4"/>
    <w:rsid w:val="001B35DF"/>
    <w:rsid w:val="001B45C2"/>
    <w:rsid w:val="001C128C"/>
    <w:rsid w:val="001E7348"/>
    <w:rsid w:val="001F2BD8"/>
    <w:rsid w:val="002046E6"/>
    <w:rsid w:val="00205D53"/>
    <w:rsid w:val="00207EBA"/>
    <w:rsid w:val="002222F9"/>
    <w:rsid w:val="00234556"/>
    <w:rsid w:val="002364FE"/>
    <w:rsid w:val="00245630"/>
    <w:rsid w:val="00246903"/>
    <w:rsid w:val="00257DC1"/>
    <w:rsid w:val="002661ED"/>
    <w:rsid w:val="00267AA8"/>
    <w:rsid w:val="00290894"/>
    <w:rsid w:val="002A6438"/>
    <w:rsid w:val="002B324A"/>
    <w:rsid w:val="002B70AD"/>
    <w:rsid w:val="002C52E4"/>
    <w:rsid w:val="002D0E61"/>
    <w:rsid w:val="002D4798"/>
    <w:rsid w:val="00300718"/>
    <w:rsid w:val="00307D82"/>
    <w:rsid w:val="00321E17"/>
    <w:rsid w:val="00326505"/>
    <w:rsid w:val="00367A6D"/>
    <w:rsid w:val="00367B1C"/>
    <w:rsid w:val="003967A5"/>
    <w:rsid w:val="003B5FBA"/>
    <w:rsid w:val="003C11F1"/>
    <w:rsid w:val="003D0A4E"/>
    <w:rsid w:val="003D1F73"/>
    <w:rsid w:val="003D5994"/>
    <w:rsid w:val="004022F6"/>
    <w:rsid w:val="00407ACE"/>
    <w:rsid w:val="00430842"/>
    <w:rsid w:val="004407B1"/>
    <w:rsid w:val="004410DA"/>
    <w:rsid w:val="00461CB8"/>
    <w:rsid w:val="00483521"/>
    <w:rsid w:val="004A328D"/>
    <w:rsid w:val="004A3CBB"/>
    <w:rsid w:val="004C261F"/>
    <w:rsid w:val="004F3AA1"/>
    <w:rsid w:val="00510320"/>
    <w:rsid w:val="00514E56"/>
    <w:rsid w:val="00524157"/>
    <w:rsid w:val="00535B27"/>
    <w:rsid w:val="00536E4D"/>
    <w:rsid w:val="005460DE"/>
    <w:rsid w:val="005463D6"/>
    <w:rsid w:val="00557056"/>
    <w:rsid w:val="0058762B"/>
    <w:rsid w:val="00592AA2"/>
    <w:rsid w:val="00593D4F"/>
    <w:rsid w:val="005B6897"/>
    <w:rsid w:val="005F65CB"/>
    <w:rsid w:val="00616C2E"/>
    <w:rsid w:val="006535E5"/>
    <w:rsid w:val="0069336D"/>
    <w:rsid w:val="006C5F70"/>
    <w:rsid w:val="006D11BB"/>
    <w:rsid w:val="006E4E11"/>
    <w:rsid w:val="006F0E92"/>
    <w:rsid w:val="00711576"/>
    <w:rsid w:val="007242A3"/>
    <w:rsid w:val="00760769"/>
    <w:rsid w:val="00797047"/>
    <w:rsid w:val="007A6855"/>
    <w:rsid w:val="007B1C65"/>
    <w:rsid w:val="007C11E8"/>
    <w:rsid w:val="007D0810"/>
    <w:rsid w:val="007D199A"/>
    <w:rsid w:val="007D4253"/>
    <w:rsid w:val="007F10ED"/>
    <w:rsid w:val="008112DC"/>
    <w:rsid w:val="00830BF9"/>
    <w:rsid w:val="0084471B"/>
    <w:rsid w:val="008520EE"/>
    <w:rsid w:val="00862525"/>
    <w:rsid w:val="0087273F"/>
    <w:rsid w:val="008966F0"/>
    <w:rsid w:val="008D0C4A"/>
    <w:rsid w:val="008E0EC4"/>
    <w:rsid w:val="009040FF"/>
    <w:rsid w:val="009122E8"/>
    <w:rsid w:val="0092027A"/>
    <w:rsid w:val="00951859"/>
    <w:rsid w:val="00955E31"/>
    <w:rsid w:val="00980124"/>
    <w:rsid w:val="00990C3F"/>
    <w:rsid w:val="00992E72"/>
    <w:rsid w:val="0099396A"/>
    <w:rsid w:val="009B5C39"/>
    <w:rsid w:val="009F498F"/>
    <w:rsid w:val="00A42BDE"/>
    <w:rsid w:val="00A444E2"/>
    <w:rsid w:val="00A461C6"/>
    <w:rsid w:val="00A92502"/>
    <w:rsid w:val="00AB5D04"/>
    <w:rsid w:val="00AD553A"/>
    <w:rsid w:val="00AE22DA"/>
    <w:rsid w:val="00AF26D1"/>
    <w:rsid w:val="00AF624F"/>
    <w:rsid w:val="00B00CAE"/>
    <w:rsid w:val="00B04E0E"/>
    <w:rsid w:val="00B22C95"/>
    <w:rsid w:val="00B37BD8"/>
    <w:rsid w:val="00B37C03"/>
    <w:rsid w:val="00B710EF"/>
    <w:rsid w:val="00B9575B"/>
    <w:rsid w:val="00B96DC6"/>
    <w:rsid w:val="00BB7AF1"/>
    <w:rsid w:val="00BC2814"/>
    <w:rsid w:val="00BE0B2F"/>
    <w:rsid w:val="00BF4F7E"/>
    <w:rsid w:val="00C34652"/>
    <w:rsid w:val="00C860FE"/>
    <w:rsid w:val="00C90CBF"/>
    <w:rsid w:val="00C92547"/>
    <w:rsid w:val="00CA57F1"/>
    <w:rsid w:val="00CC48B3"/>
    <w:rsid w:val="00CD4646"/>
    <w:rsid w:val="00D067D7"/>
    <w:rsid w:val="00D10A7F"/>
    <w:rsid w:val="00D133D7"/>
    <w:rsid w:val="00D31BB8"/>
    <w:rsid w:val="00D67362"/>
    <w:rsid w:val="00D7022B"/>
    <w:rsid w:val="00D843EC"/>
    <w:rsid w:val="00D92649"/>
    <w:rsid w:val="00DA4E6B"/>
    <w:rsid w:val="00DB5286"/>
    <w:rsid w:val="00DC70E2"/>
    <w:rsid w:val="00DD29AB"/>
    <w:rsid w:val="00DE754A"/>
    <w:rsid w:val="00DE787A"/>
    <w:rsid w:val="00DF6074"/>
    <w:rsid w:val="00E07920"/>
    <w:rsid w:val="00E42FEF"/>
    <w:rsid w:val="00E60265"/>
    <w:rsid w:val="00E76D9B"/>
    <w:rsid w:val="00E80146"/>
    <w:rsid w:val="00E904D0"/>
    <w:rsid w:val="00EA606E"/>
    <w:rsid w:val="00EC25F9"/>
    <w:rsid w:val="00ED39A2"/>
    <w:rsid w:val="00ED583F"/>
    <w:rsid w:val="00EE31BB"/>
    <w:rsid w:val="00EF01D9"/>
    <w:rsid w:val="00F35528"/>
    <w:rsid w:val="00F516B5"/>
    <w:rsid w:val="00F53D65"/>
    <w:rsid w:val="00F54907"/>
    <w:rsid w:val="00F81930"/>
    <w:rsid w:val="00F96358"/>
    <w:rsid w:val="00F973F3"/>
    <w:rsid w:val="00FA173E"/>
    <w:rsid w:val="00FD739A"/>
    <w:rsid w:val="00FE00A0"/>
    <w:rsid w:val="00FE5A95"/>
    <w:rsid w:val="00FF5869"/>
    <w:rsid w:val="00FF6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31674"/>
  <w15:docId w15:val="{B9896E42-537D-430F-B0FE-9EB91070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7E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7EBA"/>
    <w:rPr>
      <w:rFonts w:ascii="Tahoma" w:hAnsi="Tahoma" w:cs="Tahoma"/>
      <w:sz w:val="16"/>
      <w:szCs w:val="16"/>
      <w:lang w:eastAsia="en-US"/>
    </w:rPr>
  </w:style>
  <w:style w:type="character" w:customStyle="1" w:styleId="RKnormalChar">
    <w:name w:val="RKnormal Char"/>
    <w:link w:val="RKnormal"/>
    <w:rsid w:val="008E0EC4"/>
    <w:rPr>
      <w:rFonts w:ascii="OrigGarmnd BT" w:hAnsi="OrigGarmnd BT"/>
      <w:sz w:val="24"/>
      <w:lang w:eastAsia="en-US"/>
    </w:rPr>
  </w:style>
  <w:style w:type="character" w:styleId="Kommentarsreferens">
    <w:name w:val="annotation reference"/>
    <w:basedOn w:val="Standardstycketeckensnitt"/>
    <w:rsid w:val="003C11F1"/>
    <w:rPr>
      <w:sz w:val="16"/>
      <w:szCs w:val="16"/>
    </w:rPr>
  </w:style>
  <w:style w:type="paragraph" w:styleId="Kommentarer">
    <w:name w:val="annotation text"/>
    <w:basedOn w:val="Normal"/>
    <w:link w:val="KommentarerChar"/>
    <w:rsid w:val="003C11F1"/>
    <w:pPr>
      <w:spacing w:line="240" w:lineRule="auto"/>
    </w:pPr>
    <w:rPr>
      <w:sz w:val="20"/>
    </w:rPr>
  </w:style>
  <w:style w:type="character" w:customStyle="1" w:styleId="KommentarerChar">
    <w:name w:val="Kommentarer Char"/>
    <w:basedOn w:val="Standardstycketeckensnitt"/>
    <w:link w:val="Kommentarer"/>
    <w:rsid w:val="003C11F1"/>
    <w:rPr>
      <w:rFonts w:ascii="OrigGarmnd BT" w:hAnsi="OrigGarmnd BT"/>
      <w:lang w:eastAsia="en-US"/>
    </w:rPr>
  </w:style>
  <w:style w:type="paragraph" w:styleId="Kommentarsmne">
    <w:name w:val="annotation subject"/>
    <w:basedOn w:val="Kommentarer"/>
    <w:next w:val="Kommentarer"/>
    <w:link w:val="KommentarsmneChar"/>
    <w:rsid w:val="003C11F1"/>
    <w:rPr>
      <w:b/>
      <w:bCs/>
    </w:rPr>
  </w:style>
  <w:style w:type="character" w:customStyle="1" w:styleId="KommentarsmneChar">
    <w:name w:val="Kommentarsämne Char"/>
    <w:basedOn w:val="KommentarerChar"/>
    <w:link w:val="Kommentarsmne"/>
    <w:rsid w:val="003C11F1"/>
    <w:rPr>
      <w:rFonts w:ascii="OrigGarmnd BT" w:hAnsi="OrigGarmnd BT"/>
      <w:b/>
      <w:bCs/>
      <w:lang w:eastAsia="en-US"/>
    </w:rPr>
  </w:style>
  <w:style w:type="paragraph" w:styleId="Liststycke">
    <w:name w:val="List Paragraph"/>
    <w:basedOn w:val="Normal"/>
    <w:uiPriority w:val="34"/>
    <w:qFormat/>
    <w:rsid w:val="003D0A4E"/>
    <w:pPr>
      <w:ind w:left="1304"/>
    </w:pPr>
  </w:style>
  <w:style w:type="paragraph" w:customStyle="1" w:styleId="Liststycke1">
    <w:name w:val="Liststycke1"/>
    <w:basedOn w:val="Normal"/>
    <w:rsid w:val="00205D53"/>
    <w:pPr>
      <w:suppressAutoHyphens/>
      <w:overflowPunct/>
      <w:autoSpaceDE/>
      <w:autoSpaceDN/>
      <w:adjustRightInd/>
      <w:spacing w:line="240" w:lineRule="auto"/>
      <w:ind w:left="1304"/>
      <w:textAlignment w:val="auto"/>
    </w:pPr>
    <w:rPr>
      <w:rFonts w:ascii="Times New Roman" w:hAnsi="Times New Roman"/>
      <w:szCs w:val="24"/>
      <w:lang w:val="hu-H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3A8C1199C787B34BBDAD9462C4AB2C90" ma:contentTypeVersion="0" ma:contentTypeDescription="EUPDokument" ma:contentTypeScope="" ma:versionID="ec69d8fa054cc7800e31bef4a1b758e4">
  <xsd:schema xmlns:xsd="http://www.w3.org/2001/XMLSchema" xmlns:xs="http://www.w3.org/2001/XMLSchema" xmlns:p="http://schemas.microsoft.com/office/2006/metadata/properties" xmlns:ns2="f6e03e7f-a410-48c4-bf45-a8dc1d7c3ba8" targetNamespace="http://schemas.microsoft.com/office/2006/metadata/properties" ma:root="true" ma:fieldsID="d624cfd0991f2c86e474e4af826244d4" ns2:_="">
    <xsd:import namespace="f6e03e7f-a410-48c4-bf45-a8dc1d7c3ba8"/>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03e7f-a410-48c4-bf45-a8dc1d7c3ba8"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ktivitetskategoriId xmlns="f6e03e7f-a410-48c4-bf45-a8dc1d7c3ba8">4.1. Europeiska unionen</AktivitetskategoriId>
    <LatestActivity xmlns="f6e03e7f-a410-48c4-bf45-a8dc1d7c3ba8" xsi:nil="true"/>
    <Delivered xmlns="f6e03e7f-a410-48c4-bf45-a8dc1d7c3ba8" xsi:nil="true"/>
    <RegistrationNumber xmlns="f6e03e7f-a410-48c4-bf45-a8dc1d7c3ba8" xsi:nil="true"/>
    <DocumentStatus xmlns="f6e03e7f-a410-48c4-bf45-a8dc1d7c3ba8">Utkast</DocumentStatus>
    <ViewPointStartDate xmlns="f6e03e7f-a410-48c4-bf45-a8dc1d7c3ba8" xsi:nil="true"/>
    <ViewPointEndDate xmlns="f6e03e7f-a410-48c4-bf45-a8dc1d7c3ba8" xsi:nil="true"/>
    <DepartementsenhetId xmlns="f6e03e7f-a410-48c4-bf45-a8dc1d7c3ba8">Miljö- och energidepartementet</DepartementsenhetId>
    <ViewPointInProgress xmlns="f6e03e7f-a410-48c4-bf45-a8dc1d7c3ba8" xsi:nil="true"/>
  </documentManagement>
</p:properties>
</file>

<file path=customXml/itemProps1.xml><?xml version="1.0" encoding="utf-8"?>
<ds:datastoreItem xmlns:ds="http://schemas.openxmlformats.org/officeDocument/2006/customXml" ds:itemID="{8A2580A0-7BE5-4071-99F5-E7ED72223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03e7f-a410-48c4-bf45-a8dc1d7c3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C83D0-158F-4DB1-8A25-0113F7E7A3A8}">
  <ds:schemaRefs>
    <ds:schemaRef ds:uri="http://schemas.microsoft.com/sharepoint/v3/contenttype/forms"/>
  </ds:schemaRefs>
</ds:datastoreItem>
</file>

<file path=customXml/itemProps3.xml><?xml version="1.0" encoding="utf-8"?>
<ds:datastoreItem xmlns:ds="http://schemas.openxmlformats.org/officeDocument/2006/customXml" ds:itemID="{A73F5984-A258-47F3-9F3D-F5FF54788080}">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6e03e7f-a410-48c4-bf45-a8dc1d7c3ba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6624</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Malmberg</dc:creator>
  <cp:lastModifiedBy>Helena Fridman Konstantinidou</cp:lastModifiedBy>
  <cp:revision>2</cp:revision>
  <cp:lastPrinted>2015-06-01T13:25:00Z</cp:lastPrinted>
  <dcterms:created xsi:type="dcterms:W3CDTF">2015-06-01T13:26:00Z</dcterms:created>
  <dcterms:modified xsi:type="dcterms:W3CDTF">2015-06-01T13:26:00Z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0x01010053E1D612BA3F4E21AA250ECD751942B3003A8C1199C787B34BBDAD9462C4AB2C90</vt:lpwstr>
  </property>
  <property fmtid="{D5CDD505-2E9C-101B-9397-08002B2CF9AE}" pid="6" name="MCreatorEmail">
    <vt:lpwstr>i:0#.w|rk\jmg0115a</vt:lpwstr>
  </property>
</Properties>
</file>