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61A8" w:rsidRDefault="000B44D5" w14:paraId="6AED8C6D" w14:textId="77777777">
      <w:pPr>
        <w:pStyle w:val="RubrikFrslagTIllRiksdagsbeslut"/>
      </w:pPr>
      <w:sdt>
        <w:sdtPr>
          <w:alias w:val="CC_Boilerplate_4"/>
          <w:tag w:val="CC_Boilerplate_4"/>
          <w:id w:val="-1644581176"/>
          <w:lock w:val="sdtContentLocked"/>
          <w:placeholder>
            <w:docPart w:val="0A2EBD551490415390FC7F3C5E6C2594"/>
          </w:placeholder>
          <w:text/>
        </w:sdtPr>
        <w:sdtEndPr/>
        <w:sdtContent>
          <w:r w:rsidRPr="009B062B" w:rsidR="00AF30DD">
            <w:t>Förslag till riksdagsbeslut</w:t>
          </w:r>
        </w:sdtContent>
      </w:sdt>
      <w:bookmarkEnd w:id="0"/>
      <w:bookmarkEnd w:id="1"/>
    </w:p>
    <w:sdt>
      <w:sdtPr>
        <w:alias w:val="Yrkande 1"/>
        <w:tag w:val="c55ed635-9f6d-4974-ac90-4c2851cc96b6"/>
        <w:id w:val="-312326664"/>
        <w:lock w:val="sdtLocked"/>
      </w:sdtPr>
      <w:sdtEndPr/>
      <w:sdtContent>
        <w:p w:rsidR="00DA124E" w:rsidRDefault="00C41870" w14:paraId="6E27A002" w14:textId="77777777">
          <w:pPr>
            <w:pStyle w:val="Frslagstext"/>
          </w:pPr>
          <w:r>
            <w:t>Riksdagen ställer sig bakom det som anförs i motionen om att regeringen bör avskaffa möjligheten att ta ut vinst ur välfärdens verksamheter och utveckla alternativ till de marknads- och valmodeller som införts inom offentlig sektor och tillkännager detta för regeringen.</w:t>
          </w:r>
        </w:p>
      </w:sdtContent>
    </w:sdt>
    <w:sdt>
      <w:sdtPr>
        <w:alias w:val="Yrkande 2"/>
        <w:tag w:val="63c88cb0-0e4f-437e-ad42-784f1ce134a6"/>
        <w:id w:val="-480080124"/>
        <w:lock w:val="sdtLocked"/>
      </w:sdtPr>
      <w:sdtEndPr/>
      <w:sdtContent>
        <w:p w:rsidR="00DA124E" w:rsidRDefault="00C41870" w14:paraId="4B575DAE" w14:textId="77777777">
          <w:pPr>
            <w:pStyle w:val="Frslagstext"/>
          </w:pPr>
          <w:r>
            <w:t>Riksdagen ställer sig bakom det som anförs i motionen om att regeringen bör förstärka tillsynen och göra nationella insatser för en ökad likvärdighet och personalförsörjning och för att säkerställa principen om vård och omsorg efter behov och tillkännager detta för regeringen.</w:t>
          </w:r>
        </w:p>
      </w:sdtContent>
    </w:sdt>
    <w:sdt>
      <w:sdtPr>
        <w:alias w:val="Yrkande 3"/>
        <w:tag w:val="04bd6e0d-7b2f-4bb4-b297-187d4c3b5995"/>
        <w:id w:val="1015347360"/>
        <w:lock w:val="sdtLocked"/>
      </w:sdtPr>
      <w:sdtEndPr/>
      <w:sdtContent>
        <w:p w:rsidR="00DA124E" w:rsidRDefault="00C41870" w14:paraId="787AE8D1" w14:textId="77777777">
          <w:pPr>
            <w:pStyle w:val="Frslagstext"/>
          </w:pPr>
          <w:r>
            <w:t>Riksdagen ställer sig bakom det som anförs i motionen om att de generella statsbidragen till kommuner och regioner bör indexeras utifrån förändrade priser och löner i kommunsektorn samt demografiska förändringar och tillkännager detta för regeringen.</w:t>
          </w:r>
        </w:p>
      </w:sdtContent>
    </w:sdt>
    <w:sdt>
      <w:sdtPr>
        <w:alias w:val="Yrkande 4"/>
        <w:tag w:val="e7a8076c-f0bf-46d4-9d63-346cf4314e6e"/>
        <w:id w:val="-2041512939"/>
        <w:lock w:val="sdtLocked"/>
      </w:sdtPr>
      <w:sdtEndPr/>
      <w:sdtContent>
        <w:p w:rsidR="00DA124E" w:rsidRDefault="00C41870" w14:paraId="3A35F5ED" w14:textId="77777777">
          <w:pPr>
            <w:pStyle w:val="Frslagstext"/>
          </w:pPr>
          <w:r>
            <w:t>Riksdagen ställer sig bakom det som anförs i motionen om att regeringen bör se över vilka riktade statsbidrag till kommunsektorn som kan omvandlas till generella statsbidrag och tillkännager detta för regeringen.</w:t>
          </w:r>
        </w:p>
      </w:sdtContent>
    </w:sdt>
    <w:sdt>
      <w:sdtPr>
        <w:alias w:val="Yrkande 5"/>
        <w:tag w:val="f20e365e-c762-48a0-9c51-a0a15642f290"/>
        <w:id w:val="-1621521525"/>
        <w:lock w:val="sdtLocked"/>
      </w:sdtPr>
      <w:sdtEndPr/>
      <w:sdtContent>
        <w:p w:rsidR="00DA124E" w:rsidRDefault="00C41870" w14:paraId="18FA26C0" w14:textId="77777777">
          <w:pPr>
            <w:pStyle w:val="Frslagstext"/>
          </w:pPr>
          <w:r>
            <w:t>Riksdagen ställer sig bakom det som anförs i motionen om att regeringen bör återkomma med en närmare juridisk analys beträffande möjligheterna till undantag i lagen om valfrihetssystem (LOV) och tillkännager detta för regeringen.</w:t>
          </w:r>
        </w:p>
      </w:sdtContent>
    </w:sdt>
    <w:sdt>
      <w:sdtPr>
        <w:alias w:val="Yrkande 6"/>
        <w:tag w:val="697a9c03-1019-4396-8a5a-72b968d155ab"/>
        <w:id w:val="-658464763"/>
        <w:lock w:val="sdtLocked"/>
      </w:sdtPr>
      <w:sdtEndPr/>
      <w:sdtContent>
        <w:p w:rsidR="00DA124E" w:rsidRDefault="00C41870" w14:paraId="59B0BD72" w14:textId="77777777">
          <w:pPr>
            <w:pStyle w:val="Frslagstext"/>
          </w:pPr>
          <w:r>
            <w:t>Riksdagen ställer sig bakom det som anförs i motionen om att regeringen bör återkomma till riksdagen med utjämningskommitténs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914907F29E4ABAA9E836227D1BB124"/>
        </w:placeholder>
        <w:text/>
      </w:sdtPr>
      <w:sdtEndPr/>
      <w:sdtContent>
        <w:p w:rsidRPr="009B062B" w:rsidR="006D79C9" w:rsidP="003E5EBB" w:rsidRDefault="003E5EBB" w14:paraId="15341B1F" w14:textId="2C35EBEC">
          <w:pPr>
            <w:pStyle w:val="Rubrik1numrerat"/>
          </w:pPr>
          <w:r>
            <w:t>En välfärd utan vinstintresse</w:t>
          </w:r>
        </w:p>
      </w:sdtContent>
    </w:sdt>
    <w:bookmarkEnd w:displacedByCustomXml="prev" w:id="3"/>
    <w:bookmarkEnd w:displacedByCustomXml="prev" w:id="4"/>
    <w:p w:rsidR="003E5EBB" w:rsidP="00557F3A" w:rsidRDefault="003E5EBB" w14:paraId="6DC24A0D" w14:textId="77777777">
      <w:pPr>
        <w:pStyle w:val="Normalutanindragellerluft"/>
      </w:pPr>
      <w:r>
        <w:t xml:space="preserve">När vi går till vårdcentralen vill vi vara trygga med att vi bemöts utifrån våra behov, inte utifrån hur lönsamma vi är. När vi får en behandling ska vi kunna vara säkra på att den ges för att göra oss friska, inte för att den är den mest lönsamma. När våra barn börjar i skolan vill vi att de möts som elever, inte som kunder eller vinstmöjligheter. Där </w:t>
      </w:r>
      <w:r>
        <w:lastRenderedPageBreak/>
        <w:t>vinsttänkandet styr påverkas våra relationer till varandra. Välfärden ska vara en fristad från sådant.</w:t>
      </w:r>
    </w:p>
    <w:p w:rsidR="003E5EBB" w:rsidP="003E5EBB" w:rsidRDefault="003E5EBB" w14:paraId="519FD7D9" w14:textId="411B1967">
      <w:r w:rsidRPr="00E31D3E">
        <w:t>Idag går flera miljarder av det vi betalar i skatt för välfärd</w:t>
      </w:r>
      <w:r w:rsidR="00EF128E">
        <w:t>en</w:t>
      </w:r>
      <w:r w:rsidRPr="00E31D3E">
        <w:t xml:space="preserve"> istället till privata vinster. Inte sällan går vinsterna dessutom till riskkapitalbolag som </w:t>
      </w:r>
      <w:r w:rsidR="00EF128E">
        <w:t>ofta</w:t>
      </w:r>
      <w:r w:rsidRPr="00E31D3E">
        <w:t xml:space="preserve"> gör sitt bästa för att smita från skatt. När ägare plockar ut vinster samtidigt som </w:t>
      </w:r>
      <w:r>
        <w:t>äldre med hemtjänst får kortare besök</w:t>
      </w:r>
      <w:r w:rsidRPr="00E31D3E">
        <w:t xml:space="preserve"> visar det vad vinstjakten leder till.</w:t>
      </w:r>
      <w:r>
        <w:t xml:space="preserve"> </w:t>
      </w:r>
      <w:r w:rsidRPr="00E7110C">
        <w:t>Avkastning</w:t>
      </w:r>
      <w:r w:rsidR="002C607F">
        <w:t>en</w:t>
      </w:r>
      <w:r w:rsidRPr="00E7110C">
        <w:t xml:space="preserve"> på</w:t>
      </w:r>
      <w:r>
        <w:t xml:space="preserve"> </w:t>
      </w:r>
      <w:r w:rsidRPr="00E7110C">
        <w:t xml:space="preserve">eget kapital för företag inom </w:t>
      </w:r>
      <w:r>
        <w:t>hälso- och sjuk</w:t>
      </w:r>
      <w:r w:rsidRPr="00E7110C">
        <w:t>vård</w:t>
      </w:r>
      <w:r>
        <w:t xml:space="preserve"> </w:t>
      </w:r>
      <w:r w:rsidRPr="00E7110C">
        <w:t xml:space="preserve">var i snitt </w:t>
      </w:r>
      <w:r w:rsidR="00020807">
        <w:t>17,9</w:t>
      </w:r>
      <w:r w:rsidRPr="00E7110C">
        <w:t xml:space="preserve"> procent 20</w:t>
      </w:r>
      <w:r>
        <w:t>2</w:t>
      </w:r>
      <w:r w:rsidR="00020807">
        <w:t>2</w:t>
      </w:r>
      <w:r>
        <w:t>, i omsorgsföretagen 2</w:t>
      </w:r>
      <w:r w:rsidR="00020807">
        <w:t>5</w:t>
      </w:r>
      <w:r>
        <w:t>,8 procent och inom utbildningsområdet 2</w:t>
      </w:r>
      <w:r w:rsidR="00020807">
        <w:t>5</w:t>
      </w:r>
      <w:r>
        <w:t xml:space="preserve"> procent</w:t>
      </w:r>
      <w:r w:rsidRPr="00E7110C">
        <w:t>. Det kan</w:t>
      </w:r>
      <w:r>
        <w:t xml:space="preserve"> </w:t>
      </w:r>
      <w:r w:rsidRPr="00E7110C">
        <w:t>jämföras med avkastning</w:t>
      </w:r>
      <w:r w:rsidR="002C607F">
        <w:t>en</w:t>
      </w:r>
      <w:r w:rsidRPr="00E7110C">
        <w:t xml:space="preserve"> på eget kapital i hela tjänstesektorn samma år som var 1</w:t>
      </w:r>
      <w:r w:rsidR="00020807">
        <w:t>1</w:t>
      </w:r>
      <w:r>
        <w:t>,</w:t>
      </w:r>
      <w:r w:rsidR="00020807">
        <w:t>4</w:t>
      </w:r>
      <w:r w:rsidRPr="00E7110C">
        <w:t xml:space="preserve"> procent.</w:t>
      </w:r>
      <w:r>
        <w:rPr>
          <w:rStyle w:val="Fotnotsreferens"/>
        </w:rPr>
        <w:footnoteReference w:id="1"/>
      </w:r>
      <w:r>
        <w:t xml:space="preserve"> </w:t>
      </w:r>
      <w:r w:rsidRPr="00E31D3E">
        <w:t>Om en verksamhet en dag inte längre är lönsam kan ägarna låta den gå i konkurs</w:t>
      </w:r>
      <w:r w:rsidR="00F17ED6">
        <w:t xml:space="preserve">, vilket </w:t>
      </w:r>
      <w:r w:rsidR="00FB201E">
        <w:t xml:space="preserve">drabbar </w:t>
      </w:r>
      <w:r w:rsidR="00F17ED6">
        <w:t>brukarna/eleverna och kommunerna som med kort varsel måste försöka hitta alternativ.</w:t>
      </w:r>
    </w:p>
    <w:p w:rsidR="003E5EBB" w:rsidP="003E5EBB" w:rsidRDefault="003E5EBB" w14:paraId="7C2874DF" w14:textId="750C7E4D">
      <w:r>
        <w:t>Det som kostar mest pengar, och som är avgörande för kvaliteten i välfärden, är personal. Därför är det inte konstigt att det är personalen företagen oftast sparar in på för att göra vinst. Till exempel har privat äldreomsorg och privata skolor lägre personal</w:t>
      </w:r>
      <w:r w:rsidR="00557F3A">
        <w:softHyphen/>
      </w:r>
      <w:r>
        <w:t>täthet än vad kommunala äldreboenden och skolor har. Då blir det mindre tid för de äldre och för eleverna. Samtidigt är lönerna lägre i de privatiserade skolorna och äldre</w:t>
      </w:r>
      <w:r w:rsidR="00557F3A">
        <w:softHyphen/>
      </w:r>
      <w:r>
        <w:t>omsorgen. Dessutom är otrygga anställningar betydligt vanligare i den privatiserade äldreomsorgen. Lägre personaltäthet ökar också stressen för de anställda.</w:t>
      </w:r>
    </w:p>
    <w:p w:rsidR="003E5EBB" w:rsidP="003E5EBB" w:rsidRDefault="003E5EBB" w14:paraId="3718956F" w14:textId="08945338">
      <w:r>
        <w:t>Vinstintresset förvrider välfärdens sätt att fungera. Vårdcentraler och läkarmottag</w:t>
      </w:r>
      <w:r w:rsidR="00557F3A">
        <w:softHyphen/>
      </w:r>
      <w:r>
        <w:t>ningar etablerar sig mycket oftare i områden där folk är välbeställda och relativt friska. Det gör att vårdens pengar går dit och inte räcker till vården i områden där människor har lägre inkomster och där ohälsan är högre. På liknande sätt prioriterar ofta vinst</w:t>
      </w:r>
      <w:r w:rsidR="00557F3A">
        <w:softHyphen/>
      </w:r>
      <w:r>
        <w:t>drivna skolor att dra till sig elever från studievana hem eller att locka till sig många elever med löften och reklam som inte motsvarar kvaliteten på undervisningen. Segregationen ökar i svensk skola vilket påverkar alla elever och skolor negativt.</w:t>
      </w:r>
    </w:p>
    <w:p w:rsidR="003E5EBB" w:rsidP="003E5EBB" w:rsidRDefault="003E5EBB" w14:paraId="45299811" w14:textId="2DE10DA7">
      <w:r w:rsidRPr="00F1205E">
        <w:t>Det har aldrig funnits en majoritet bland medborgarna för att tillåta vinstutdelning i</w:t>
      </w:r>
      <w:r>
        <w:t xml:space="preserve"> </w:t>
      </w:r>
      <w:r w:rsidRPr="00F1205E">
        <w:t>skattefinansierad vård, skola och omsorg. Två tredjedelar av befolkningen tycker att det är ett bra förslag</w:t>
      </w:r>
      <w:r>
        <w:t xml:space="preserve"> </w:t>
      </w:r>
      <w:r w:rsidRPr="00F1205E">
        <w:t xml:space="preserve">att inte tillåta vinstutdelning i skattefinansierad vård, skola och omsorg och </w:t>
      </w:r>
      <w:r>
        <w:t>a</w:t>
      </w:r>
      <w:r w:rsidRPr="00F1205E">
        <w:t>ndelen har ökat sedan 2019</w:t>
      </w:r>
      <w:r>
        <w:t>.</w:t>
      </w:r>
      <w:r>
        <w:rPr>
          <w:rStyle w:val="Fotnotsreferens"/>
        </w:rPr>
        <w:footnoteReference w:id="2"/>
      </w:r>
      <w:r>
        <w:t xml:space="preserve"> </w:t>
      </w:r>
      <w:r w:rsidR="00020807">
        <w:t>Bara</w:t>
      </w:r>
      <w:r w:rsidRPr="00F1205E">
        <w:t xml:space="preserve"> en femtedel</w:t>
      </w:r>
      <w:r>
        <w:t xml:space="preserve"> </w:t>
      </w:r>
      <w:r w:rsidRPr="00F1205E">
        <w:t>tycker att det är ett dåligt förslag</w:t>
      </w:r>
      <w:r>
        <w:t xml:space="preserve"> att förbjuda vinst</w:t>
      </w:r>
      <w:r w:rsidR="00020807">
        <w:t>utdelning</w:t>
      </w:r>
      <w:r w:rsidRPr="00F1205E">
        <w:t>.</w:t>
      </w:r>
      <w:r>
        <w:t xml:space="preserve"> </w:t>
      </w:r>
      <w:r w:rsidRPr="001C6E14">
        <w:t>Lobbyism för vinstdrivande</w:t>
      </w:r>
      <w:r>
        <w:t xml:space="preserve"> </w:t>
      </w:r>
      <w:r w:rsidRPr="001C6E14">
        <w:t xml:space="preserve">aktörer i välfärden har </w:t>
      </w:r>
      <w:r>
        <w:t xml:space="preserve">dock </w:t>
      </w:r>
      <w:r w:rsidRPr="001C6E14">
        <w:t>ökat markant, vilket skulle kunna förklara den stora</w:t>
      </w:r>
      <w:r>
        <w:t xml:space="preserve"> </w:t>
      </w:r>
      <w:r w:rsidRPr="001C6E14">
        <w:t>diskrepansen mellan majoriteten av riksdagspartiernas positiva inställning</w:t>
      </w:r>
      <w:r>
        <w:t xml:space="preserve"> </w:t>
      </w:r>
      <w:r w:rsidRPr="001C6E14">
        <w:t xml:space="preserve">till vinster i </w:t>
      </w:r>
      <w:r w:rsidR="00020807">
        <w:t xml:space="preserve">offentligfinansierad </w:t>
      </w:r>
      <w:r w:rsidRPr="001C6E14">
        <w:t>välfärd och medborgarnas motstånd till desamma.</w:t>
      </w:r>
    </w:p>
    <w:p w:rsidR="00F75649" w:rsidP="00F75649" w:rsidRDefault="003E5EBB" w14:paraId="7D996ECF" w14:textId="68BAC501">
      <w:r w:rsidRPr="008846C9">
        <w:t>Vins</w:t>
      </w:r>
      <w:r>
        <w:t>tuttagen från välfärdsföretagen är svåra att reglera</w:t>
      </w:r>
      <w:r w:rsidRPr="008846C9">
        <w:t>. Flera tar inte ut överskottet i verksamheten i vinst samma år, utan</w:t>
      </w:r>
      <w:r>
        <w:t xml:space="preserve"> </w:t>
      </w:r>
      <w:r w:rsidRPr="008846C9">
        <w:t xml:space="preserve">investerar i nya verksamheter eller uppköp av andra företag. </w:t>
      </w:r>
      <w:r>
        <w:t>Överskottet används då</w:t>
      </w:r>
      <w:r w:rsidRPr="008846C9">
        <w:t xml:space="preserve"> för att expandera och därmed</w:t>
      </w:r>
      <w:r>
        <w:t xml:space="preserve"> </w:t>
      </w:r>
      <w:r w:rsidRPr="008846C9">
        <w:t>höja värdet på företaget, som sedan kan säljas med stor vinst. Andra exempel på</w:t>
      </w:r>
      <w:r>
        <w:t xml:space="preserve"> </w:t>
      </w:r>
      <w:r w:rsidRPr="008846C9">
        <w:t>värdeöverföringar är</w:t>
      </w:r>
      <w:r>
        <w:t xml:space="preserve"> via l</w:t>
      </w:r>
      <w:r w:rsidRPr="008846C9">
        <w:t xml:space="preserve">ån, räntor och avskrivningar inom samma koncern. Välfärdsföretaget kan </w:t>
      </w:r>
      <w:r>
        <w:t xml:space="preserve">också </w:t>
      </w:r>
      <w:r w:rsidRPr="008846C9">
        <w:t>hyra lokaler av ett bolag inom samma koncern och betala en</w:t>
      </w:r>
      <w:r>
        <w:t xml:space="preserve"> </w:t>
      </w:r>
      <w:r w:rsidRPr="008846C9">
        <w:t>hyra som överstiger den marknadsmässiga.</w:t>
      </w:r>
      <w:r>
        <w:t xml:space="preserve"> Det finns också möjlighet att köpa</w:t>
      </w:r>
      <w:r w:rsidRPr="008846C9">
        <w:t xml:space="preserve"> tjänster från andra bolag i samma koncern</w:t>
      </w:r>
      <w:r>
        <w:t xml:space="preserve"> med en högre </w:t>
      </w:r>
      <w:r w:rsidRPr="008846C9">
        <w:t>ersättning än om anbud tagits in.</w:t>
      </w:r>
      <w:r>
        <w:t xml:space="preserve"> </w:t>
      </w:r>
      <w:r w:rsidRPr="00607989">
        <w:t>Vård, omsorg och skolan har utvecklats till nya riskområden för den organiserade brottsligheten. Kriminella gäng har etablerat sig i välfärden och tränger sig allt längre in i våra vardagsnära legala strukturer</w:t>
      </w:r>
      <w:r w:rsidR="00F75649">
        <w:t>, se vidare i Vänsterpartiets motion ”En funktionsrättspolitik för trygghet och delaktighet” (</w:t>
      </w:r>
      <w:r w:rsidR="002C607F">
        <w:t>2025/26:2778</w:t>
      </w:r>
      <w:r w:rsidR="00F75649">
        <w:t xml:space="preserve">). </w:t>
      </w:r>
    </w:p>
    <w:p w:rsidR="00F75649" w:rsidP="00F75649" w:rsidRDefault="003E5EBB" w14:paraId="06EF7390" w14:textId="3D495200">
      <w:r w:rsidRPr="008B7BC7">
        <w:lastRenderedPageBreak/>
        <w:t>Förtroendet för välfärden är hotat av bl.a. brister i kapacitet</w:t>
      </w:r>
      <w:r w:rsidR="00993528">
        <w:t xml:space="preserve"> och</w:t>
      </w:r>
      <w:r w:rsidR="00F75649">
        <w:t xml:space="preserve"> </w:t>
      </w:r>
      <w:r w:rsidRPr="008B7BC7">
        <w:t>tillgänglighet och av en okontrollerad privatisering. Regeringen bör därför avveckla möjligheten att ta ut vinst ur välfärdens verksamheter och utveckla alternativ till de marknads- och val</w:t>
      </w:r>
      <w:r w:rsidR="00557F3A">
        <w:softHyphen/>
      </w:r>
      <w:r w:rsidRPr="008B7BC7">
        <w:t xml:space="preserve">modeller som införts inom offentlig sektor. </w:t>
      </w:r>
      <w:r w:rsidRPr="00971B3B" w:rsidR="00380E6C">
        <w:t>Detta bör riksdagen ställa sig bakom och ge regeringen till känna.</w:t>
      </w:r>
      <w:r w:rsidR="00380E6C">
        <w:t xml:space="preserve"> </w:t>
      </w:r>
    </w:p>
    <w:p w:rsidR="003E5EBB" w:rsidP="00F75649" w:rsidRDefault="003E5EBB" w14:paraId="262AD44A" w14:textId="554303A3">
      <w:r w:rsidRPr="008B7BC7">
        <w:t>Regeringen bör vidare förstärka tillsynen och vidta nationella insatser för en ökad likvärdighet och personalförsörjning och för att säkerställa principen om vård och omsorg efter behov.</w:t>
      </w:r>
      <w:r>
        <w:t xml:space="preserve"> </w:t>
      </w:r>
      <w:r w:rsidRPr="00971B3B">
        <w:t>Detta bör riksdagen ställa sig bakom och ge regeringen till känna.</w:t>
      </w:r>
    </w:p>
    <w:p w:rsidR="00422B9E" w:rsidP="003E5EBB" w:rsidRDefault="003E5EBB" w14:paraId="0B012BDD" w14:textId="7C3F7DBE">
      <w:pPr>
        <w:pStyle w:val="Rubrik1numrerat"/>
      </w:pPr>
      <w:r>
        <w:t>Indexera de generella statsbidragen till kommunerna</w:t>
      </w:r>
    </w:p>
    <w:p w:rsidR="00557F3A" w:rsidP="00557F3A" w:rsidRDefault="003E5EBB" w14:paraId="5ADD7810" w14:textId="19E968DB">
      <w:pPr>
        <w:pStyle w:val="Normalutanindragellerluft"/>
      </w:pPr>
      <w:r w:rsidRPr="008D34B0">
        <w:t>Behoven i välfärdstjänsterna såsom skolan, äldreomsorgen och vården varierar och utvecklas i takt med befolkningsökningen. Men vi har i Sverige inget system som säkerställer att resurserna ska motsvara behoven – snarare tvärtom. Kommuner</w:t>
      </w:r>
      <w:r w:rsidR="005D1D2D">
        <w:t>nas</w:t>
      </w:r>
      <w:r w:rsidRPr="008D34B0">
        <w:t xml:space="preserve"> och regionernas kostnader ökar </w:t>
      </w:r>
      <w:r w:rsidR="00C21CF7">
        <w:t xml:space="preserve">i regel </w:t>
      </w:r>
      <w:r w:rsidRPr="008D34B0">
        <w:t xml:space="preserve">varje år, </w:t>
      </w:r>
      <w:r w:rsidR="00C21CF7">
        <w:t>dels på grund av den demografiska utveck</w:t>
      </w:r>
      <w:r w:rsidR="00557F3A">
        <w:softHyphen/>
      </w:r>
      <w:r w:rsidR="00C21CF7">
        <w:t xml:space="preserve">lingen, dels </w:t>
      </w:r>
      <w:r w:rsidRPr="008D34B0">
        <w:t>i takt med pris- och löneökningarna. De generella statsbidragen är dock inte indexerade för att följa den automatiska kostnadsutvecklingen, vilket innebär att verksamheterna ute i kommunerna ständigt måste anpassas till det rådande kostnads</w:t>
      </w:r>
      <w:r w:rsidR="00557F3A">
        <w:softHyphen/>
      </w:r>
      <w:r w:rsidRPr="008D34B0">
        <w:t xml:space="preserve">läget, i stället för till medborgarnas behov. I </w:t>
      </w:r>
      <w:r>
        <w:t xml:space="preserve">figuren </w:t>
      </w:r>
      <w:r w:rsidRPr="008D34B0">
        <w:t>nedan syns skillnaden mellan beslutade generella statsbidrag och vad som skulle behövas för att värdesäkra statsbidragen för pris</w:t>
      </w:r>
      <w:r w:rsidR="00993528">
        <w:noBreakHyphen/>
      </w:r>
      <w:r w:rsidRPr="008D34B0">
        <w:t>, löne- och befolknings</w:t>
      </w:r>
      <w:r w:rsidR="00C21CF7">
        <w:t>förändringar</w:t>
      </w:r>
      <w:r w:rsidRPr="008D34B0">
        <w:t>.</w:t>
      </w:r>
    </w:p>
    <w:p w:rsidRPr="00557F3A" w:rsidR="003E5EBB" w:rsidP="00557F3A" w:rsidRDefault="003E5EBB" w14:paraId="5194D8F0" w14:textId="7D53E00A">
      <w:pPr>
        <w:pStyle w:val="Tabellrubrik"/>
      </w:pPr>
      <w:r w:rsidRPr="00557F3A">
        <w:t>Figur 2 Värdesäkrade och beslutade generella statsbidrag</w:t>
      </w:r>
    </w:p>
    <w:p w:rsidRPr="00557F3A" w:rsidR="003E5EBB" w:rsidP="00557F3A" w:rsidRDefault="003E5EBB" w14:paraId="56534701" w14:textId="77777777">
      <w:pPr>
        <w:pStyle w:val="Tabellunderrubrik"/>
      </w:pPr>
      <w:r w:rsidRPr="00557F3A">
        <w:t>Miljarder kronor (y-axeln börjar på 100 mdr kr)</w:t>
      </w:r>
    </w:p>
    <w:p w:rsidRPr="001A3BF0" w:rsidR="003E5EBB" w:rsidP="00557F3A" w:rsidRDefault="003E5EBB" w14:paraId="53D7C6B5" w14:textId="77777777">
      <w:pPr>
        <w:pStyle w:val="Normalutanindragellerluft"/>
        <w:rPr>
          <w:rFonts w:eastAsia="Calibri"/>
        </w:rPr>
      </w:pPr>
      <w:r>
        <w:rPr>
          <w:noProof/>
        </w:rPr>
        <w:drawing>
          <wp:inline distT="0" distB="0" distL="0" distR="0" wp14:anchorId="5A27170E" wp14:editId="6C43383C">
            <wp:extent cx="5400040" cy="3075305"/>
            <wp:effectExtent l="0" t="0" r="1905" b="635"/>
            <wp:docPr id="17" name="Diagram 17" descr="">
              <a:extLst xmlns:a="http://schemas.openxmlformats.org/drawingml/2006/main">
                <a:ext uri="{FF2B5EF4-FFF2-40B4-BE49-F238E27FC236}">
                  <a16:creationId xmlns:a16="http://schemas.microsoft.com/office/drawing/2014/main" id="{61F16357-B3D3-4912-B73F-276C13623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557F3A" w:rsidR="003E5EBB" w:rsidP="00557F3A" w:rsidRDefault="003E5EBB" w14:paraId="17EEE353" w14:textId="77777777">
      <w:pPr>
        <w:pStyle w:val="Klla"/>
      </w:pPr>
      <w:r w:rsidRPr="00557F3A">
        <w:t>Källa: SKR, september 2024.</w:t>
      </w:r>
    </w:p>
    <w:p w:rsidR="003E5EBB" w:rsidP="00557F3A" w:rsidRDefault="003E5EBB" w14:paraId="4293AB43" w14:textId="673A8613">
      <w:pPr>
        <w:pStyle w:val="Normalutanindragellerluft"/>
        <w:spacing w:before="150"/>
      </w:pPr>
      <w:r>
        <w:rPr>
          <w:lang w:eastAsia="sv-SE"/>
        </w:rPr>
        <w:t xml:space="preserve">De generella statsbidragen till kommuner och regioner bör indexeras utifrån förändrade priser och löner i kommunsektorn samt demografiska förändringar. </w:t>
      </w:r>
      <w:r w:rsidRPr="00D7141A">
        <w:rPr>
          <w:lang w:eastAsia="sv-SE"/>
        </w:rPr>
        <w:t>Detta bör riksdagen ställa sig bakom och tillkännage för regeringen.</w:t>
      </w:r>
    </w:p>
    <w:p w:rsidR="003E5EBB" w:rsidP="003E5EBB" w:rsidRDefault="003E5EBB" w14:paraId="361E0773" w14:textId="45F74528">
      <w:pPr>
        <w:pStyle w:val="Rubrik1numrerat"/>
      </w:pPr>
      <w:r>
        <w:lastRenderedPageBreak/>
        <w:t>Omvandla riktade statsbidrag till generella</w:t>
      </w:r>
      <w:r w:rsidR="00CD4F3A">
        <w:t xml:space="preserve"> </w:t>
      </w:r>
    </w:p>
    <w:p w:rsidRPr="00610923" w:rsidR="003E5EBB" w:rsidP="003E5EBB" w:rsidRDefault="003E5EBB" w14:paraId="3910A603" w14:textId="2A6868D6">
      <w:pPr>
        <w:pStyle w:val="Normalutanindragellerluft"/>
      </w:pPr>
      <w:r w:rsidRPr="00610923">
        <w:t xml:space="preserve">I en </w:t>
      </w:r>
      <w:r>
        <w:t>rapport</w:t>
      </w:r>
      <w:r w:rsidRPr="00610923">
        <w:t xml:space="preserve"> </w:t>
      </w:r>
      <w:r w:rsidR="00993528">
        <w:t>om</w:t>
      </w:r>
      <w:r w:rsidRPr="00610923">
        <w:t xml:space="preserve"> statens styrning av kommuner och regioner, visar Statskontoret att statens detaljerade styrning skapar problem för kommuner och regioner när det gäller möjligheten att styra verksamheten långsiktigt.</w:t>
      </w:r>
      <w:r w:rsidRPr="00610923">
        <w:rPr>
          <w:rStyle w:val="Fotnotsreferens"/>
        </w:rPr>
        <w:footnoteReference w:id="3"/>
      </w:r>
      <w:r w:rsidRPr="00610923">
        <w:t xml:space="preserve"> Statskontoret konstaterar att staten har haft svagt genomslag för vissa av sina övergripande ambitioner, samtidigt som styr</w:t>
      </w:r>
      <w:r w:rsidR="00557F3A">
        <w:softHyphen/>
      </w:r>
      <w:r w:rsidRPr="00610923">
        <w:t>ningen innebär flera negativa konsekvenser för kommunsektorn. Det styrmedel som är förknippat med flest problem för kommunsektorn är de riktade statsbidragen.</w:t>
      </w:r>
    </w:p>
    <w:p w:rsidR="003E5EBB" w:rsidP="003E5EBB" w:rsidRDefault="003E5EBB" w14:paraId="5E31B6B9" w14:textId="195B2361">
      <w:r w:rsidRPr="00610923">
        <w:t>Enligt Statskontoret innebär det stora antalet styrsignaler att statens samlade styrning tränger undan prioriteringar och minskar kommuners och regioners möjlighet att styra sina verksamheter långsiktigt och strategiskt. Riktade statsbidrag ger osäkra planerings</w:t>
      </w:r>
      <w:r w:rsidR="00557F3A">
        <w:softHyphen/>
      </w:r>
      <w:r w:rsidRPr="00610923">
        <w:t>förutsättningar, försvårar ett effektivt resursutnyttjande och leder till höga administra</w:t>
      </w:r>
      <w:r w:rsidR="00557F3A">
        <w:softHyphen/>
      </w:r>
      <w:r w:rsidRPr="00610923">
        <w:t>tiva kostnader. De riktade statsbidragen kan också skapa målkonflikter för kommuner och regioner, exempelvis genom att strida mot en övergripande inriktning såsom vård efter behov.</w:t>
      </w:r>
      <w:r>
        <w:t xml:space="preserve"> </w:t>
      </w:r>
      <w:r w:rsidRPr="00610923">
        <w:t>Antalet riktade statsbidrag och kostnadsersättningar var 208 stycken 2022. Samtidigt är det svårt för kommunsektorn att göra 208 prioriteringar.</w:t>
      </w:r>
    </w:p>
    <w:p w:rsidRPr="00610923" w:rsidR="003E5EBB" w:rsidP="003E5EBB" w:rsidRDefault="003E5EBB" w14:paraId="343BB132" w14:textId="77777777">
      <w:r>
        <w:t>I Riksrevisionens granskning av statens finansiering av kommunerna är en slutsats att mindre kommuner i genomsnitt tar del av färre riktade statsbidrag i jämförelse med större kommuner.</w:t>
      </w:r>
      <w:r>
        <w:rPr>
          <w:rStyle w:val="Fotnotsreferens"/>
        </w:rPr>
        <w:footnoteReference w:id="4"/>
      </w:r>
    </w:p>
    <w:p w:rsidRPr="00610923" w:rsidR="003E5EBB" w:rsidP="003E5EBB" w:rsidRDefault="003E5EBB" w14:paraId="7109AAC5" w14:textId="58690001">
      <w:r w:rsidRPr="00610923">
        <w:t>Regeringen har inlett ett arbete med att minska antalet riktade statsbidrag. Trots detta fortsätter användningen att vara utbredd. Under 2020 och 2021 berodde det till stor del på hanteringen av coronapandemin. Men till regionerna fortsatte antalet riktade stats</w:t>
      </w:r>
      <w:r w:rsidR="00557F3A">
        <w:softHyphen/>
      </w:r>
      <w:r w:rsidRPr="00610923">
        <w:t xml:space="preserve">bidrag att öka även under 2022. </w:t>
      </w:r>
    </w:p>
    <w:p w:rsidRPr="00610923" w:rsidR="003E5EBB" w:rsidP="003E5EBB" w:rsidRDefault="003E5EBB" w14:paraId="1AE93F14" w14:textId="3B471C5C">
      <w:r w:rsidRPr="00610923">
        <w:t>Regeringen använder i stor utsträckning riktade statsbidrag för att förbättra kompetensförsörjningen i kommunsektorn. Problemet är att effekterna inte blir lång</w:t>
      </w:r>
      <w:r w:rsidR="00557F3A">
        <w:softHyphen/>
      </w:r>
      <w:r w:rsidRPr="00610923">
        <w:t>siktiga. Kommunsektorn kan inte lita på att finansieringen kommer att finnas kvar, och agerar utifrån en osäker planeringshorisont. Samtidigt är kompetensförsörjning just den typen av problem som kräver långsiktighet.</w:t>
      </w:r>
    </w:p>
    <w:p w:rsidR="003E5EBB" w:rsidP="00F5534A" w:rsidRDefault="003E5EBB" w14:paraId="0125B152" w14:textId="3217DABA">
      <w:pPr>
        <w:rPr>
          <w:lang w:eastAsia="sv-SE"/>
        </w:rPr>
      </w:pPr>
      <w:r>
        <w:rPr>
          <w:lang w:eastAsia="sv-SE"/>
        </w:rPr>
        <w:t xml:space="preserve">Regeringen bör </w:t>
      </w:r>
      <w:r w:rsidRPr="00465B18">
        <w:rPr>
          <w:lang w:eastAsia="sv-SE"/>
        </w:rPr>
        <w:t xml:space="preserve">se över vilka riktade statsbidrag </w:t>
      </w:r>
      <w:r>
        <w:rPr>
          <w:lang w:eastAsia="sv-SE"/>
        </w:rPr>
        <w:t xml:space="preserve">till kommunsektorn </w:t>
      </w:r>
      <w:r w:rsidRPr="00465B18">
        <w:rPr>
          <w:lang w:eastAsia="sv-SE"/>
        </w:rPr>
        <w:t>som kan omvandlas till generella</w:t>
      </w:r>
      <w:r>
        <w:rPr>
          <w:lang w:eastAsia="sv-SE"/>
        </w:rPr>
        <w:t xml:space="preserve"> statsbidrag. </w:t>
      </w:r>
      <w:r w:rsidRPr="00D7141A">
        <w:rPr>
          <w:lang w:eastAsia="sv-SE"/>
        </w:rPr>
        <w:t>Detta bör riksdagen ställa sig bakom och tillkänna</w:t>
      </w:r>
      <w:r w:rsidR="00557F3A">
        <w:rPr>
          <w:lang w:eastAsia="sv-SE"/>
        </w:rPr>
        <w:softHyphen/>
      </w:r>
      <w:r w:rsidRPr="00D7141A">
        <w:rPr>
          <w:lang w:eastAsia="sv-SE"/>
        </w:rPr>
        <w:t>ge för regeringen.</w:t>
      </w:r>
    </w:p>
    <w:p w:rsidR="003E5EBB" w:rsidP="003E5EBB" w:rsidRDefault="003E5EBB" w14:paraId="747ABC1D" w14:textId="77777777">
      <w:pPr>
        <w:pStyle w:val="Rubrik1numrerat"/>
      </w:pPr>
      <w:r>
        <w:t>Värna de idéburna aktörerna inom välfärden</w:t>
      </w:r>
    </w:p>
    <w:p w:rsidR="007D5E7C" w:rsidP="00557F3A" w:rsidRDefault="003E5EBB" w14:paraId="1A509771" w14:textId="622930DA">
      <w:pPr>
        <w:pStyle w:val="Normalutanindragellerluft"/>
      </w:pPr>
      <w:r w:rsidRPr="00FB0882">
        <w:t xml:space="preserve">De kommersiella aktörernas inträde på välfärdsområdet </w:t>
      </w:r>
      <w:r w:rsidR="00536EF3">
        <w:t xml:space="preserve">försvårar </w:t>
      </w:r>
      <w:r w:rsidRPr="00FB0882">
        <w:t>ofta de idéburnas möjligheter att verka. Sedan januari 2023 finns ny lagstiftning som gör att fler välfärds</w:t>
      </w:r>
      <w:r w:rsidR="00557F3A">
        <w:softHyphen/>
      </w:r>
      <w:r w:rsidRPr="00FB0882">
        <w:t>tjänster kan utföras av idéburna aktörer från civilsamhället</w:t>
      </w:r>
      <w:r>
        <w:t xml:space="preserve"> och att</w:t>
      </w:r>
      <w:r w:rsidRPr="00524CD2">
        <w:t xml:space="preserve"> upphandlande myndigheter </w:t>
      </w:r>
      <w:r>
        <w:t>har</w:t>
      </w:r>
      <w:r w:rsidRPr="00524CD2">
        <w:t xml:space="preserve"> möjlighet att reservera rätten att delta i upphandlingar av vissa välfärdstjänster till idéburna organisationer, vars allmännyttiga syfte bidrar till att uppfylla ändamålet med den tjänst som upphandlas.</w:t>
      </w:r>
      <w:r w:rsidR="00A47E92">
        <w:t xml:space="preserve"> </w:t>
      </w:r>
      <w:r w:rsidRPr="00FB0882">
        <w:t xml:space="preserve">Vänsterpartiet är i grunden kritiskt till </w:t>
      </w:r>
      <w:r w:rsidR="005D1D2D">
        <w:t>lagen om valfrihetssystem (</w:t>
      </w:r>
      <w:r w:rsidRPr="00FB0882">
        <w:t>LOV</w:t>
      </w:r>
      <w:r w:rsidR="005D1D2D">
        <w:t>)</w:t>
      </w:r>
      <w:r w:rsidRPr="00FB0882">
        <w:t>. Vi ser det dock som rimligt att försöka mildra vissa av de negativa effekter som systemet ger upphov till</w:t>
      </w:r>
      <w:r>
        <w:t>. Ett sådant sätt är att under</w:t>
      </w:r>
      <w:r w:rsidR="00557F3A">
        <w:softHyphen/>
      </w:r>
      <w:r>
        <w:t xml:space="preserve">lätta för idéburna aktörer att delta i upphandlingar. I samband med att den nya lagen </w:t>
      </w:r>
      <w:r>
        <w:lastRenderedPageBreak/>
        <w:t xml:space="preserve">infördes valde riksdagen, tvärtemot utredningens förslag, att inte ändra </w:t>
      </w:r>
      <w:r w:rsidRPr="00FB3A5C">
        <w:t>lagen om valfrihetssystem</w:t>
      </w:r>
      <w:r w:rsidR="005D1D2D">
        <w:t xml:space="preserve"> </w:t>
      </w:r>
      <w:r w:rsidRPr="00FB3A5C">
        <w:t>så att det framgår att de grund</w:t>
      </w:r>
      <w:r>
        <w:t>l</w:t>
      </w:r>
      <w:r w:rsidRPr="00FB3A5C">
        <w:t>äggande principer som följer av EUF-fördraget inte gäller för valfrihetssystem som saknar ett bestämt gränsöverskridande intresse</w:t>
      </w:r>
      <w:r>
        <w:t>.</w:t>
      </w:r>
      <w:r w:rsidR="00A47E92">
        <w:t xml:space="preserve"> </w:t>
      </w:r>
    </w:p>
    <w:p w:rsidR="00F17ED6" w:rsidP="00F5534A" w:rsidRDefault="003E5EBB" w14:paraId="04F82BA1" w14:textId="614406B7">
      <w:r w:rsidRPr="00FB3A5C">
        <w:t>Regeringen bör återkomma med en närmare juridisk analys beträffande möjlig</w:t>
      </w:r>
      <w:r w:rsidR="00557F3A">
        <w:softHyphen/>
      </w:r>
      <w:r w:rsidRPr="00FB3A5C">
        <w:t>heterna till undantag i LOV. Detta bör riksdagen ställa sig bakom och ge regeringen till känna.</w:t>
      </w:r>
    </w:p>
    <w:p w:rsidR="00BE4CAA" w:rsidP="00BE4CAA" w:rsidRDefault="00F17ED6" w14:paraId="559C0464" w14:textId="4C95B0B9">
      <w:pPr>
        <w:pStyle w:val="Rubrik1numrerat"/>
      </w:pPr>
      <w:r>
        <w:t xml:space="preserve">Kommunalekonomisk </w:t>
      </w:r>
      <w:r w:rsidR="00FB201E">
        <w:t>utjämning</w:t>
      </w:r>
    </w:p>
    <w:p w:rsidR="00272520" w:rsidP="009F2D54" w:rsidRDefault="009F2D54" w14:paraId="59B7CF1C" w14:textId="07B83424">
      <w:pPr>
        <w:pStyle w:val="Normalutanindragellerluft"/>
      </w:pPr>
      <w:r>
        <w:t>Kommunerna och regionerna ansvarar för en stor del av den offentliga verksamheten, såsom välfärdstjänster inom skola, hälso- och sjukvård</w:t>
      </w:r>
      <w:r w:rsidR="00AD6A90">
        <w:t>,</w:t>
      </w:r>
      <w:r>
        <w:t xml:space="preserve"> omsorg, kollektivtrafik, vattenförsörjning, renhållning med mera. Alla kommuner respektive alla regioner har samma uppdrag. Alla invånare ska ha tillgång till en god och likvärdig välfärd, oavsett var i landet man bor. Samtidigt skiljer sig förutsättningarna åt mellan olika kommuner och mellan olika regioner när det gäller exempelvis skattekraft, folkmängd, ålders</w:t>
      </w:r>
      <w:r w:rsidR="00557F3A">
        <w:softHyphen/>
      </w:r>
      <w:r>
        <w:t>struktur, bebyggelsestruktur och socioekonomi, såsom befolkningens utbildnings</w:t>
      </w:r>
      <w:r w:rsidR="00557F3A">
        <w:softHyphen/>
      </w:r>
      <w:r>
        <w:t xml:space="preserve">bakgrund och inkomst. Dessa strukturella skillnader leder till att de ekonomiska förutsättningarna är olika, både på intäkts- och kostnadssidan. </w:t>
      </w:r>
    </w:p>
    <w:p w:rsidR="00272520" w:rsidP="00272520" w:rsidRDefault="00272520" w14:paraId="3A9F5475" w14:textId="40B4FCA1">
      <w:r>
        <w:t xml:space="preserve">Därför finns det kommunala utjämningssystemet. Systemet syftar till att skapa likvärdiga ekonomiska förutsättningar för alla kommuner och </w:t>
      </w:r>
      <w:r w:rsidR="00FB201E">
        <w:t xml:space="preserve">regioner </w:t>
      </w:r>
      <w:r>
        <w:t>i landet att kunna tillhandahålla sina invånare likvärdig service oberoende av kommuninvånarnas inkomster och andra strukturella förhållanden. Meningen är att skillnader i kommunal</w:t>
      </w:r>
      <w:r w:rsidR="00557F3A">
        <w:softHyphen/>
      </w:r>
      <w:r>
        <w:t xml:space="preserve">skatt i stort ska spegla skillnader i effektivitet och service- och avgiftsnivå och inte bero på strukturella skillnader. Det har dock sedan länge varit uppenbart att systemet </w:t>
      </w:r>
      <w:r w:rsidRPr="00272520">
        <w:t xml:space="preserve">inte uppfyller målet. </w:t>
      </w:r>
      <w:r>
        <w:t>Detta visar inte minst de stora skillnaderna i kommunala och regionala skattesatser, där det kan skilja så mycket som 6</w:t>
      </w:r>
      <w:r w:rsidR="00C501B0">
        <w:t>–</w:t>
      </w:r>
      <w:r>
        <w:t xml:space="preserve">7 kronor mellan högsta och lägsta skattesats. </w:t>
      </w:r>
    </w:p>
    <w:p w:rsidR="00943444" w:rsidP="00272520" w:rsidRDefault="00C501B0" w14:paraId="04ED60F8" w14:textId="77777777">
      <w:r w:rsidRPr="00BE4CAA">
        <w:t>2022 tillsattes en parlamentarisk kommitté för att säkerställa att systemet för kommunalekonomisk utjämning ger kommuner och regioner likvärdiga ekonomiska förutsättningar att tillhandahålla välfärd och annan kommunal service, trots skillnader i skattekraft och strukturella förutsättningar. Betänkandet överlämnades den 2 juli 2024.</w:t>
      </w:r>
      <w:r>
        <w:rPr>
          <w:rStyle w:val="Fotnotsreferens"/>
        </w:rPr>
        <w:footnoteReference w:id="5"/>
      </w:r>
    </w:p>
    <w:p w:rsidR="004B6A29" w:rsidP="001E5F25" w:rsidRDefault="00943444" w14:paraId="20CD0768" w14:textId="77777777">
      <w:r>
        <w:t xml:space="preserve">Även om utredningens förslag är långt ifrån tillräckliga </w:t>
      </w:r>
      <w:r w:rsidR="001E5F25">
        <w:t>för att skapa likvärdiga ekonomiska förutsättningar för landets kommuner och regioner var k</w:t>
      </w:r>
      <w:r w:rsidRPr="00943444">
        <w:t xml:space="preserve">ommitténs förslag </w:t>
      </w:r>
      <w:r w:rsidR="001E5F25">
        <w:t xml:space="preserve">ändå ett tydligt steg i rätt riktning. Regeringen har emellertid ännu inte genomfört förslagen. </w:t>
      </w:r>
    </w:p>
    <w:p w:rsidR="00BB6339" w:rsidP="001E5F25" w:rsidRDefault="001E5F25" w14:paraId="46FC6838" w14:textId="711A80D3">
      <w:r>
        <w:t>Regeringen bör återkomma till riksdagen med u</w:t>
      </w:r>
      <w:r w:rsidRPr="001E5F25">
        <w:t>tjämningskommittén</w:t>
      </w:r>
      <w:r>
        <w:t xml:space="preserve">s förslag. </w:t>
      </w:r>
      <w:r w:rsidRPr="00FB3A5C">
        <w:t>Detta bör riksdagen ställa sig bakom och ge regeringen till känna.</w:t>
      </w:r>
    </w:p>
    <w:sdt>
      <w:sdtPr>
        <w:rPr>
          <w:i/>
          <w:noProof/>
        </w:rPr>
        <w:alias w:val="CC_Underskrifter"/>
        <w:tag w:val="CC_Underskrifter"/>
        <w:id w:val="583496634"/>
        <w:lock w:val="sdtContentLocked"/>
        <w:placeholder>
          <w:docPart w:val="8267ABE0F87F4ADCA59B23D1B384B9A9"/>
        </w:placeholder>
      </w:sdtPr>
      <w:sdtEndPr/>
      <w:sdtContent>
        <w:p w:rsidR="00EA61A8" w:rsidP="00EA61A8" w:rsidRDefault="00EA61A8" w14:paraId="7D25DD66" w14:textId="77777777"/>
        <w:p w:rsidR="00EA61A8" w:rsidP="00EA61A8" w:rsidRDefault="000B44D5" w14:paraId="4418A8FB" w14:textId="38ADA603"/>
      </w:sdtContent>
    </w:sdt>
    <w:tbl>
      <w:tblPr>
        <w:tblW w:w="5000" w:type="pct"/>
        <w:tblLook w:val="04A0" w:firstRow="1" w:lastRow="0" w:firstColumn="1" w:lastColumn="0" w:noHBand="0" w:noVBand="1"/>
        <w:tblCaption w:val="underskrifter"/>
      </w:tblPr>
      <w:tblGrid>
        <w:gridCol w:w="4252"/>
        <w:gridCol w:w="4252"/>
      </w:tblGrid>
      <w:tr w:rsidR="00DA124E" w14:paraId="0FF46BA3" w14:textId="77777777">
        <w:trPr>
          <w:cantSplit/>
        </w:trPr>
        <w:tc>
          <w:tcPr>
            <w:tcW w:w="50" w:type="pct"/>
            <w:vAlign w:val="bottom"/>
          </w:tcPr>
          <w:p w:rsidR="00DA124E" w:rsidRDefault="00C41870" w14:paraId="0CE59862" w14:textId="77777777">
            <w:pPr>
              <w:pStyle w:val="Underskrifter"/>
              <w:spacing w:after="0"/>
            </w:pPr>
            <w:r>
              <w:t>Ida Gabrielsson (V)</w:t>
            </w:r>
          </w:p>
        </w:tc>
        <w:tc>
          <w:tcPr>
            <w:tcW w:w="50" w:type="pct"/>
            <w:vAlign w:val="bottom"/>
          </w:tcPr>
          <w:p w:rsidR="00DA124E" w:rsidRDefault="00DA124E" w14:paraId="5F13A6D7" w14:textId="77777777">
            <w:pPr>
              <w:pStyle w:val="Underskrifter"/>
              <w:spacing w:after="0"/>
            </w:pPr>
          </w:p>
        </w:tc>
      </w:tr>
      <w:tr w:rsidR="00DA124E" w14:paraId="7FDF0AF4" w14:textId="77777777">
        <w:trPr>
          <w:cantSplit/>
        </w:trPr>
        <w:tc>
          <w:tcPr>
            <w:tcW w:w="50" w:type="pct"/>
            <w:vAlign w:val="bottom"/>
          </w:tcPr>
          <w:p w:rsidR="00DA124E" w:rsidRDefault="00C41870" w14:paraId="2ED2046A" w14:textId="77777777">
            <w:pPr>
              <w:pStyle w:val="Underskrifter"/>
              <w:spacing w:after="0"/>
            </w:pPr>
            <w:r>
              <w:t>Andrea Andersson Tay (V)</w:t>
            </w:r>
          </w:p>
        </w:tc>
        <w:tc>
          <w:tcPr>
            <w:tcW w:w="50" w:type="pct"/>
            <w:vAlign w:val="bottom"/>
          </w:tcPr>
          <w:p w:rsidR="00DA124E" w:rsidRDefault="00C41870" w14:paraId="4A0012D3" w14:textId="77777777">
            <w:pPr>
              <w:pStyle w:val="Underskrifter"/>
              <w:spacing w:after="0"/>
            </w:pPr>
            <w:r>
              <w:t>Kajsa Fredholm (V)</w:t>
            </w:r>
          </w:p>
        </w:tc>
      </w:tr>
      <w:tr w:rsidR="00DA124E" w14:paraId="7A06FED7" w14:textId="77777777">
        <w:trPr>
          <w:cantSplit/>
        </w:trPr>
        <w:tc>
          <w:tcPr>
            <w:tcW w:w="50" w:type="pct"/>
            <w:vAlign w:val="bottom"/>
          </w:tcPr>
          <w:p w:rsidR="00DA124E" w:rsidRDefault="00C41870" w14:paraId="2AB43ED5" w14:textId="77777777">
            <w:pPr>
              <w:pStyle w:val="Underskrifter"/>
              <w:spacing w:after="0"/>
            </w:pPr>
            <w:r>
              <w:lastRenderedPageBreak/>
              <w:t>Samuel Gonzalez Westling (V)</w:t>
            </w:r>
          </w:p>
        </w:tc>
        <w:tc>
          <w:tcPr>
            <w:tcW w:w="50" w:type="pct"/>
            <w:vAlign w:val="bottom"/>
          </w:tcPr>
          <w:p w:rsidR="00DA124E" w:rsidRDefault="00C41870" w14:paraId="5FDB4586" w14:textId="77777777">
            <w:pPr>
              <w:pStyle w:val="Underskrifter"/>
              <w:spacing w:after="0"/>
            </w:pPr>
            <w:r>
              <w:t>Birger Lahti (V)</w:t>
            </w:r>
          </w:p>
        </w:tc>
      </w:tr>
      <w:tr w:rsidR="00DA124E" w14:paraId="68E32F51" w14:textId="77777777">
        <w:trPr>
          <w:cantSplit/>
        </w:trPr>
        <w:tc>
          <w:tcPr>
            <w:tcW w:w="50" w:type="pct"/>
            <w:vAlign w:val="bottom"/>
          </w:tcPr>
          <w:p w:rsidR="00DA124E" w:rsidRDefault="00C41870" w14:paraId="796B8426" w14:textId="77777777">
            <w:pPr>
              <w:pStyle w:val="Underskrifter"/>
              <w:spacing w:after="0"/>
            </w:pPr>
            <w:r>
              <w:t>Ilona Szatmári Waldau (V)</w:t>
            </w:r>
          </w:p>
        </w:tc>
        <w:tc>
          <w:tcPr>
            <w:tcW w:w="50" w:type="pct"/>
            <w:vAlign w:val="bottom"/>
          </w:tcPr>
          <w:p w:rsidR="00DA124E" w:rsidRDefault="00C41870" w14:paraId="2CB9A45C" w14:textId="77777777">
            <w:pPr>
              <w:pStyle w:val="Underskrifter"/>
              <w:spacing w:after="0"/>
            </w:pPr>
            <w:r>
              <w:t>Malin Östh (V)</w:t>
            </w:r>
          </w:p>
        </w:tc>
      </w:tr>
    </w:tbl>
    <w:p w:rsidRPr="008E0FE2" w:rsidR="004801AC" w:rsidP="00DF3554" w:rsidRDefault="004801AC" w14:paraId="466AE572" w14:textId="011789E4"/>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EE21D" w14:textId="77777777" w:rsidR="00DD503E" w:rsidRDefault="00DD503E" w:rsidP="000C1CAD">
      <w:pPr>
        <w:spacing w:line="240" w:lineRule="auto"/>
      </w:pPr>
      <w:r>
        <w:separator/>
      </w:r>
    </w:p>
  </w:endnote>
  <w:endnote w:type="continuationSeparator" w:id="0">
    <w:p w14:paraId="7D21011D" w14:textId="77777777" w:rsidR="00DD503E" w:rsidRDefault="00DD5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26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F7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35D4" w14:textId="29982C0E" w:rsidR="00262EA3" w:rsidRPr="00EA61A8" w:rsidRDefault="00262EA3" w:rsidP="00EA6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EAD4" w14:textId="7F5E7EFC" w:rsidR="00DD503E" w:rsidRPr="00557F3A" w:rsidRDefault="00DD503E" w:rsidP="00557F3A">
      <w:pPr>
        <w:pStyle w:val="Sidfot"/>
      </w:pPr>
    </w:p>
  </w:footnote>
  <w:footnote w:type="continuationSeparator" w:id="0">
    <w:p w14:paraId="6029E9AE" w14:textId="77777777" w:rsidR="00DD503E" w:rsidRDefault="00DD503E" w:rsidP="000C1CAD">
      <w:pPr>
        <w:spacing w:line="240" w:lineRule="auto"/>
      </w:pPr>
      <w:r>
        <w:continuationSeparator/>
      </w:r>
    </w:p>
  </w:footnote>
  <w:footnote w:id="1">
    <w:p w14:paraId="541ECFA2" w14:textId="1B0CD6BD" w:rsidR="003E5EBB" w:rsidRDefault="003E5EBB" w:rsidP="003E5EBB">
      <w:pPr>
        <w:pStyle w:val="Fotnotstext"/>
      </w:pPr>
      <w:r>
        <w:rPr>
          <w:rStyle w:val="Fotnotsreferens"/>
        </w:rPr>
        <w:footnoteRef/>
      </w:r>
      <w:r>
        <w:t xml:space="preserve"> SCB (202</w:t>
      </w:r>
      <w:r w:rsidR="00020807">
        <w:t>4</w:t>
      </w:r>
      <w:r>
        <w:t xml:space="preserve">), </w:t>
      </w:r>
      <w:r w:rsidRPr="004C6767">
        <w:t>Finansiärer och utförare inom vård, skola och omsorg</w:t>
      </w:r>
      <w:r>
        <w:t xml:space="preserve"> 202</w:t>
      </w:r>
      <w:r w:rsidR="00020807">
        <w:t>2</w:t>
      </w:r>
      <w:r>
        <w:t>.</w:t>
      </w:r>
    </w:p>
  </w:footnote>
  <w:footnote w:id="2">
    <w:p w14:paraId="3D104EE5" w14:textId="77EB6502" w:rsidR="003E5EBB" w:rsidRDefault="003E5EBB" w:rsidP="003E5EBB">
      <w:pPr>
        <w:pStyle w:val="Fotnotstext"/>
      </w:pPr>
      <w:r>
        <w:rPr>
          <w:rStyle w:val="Fotnotsreferens"/>
        </w:rPr>
        <w:footnoteRef/>
      </w:r>
      <w:r>
        <w:t xml:space="preserve"> SOM-institutet (LO:s välfärdsrapport)</w:t>
      </w:r>
      <w:r w:rsidR="00993528">
        <w:t>.</w:t>
      </w:r>
    </w:p>
  </w:footnote>
  <w:footnote w:id="3">
    <w:p w14:paraId="77839441" w14:textId="1FBE9884" w:rsidR="003E5EBB" w:rsidRDefault="003E5EBB" w:rsidP="003E5EBB">
      <w:pPr>
        <w:pStyle w:val="Fotnotstext"/>
      </w:pPr>
      <w:r>
        <w:rPr>
          <w:rStyle w:val="Fotnotsreferens"/>
        </w:rPr>
        <w:footnoteRef/>
      </w:r>
      <w:r>
        <w:t xml:space="preserve"> Statskontoret (2023), Att styra de självstyrande</w:t>
      </w:r>
      <w:r w:rsidR="00993528">
        <w:t xml:space="preserve"> –</w:t>
      </w:r>
      <w:r>
        <w:t xml:space="preserve"> En analys av statens styrning av kommuner och regioner, 2023:7.</w:t>
      </w:r>
    </w:p>
  </w:footnote>
  <w:footnote w:id="4">
    <w:p w14:paraId="6FDE9CD1" w14:textId="38603C6B" w:rsidR="003E5EBB" w:rsidRDefault="003E5EBB" w:rsidP="003E5EBB">
      <w:pPr>
        <w:pStyle w:val="Fotnotstext"/>
      </w:pPr>
      <w:r>
        <w:rPr>
          <w:rStyle w:val="Fotnotsreferens"/>
        </w:rPr>
        <w:footnoteRef/>
      </w:r>
      <w:r>
        <w:t xml:space="preserve"> R</w:t>
      </w:r>
      <w:r w:rsidR="00993528">
        <w:t>i</w:t>
      </w:r>
      <w:r>
        <w:t>R 2022:1</w:t>
      </w:r>
      <w:r w:rsidR="00993528">
        <w:t>.</w:t>
      </w:r>
      <w:r>
        <w:t xml:space="preserve"> Gäller specifikt de som fördelas utan kommunspecifika bidragsramar.</w:t>
      </w:r>
    </w:p>
  </w:footnote>
  <w:footnote w:id="5">
    <w:p w14:paraId="164D91C9" w14:textId="458C198A" w:rsidR="00C501B0" w:rsidRDefault="00C501B0">
      <w:pPr>
        <w:pStyle w:val="Fotnotstext"/>
      </w:pPr>
      <w:r>
        <w:rPr>
          <w:rStyle w:val="Fotnotsreferens"/>
        </w:rPr>
        <w:footnoteRef/>
      </w:r>
      <w:r>
        <w:t xml:space="preserve"> </w:t>
      </w:r>
      <w:r w:rsidRPr="00C501B0">
        <w:t>Utjämningskommittén (2024). Nätt och jämnt, Likvärdighet och effektivitet i kommunsektorn – del 1 och del 2, SOU 2024:50.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8B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D78F1" wp14:editId="75359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4EFBC3" w14:textId="5C1E7E15" w:rsidR="00262EA3" w:rsidRDefault="000B44D5" w:rsidP="008103B5">
                          <w:pPr>
                            <w:jc w:val="right"/>
                          </w:pPr>
                          <w:sdt>
                            <w:sdtPr>
                              <w:alias w:val="CC_Noformat_Partikod"/>
                              <w:tag w:val="CC_Noformat_Partikod"/>
                              <w:id w:val="-53464382"/>
                              <w:placeholder>
                                <w:docPart w:val="66B849E25D284A8CB85B88C1A020C5BC"/>
                              </w:placeholder>
                              <w:text/>
                            </w:sdtPr>
                            <w:sdtEndPr/>
                            <w:sdtContent>
                              <w:r w:rsidR="00DD503E">
                                <w:t>V</w:t>
                              </w:r>
                            </w:sdtContent>
                          </w:sdt>
                          <w:sdt>
                            <w:sdtPr>
                              <w:alias w:val="CC_Noformat_Partinummer"/>
                              <w:tag w:val="CC_Noformat_Partinummer"/>
                              <w:id w:val="-1709555926"/>
                              <w:placeholder>
                                <w:docPart w:val="A37F7392EB0640D383AAEE3463043FBA"/>
                              </w:placeholder>
                              <w:text/>
                            </w:sdtPr>
                            <w:sdtEndPr/>
                            <w:sdtContent>
                              <w:r w:rsidR="00DD503E">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D78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4EFBC3" w14:textId="5C1E7E15" w:rsidR="00262EA3" w:rsidRDefault="000B44D5" w:rsidP="008103B5">
                    <w:pPr>
                      <w:jc w:val="right"/>
                    </w:pPr>
                    <w:sdt>
                      <w:sdtPr>
                        <w:alias w:val="CC_Noformat_Partikod"/>
                        <w:tag w:val="CC_Noformat_Partikod"/>
                        <w:id w:val="-53464382"/>
                        <w:placeholder>
                          <w:docPart w:val="66B849E25D284A8CB85B88C1A020C5BC"/>
                        </w:placeholder>
                        <w:text/>
                      </w:sdtPr>
                      <w:sdtEndPr/>
                      <w:sdtContent>
                        <w:r w:rsidR="00DD503E">
                          <w:t>V</w:t>
                        </w:r>
                      </w:sdtContent>
                    </w:sdt>
                    <w:sdt>
                      <w:sdtPr>
                        <w:alias w:val="CC_Noformat_Partinummer"/>
                        <w:tag w:val="CC_Noformat_Partinummer"/>
                        <w:id w:val="-1709555926"/>
                        <w:placeholder>
                          <w:docPart w:val="A37F7392EB0640D383AAEE3463043FBA"/>
                        </w:placeholder>
                        <w:text/>
                      </w:sdtPr>
                      <w:sdtEndPr/>
                      <w:sdtContent>
                        <w:r w:rsidR="00DD503E">
                          <w:t>703</w:t>
                        </w:r>
                      </w:sdtContent>
                    </w:sdt>
                  </w:p>
                </w:txbxContent>
              </v:textbox>
              <w10:wrap anchorx="page"/>
            </v:shape>
          </w:pict>
        </mc:Fallback>
      </mc:AlternateContent>
    </w:r>
  </w:p>
  <w:p w14:paraId="760BEA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E7D6" w14:textId="77777777" w:rsidR="00262EA3" w:rsidRDefault="00262EA3" w:rsidP="008563AC">
    <w:pPr>
      <w:jc w:val="right"/>
    </w:pPr>
  </w:p>
  <w:p w14:paraId="5BAEFC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388B" w14:textId="77777777" w:rsidR="00262EA3" w:rsidRDefault="000B44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DEB496" wp14:editId="31C2AC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5E6F1" w14:textId="16A4126B" w:rsidR="00262EA3" w:rsidRDefault="000B44D5" w:rsidP="00A314CF">
    <w:pPr>
      <w:pStyle w:val="FSHNormal"/>
      <w:spacing w:before="40"/>
    </w:pPr>
    <w:sdt>
      <w:sdtPr>
        <w:alias w:val="CC_Noformat_Motionstyp"/>
        <w:tag w:val="CC_Noformat_Motionstyp"/>
        <w:id w:val="1162973129"/>
        <w:lock w:val="sdtContentLocked"/>
        <w15:appearance w15:val="hidden"/>
        <w:text/>
      </w:sdtPr>
      <w:sdtEndPr/>
      <w:sdtContent>
        <w:r w:rsidR="00EA61A8">
          <w:t>Kommittémotion</w:t>
        </w:r>
      </w:sdtContent>
    </w:sdt>
    <w:r w:rsidR="00821B36">
      <w:t xml:space="preserve"> </w:t>
    </w:r>
    <w:sdt>
      <w:sdtPr>
        <w:alias w:val="CC_Noformat_Partikod"/>
        <w:tag w:val="CC_Noformat_Partikod"/>
        <w:id w:val="1471015553"/>
        <w:text/>
      </w:sdtPr>
      <w:sdtEndPr/>
      <w:sdtContent>
        <w:r w:rsidR="00DD503E">
          <w:t>V</w:t>
        </w:r>
      </w:sdtContent>
    </w:sdt>
    <w:sdt>
      <w:sdtPr>
        <w:alias w:val="CC_Noformat_Partinummer"/>
        <w:tag w:val="CC_Noformat_Partinummer"/>
        <w:id w:val="-2014525982"/>
        <w:text/>
      </w:sdtPr>
      <w:sdtEndPr/>
      <w:sdtContent>
        <w:r w:rsidR="00DD503E">
          <w:t>703</w:t>
        </w:r>
      </w:sdtContent>
    </w:sdt>
  </w:p>
  <w:p w14:paraId="36D9791A" w14:textId="77777777" w:rsidR="00262EA3" w:rsidRPr="008227B3" w:rsidRDefault="000B44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07B435" w14:textId="24312837" w:rsidR="00262EA3" w:rsidRPr="008227B3" w:rsidRDefault="000B44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61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61A8">
          <w:t>:322</w:t>
        </w:r>
      </w:sdtContent>
    </w:sdt>
  </w:p>
  <w:p w14:paraId="52994652" w14:textId="540A36B6" w:rsidR="00262EA3" w:rsidRDefault="000B44D5" w:rsidP="00E03A3D">
    <w:pPr>
      <w:pStyle w:val="Motionr"/>
    </w:pPr>
    <w:sdt>
      <w:sdtPr>
        <w:alias w:val="CC_Noformat_Avtext"/>
        <w:tag w:val="CC_Noformat_Avtext"/>
        <w:id w:val="-2020768203"/>
        <w:lock w:val="sdtContentLocked"/>
        <w:placeholder>
          <w:docPart w:val="66B849E25D284A8CB85B88C1A020C5BC"/>
        </w:placeholder>
        <w15:appearance w15:val="hidden"/>
        <w:text/>
      </w:sdtPr>
      <w:sdtEndPr/>
      <w:sdtContent>
        <w:r w:rsidR="00EA61A8">
          <w:t>av Ida Gabrielsson m.fl. (V)</w:t>
        </w:r>
      </w:sdtContent>
    </w:sdt>
  </w:p>
  <w:sdt>
    <w:sdtPr>
      <w:alias w:val="CC_Noformat_Rubtext"/>
      <w:tag w:val="CC_Noformat_Rubtext"/>
      <w:id w:val="-218060500"/>
      <w:lock w:val="sdtLocked"/>
      <w:placeholder>
        <w:docPart w:val="A37F7392EB0640D383AAEE3463043FBA"/>
      </w:placeholder>
      <w:text/>
    </w:sdtPr>
    <w:sdtEndPr/>
    <w:sdtContent>
      <w:p w14:paraId="5D2B954C" w14:textId="3509B703" w:rsidR="00262EA3" w:rsidRDefault="00DD503E" w:rsidP="00283E0F">
        <w:pPr>
          <w:pStyle w:val="FSHRub2"/>
        </w:pPr>
        <w:r>
          <w:t>Kommunerna och välfärden</w:t>
        </w:r>
      </w:p>
    </w:sdtContent>
  </w:sdt>
  <w:sdt>
    <w:sdtPr>
      <w:alias w:val="CC_Boilerplate_3"/>
      <w:tag w:val="CC_Boilerplate_3"/>
      <w:id w:val="1606463544"/>
      <w:lock w:val="sdtContentLocked"/>
      <w15:appearance w15:val="hidden"/>
      <w:text w:multiLine="1"/>
    </w:sdtPr>
    <w:sdtEndPr/>
    <w:sdtContent>
      <w:p w14:paraId="6C0B78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50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0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D5"/>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E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25"/>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B3"/>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2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7F"/>
    <w:rsid w:val="002C6280"/>
    <w:rsid w:val="002C686F"/>
    <w:rsid w:val="002C6A56"/>
    <w:rsid w:val="002C740B"/>
    <w:rsid w:val="002C7511"/>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1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6C"/>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BB"/>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29"/>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514"/>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F3"/>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F3A"/>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F1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2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6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5E7C"/>
    <w:rsid w:val="007D6916"/>
    <w:rsid w:val="007D71DA"/>
    <w:rsid w:val="007D7C3D"/>
    <w:rsid w:val="007E0198"/>
    <w:rsid w:val="007E07AA"/>
    <w:rsid w:val="007E0C6D"/>
    <w:rsid w:val="007E0EA6"/>
    <w:rsid w:val="007E26CF"/>
    <w:rsid w:val="007E29D4"/>
    <w:rsid w:val="007E29F4"/>
    <w:rsid w:val="007E3149"/>
    <w:rsid w:val="007E3A3D"/>
    <w:rsid w:val="007E3FF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7D"/>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44"/>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2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D54"/>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92"/>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90"/>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A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52"/>
    <w:rsid w:val="00C1782C"/>
    <w:rsid w:val="00C17BE9"/>
    <w:rsid w:val="00C17EB4"/>
    <w:rsid w:val="00C17FD3"/>
    <w:rsid w:val="00C2012C"/>
    <w:rsid w:val="00C203DE"/>
    <w:rsid w:val="00C20723"/>
    <w:rsid w:val="00C21641"/>
    <w:rsid w:val="00C21CF7"/>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870"/>
    <w:rsid w:val="00C41A5D"/>
    <w:rsid w:val="00C42158"/>
    <w:rsid w:val="00C4246B"/>
    <w:rsid w:val="00C4288F"/>
    <w:rsid w:val="00C42BF7"/>
    <w:rsid w:val="00C433A3"/>
    <w:rsid w:val="00C43A7C"/>
    <w:rsid w:val="00C441FB"/>
    <w:rsid w:val="00C44FC0"/>
    <w:rsid w:val="00C4564E"/>
    <w:rsid w:val="00C45E40"/>
    <w:rsid w:val="00C463D5"/>
    <w:rsid w:val="00C501B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4F3A"/>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D3"/>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24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E"/>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F9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1A8"/>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5"/>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8E"/>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ED6"/>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4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49"/>
    <w:rsid w:val="00F75848"/>
    <w:rsid w:val="00F75A6B"/>
    <w:rsid w:val="00F765B3"/>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422B0A"/>
  <w15:chartTrackingRefBased/>
  <w15:docId w15:val="{5F8DB43B-3217-430A-BE0D-69DAC8BC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3E5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gem1.riksdagen.se\fsgem1share\V\Team\Reformteamet\Excel\SKR\SKR%20Statsbidrag%20v&#228;rdes&#228;kring%20sept%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Prel.statsbidrag!$A$28</c:f>
              <c:strCache>
                <c:ptCount val="1"/>
                <c:pt idx="0">
                  <c:v>Generella statsbidrag</c:v>
                </c:pt>
              </c:strCache>
            </c:strRef>
          </c:tx>
          <c:spPr>
            <a:solidFill>
              <a:srgbClr val="FF0000"/>
            </a:solidFill>
            <a:ln>
              <a:solidFill>
                <a:srgbClr val="FF0000"/>
              </a:solidFill>
            </a:ln>
            <a:effectLst/>
          </c:spPr>
          <c:invertIfNegative val="0"/>
          <c:cat>
            <c:numRef>
              <c:f>Prel.statsbidrag!$C$27:$Q$27</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Prel.statsbidrag!$C$28:$Q$28</c:f>
              <c:numCache>
                <c:formatCode>0</c:formatCode>
                <c:ptCount val="15"/>
                <c:pt idx="0">
                  <c:v>125.61744400000003</c:v>
                </c:pt>
                <c:pt idx="1">
                  <c:v>124.01344400000002</c:v>
                </c:pt>
                <c:pt idx="2">
                  <c:v>124.81144400000002</c:v>
                </c:pt>
                <c:pt idx="3">
                  <c:v>126.62514400000002</c:v>
                </c:pt>
                <c:pt idx="4">
                  <c:v>128.78736438199999</c:v>
                </c:pt>
                <c:pt idx="5">
                  <c:v>135.04234400000001</c:v>
                </c:pt>
                <c:pt idx="6">
                  <c:v>141.363744</c:v>
                </c:pt>
                <c:pt idx="7">
                  <c:v>142.80986624899998</c:v>
                </c:pt>
                <c:pt idx="8">
                  <c:v>146.56005617999998</c:v>
                </c:pt>
                <c:pt idx="9">
                  <c:v>178.86046117000001</c:v>
                </c:pt>
                <c:pt idx="10">
                  <c:v>178.25960359600001</c:v>
                </c:pt>
                <c:pt idx="11">
                  <c:v>177.149486</c:v>
                </c:pt>
                <c:pt idx="12">
                  <c:v>177.44948599999998</c:v>
                </c:pt>
                <c:pt idx="13">
                  <c:v>199.37487553450001</c:v>
                </c:pt>
                <c:pt idx="14">
                  <c:v>189.08404033199997</c:v>
                </c:pt>
              </c:numCache>
            </c:numRef>
          </c:val>
          <c:extLst>
            <c:ext xmlns:c16="http://schemas.microsoft.com/office/drawing/2014/chart" uri="{C3380CC4-5D6E-409C-BE32-E72D297353CC}">
              <c16:uniqueId val="{00000000-CE0F-4C61-924D-3ECDAB99371E}"/>
            </c:ext>
          </c:extLst>
        </c:ser>
        <c:ser>
          <c:idx val="2"/>
          <c:order val="1"/>
          <c:tx>
            <c:strRef>
              <c:f>Prel.statsbidrag!$A$59</c:f>
              <c:strCache>
                <c:ptCount val="1"/>
                <c:pt idx="0">
                  <c:v>Värdesäkring</c:v>
                </c:pt>
              </c:strCache>
            </c:strRef>
          </c:tx>
          <c:spPr>
            <a:gradFill flip="none" rotWithShape="1">
              <a:gsLst>
                <a:gs pos="0">
                  <a:schemeClr val="bg1">
                    <a:lumMod val="50000"/>
                    <a:tint val="66000"/>
                    <a:satMod val="160000"/>
                  </a:schemeClr>
                </a:gs>
                <a:gs pos="50000">
                  <a:schemeClr val="bg1">
                    <a:lumMod val="50000"/>
                    <a:tint val="44500"/>
                    <a:satMod val="160000"/>
                  </a:schemeClr>
                </a:gs>
                <a:gs pos="100000">
                  <a:schemeClr val="bg1">
                    <a:lumMod val="50000"/>
                    <a:tint val="23500"/>
                    <a:satMod val="160000"/>
                  </a:schemeClr>
                </a:gs>
              </a:gsLst>
              <a:lin ang="2700000" scaled="1"/>
              <a:tileRect/>
            </a:gradFill>
            <a:ln>
              <a:solidFill>
                <a:schemeClr val="bg1">
                  <a:lumMod val="50000"/>
                </a:schemeClr>
              </a:solidFill>
            </a:ln>
            <a:effectLst/>
          </c:spPr>
          <c:invertIfNegative val="0"/>
          <c:cat>
            <c:numRef>
              <c:f>Prel.statsbidrag!$C$27:$Q$27</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Prel.statsbidrag!$C$60:$Q$60</c:f>
              <c:numCache>
                <c:formatCode>0</c:formatCode>
                <c:ptCount val="15"/>
                <c:pt idx="0">
                  <c:v>0</c:v>
                </c:pt>
                <c:pt idx="1">
                  <c:v>5.0666101210041745</c:v>
                </c:pt>
                <c:pt idx="2">
                  <c:v>8.8612662087402043</c:v>
                </c:pt>
                <c:pt idx="3">
                  <c:v>11.935666930186173</c:v>
                </c:pt>
                <c:pt idx="4">
                  <c:v>15.153620758729573</c:v>
                </c:pt>
                <c:pt idx="5">
                  <c:v>15.097087825615858</c:v>
                </c:pt>
                <c:pt idx="6">
                  <c:v>16.413488244950599</c:v>
                </c:pt>
                <c:pt idx="7">
                  <c:v>22.727742721335886</c:v>
                </c:pt>
                <c:pt idx="8">
                  <c:v>25.422730416831257</c:v>
                </c:pt>
                <c:pt idx="9">
                  <c:v>-2.781205211531784</c:v>
                </c:pt>
                <c:pt idx="10">
                  <c:v>4.2187582848584384</c:v>
                </c:pt>
                <c:pt idx="11">
                  <c:v>15.263574240316302</c:v>
                </c:pt>
                <c:pt idx="12">
                  <c:v>28.305497915440839</c:v>
                </c:pt>
                <c:pt idx="13">
                  <c:v>15.379148270855609</c:v>
                </c:pt>
                <c:pt idx="14">
                  <c:v>26.556332170721504</c:v>
                </c:pt>
              </c:numCache>
            </c:numRef>
          </c:val>
          <c:extLst>
            <c:ext xmlns:c16="http://schemas.microsoft.com/office/drawing/2014/chart" uri="{C3380CC4-5D6E-409C-BE32-E72D297353CC}">
              <c16:uniqueId val="{00000001-CE0F-4C61-924D-3ECDAB99371E}"/>
            </c:ext>
          </c:extLst>
        </c:ser>
        <c:dLbls>
          <c:showLegendKey val="0"/>
          <c:showVal val="0"/>
          <c:showCatName val="0"/>
          <c:showSerName val="0"/>
          <c:showPercent val="0"/>
          <c:showBubbleSize val="0"/>
        </c:dLbls>
        <c:gapWidth val="219"/>
        <c:overlap val="100"/>
        <c:axId val="822601360"/>
        <c:axId val="822604968"/>
      </c:barChart>
      <c:catAx>
        <c:axId val="82260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822604968"/>
        <c:crosses val="autoZero"/>
        <c:auto val="1"/>
        <c:lblAlgn val="ctr"/>
        <c:lblOffset val="100"/>
        <c:noMultiLvlLbl val="0"/>
      </c:catAx>
      <c:valAx>
        <c:axId val="822604968"/>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sv-SE"/>
                  <a:t>Miljarder kronor</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82260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EBD551490415390FC7F3C5E6C2594"/>
        <w:category>
          <w:name w:val="Allmänt"/>
          <w:gallery w:val="placeholder"/>
        </w:category>
        <w:types>
          <w:type w:val="bbPlcHdr"/>
        </w:types>
        <w:behaviors>
          <w:behavior w:val="content"/>
        </w:behaviors>
        <w:guid w:val="{3AE75DB6-FB5B-4887-9E9D-C6FB133790FE}"/>
      </w:docPartPr>
      <w:docPartBody>
        <w:p w:rsidR="000C3230" w:rsidRDefault="000C3230">
          <w:pPr>
            <w:pStyle w:val="0A2EBD551490415390FC7F3C5E6C2594"/>
          </w:pPr>
          <w:r w:rsidRPr="005A0A93">
            <w:rPr>
              <w:rStyle w:val="Platshllartext"/>
            </w:rPr>
            <w:t>Förslag till riksdagsbeslut</w:t>
          </w:r>
        </w:p>
      </w:docPartBody>
    </w:docPart>
    <w:docPart>
      <w:docPartPr>
        <w:name w:val="F9914907F29E4ABAA9E836227D1BB124"/>
        <w:category>
          <w:name w:val="Allmänt"/>
          <w:gallery w:val="placeholder"/>
        </w:category>
        <w:types>
          <w:type w:val="bbPlcHdr"/>
        </w:types>
        <w:behaviors>
          <w:behavior w:val="content"/>
        </w:behaviors>
        <w:guid w:val="{20A3490E-B66D-4611-A557-2F4BD52933ED}"/>
      </w:docPartPr>
      <w:docPartBody>
        <w:p w:rsidR="000C3230" w:rsidRDefault="000C3230">
          <w:pPr>
            <w:pStyle w:val="F9914907F29E4ABAA9E836227D1BB124"/>
          </w:pPr>
          <w:r w:rsidRPr="005A0A93">
            <w:rPr>
              <w:rStyle w:val="Platshllartext"/>
            </w:rPr>
            <w:t>Motivering</w:t>
          </w:r>
        </w:p>
      </w:docPartBody>
    </w:docPart>
    <w:docPart>
      <w:docPartPr>
        <w:name w:val="66B849E25D284A8CB85B88C1A020C5BC"/>
        <w:category>
          <w:name w:val="Allmänt"/>
          <w:gallery w:val="placeholder"/>
        </w:category>
        <w:types>
          <w:type w:val="bbPlcHdr"/>
        </w:types>
        <w:behaviors>
          <w:behavior w:val="content"/>
        </w:behaviors>
        <w:guid w:val="{00B00FEF-DFBD-4A47-88C2-2578E0A0E97E}"/>
      </w:docPartPr>
      <w:docPartBody>
        <w:p w:rsidR="000C3230" w:rsidRDefault="000C3230">
          <w:pPr>
            <w:pStyle w:val="66B849E25D284A8CB85B88C1A020C5BC"/>
          </w:pPr>
          <w:r>
            <w:rPr>
              <w:rStyle w:val="Platshllartext"/>
            </w:rPr>
            <w:t xml:space="preserve"> </w:t>
          </w:r>
        </w:p>
      </w:docPartBody>
    </w:docPart>
    <w:docPart>
      <w:docPartPr>
        <w:name w:val="A37F7392EB0640D383AAEE3463043FBA"/>
        <w:category>
          <w:name w:val="Allmänt"/>
          <w:gallery w:val="placeholder"/>
        </w:category>
        <w:types>
          <w:type w:val="bbPlcHdr"/>
        </w:types>
        <w:behaviors>
          <w:behavior w:val="content"/>
        </w:behaviors>
        <w:guid w:val="{5DD08C49-1011-46DF-B87C-4A2484C443C3}"/>
      </w:docPartPr>
      <w:docPartBody>
        <w:p w:rsidR="000C3230" w:rsidRDefault="000C3230">
          <w:pPr>
            <w:pStyle w:val="A37F7392EB0640D383AAEE3463043FBA"/>
          </w:pPr>
          <w:r>
            <w:t xml:space="preserve"> </w:t>
          </w:r>
        </w:p>
      </w:docPartBody>
    </w:docPart>
    <w:docPart>
      <w:docPartPr>
        <w:name w:val="8267ABE0F87F4ADCA59B23D1B384B9A9"/>
        <w:category>
          <w:name w:val="Allmänt"/>
          <w:gallery w:val="placeholder"/>
        </w:category>
        <w:types>
          <w:type w:val="bbPlcHdr"/>
        </w:types>
        <w:behaviors>
          <w:behavior w:val="content"/>
        </w:behaviors>
        <w:guid w:val="{3E095638-233C-41C4-A87C-BF4F64E79CA9}"/>
      </w:docPartPr>
      <w:docPartBody>
        <w:p w:rsidR="00382091" w:rsidRDefault="00382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30"/>
    <w:rsid w:val="000C3230"/>
    <w:rsid w:val="000C7642"/>
    <w:rsid w:val="00382091"/>
    <w:rsid w:val="00970F14"/>
    <w:rsid w:val="009765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642"/>
    <w:rPr>
      <w:color w:val="F4B083" w:themeColor="accent2" w:themeTint="99"/>
    </w:rPr>
  </w:style>
  <w:style w:type="paragraph" w:customStyle="1" w:styleId="0A2EBD551490415390FC7F3C5E6C2594">
    <w:name w:val="0A2EBD551490415390FC7F3C5E6C2594"/>
  </w:style>
  <w:style w:type="paragraph" w:customStyle="1" w:styleId="F9914907F29E4ABAA9E836227D1BB124">
    <w:name w:val="F9914907F29E4ABAA9E836227D1BB124"/>
  </w:style>
  <w:style w:type="paragraph" w:customStyle="1" w:styleId="66B849E25D284A8CB85B88C1A020C5BC">
    <w:name w:val="66B849E25D284A8CB85B88C1A020C5BC"/>
  </w:style>
  <w:style w:type="paragraph" w:customStyle="1" w:styleId="A37F7392EB0640D383AAEE3463043FBA">
    <w:name w:val="A37F7392EB0640D383AAEE3463043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4DC36-C996-4A79-8141-528F2BA34F3B}"/>
</file>

<file path=customXml/itemProps2.xml><?xml version="1.0" encoding="utf-8"?>
<ds:datastoreItem xmlns:ds="http://schemas.openxmlformats.org/officeDocument/2006/customXml" ds:itemID="{F27196C4-E6F5-40FD-8379-E1377E0761FE}"/>
</file>

<file path=customXml/itemProps3.xml><?xml version="1.0" encoding="utf-8"?>
<ds:datastoreItem xmlns:ds="http://schemas.openxmlformats.org/officeDocument/2006/customXml" ds:itemID="{422FB00C-3DAF-4D41-991B-62D8D66543AF}"/>
</file>

<file path=docProps/app.xml><?xml version="1.0" encoding="utf-8"?>
<Properties xmlns="http://schemas.openxmlformats.org/officeDocument/2006/extended-properties" xmlns:vt="http://schemas.openxmlformats.org/officeDocument/2006/docPropsVTypes">
  <Template>Normal</Template>
  <TotalTime>61</TotalTime>
  <Pages>6</Pages>
  <Words>1886</Words>
  <Characters>11356</Characters>
  <Application>Microsoft Office Word</Application>
  <DocSecurity>0</DocSecurity>
  <Lines>189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V703 Kommunerna och välfärden</vt:lpstr>
      <vt:lpstr>
      </vt:lpstr>
    </vt:vector>
  </TitlesOfParts>
  <Company>Sveriges riksdag</Company>
  <LinksUpToDate>false</LinksUpToDate>
  <CharactersWithSpaces>13191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