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0"/>
        <w:gridCol w:w="3971"/>
        <w:gridCol w:w="850"/>
      </w:tblGrid>
      <w:tr w:rsidR="00000000" w:rsidRPr="00210CAA">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9D0A73" w:rsidRPr="00210CAA" w:rsidRDefault="00210CAA">
            <w:pPr>
              <w:pStyle w:val="EntLogo"/>
            </w:pPr>
            <w:r w:rsidRPr="00210CAA">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210CAA">
        <w:tblPrEx>
          <w:tblCellMar>
            <w:top w:w="0" w:type="dxa"/>
            <w:left w:w="0" w:type="dxa"/>
            <w:bottom w:w="0" w:type="dxa"/>
            <w:right w:w="0" w:type="dxa"/>
          </w:tblCellMar>
        </w:tblPrEx>
        <w:trPr>
          <w:cantSplit/>
          <w:trHeight w:val="1120"/>
        </w:trPr>
        <w:tc>
          <w:tcPr>
            <w:tcW w:w="4821" w:type="dxa"/>
            <w:gridSpan w:val="2"/>
          </w:tcPr>
          <w:p w:rsidR="009D0A73" w:rsidRPr="00210CAA" w:rsidRDefault="009D0A73">
            <w:pPr>
              <w:pStyle w:val="EntInstit"/>
            </w:pPr>
            <w:bookmarkStart w:id="0" w:name="Entete"/>
            <w:bookmarkEnd w:id="0"/>
            <w:r w:rsidRPr="00210CAA">
              <w:t>COUNCIL OF</w:t>
            </w:r>
          </w:p>
          <w:p w:rsidR="009D0A73" w:rsidRPr="00210CAA" w:rsidRDefault="009D0A73">
            <w:pPr>
              <w:pStyle w:val="EntInstit"/>
            </w:pPr>
            <w:r w:rsidRPr="00210CAA">
              <w:t>THE EUROPEAN UNION</w:t>
            </w:r>
          </w:p>
        </w:tc>
        <w:tc>
          <w:tcPr>
            <w:tcW w:w="1700" w:type="dxa"/>
          </w:tcPr>
          <w:p w:rsidR="009D0A73" w:rsidRPr="00210CAA" w:rsidRDefault="009D0A73">
            <w:pPr>
              <w:spacing w:line="240" w:lineRule="auto"/>
              <w:jc w:val="right"/>
              <w:rPr>
                <w:b/>
              </w:rPr>
            </w:pPr>
          </w:p>
        </w:tc>
        <w:tc>
          <w:tcPr>
            <w:tcW w:w="4821" w:type="dxa"/>
            <w:gridSpan w:val="2"/>
          </w:tcPr>
          <w:p w:rsidR="009D0A73" w:rsidRPr="00210CAA" w:rsidRDefault="009D0A73">
            <w:pPr>
              <w:pStyle w:val="EntRefer"/>
            </w:pPr>
            <w:bookmarkStart w:id="1" w:name="Lieu"/>
            <w:bookmarkEnd w:id="1"/>
            <w:r w:rsidRPr="00210CAA">
              <w:t xml:space="preserve">Brussels, </w:t>
            </w:r>
            <w:bookmarkStart w:id="2" w:name="Date"/>
            <w:bookmarkEnd w:id="2"/>
            <w:r w:rsidRPr="00210CAA">
              <w:t xml:space="preserve">26 April 2006 </w:t>
            </w:r>
            <w:bookmarkStart w:id="3" w:name="DateEntree"/>
            <w:bookmarkEnd w:id="3"/>
          </w:p>
          <w:p w:rsidR="009D0A73" w:rsidRPr="00210CAA" w:rsidRDefault="009D0A73">
            <w:pPr>
              <w:pStyle w:val="EntRefer"/>
            </w:pPr>
            <w:bookmarkStart w:id="4" w:name="LangueOrig"/>
            <w:bookmarkEnd w:id="4"/>
          </w:p>
        </w:tc>
      </w:tr>
      <w:tr w:rsidR="00000000" w:rsidRPr="00210CAA">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9D0A73" w:rsidRPr="00210CAA" w:rsidRDefault="009D0A73">
            <w:pPr>
              <w:pStyle w:val="EntRefer"/>
              <w:jc w:val="center"/>
            </w:pPr>
            <w:bookmarkStart w:id="5" w:name="DossierInterInst"/>
            <w:bookmarkEnd w:id="5"/>
          </w:p>
        </w:tc>
        <w:tc>
          <w:tcPr>
            <w:tcW w:w="1700" w:type="dxa"/>
            <w:vAlign w:val="center"/>
          </w:tcPr>
          <w:p w:rsidR="009D0A73" w:rsidRPr="00210CAA" w:rsidRDefault="009D0A73">
            <w:pPr>
              <w:spacing w:line="240" w:lineRule="auto"/>
              <w:rPr>
                <w:b/>
              </w:rPr>
            </w:pPr>
          </w:p>
        </w:tc>
        <w:tc>
          <w:tcPr>
            <w:tcW w:w="3971" w:type="dxa"/>
          </w:tcPr>
          <w:p w:rsidR="009D0A73" w:rsidRPr="00210CAA" w:rsidRDefault="009D0A73">
            <w:pPr>
              <w:pStyle w:val="EntRefer"/>
            </w:pPr>
            <w:bookmarkStart w:id="6" w:name="Cote"/>
            <w:bookmarkEnd w:id="6"/>
            <w:r w:rsidRPr="00210CAA">
              <w:t>8674/06</w:t>
            </w:r>
          </w:p>
          <w:p w:rsidR="009D0A73" w:rsidRPr="00210CAA" w:rsidRDefault="009D0A73">
            <w:pPr>
              <w:pStyle w:val="EntRefer"/>
            </w:pPr>
            <w:bookmarkStart w:id="7" w:name="CoteRev"/>
            <w:bookmarkEnd w:id="7"/>
          </w:p>
          <w:p w:rsidR="009D0A73" w:rsidRPr="00210CAA" w:rsidRDefault="009D0A73">
            <w:pPr>
              <w:pStyle w:val="EntRefer"/>
            </w:pPr>
            <w:bookmarkStart w:id="8" w:name="CoteSec"/>
            <w:bookmarkEnd w:id="8"/>
          </w:p>
        </w:tc>
      </w:tr>
      <w:tr w:rsidR="00000000" w:rsidRPr="00210CAA">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9D0A73" w:rsidRPr="00210CAA" w:rsidRDefault="009D0A73">
            <w:pPr>
              <w:pStyle w:val="EntRefer"/>
              <w:jc w:val="center"/>
            </w:pPr>
            <w:bookmarkStart w:id="9" w:name="SousEmbargo"/>
            <w:bookmarkEnd w:id="9"/>
          </w:p>
        </w:tc>
        <w:tc>
          <w:tcPr>
            <w:tcW w:w="1700" w:type="dxa"/>
            <w:vAlign w:val="center"/>
          </w:tcPr>
          <w:p w:rsidR="009D0A73" w:rsidRPr="00210CAA" w:rsidRDefault="009D0A73">
            <w:pPr>
              <w:spacing w:line="240" w:lineRule="auto"/>
              <w:rPr>
                <w:b/>
              </w:rPr>
            </w:pPr>
          </w:p>
        </w:tc>
        <w:tc>
          <w:tcPr>
            <w:tcW w:w="3971" w:type="dxa"/>
          </w:tcPr>
          <w:p w:rsidR="009D0A73" w:rsidRPr="00210CAA" w:rsidRDefault="009D0A73">
            <w:pPr>
              <w:pStyle w:val="EntRefer"/>
            </w:pPr>
            <w:r w:rsidRPr="00210CAA">
              <w:t>COMPET 90</w:t>
            </w:r>
          </w:p>
          <w:p w:rsidR="009D0A73" w:rsidRPr="00210CAA" w:rsidRDefault="009D0A73">
            <w:pPr>
              <w:pStyle w:val="EntRefer"/>
            </w:pPr>
            <w:r w:rsidRPr="00210CAA">
              <w:t>ENV 247</w:t>
            </w:r>
          </w:p>
          <w:p w:rsidR="009D0A73" w:rsidRPr="00210CAA" w:rsidRDefault="009D0A73">
            <w:pPr>
              <w:pStyle w:val="EntRefer"/>
            </w:pPr>
            <w:r w:rsidRPr="00210CAA">
              <w:t>IND 40</w:t>
            </w:r>
          </w:p>
          <w:p w:rsidR="009D0A73" w:rsidRPr="00210CAA" w:rsidRDefault="009D0A73">
            <w:pPr>
              <w:pStyle w:val="EntRefer"/>
            </w:pPr>
            <w:r w:rsidRPr="00210CAA">
              <w:t>ECOFIN 130</w:t>
            </w:r>
          </w:p>
          <w:p w:rsidR="009D0A73" w:rsidRPr="00210CAA" w:rsidRDefault="009D0A73">
            <w:pPr>
              <w:pStyle w:val="EntRefer"/>
            </w:pPr>
            <w:r w:rsidRPr="00210CAA">
              <w:t>DEVGEN 112</w:t>
            </w:r>
          </w:p>
          <w:p w:rsidR="009D0A73" w:rsidRPr="00210CAA" w:rsidRDefault="009D0A73">
            <w:pPr>
              <w:pStyle w:val="EntRefer"/>
            </w:pPr>
            <w:r w:rsidRPr="00210CAA">
              <w:t>AGRI 145</w:t>
            </w:r>
          </w:p>
          <w:p w:rsidR="009D0A73" w:rsidRPr="00210CAA" w:rsidRDefault="009D0A73">
            <w:pPr>
              <w:pStyle w:val="EntRefer"/>
            </w:pPr>
            <w:r w:rsidRPr="00210CAA">
              <w:t>ECO 71</w:t>
            </w:r>
          </w:p>
          <w:p w:rsidR="009D0A73" w:rsidRPr="00210CAA" w:rsidRDefault="009D0A73">
            <w:pPr>
              <w:pStyle w:val="EntRefer"/>
            </w:pPr>
            <w:r w:rsidRPr="00210CAA">
              <w:t>ENER 137</w:t>
            </w:r>
          </w:p>
          <w:p w:rsidR="009D0A73" w:rsidRPr="00210CAA" w:rsidRDefault="009D0A73">
            <w:pPr>
              <w:pStyle w:val="EntRefer"/>
            </w:pPr>
            <w:r w:rsidRPr="00210CAA">
              <w:t>MI 92</w:t>
            </w:r>
          </w:p>
          <w:p w:rsidR="009D0A73" w:rsidRPr="00210CAA" w:rsidRDefault="009D0A73">
            <w:pPr>
              <w:pStyle w:val="EntRefer"/>
            </w:pPr>
            <w:r w:rsidRPr="00210CAA">
              <w:t>PECHE 118</w:t>
            </w:r>
          </w:p>
          <w:p w:rsidR="009D0A73" w:rsidRPr="00210CAA" w:rsidRDefault="009D0A73">
            <w:pPr>
              <w:pStyle w:val="EntRefer"/>
            </w:pPr>
            <w:r w:rsidRPr="00210CAA">
              <w:t>RELEX 254</w:t>
            </w:r>
          </w:p>
          <w:p w:rsidR="009D0A73" w:rsidRPr="00210CAA" w:rsidRDefault="009D0A73">
            <w:pPr>
              <w:pStyle w:val="EntRefer"/>
            </w:pPr>
            <w:r w:rsidRPr="00210CAA">
              <w:t>SAN 88</w:t>
            </w:r>
          </w:p>
          <w:p w:rsidR="009D0A73" w:rsidRPr="00210CAA" w:rsidRDefault="009D0A73">
            <w:pPr>
              <w:pStyle w:val="EntRefer"/>
            </w:pPr>
            <w:r w:rsidRPr="00210CAA">
              <w:t>SOC 189</w:t>
            </w:r>
          </w:p>
          <w:p w:rsidR="009D0A73" w:rsidRPr="00210CAA" w:rsidRDefault="009D0A73">
            <w:pPr>
              <w:pStyle w:val="EntRefer"/>
            </w:pPr>
            <w:r w:rsidRPr="00210CAA">
              <w:t>TRANS 96</w:t>
            </w:r>
          </w:p>
          <w:p w:rsidR="009D0A73" w:rsidRPr="00210CAA" w:rsidRDefault="009D0A73">
            <w:pPr>
              <w:pStyle w:val="EntRefer"/>
            </w:pPr>
            <w:r w:rsidRPr="00210CAA">
              <w:t>RECH 97</w:t>
            </w:r>
          </w:p>
          <w:p w:rsidR="009D0A73" w:rsidRPr="00210CAA" w:rsidRDefault="009D0A73">
            <w:pPr>
              <w:pStyle w:val="EntRefer"/>
            </w:pPr>
            <w:r w:rsidRPr="00210CAA">
              <w:t>POLGEN 48</w:t>
            </w:r>
          </w:p>
          <w:p w:rsidR="009D0A73" w:rsidRPr="00210CAA" w:rsidRDefault="009D0A73">
            <w:pPr>
              <w:pStyle w:val="EntRefer"/>
            </w:pPr>
            <w:r w:rsidRPr="00210CAA">
              <w:t>EDUC 84</w:t>
            </w:r>
          </w:p>
          <w:p w:rsidR="009D0A73" w:rsidRPr="00210CAA" w:rsidRDefault="009D0A73">
            <w:pPr>
              <w:pStyle w:val="EntRefer"/>
            </w:pPr>
          </w:p>
        </w:tc>
      </w:tr>
    </w:tbl>
    <w:p w:rsidR="009D0A73" w:rsidRPr="00210CAA" w:rsidRDefault="009D0A73">
      <w:pPr>
        <w:pStyle w:val="EntRefer"/>
      </w:pPr>
      <w:bookmarkStart w:id="10" w:name="AC"/>
    </w:p>
    <w:p w:rsidR="009D0A73" w:rsidRPr="00210CAA" w:rsidRDefault="009D0A73">
      <w:pPr>
        <w:pStyle w:val="EntRefer"/>
        <w:outlineLvl w:val="0"/>
      </w:pPr>
      <w:bookmarkStart w:id="11" w:name="Title"/>
      <w:bookmarkEnd w:id="11"/>
      <w:r w:rsidRPr="00210CAA">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210CAA">
        <w:tblPrEx>
          <w:tblCellMar>
            <w:top w:w="0" w:type="dxa"/>
            <w:left w:w="0" w:type="dxa"/>
            <w:bottom w:w="0" w:type="dxa"/>
            <w:right w:w="0" w:type="dxa"/>
          </w:tblCellMar>
        </w:tblPrEx>
        <w:tc>
          <w:tcPr>
            <w:tcW w:w="1701" w:type="dxa"/>
            <w:tcBorders>
              <w:top w:val="single" w:sz="4" w:space="0" w:color="auto"/>
            </w:tcBorders>
          </w:tcPr>
          <w:p w:rsidR="009D0A73" w:rsidRPr="00210CAA" w:rsidRDefault="009D0A73">
            <w:pPr>
              <w:pStyle w:val="EntEmet"/>
            </w:pPr>
            <w:bookmarkStart w:id="12" w:name="Ref"/>
            <w:bookmarkStart w:id="13" w:name="RefDu"/>
            <w:r w:rsidRPr="00210CAA">
              <w:t>from :</w:t>
            </w:r>
            <w:bookmarkEnd w:id="13"/>
          </w:p>
        </w:tc>
        <w:tc>
          <w:tcPr>
            <w:tcW w:w="7938" w:type="dxa"/>
            <w:tcBorders>
              <w:top w:val="single" w:sz="4" w:space="0" w:color="auto"/>
            </w:tcBorders>
          </w:tcPr>
          <w:p w:rsidR="009D0A73" w:rsidRPr="00210CAA" w:rsidRDefault="009D0A73">
            <w:pPr>
              <w:pStyle w:val="EntEmet"/>
            </w:pPr>
            <w:r w:rsidRPr="00210CAA">
              <w:t>Presidency</w:t>
            </w:r>
          </w:p>
        </w:tc>
      </w:tr>
      <w:tr w:rsidR="00000000" w:rsidRPr="00210CAA">
        <w:tblPrEx>
          <w:tblCellMar>
            <w:top w:w="0" w:type="dxa"/>
            <w:left w:w="0" w:type="dxa"/>
            <w:bottom w:w="0" w:type="dxa"/>
            <w:right w:w="0" w:type="dxa"/>
          </w:tblCellMar>
        </w:tblPrEx>
        <w:tc>
          <w:tcPr>
            <w:tcW w:w="1701" w:type="dxa"/>
            <w:tcBorders>
              <w:bottom w:val="single" w:sz="4" w:space="0" w:color="auto"/>
            </w:tcBorders>
          </w:tcPr>
          <w:p w:rsidR="009D0A73" w:rsidRPr="00210CAA" w:rsidRDefault="009D0A73">
            <w:pPr>
              <w:pStyle w:val="EntEmet"/>
            </w:pPr>
            <w:bookmarkStart w:id="14" w:name="RefA"/>
            <w:bookmarkStart w:id="15" w:name="RefRow_A"/>
            <w:r w:rsidRPr="00210CAA">
              <w:t>to :</w:t>
            </w:r>
            <w:bookmarkEnd w:id="14"/>
          </w:p>
        </w:tc>
        <w:tc>
          <w:tcPr>
            <w:tcW w:w="7938" w:type="dxa"/>
            <w:tcBorders>
              <w:bottom w:val="single" w:sz="4" w:space="0" w:color="auto"/>
            </w:tcBorders>
          </w:tcPr>
          <w:p w:rsidR="009D0A73" w:rsidRPr="00210CAA" w:rsidRDefault="009D0A73">
            <w:pPr>
              <w:pStyle w:val="EntEmet"/>
            </w:pPr>
            <w:r w:rsidRPr="00210CAA">
              <w:t>Working Party on Competitiveness and Growth</w:t>
            </w:r>
          </w:p>
        </w:tc>
      </w:tr>
      <w:tr w:rsidR="00000000" w:rsidRPr="00210CAA">
        <w:tblPrEx>
          <w:tblCellMar>
            <w:top w:w="0" w:type="dxa"/>
            <w:left w:w="0" w:type="dxa"/>
            <w:bottom w:w="0" w:type="dxa"/>
            <w:right w:w="0" w:type="dxa"/>
          </w:tblCellMar>
        </w:tblPrEx>
        <w:tc>
          <w:tcPr>
            <w:tcW w:w="1701" w:type="dxa"/>
          </w:tcPr>
          <w:p w:rsidR="009D0A73" w:rsidRPr="00210CAA" w:rsidRDefault="009D0A73">
            <w:pPr>
              <w:pStyle w:val="EntEmet"/>
              <w:rPr>
                <w:highlight w:val="yellow"/>
              </w:rPr>
            </w:pPr>
            <w:bookmarkStart w:id="16" w:name="RefRow_NDocPrec"/>
            <w:bookmarkEnd w:id="15"/>
            <w:r w:rsidRPr="00210CAA">
              <w:t>No. prev. doc.</w:t>
            </w:r>
          </w:p>
        </w:tc>
        <w:tc>
          <w:tcPr>
            <w:tcW w:w="7938" w:type="dxa"/>
          </w:tcPr>
          <w:p w:rsidR="009D0A73" w:rsidRPr="00210CAA" w:rsidRDefault="009D0A73">
            <w:pPr>
              <w:pStyle w:val="EntEmet"/>
              <w:rPr>
                <w:color w:val="000000"/>
                <w:highlight w:val="yellow"/>
              </w:rPr>
            </w:pPr>
            <w:r w:rsidRPr="00210CAA">
              <w:t>6276/06 ENV 75 AGRI 34 ECO 15 ECOFIN 40 ENER 41 DEVGEN 32 MI 25 PECHE 33 RELEX 72 SAN 28 SOC 65 TRANS 36 RECH 16 POLGEN 8 EDUC 30</w:t>
            </w:r>
          </w:p>
        </w:tc>
      </w:tr>
      <w:tr w:rsidR="00000000" w:rsidRPr="00210CAA">
        <w:tblPrEx>
          <w:tblCellMar>
            <w:top w:w="0" w:type="dxa"/>
            <w:left w:w="0" w:type="dxa"/>
            <w:bottom w:w="0" w:type="dxa"/>
            <w:right w:w="0" w:type="dxa"/>
          </w:tblCellMar>
        </w:tblPrEx>
        <w:tc>
          <w:tcPr>
            <w:tcW w:w="1701" w:type="dxa"/>
          </w:tcPr>
          <w:p w:rsidR="009D0A73" w:rsidRPr="00210CAA" w:rsidRDefault="009D0A73">
            <w:pPr>
              <w:pStyle w:val="EntEmet"/>
              <w:rPr>
                <w:highlight w:val="yellow"/>
              </w:rPr>
            </w:pPr>
            <w:bookmarkStart w:id="17" w:name="RefRow_NPropCion"/>
            <w:bookmarkEnd w:id="16"/>
            <w:r w:rsidRPr="00210CAA">
              <w:t>No. Cion doc.</w:t>
            </w:r>
          </w:p>
        </w:tc>
        <w:tc>
          <w:tcPr>
            <w:tcW w:w="7938" w:type="dxa"/>
          </w:tcPr>
          <w:p w:rsidR="009D0A73" w:rsidRPr="00210CAA" w:rsidRDefault="009D0A73">
            <w:pPr>
              <w:pStyle w:val="EntEmet"/>
            </w:pPr>
            <w:r w:rsidRPr="00210CAA">
              <w:t>15796/1/05 REV 1 ENV 601 AGRI 355</w:t>
            </w:r>
            <w:r w:rsidRPr="00210CAA">
              <w:rPr>
                <w:b/>
              </w:rPr>
              <w:t xml:space="preserve"> </w:t>
            </w:r>
            <w:r w:rsidRPr="00210CAA">
              <w:t>ECO 159</w:t>
            </w:r>
            <w:r w:rsidRPr="00210CAA">
              <w:rPr>
                <w:b/>
              </w:rPr>
              <w:t xml:space="preserve"> </w:t>
            </w:r>
            <w:r w:rsidRPr="00210CAA">
              <w:t>ECOFIN 412</w:t>
            </w:r>
            <w:r w:rsidRPr="00210CAA">
              <w:rPr>
                <w:b/>
              </w:rPr>
              <w:t xml:space="preserve"> </w:t>
            </w:r>
            <w:r w:rsidRPr="00210CAA">
              <w:t>ENER 203</w:t>
            </w:r>
            <w:r w:rsidRPr="00210CAA">
              <w:rPr>
                <w:b/>
              </w:rPr>
              <w:t xml:space="preserve"> </w:t>
            </w:r>
            <w:r w:rsidRPr="00210CAA">
              <w:t>DEVGEN 254</w:t>
            </w:r>
            <w:r w:rsidRPr="00210CAA">
              <w:rPr>
                <w:b/>
              </w:rPr>
              <w:t xml:space="preserve"> </w:t>
            </w:r>
            <w:r w:rsidRPr="00210CAA">
              <w:t>MI 143</w:t>
            </w:r>
            <w:r w:rsidRPr="00210CAA">
              <w:rPr>
                <w:b/>
              </w:rPr>
              <w:t xml:space="preserve"> </w:t>
            </w:r>
            <w:r w:rsidRPr="00210CAA">
              <w:t>PECHE 285</w:t>
            </w:r>
            <w:r w:rsidRPr="00210CAA">
              <w:rPr>
                <w:b/>
              </w:rPr>
              <w:t xml:space="preserve"> </w:t>
            </w:r>
            <w:r w:rsidRPr="00210CAA">
              <w:t>RELEX 766</w:t>
            </w:r>
            <w:r w:rsidRPr="00210CAA">
              <w:rPr>
                <w:b/>
              </w:rPr>
              <w:t xml:space="preserve"> </w:t>
            </w:r>
            <w:r w:rsidRPr="00210CAA">
              <w:t>SAN 217</w:t>
            </w:r>
            <w:r w:rsidRPr="00210CAA">
              <w:rPr>
                <w:b/>
              </w:rPr>
              <w:t xml:space="preserve"> </w:t>
            </w:r>
            <w:r w:rsidRPr="00210CAA">
              <w:t>SOC 516</w:t>
            </w:r>
            <w:r w:rsidRPr="00210CAA">
              <w:rPr>
                <w:b/>
              </w:rPr>
              <w:t xml:space="preserve"> </w:t>
            </w:r>
            <w:r w:rsidRPr="00210CAA">
              <w:t>TRANS 285</w:t>
            </w:r>
            <w:r w:rsidRPr="00210CAA">
              <w:rPr>
                <w:b/>
              </w:rPr>
              <w:t xml:space="preserve"> </w:t>
            </w:r>
            <w:r w:rsidRPr="00210CAA">
              <w:t xml:space="preserve">RECH 242 EDUC 196 </w:t>
            </w:r>
          </w:p>
        </w:tc>
      </w:tr>
      <w:bookmarkEnd w:id="12"/>
      <w:bookmarkEnd w:id="17"/>
      <w:tr w:rsidR="00000000" w:rsidRPr="00210CAA">
        <w:tblPrEx>
          <w:tblCellMar>
            <w:top w:w="0" w:type="dxa"/>
            <w:left w:w="0" w:type="dxa"/>
            <w:bottom w:w="0" w:type="dxa"/>
            <w:right w:w="0" w:type="dxa"/>
          </w:tblCellMar>
        </w:tblPrEx>
        <w:tc>
          <w:tcPr>
            <w:tcW w:w="1701" w:type="dxa"/>
            <w:tcBorders>
              <w:top w:val="single" w:sz="4" w:space="0" w:color="auto"/>
              <w:bottom w:val="single" w:sz="4" w:space="0" w:color="auto"/>
            </w:tcBorders>
          </w:tcPr>
          <w:p w:rsidR="009D0A73" w:rsidRPr="00210CAA" w:rsidRDefault="009D0A73">
            <w:pPr>
              <w:pStyle w:val="EntEmet"/>
            </w:pPr>
            <w:r w:rsidRPr="00210CAA">
              <w:t>Subject :</w:t>
            </w:r>
          </w:p>
        </w:tc>
        <w:tc>
          <w:tcPr>
            <w:tcW w:w="7938" w:type="dxa"/>
            <w:tcBorders>
              <w:top w:val="single" w:sz="4" w:space="0" w:color="auto"/>
              <w:bottom w:val="single" w:sz="4" w:space="0" w:color="auto"/>
            </w:tcBorders>
          </w:tcPr>
          <w:p w:rsidR="009D0A73" w:rsidRPr="00210CAA" w:rsidRDefault="009D0A73">
            <w:pPr>
              <w:pStyle w:val="EntEmet"/>
            </w:pPr>
            <w:bookmarkStart w:id="18" w:name="Subject"/>
            <w:bookmarkEnd w:id="18"/>
            <w:r w:rsidRPr="00210CAA">
              <w:t>Preparation of the Competitiveness Council Meeting on 29 May 2006</w:t>
            </w:r>
          </w:p>
          <w:p w:rsidR="009D0A73" w:rsidRPr="00210CAA" w:rsidRDefault="009D0A73">
            <w:pPr>
              <w:pStyle w:val="EntEmet"/>
            </w:pPr>
            <w:r w:rsidRPr="00210CAA">
              <w:t>Review of the EU Sustainable Development Strategy (EU SDS)</w:t>
            </w:r>
          </w:p>
          <w:p w:rsidR="009D0A73" w:rsidRPr="00210CAA" w:rsidRDefault="009D0A73">
            <w:pPr>
              <w:pStyle w:val="EntEmet"/>
              <w:tabs>
                <w:tab w:val="clear" w:pos="284"/>
                <w:tab w:val="clear" w:pos="851"/>
                <w:tab w:val="clear" w:pos="1134"/>
                <w:tab w:val="clear" w:pos="1418"/>
              </w:tabs>
            </w:pPr>
            <w:r w:rsidRPr="00210CAA">
              <w:t>-</w:t>
            </w:r>
            <w:r w:rsidRPr="00210CAA">
              <w:tab/>
              <w:t>Call for written replies</w:t>
            </w:r>
          </w:p>
        </w:tc>
      </w:tr>
    </w:tbl>
    <w:p w:rsidR="009D0A73" w:rsidRPr="00210CAA" w:rsidRDefault="009D0A73"/>
    <w:bookmarkEnd w:id="10"/>
    <w:p w:rsidR="009D0A73" w:rsidRPr="00210CAA" w:rsidRDefault="009D0A73">
      <w:pPr>
        <w:ind w:left="567" w:hanging="567"/>
        <w:rPr>
          <w:snapToGrid w:val="0"/>
          <w:lang w:eastAsia="en-US"/>
        </w:rPr>
      </w:pPr>
      <w:r w:rsidRPr="00210CAA">
        <w:rPr>
          <w:b/>
          <w:snapToGrid w:val="0"/>
          <w:lang w:eastAsia="en-US"/>
        </w:rPr>
        <w:t>1.</w:t>
      </w:r>
      <w:r w:rsidRPr="00210CAA">
        <w:rPr>
          <w:snapToGrid w:val="0"/>
          <w:lang w:eastAsia="en-US"/>
        </w:rPr>
        <w:t xml:space="preserve"> </w:t>
      </w:r>
      <w:r w:rsidRPr="00210CAA">
        <w:rPr>
          <w:snapToGrid w:val="0"/>
          <w:lang w:eastAsia="en-US"/>
        </w:rPr>
        <w:tab/>
        <w:t>Delegations find below a background note and two annexes containing Presidency questions concerning the EU Sustainable Development Strategy (EU SDS).</w:t>
      </w:r>
    </w:p>
    <w:p w:rsidR="009D0A73" w:rsidRPr="00210CAA" w:rsidRDefault="009D0A73">
      <w:pPr>
        <w:ind w:left="567" w:hanging="567"/>
        <w:rPr>
          <w:snapToGrid w:val="0"/>
          <w:lang w:eastAsia="en-US"/>
        </w:rPr>
      </w:pPr>
      <w:r w:rsidRPr="00210CAA">
        <w:rPr>
          <w:snapToGrid w:val="0"/>
          <w:lang w:eastAsia="en-US"/>
        </w:rPr>
        <w:br w:type="page"/>
      </w:r>
      <w:r w:rsidRPr="00210CAA">
        <w:rPr>
          <w:snapToGrid w:val="0"/>
          <w:lang w:eastAsia="en-US"/>
        </w:rPr>
        <w:lastRenderedPageBreak/>
        <w:tab/>
        <w:t>This note will be presented to the Competitiveness and Growth Working Party on 27 April 2006 with a view to ascertaining delegations' positions which could subsequently be transmitted in written form.</w:t>
      </w:r>
    </w:p>
    <w:p w:rsidR="009D0A73" w:rsidRPr="00210CAA" w:rsidRDefault="009D0A73">
      <w:pPr>
        <w:outlineLvl w:val="0"/>
        <w:rPr>
          <w:b/>
        </w:rPr>
      </w:pPr>
    </w:p>
    <w:p w:rsidR="009D0A73" w:rsidRPr="00210CAA" w:rsidRDefault="009D0A73">
      <w:pPr>
        <w:outlineLvl w:val="0"/>
        <w:rPr>
          <w:b/>
          <w:u w:val="single"/>
        </w:rPr>
      </w:pPr>
      <w:r w:rsidRPr="00210CAA">
        <w:rPr>
          <w:b/>
        </w:rPr>
        <w:t>2.</w:t>
      </w:r>
      <w:r w:rsidRPr="00210CAA">
        <w:rPr>
          <w:b/>
        </w:rPr>
        <w:tab/>
      </w:r>
      <w:r w:rsidRPr="00210CAA">
        <w:rPr>
          <w:b/>
          <w:u w:val="single"/>
        </w:rPr>
        <w:t>BACKGROUND</w:t>
      </w:r>
    </w:p>
    <w:p w:rsidR="009D0A73" w:rsidRPr="00210CAA" w:rsidRDefault="009D0A73">
      <w:pPr>
        <w:outlineLvl w:val="0"/>
      </w:pPr>
    </w:p>
    <w:p w:rsidR="009D0A73" w:rsidRPr="00210CAA" w:rsidRDefault="009D0A73">
      <w:pPr>
        <w:widowControl/>
        <w:numPr>
          <w:ilvl w:val="0"/>
          <w:numId w:val="166"/>
        </w:numPr>
        <w:tabs>
          <w:tab w:val="clear" w:pos="720"/>
        </w:tabs>
        <w:ind w:left="567" w:hanging="567"/>
      </w:pPr>
      <w:r w:rsidRPr="00210CAA">
        <w:rPr>
          <w:lang w:eastAsia="de-AT"/>
        </w:rPr>
        <w:t>The European Council in Gothenburg adopted a strategy for sustainable development in 2001. During this summit, the Lisbon Strategy was given an additional dimension in the form of the environment. The Lisbon strategy also includes the EU’s long-term objectives for economic reform, employment and social cohesion. With its inclusion in these objectives, the environment will then receive the same amount of consideration as the social and economic dimensions in the evaluation and follow-up of the Lisbon objecti</w:t>
      </w:r>
      <w:r w:rsidRPr="00210CAA">
        <w:rPr>
          <w:lang w:eastAsia="de-AT"/>
        </w:rPr>
        <w:t>ves.</w:t>
      </w:r>
    </w:p>
    <w:p w:rsidR="009D0A73" w:rsidRPr="00210CAA" w:rsidRDefault="009D0A73"/>
    <w:p w:rsidR="009D0A73" w:rsidRPr="00210CAA" w:rsidRDefault="009D0A73">
      <w:pPr>
        <w:widowControl/>
        <w:numPr>
          <w:ilvl w:val="0"/>
          <w:numId w:val="163"/>
        </w:numPr>
        <w:tabs>
          <w:tab w:val="clear" w:pos="360"/>
        </w:tabs>
        <w:ind w:left="567" w:hanging="567"/>
      </w:pPr>
      <w:r w:rsidRPr="00210CAA">
        <w:t>The European Council held a special meeting in Lisbon on 23–24 March 2000 to agree a new strategic goal for the Union for the next decade:</w:t>
      </w:r>
      <w:r w:rsidRPr="00210CAA">
        <w:rPr>
          <w:i/>
          <w:iCs/>
        </w:rPr>
        <w:t xml:space="preserve"> to become the most competitive and dynamic knowledge-based economy in the world, capable of sustainable economic growth with more and better jobs and greater social cohesion</w:t>
      </w:r>
      <w:r w:rsidRPr="00210CAA">
        <w:t>.</w:t>
      </w:r>
    </w:p>
    <w:p w:rsidR="009D0A73" w:rsidRPr="00210CAA" w:rsidRDefault="009D0A73"/>
    <w:p w:rsidR="009D0A73" w:rsidRPr="00210CAA" w:rsidRDefault="009D0A73">
      <w:pPr>
        <w:rPr>
          <w:b/>
          <w:u w:val="single"/>
        </w:rPr>
      </w:pPr>
      <w:r w:rsidRPr="00210CAA">
        <w:rPr>
          <w:b/>
        </w:rPr>
        <w:t>3.</w:t>
      </w:r>
      <w:r w:rsidRPr="00210CAA">
        <w:rPr>
          <w:b/>
        </w:rPr>
        <w:tab/>
      </w:r>
      <w:r w:rsidRPr="00210CAA">
        <w:rPr>
          <w:b/>
          <w:u w:val="single"/>
        </w:rPr>
        <w:t>Reinforcing the link with the Lisbon Strategy</w:t>
      </w:r>
    </w:p>
    <w:p w:rsidR="009D0A73" w:rsidRPr="00210CAA" w:rsidRDefault="009D0A73"/>
    <w:p w:rsidR="009D0A73" w:rsidRPr="00210CAA" w:rsidRDefault="009D0A73">
      <w:pPr>
        <w:widowControl/>
        <w:numPr>
          <w:ilvl w:val="0"/>
          <w:numId w:val="164"/>
        </w:numPr>
        <w:tabs>
          <w:tab w:val="clear" w:pos="360"/>
        </w:tabs>
        <w:autoSpaceDE w:val="0"/>
        <w:autoSpaceDN w:val="0"/>
        <w:adjustRightInd w:val="0"/>
        <w:ind w:left="567" w:hanging="567"/>
        <w:rPr>
          <w:lang w:eastAsia="de-AT"/>
        </w:rPr>
      </w:pPr>
      <w:r w:rsidRPr="00210CAA">
        <w:rPr>
          <w:iCs/>
          <w:lang w:eastAsia="de-AT"/>
        </w:rPr>
        <w:t xml:space="preserve">Article 2 of the European Treaty refers to promoting </w:t>
      </w:r>
      <w:r w:rsidRPr="00210CAA">
        <w:t>economic and social progress and a high level of employment and to achieving balanced and sustainable development, in particular through the creation of an area without internal frontiers, through the strengthening of economic and social cohesion and through the establishment of economic and monetary union, ultimately including a single currency in accordance with the provisions of this Treaty.</w:t>
      </w:r>
    </w:p>
    <w:p w:rsidR="009D0A73" w:rsidRPr="00210CAA" w:rsidRDefault="009D0A73">
      <w:pPr>
        <w:autoSpaceDE w:val="0"/>
        <w:autoSpaceDN w:val="0"/>
        <w:adjustRightInd w:val="0"/>
      </w:pPr>
    </w:p>
    <w:p w:rsidR="009D0A73" w:rsidRPr="00210CAA" w:rsidRDefault="009D0A73">
      <w:pPr>
        <w:widowControl/>
        <w:numPr>
          <w:ilvl w:val="0"/>
          <w:numId w:val="164"/>
        </w:numPr>
        <w:tabs>
          <w:tab w:val="clear" w:pos="360"/>
        </w:tabs>
        <w:autoSpaceDE w:val="0"/>
        <w:autoSpaceDN w:val="0"/>
        <w:adjustRightInd w:val="0"/>
        <w:ind w:left="567" w:hanging="567"/>
        <w:rPr>
          <w:lang w:eastAsia="de-AT"/>
        </w:rPr>
      </w:pPr>
      <w:r w:rsidRPr="00210CAA">
        <w:rPr>
          <w:bCs/>
          <w:lang w:eastAsia="de-AT"/>
        </w:rPr>
        <w:t>On 22-23 March 2005, the Spring European Council discussed the Commission's mid-term review of the Lisbon strategy for economic, social and environmental renewal. More focus on growth and employment, simplification of procedures and increased national ownership via national action plans are the key elements in the relaunch of the Lisbon reform agenda.</w:t>
      </w:r>
    </w:p>
    <w:p w:rsidR="009D0A73" w:rsidRPr="00210CAA" w:rsidRDefault="009D0A73">
      <w:pPr>
        <w:autoSpaceDE w:val="0"/>
        <w:autoSpaceDN w:val="0"/>
        <w:adjustRightInd w:val="0"/>
        <w:rPr>
          <w:lang w:eastAsia="de-AT"/>
        </w:rPr>
      </w:pPr>
    </w:p>
    <w:p w:rsidR="009D0A73" w:rsidRPr="00210CAA" w:rsidRDefault="009D0A73">
      <w:pPr>
        <w:widowControl/>
        <w:numPr>
          <w:ilvl w:val="0"/>
          <w:numId w:val="164"/>
        </w:numPr>
        <w:tabs>
          <w:tab w:val="clear" w:pos="360"/>
        </w:tabs>
        <w:autoSpaceDE w:val="0"/>
        <w:autoSpaceDN w:val="0"/>
        <w:adjustRightInd w:val="0"/>
        <w:ind w:left="567" w:hanging="567"/>
        <w:rPr>
          <w:iCs/>
          <w:color w:val="000000"/>
          <w:lang w:eastAsia="de-AT"/>
        </w:rPr>
      </w:pPr>
      <w:r w:rsidRPr="00210CAA">
        <w:rPr>
          <w:iCs/>
          <w:color w:val="000000"/>
          <w:lang w:eastAsia="de-AT"/>
        </w:rPr>
        <w:t xml:space="preserve">In June 2005, the </w:t>
      </w:r>
      <w:r w:rsidRPr="00210CAA">
        <w:rPr>
          <w:iCs/>
          <w:color w:val="000000"/>
          <w:u w:val="single"/>
          <w:lang w:eastAsia="de-AT"/>
        </w:rPr>
        <w:t>European Council</w:t>
      </w:r>
      <w:r w:rsidRPr="00210CAA">
        <w:rPr>
          <w:iCs/>
          <w:color w:val="000000"/>
          <w:lang w:eastAsia="de-AT"/>
        </w:rPr>
        <w:t xml:space="preserve"> adopted a Declaration on Guiding Principles for Sustainable Development based on four key objectives:</w:t>
      </w:r>
    </w:p>
    <w:p w:rsidR="009D0A73" w:rsidRPr="00210CAA" w:rsidRDefault="009D0A73">
      <w:pPr>
        <w:widowControl/>
        <w:autoSpaceDE w:val="0"/>
        <w:autoSpaceDN w:val="0"/>
        <w:adjustRightInd w:val="0"/>
        <w:rPr>
          <w:iCs/>
          <w:color w:val="000000"/>
          <w:lang w:eastAsia="de-AT"/>
        </w:rPr>
      </w:pP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Environmental protection;</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Social equity and cohesion;</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Economic prosperity; and,</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Meeting international responsibilities.</w:t>
      </w:r>
    </w:p>
    <w:p w:rsidR="009D0A73" w:rsidRPr="00210CAA" w:rsidRDefault="009D0A73">
      <w:pPr>
        <w:widowControl/>
        <w:autoSpaceDE w:val="0"/>
        <w:autoSpaceDN w:val="0"/>
        <w:adjustRightInd w:val="0"/>
        <w:rPr>
          <w:iCs/>
          <w:color w:val="000000"/>
          <w:lang w:eastAsia="de-AT"/>
        </w:rPr>
      </w:pPr>
    </w:p>
    <w:p w:rsidR="009D0A73" w:rsidRPr="00210CAA" w:rsidRDefault="009D0A73">
      <w:pPr>
        <w:widowControl/>
        <w:autoSpaceDE w:val="0"/>
        <w:autoSpaceDN w:val="0"/>
        <w:adjustRightInd w:val="0"/>
        <w:rPr>
          <w:iCs/>
          <w:color w:val="000000"/>
          <w:lang w:eastAsia="de-AT"/>
        </w:rPr>
      </w:pPr>
    </w:p>
    <w:p w:rsidR="009D0A73" w:rsidRPr="00210CAA" w:rsidRDefault="009D0A73">
      <w:pPr>
        <w:widowControl/>
        <w:numPr>
          <w:ilvl w:val="0"/>
          <w:numId w:val="164"/>
        </w:numPr>
        <w:tabs>
          <w:tab w:val="clear" w:pos="360"/>
        </w:tabs>
        <w:autoSpaceDE w:val="0"/>
        <w:autoSpaceDN w:val="0"/>
        <w:adjustRightInd w:val="0"/>
        <w:ind w:left="567" w:hanging="567"/>
        <w:rPr>
          <w:iCs/>
          <w:color w:val="000000"/>
          <w:lang w:eastAsia="de-AT"/>
        </w:rPr>
      </w:pPr>
      <w:r w:rsidRPr="00210CAA">
        <w:rPr>
          <w:iCs/>
          <w:color w:val="000000"/>
          <w:lang w:eastAsia="de-AT"/>
        </w:rPr>
        <w:t xml:space="preserve">In December 2005 the </w:t>
      </w:r>
      <w:r w:rsidRPr="00210CAA">
        <w:rPr>
          <w:iCs/>
          <w:color w:val="000000"/>
          <w:u w:val="single"/>
          <w:lang w:eastAsia="de-AT"/>
        </w:rPr>
        <w:t>European Council</w:t>
      </w:r>
      <w:r w:rsidRPr="00210CAA">
        <w:rPr>
          <w:iCs/>
          <w:color w:val="000000"/>
          <w:lang w:eastAsia="de-AT"/>
        </w:rPr>
        <w:t xml:space="preserve"> noted the presentation of the Commission's communication on a renewed EU SDS for the next five years and looked forward to adopting in June 2006 an ambitious and comprehensive strategy, comprising targets, indicators and an effective monitoring procedure.</w:t>
      </w:r>
    </w:p>
    <w:p w:rsidR="009D0A73" w:rsidRPr="00210CAA" w:rsidRDefault="009D0A73">
      <w:pPr>
        <w:widowControl/>
        <w:autoSpaceDE w:val="0"/>
        <w:autoSpaceDN w:val="0"/>
        <w:adjustRightInd w:val="0"/>
        <w:rPr>
          <w:iCs/>
          <w:color w:val="000000"/>
          <w:lang w:eastAsia="de-AT"/>
        </w:rPr>
      </w:pPr>
    </w:p>
    <w:p w:rsidR="009D0A73" w:rsidRPr="00210CAA" w:rsidRDefault="009D0A73">
      <w:pPr>
        <w:widowControl/>
        <w:numPr>
          <w:ilvl w:val="0"/>
          <w:numId w:val="168"/>
        </w:numPr>
        <w:tabs>
          <w:tab w:val="clear" w:pos="360"/>
        </w:tabs>
        <w:autoSpaceDE w:val="0"/>
        <w:autoSpaceDN w:val="0"/>
        <w:adjustRightInd w:val="0"/>
        <w:ind w:left="567" w:hanging="567"/>
        <w:rPr>
          <w:iCs/>
          <w:color w:val="000000"/>
          <w:lang w:eastAsia="de-AT"/>
        </w:rPr>
      </w:pPr>
      <w:r w:rsidRPr="00210CAA">
        <w:rPr>
          <w:iCs/>
          <w:color w:val="000000"/>
          <w:lang w:eastAsia="de-AT"/>
        </w:rPr>
        <w:t>The Commission's "SDS Review Package"</w:t>
      </w:r>
      <w:r w:rsidRPr="00210CAA">
        <w:rPr>
          <w:rStyle w:val="Fotnotsreferens"/>
          <w:iCs/>
          <w:color w:val="000000"/>
          <w:lang w:eastAsia="de-AT"/>
        </w:rPr>
        <w:footnoteReference w:id="1"/>
      </w:r>
      <w:r w:rsidRPr="00210CAA">
        <w:rPr>
          <w:iCs/>
          <w:color w:val="000000"/>
          <w:lang w:eastAsia="de-AT"/>
        </w:rPr>
        <w:t>, consists of:</w:t>
      </w:r>
    </w:p>
    <w:p w:rsidR="009D0A73" w:rsidRPr="00210CAA" w:rsidRDefault="009D0A73">
      <w:pPr>
        <w:widowControl/>
        <w:autoSpaceDE w:val="0"/>
        <w:autoSpaceDN w:val="0"/>
        <w:adjustRightInd w:val="0"/>
        <w:rPr>
          <w:iCs/>
          <w:color w:val="000000"/>
          <w:lang w:eastAsia="de-AT"/>
        </w:rPr>
      </w:pP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the Communication itself, proposing six priority issues, the integration of the external dimension into internal policy</w:t>
      </w:r>
      <w:r w:rsidRPr="00210CAA">
        <w:rPr>
          <w:iCs/>
          <w:color w:val="000000"/>
          <w:lang w:eastAsia="de-AT"/>
        </w:rPr>
        <w:noBreakHyphen/>
        <w:t>making, as well as an effective monitoring procedure and follow-up process;</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Guiding Principles for SD adopted in June 2005 by the European Council;</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Objectives, Targets, Policies and Actions;</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a Commission Communication adopted in February 2005, taking stock of the progress and proposing first orientations.</w:t>
      </w:r>
    </w:p>
    <w:p w:rsidR="009D0A73" w:rsidRPr="00210CAA" w:rsidRDefault="009D0A73">
      <w:pPr>
        <w:rPr>
          <w:lang w:eastAsia="de-AT"/>
        </w:rPr>
      </w:pPr>
    </w:p>
    <w:p w:rsidR="009D0A73" w:rsidRPr="00210CAA" w:rsidRDefault="009D0A73">
      <w:pPr>
        <w:outlineLvl w:val="0"/>
        <w:rPr>
          <w:b/>
          <w:u w:val="single"/>
          <w:lang w:eastAsia="de-AT"/>
        </w:rPr>
      </w:pPr>
      <w:r w:rsidRPr="00210CAA">
        <w:rPr>
          <w:b/>
          <w:lang w:eastAsia="de-AT"/>
        </w:rPr>
        <w:t>4.</w:t>
      </w:r>
      <w:r w:rsidRPr="00210CAA">
        <w:rPr>
          <w:b/>
          <w:lang w:eastAsia="de-AT"/>
        </w:rPr>
        <w:tab/>
      </w:r>
      <w:r w:rsidRPr="00210CAA">
        <w:rPr>
          <w:b/>
          <w:u w:val="single"/>
          <w:lang w:eastAsia="de-AT"/>
        </w:rPr>
        <w:t xml:space="preserve">HANDLING </w:t>
      </w:r>
    </w:p>
    <w:p w:rsidR="009D0A73" w:rsidRPr="00210CAA" w:rsidRDefault="009D0A73">
      <w:pPr>
        <w:outlineLvl w:val="0"/>
        <w:rPr>
          <w:lang w:eastAsia="de-AT"/>
        </w:rPr>
      </w:pPr>
    </w:p>
    <w:p w:rsidR="009D0A73" w:rsidRPr="00210CAA" w:rsidRDefault="009D0A73">
      <w:pPr>
        <w:widowControl/>
        <w:numPr>
          <w:ilvl w:val="0"/>
          <w:numId w:val="168"/>
        </w:numPr>
        <w:autoSpaceDE w:val="0"/>
        <w:autoSpaceDN w:val="0"/>
        <w:adjustRightInd w:val="0"/>
        <w:rPr>
          <w:iCs/>
          <w:color w:val="000000"/>
          <w:lang w:eastAsia="de-AT"/>
        </w:rPr>
      </w:pPr>
      <w:r w:rsidRPr="00210CAA">
        <w:rPr>
          <w:iCs/>
          <w:color w:val="000000"/>
          <w:lang w:eastAsia="de-AT"/>
        </w:rPr>
        <w:t xml:space="preserve">On 3 and 17 February 2006, the Group of the </w:t>
      </w:r>
      <w:r w:rsidRPr="00210CAA">
        <w:rPr>
          <w:iCs/>
          <w:color w:val="000000"/>
          <w:u w:val="single"/>
          <w:lang w:eastAsia="de-AT"/>
        </w:rPr>
        <w:t>Friends-of-the-Presidency on the Review of the EU SDS</w:t>
      </w:r>
      <w:r w:rsidRPr="00210CAA">
        <w:rPr>
          <w:iCs/>
          <w:color w:val="000000"/>
          <w:lang w:eastAsia="de-AT"/>
        </w:rPr>
        <w:t xml:space="preserve"> (FoP) held preliminary discussions and examined a first draft of Presidency questions to guide policy debates in the different Council formations directly concerned by the SDS review. These questions appear in annex I to this note:</w:t>
      </w:r>
    </w:p>
    <w:p w:rsidR="009D0A73" w:rsidRPr="00210CAA" w:rsidRDefault="009D0A73">
      <w:pPr>
        <w:widowControl/>
        <w:autoSpaceDE w:val="0"/>
        <w:autoSpaceDN w:val="0"/>
        <w:adjustRightInd w:val="0"/>
        <w:rPr>
          <w:iCs/>
          <w:color w:val="000000"/>
          <w:lang w:eastAsia="de-AT"/>
        </w:rPr>
      </w:pP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Environment: 9 March 2006</w:t>
      </w: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TTE – Transport: 27 March 2006</w:t>
      </w: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GAERC – External Relations: 10 April 2006</w:t>
      </w: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Ag/Fish: 20 March 2006</w:t>
      </w: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br w:type="page"/>
        <w:t>ECOFIN: 5 May 2006</w:t>
      </w: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Competitiveness: 29/30 May 2006</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EJC – Education: 18 May 2006</w:t>
      </w:r>
      <w:bookmarkStart w:id="19" w:name="OLE_LINK2"/>
      <w:bookmarkStart w:id="20" w:name="OLE_LINK1"/>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EPSCO</w:t>
      </w:r>
      <w:bookmarkEnd w:id="19"/>
      <w:bookmarkEnd w:id="20"/>
      <w:r w:rsidRPr="00210CAA">
        <w:rPr>
          <w:iCs/>
          <w:color w:val="000000"/>
          <w:lang w:eastAsia="de-AT"/>
        </w:rPr>
        <w:t>/Employment and Social Affairs: 1 June 2006</w:t>
      </w:r>
    </w:p>
    <w:p w:rsidR="009D0A73" w:rsidRPr="00210CAA" w:rsidRDefault="009D0A73">
      <w:pPr>
        <w:widowControl/>
        <w:numPr>
          <w:ilvl w:val="1"/>
          <w:numId w:val="165"/>
        </w:numPr>
        <w:tabs>
          <w:tab w:val="clear" w:pos="1440"/>
          <w:tab w:val="num" w:pos="1134"/>
        </w:tabs>
        <w:autoSpaceDE w:val="0"/>
        <w:autoSpaceDN w:val="0"/>
        <w:adjustRightInd w:val="0"/>
        <w:ind w:left="1134" w:hanging="567"/>
        <w:rPr>
          <w:iCs/>
          <w:color w:val="000000"/>
          <w:lang w:eastAsia="de-AT"/>
        </w:rPr>
      </w:pPr>
      <w:r w:rsidRPr="00210CAA">
        <w:rPr>
          <w:iCs/>
          <w:color w:val="000000"/>
          <w:lang w:eastAsia="de-AT"/>
        </w:rPr>
        <w:t>EPSCO/Health and Consumer protection: 2 June 2006</w:t>
      </w:r>
    </w:p>
    <w:p w:rsidR="009D0A73" w:rsidRPr="00210CAA" w:rsidRDefault="009D0A73">
      <w:pPr>
        <w:widowControl/>
        <w:numPr>
          <w:ilvl w:val="1"/>
          <w:numId w:val="165"/>
        </w:numPr>
        <w:tabs>
          <w:tab w:val="clear" w:pos="1440"/>
        </w:tabs>
        <w:autoSpaceDE w:val="0"/>
        <w:autoSpaceDN w:val="0"/>
        <w:adjustRightInd w:val="0"/>
        <w:ind w:left="1134" w:hanging="567"/>
        <w:rPr>
          <w:iCs/>
          <w:color w:val="000000"/>
          <w:lang w:eastAsia="de-AT"/>
        </w:rPr>
      </w:pPr>
      <w:r w:rsidRPr="00210CAA">
        <w:rPr>
          <w:iCs/>
          <w:color w:val="000000"/>
          <w:lang w:eastAsia="de-AT"/>
        </w:rPr>
        <w:t>TTE – Energy: 8/9 June 2006</w:t>
      </w:r>
    </w:p>
    <w:p w:rsidR="009D0A73" w:rsidRPr="00210CAA" w:rsidRDefault="009D0A73">
      <w:pPr>
        <w:widowControl/>
        <w:autoSpaceDE w:val="0"/>
        <w:autoSpaceDN w:val="0"/>
        <w:adjustRightInd w:val="0"/>
        <w:rPr>
          <w:iCs/>
          <w:color w:val="000000"/>
          <w:lang w:eastAsia="de-AT"/>
        </w:rPr>
      </w:pPr>
    </w:p>
    <w:p w:rsidR="009D0A73" w:rsidRPr="00210CAA" w:rsidRDefault="009D0A73">
      <w:pPr>
        <w:widowControl/>
        <w:numPr>
          <w:ilvl w:val="0"/>
          <w:numId w:val="164"/>
        </w:numPr>
        <w:tabs>
          <w:tab w:val="clear" w:pos="360"/>
        </w:tabs>
        <w:autoSpaceDE w:val="0"/>
        <w:autoSpaceDN w:val="0"/>
        <w:adjustRightInd w:val="0"/>
        <w:ind w:left="567" w:hanging="567"/>
        <w:rPr>
          <w:iCs/>
          <w:color w:val="000000"/>
          <w:lang w:eastAsia="de-AT"/>
        </w:rPr>
      </w:pPr>
      <w:r w:rsidRPr="00210CAA">
        <w:rPr>
          <w:iCs/>
          <w:color w:val="000000"/>
          <w:lang w:eastAsia="de-AT"/>
        </w:rPr>
        <w:t>From the point of view of competitiveness, additional questions have been drawn up which appear in Annex II.</w:t>
      </w:r>
    </w:p>
    <w:p w:rsidR="009D0A73" w:rsidRPr="00210CAA" w:rsidRDefault="009D0A73">
      <w:pPr>
        <w:widowControl/>
        <w:numPr>
          <w:ilvl w:val="0"/>
          <w:numId w:val="164"/>
        </w:numPr>
        <w:tabs>
          <w:tab w:val="clear" w:pos="360"/>
        </w:tabs>
        <w:autoSpaceDE w:val="0"/>
        <w:autoSpaceDN w:val="0"/>
        <w:adjustRightInd w:val="0"/>
        <w:ind w:left="567" w:hanging="567"/>
        <w:rPr>
          <w:iCs/>
          <w:color w:val="000000"/>
          <w:lang w:eastAsia="de-AT"/>
        </w:rPr>
      </w:pPr>
      <w:r w:rsidRPr="00210CAA">
        <w:rPr>
          <w:iCs/>
          <w:color w:val="000000"/>
          <w:lang w:eastAsia="de-AT"/>
        </w:rPr>
        <w:t>Delegations should also take into account the excellent preparation document by the Economic Policy Committee (EPC) on the review of the EU Sustainable Development Strategy which has already been distributed. It could enrich the discussion at the meeting of the Competitiveness Council.</w:t>
      </w:r>
    </w:p>
    <w:p w:rsidR="009D0A73" w:rsidRPr="00210CAA" w:rsidRDefault="009D0A73"/>
    <w:p w:rsidR="009D0A73" w:rsidRPr="00210CAA" w:rsidRDefault="009D0A73">
      <w:pPr>
        <w:autoSpaceDE w:val="0"/>
        <w:autoSpaceDN w:val="0"/>
        <w:adjustRightInd w:val="0"/>
        <w:outlineLvl w:val="0"/>
        <w:rPr>
          <w:b/>
          <w:bCs/>
          <w:iCs/>
          <w:color w:val="000000"/>
          <w:lang w:eastAsia="de-AT"/>
        </w:rPr>
      </w:pPr>
      <w:r w:rsidRPr="00210CAA">
        <w:rPr>
          <w:b/>
          <w:bCs/>
          <w:iCs/>
          <w:color w:val="000000"/>
          <w:lang w:eastAsia="de-AT"/>
        </w:rPr>
        <w:t>Call for written replies</w:t>
      </w:r>
    </w:p>
    <w:p w:rsidR="009D0A73" w:rsidRPr="00210CAA" w:rsidRDefault="009D0A73">
      <w:pPr>
        <w:autoSpaceDE w:val="0"/>
        <w:autoSpaceDN w:val="0"/>
        <w:adjustRightInd w:val="0"/>
        <w:rPr>
          <w:iCs/>
          <w:color w:val="000000"/>
          <w:lang w:eastAsia="de-AT"/>
        </w:rPr>
      </w:pPr>
      <w:r w:rsidRPr="00210CAA">
        <w:rPr>
          <w:iCs/>
          <w:color w:val="000000"/>
          <w:lang w:eastAsia="de-AT"/>
        </w:rPr>
        <w:t xml:space="preserve">Delegations are invited to submit to the Council Secretariat (industry@consilium.europa.eu) their written replies to the three questions presented in Annex I and to the additional questions presented in Annex II, by </w:t>
      </w:r>
      <w:r w:rsidRPr="00210CAA">
        <w:rPr>
          <w:b/>
          <w:iCs/>
          <w:color w:val="000000"/>
          <w:lang w:eastAsia="de-AT"/>
        </w:rPr>
        <w:t xml:space="preserve">Tuesday </w:t>
      </w:r>
      <w:r w:rsidRPr="00210CAA">
        <w:rPr>
          <w:b/>
          <w:bCs/>
          <w:iCs/>
          <w:color w:val="000000"/>
          <w:lang w:eastAsia="de-AT"/>
        </w:rPr>
        <w:t xml:space="preserve">9 May 2006 </w:t>
      </w:r>
      <w:r w:rsidRPr="00210CAA">
        <w:rPr>
          <w:iCs/>
          <w:color w:val="000000"/>
          <w:lang w:eastAsia="de-AT"/>
        </w:rPr>
        <w:t>c.o.b. at the latest.</w:t>
      </w:r>
    </w:p>
    <w:p w:rsidR="009D0A73" w:rsidRPr="00210CAA" w:rsidRDefault="009D0A73">
      <w:pPr>
        <w:autoSpaceDE w:val="0"/>
        <w:autoSpaceDN w:val="0"/>
        <w:adjustRightInd w:val="0"/>
        <w:rPr>
          <w:iCs/>
          <w:color w:val="000000"/>
          <w:lang w:eastAsia="de-AT"/>
        </w:rPr>
      </w:pPr>
    </w:p>
    <w:p w:rsidR="009D0A73" w:rsidRPr="00210CAA" w:rsidRDefault="009D0A73">
      <w:pPr>
        <w:autoSpaceDE w:val="0"/>
        <w:autoSpaceDN w:val="0"/>
        <w:adjustRightInd w:val="0"/>
        <w:rPr>
          <w:iCs/>
          <w:color w:val="000000"/>
          <w:lang w:eastAsia="de-AT"/>
        </w:rPr>
      </w:pPr>
      <w:r w:rsidRPr="00210CAA">
        <w:rPr>
          <w:iCs/>
          <w:color w:val="000000"/>
          <w:lang w:eastAsia="de-AT"/>
        </w:rPr>
        <w:t xml:space="preserve">On the basis of the Commission's SDS Review Package, the responses by delegations and the debate at the Competitiveness Council, the </w:t>
      </w:r>
      <w:r w:rsidRPr="00210CAA">
        <w:rPr>
          <w:iCs/>
          <w:color w:val="000000"/>
          <w:u w:val="single"/>
          <w:lang w:eastAsia="de-AT"/>
        </w:rPr>
        <w:t>Presidency</w:t>
      </w:r>
      <w:r w:rsidRPr="00210CAA">
        <w:rPr>
          <w:iCs/>
          <w:color w:val="000000"/>
          <w:lang w:eastAsia="de-AT"/>
        </w:rPr>
        <w:t xml:space="preserve"> will prepare a draft for a reviewed EU SDS to be adopted by the European Council at its June 2006 meeting.</w:t>
      </w:r>
    </w:p>
    <w:p w:rsidR="009D0A73" w:rsidRPr="00210CAA" w:rsidRDefault="009D0A73"/>
    <w:p w:rsidR="009D0A73" w:rsidRPr="00210CAA" w:rsidRDefault="009D0A73">
      <w:pPr>
        <w:spacing w:line="240" w:lineRule="auto"/>
        <w:jc w:val="center"/>
        <w:rPr>
          <w:b/>
        </w:rPr>
      </w:pPr>
      <w:r w:rsidRPr="00210CAA">
        <w:rPr>
          <w:b/>
        </w:rPr>
        <w:t>*</w:t>
      </w:r>
    </w:p>
    <w:p w:rsidR="009D0A73" w:rsidRPr="00210CAA" w:rsidRDefault="009D0A73">
      <w:pPr>
        <w:spacing w:line="240" w:lineRule="auto"/>
        <w:jc w:val="center"/>
        <w:rPr>
          <w:b/>
        </w:rPr>
      </w:pPr>
    </w:p>
    <w:p w:rsidR="009D0A73" w:rsidRPr="00210CAA" w:rsidRDefault="009D0A73">
      <w:pPr>
        <w:spacing w:line="240" w:lineRule="auto"/>
        <w:jc w:val="center"/>
        <w:rPr>
          <w:b/>
        </w:rPr>
      </w:pPr>
      <w:r w:rsidRPr="00210CAA">
        <w:rPr>
          <w:b/>
        </w:rPr>
        <w:t>*              *</w:t>
      </w:r>
    </w:p>
    <w:p w:rsidR="009D0A73" w:rsidRPr="00210CAA" w:rsidRDefault="009D0A73">
      <w:pPr>
        <w:spacing w:line="240" w:lineRule="auto"/>
      </w:pPr>
    </w:p>
    <w:p w:rsidR="009D0A73" w:rsidRPr="00210CAA" w:rsidRDefault="009D0A73">
      <w:pPr>
        <w:jc w:val="right"/>
        <w:outlineLvl w:val="0"/>
        <w:rPr>
          <w:b/>
          <w:snapToGrid w:val="0"/>
          <w:u w:val="single"/>
          <w:lang w:eastAsia="en-US"/>
        </w:rPr>
        <w:sectPr w:rsidR="00000000" w:rsidRPr="00210CAA">
          <w:footerReference w:type="default" r:id="rId8"/>
          <w:endnotePr>
            <w:numFmt w:val="decimal"/>
          </w:endnotePr>
          <w:pgSz w:w="11907" w:h="16840" w:code="9"/>
          <w:pgMar w:top="1134" w:right="1134" w:bottom="1134" w:left="1134" w:header="567" w:footer="567" w:gutter="0"/>
          <w:cols w:space="720"/>
        </w:sectPr>
      </w:pPr>
    </w:p>
    <w:p w:rsidR="009D0A73" w:rsidRPr="00210CAA" w:rsidRDefault="009D0A73">
      <w:pPr>
        <w:jc w:val="right"/>
        <w:outlineLvl w:val="0"/>
        <w:rPr>
          <w:b/>
          <w:snapToGrid w:val="0"/>
          <w:u w:val="single"/>
          <w:lang w:eastAsia="en-US"/>
        </w:rPr>
      </w:pPr>
      <w:r w:rsidRPr="00210CAA">
        <w:rPr>
          <w:b/>
          <w:snapToGrid w:val="0"/>
          <w:u w:val="single"/>
          <w:lang w:eastAsia="en-US"/>
        </w:rPr>
        <w:t>ANNEX I</w:t>
      </w:r>
    </w:p>
    <w:p w:rsidR="009D0A73" w:rsidRPr="00210CAA" w:rsidRDefault="009D0A73">
      <w:pPr>
        <w:rPr>
          <w:b/>
          <w:snapToGrid w:val="0"/>
          <w:u w:val="single"/>
          <w:lang w:eastAsia="en-US"/>
        </w:rPr>
      </w:pPr>
    </w:p>
    <w:p w:rsidR="009D0A73" w:rsidRPr="00210CAA" w:rsidRDefault="009D0A73">
      <w:pPr>
        <w:outlineLvl w:val="0"/>
        <w:rPr>
          <w:b/>
          <w:snapToGrid w:val="0"/>
          <w:u w:val="single"/>
          <w:lang w:eastAsia="en-US"/>
        </w:rPr>
      </w:pPr>
      <w:r w:rsidRPr="00210CAA">
        <w:rPr>
          <w:b/>
          <w:snapToGrid w:val="0"/>
          <w:u w:val="single"/>
          <w:lang w:eastAsia="en-US"/>
        </w:rPr>
        <w:t>Questions to all Council formations</w:t>
      </w:r>
    </w:p>
    <w:p w:rsidR="009D0A73" w:rsidRPr="00210CAA" w:rsidRDefault="009D0A73">
      <w:pPr>
        <w:rPr>
          <w:b/>
          <w:snapToGrid w:val="0"/>
          <w:lang w:eastAsia="en-US"/>
        </w:rPr>
      </w:pPr>
    </w:p>
    <w:p w:rsidR="009D0A73" w:rsidRPr="00210CAA" w:rsidRDefault="009D0A73">
      <w:pPr>
        <w:widowControl/>
        <w:numPr>
          <w:ilvl w:val="0"/>
          <w:numId w:val="170"/>
        </w:numPr>
        <w:tabs>
          <w:tab w:val="clear" w:pos="360"/>
        </w:tabs>
        <w:autoSpaceDE w:val="0"/>
        <w:autoSpaceDN w:val="0"/>
        <w:adjustRightInd w:val="0"/>
        <w:ind w:left="567" w:hanging="567"/>
        <w:rPr>
          <w:lang w:eastAsia="de-AT"/>
        </w:rPr>
      </w:pPr>
      <w:r w:rsidRPr="00210CAA">
        <w:rPr>
          <w:lang w:eastAsia="de-AT"/>
        </w:rPr>
        <w:t>Do you consider the objectives, targets, key actions and the implied mix of policy instruments proposed in the SDS Review package, in particular Annex 2</w:t>
      </w:r>
      <w:r w:rsidRPr="00210CAA">
        <w:rPr>
          <w:rStyle w:val="Fotnotsreferens"/>
          <w:lang w:eastAsia="de-AT"/>
        </w:rPr>
        <w:footnoteReference w:id="2"/>
      </w:r>
      <w:r w:rsidRPr="00210CAA">
        <w:rPr>
          <w:lang w:eastAsia="de-AT"/>
        </w:rPr>
        <w:t>, are appropriate and sufficient to meet the challenges of Sustainable Development and to efficiently address unsustainable trends in your policy area? Are greater prioritisation and/or stronger efforts necessary to achieve this?</w:t>
      </w:r>
    </w:p>
    <w:p w:rsidR="009D0A73" w:rsidRPr="00210CAA" w:rsidRDefault="009D0A73">
      <w:pPr>
        <w:autoSpaceDE w:val="0"/>
        <w:autoSpaceDN w:val="0"/>
        <w:adjustRightInd w:val="0"/>
        <w:rPr>
          <w:lang w:eastAsia="de-AT"/>
        </w:rPr>
      </w:pPr>
    </w:p>
    <w:p w:rsidR="009D0A73" w:rsidRPr="00210CAA" w:rsidRDefault="009D0A73">
      <w:pPr>
        <w:widowControl/>
        <w:numPr>
          <w:ilvl w:val="0"/>
          <w:numId w:val="171"/>
        </w:numPr>
        <w:tabs>
          <w:tab w:val="clear" w:pos="360"/>
        </w:tabs>
        <w:autoSpaceDE w:val="0"/>
        <w:autoSpaceDN w:val="0"/>
        <w:adjustRightInd w:val="0"/>
        <w:ind w:left="567" w:hanging="567"/>
        <w:rPr>
          <w:lang w:eastAsia="de-AT"/>
        </w:rPr>
      </w:pPr>
      <w:r w:rsidRPr="00210CAA">
        <w:rPr>
          <w:lang w:eastAsia="de-AT"/>
        </w:rPr>
        <w:t>How can your Council formation best contribute to deliver visible results and measurable progress in implementing the EU SDS? What should be done to enhance synergies and coherence across policies and processes, including the Lisbon agenda?</w:t>
      </w:r>
    </w:p>
    <w:p w:rsidR="009D0A73" w:rsidRPr="00210CAA" w:rsidRDefault="009D0A73">
      <w:pPr>
        <w:autoSpaceDE w:val="0"/>
        <w:autoSpaceDN w:val="0"/>
        <w:adjustRightInd w:val="0"/>
        <w:rPr>
          <w:lang w:eastAsia="de-AT"/>
        </w:rPr>
      </w:pPr>
    </w:p>
    <w:p w:rsidR="009D0A73" w:rsidRPr="00210CAA" w:rsidRDefault="009D0A73">
      <w:pPr>
        <w:widowControl/>
        <w:numPr>
          <w:ilvl w:val="0"/>
          <w:numId w:val="171"/>
        </w:numPr>
        <w:tabs>
          <w:tab w:val="clear" w:pos="360"/>
        </w:tabs>
        <w:autoSpaceDE w:val="0"/>
        <w:autoSpaceDN w:val="0"/>
        <w:adjustRightInd w:val="0"/>
        <w:ind w:left="567" w:hanging="567"/>
        <w:rPr>
          <w:lang w:eastAsia="de-AT"/>
        </w:rPr>
      </w:pPr>
      <w:r w:rsidRPr="00210CAA">
        <w:rPr>
          <w:lang w:eastAsia="de-AT"/>
        </w:rPr>
        <w:t>How can an ambitious EU SDS ensure coherence between EU internal policies and its international commitments and contribute to sustainable development at both EU and global level, in particular in your specific policy area?</w:t>
      </w:r>
    </w:p>
    <w:p w:rsidR="009D0A73" w:rsidRPr="00210CAA" w:rsidRDefault="009D0A73">
      <w:pPr>
        <w:autoSpaceDE w:val="0"/>
        <w:autoSpaceDN w:val="0"/>
        <w:adjustRightInd w:val="0"/>
        <w:rPr>
          <w:lang w:eastAsia="de-AT"/>
        </w:rPr>
      </w:pPr>
    </w:p>
    <w:p w:rsidR="009D0A73" w:rsidRPr="00210CAA" w:rsidRDefault="009D0A73">
      <w:pPr>
        <w:autoSpaceDE w:val="0"/>
        <w:autoSpaceDN w:val="0"/>
        <w:adjustRightInd w:val="0"/>
        <w:rPr>
          <w:lang w:eastAsia="de-AT"/>
        </w:rPr>
        <w:sectPr w:rsidR="00000000" w:rsidRPr="00210CAA">
          <w:footerReference w:type="default" r:id="rId9"/>
          <w:endnotePr>
            <w:numFmt w:val="decimal"/>
          </w:endnotePr>
          <w:pgSz w:w="11907" w:h="16840" w:code="9"/>
          <w:pgMar w:top="1134" w:right="1134" w:bottom="1134" w:left="1134" w:header="567" w:footer="567" w:gutter="0"/>
          <w:cols w:space="720"/>
        </w:sectPr>
      </w:pPr>
    </w:p>
    <w:p w:rsidR="009D0A73" w:rsidRPr="00210CAA" w:rsidRDefault="009D0A73">
      <w:pPr>
        <w:autoSpaceDE w:val="0"/>
        <w:autoSpaceDN w:val="0"/>
        <w:adjustRightInd w:val="0"/>
        <w:jc w:val="right"/>
        <w:outlineLvl w:val="0"/>
        <w:rPr>
          <w:b/>
          <w:u w:val="single"/>
          <w:lang w:eastAsia="de-AT"/>
        </w:rPr>
      </w:pPr>
      <w:r w:rsidRPr="00210CAA">
        <w:rPr>
          <w:b/>
          <w:u w:val="single"/>
          <w:lang w:eastAsia="de-AT"/>
        </w:rPr>
        <w:t>ANNEX II</w:t>
      </w:r>
    </w:p>
    <w:p w:rsidR="009D0A73" w:rsidRPr="00210CAA" w:rsidRDefault="009D0A73">
      <w:pPr>
        <w:autoSpaceDE w:val="0"/>
        <w:autoSpaceDN w:val="0"/>
        <w:adjustRightInd w:val="0"/>
        <w:outlineLvl w:val="0"/>
        <w:rPr>
          <w:rFonts w:cs="Arial"/>
          <w:iCs/>
          <w:color w:val="000000"/>
          <w:lang w:eastAsia="de-AT"/>
        </w:rPr>
      </w:pPr>
    </w:p>
    <w:p w:rsidR="009D0A73" w:rsidRPr="00210CAA" w:rsidRDefault="009D0A73">
      <w:pPr>
        <w:autoSpaceDE w:val="0"/>
        <w:autoSpaceDN w:val="0"/>
        <w:adjustRightInd w:val="0"/>
        <w:outlineLvl w:val="0"/>
        <w:rPr>
          <w:rFonts w:cs="Arial"/>
          <w:b/>
          <w:iCs/>
          <w:color w:val="000000"/>
          <w:u w:val="single"/>
          <w:lang w:eastAsia="de-AT"/>
        </w:rPr>
      </w:pPr>
      <w:r w:rsidRPr="00210CAA">
        <w:rPr>
          <w:rFonts w:cs="Arial"/>
          <w:b/>
          <w:iCs/>
          <w:color w:val="000000"/>
          <w:u w:val="single"/>
          <w:lang w:eastAsia="de-AT"/>
        </w:rPr>
        <w:t>Additional questions</w:t>
      </w:r>
    </w:p>
    <w:p w:rsidR="009D0A73" w:rsidRPr="00210CAA" w:rsidRDefault="009D0A73">
      <w:pPr>
        <w:autoSpaceDE w:val="0"/>
        <w:autoSpaceDN w:val="0"/>
        <w:adjustRightInd w:val="0"/>
        <w:outlineLvl w:val="0"/>
        <w:rPr>
          <w:rFonts w:cs="Arial"/>
          <w:iCs/>
          <w:color w:val="000000"/>
          <w:lang w:eastAsia="de-AT"/>
        </w:rPr>
      </w:pPr>
    </w:p>
    <w:p w:rsidR="009D0A73" w:rsidRPr="00210CAA" w:rsidRDefault="009D0A73">
      <w:pPr>
        <w:widowControl/>
        <w:numPr>
          <w:ilvl w:val="0"/>
          <w:numId w:val="172"/>
        </w:numPr>
        <w:tabs>
          <w:tab w:val="clear" w:pos="390"/>
        </w:tabs>
        <w:autoSpaceDE w:val="0"/>
        <w:autoSpaceDN w:val="0"/>
        <w:adjustRightInd w:val="0"/>
        <w:ind w:left="567" w:hanging="567"/>
        <w:rPr>
          <w:rFonts w:cs="Arial"/>
          <w:iCs/>
          <w:color w:val="000000"/>
          <w:lang w:eastAsia="de-AT"/>
        </w:rPr>
      </w:pPr>
      <w:r w:rsidRPr="00210CAA">
        <w:rPr>
          <w:rFonts w:cs="Arial"/>
          <w:iCs/>
          <w:color w:val="000000"/>
          <w:lang w:eastAsia="de-AT"/>
        </w:rPr>
        <w:t>Have international competition and the risk of delocalisation faced by European industrial locations been sufficiently considered in the revision of the EU’s sustainability strategy?</w:t>
      </w:r>
    </w:p>
    <w:p w:rsidR="009D0A73" w:rsidRPr="00210CAA" w:rsidRDefault="009D0A73">
      <w:pPr>
        <w:widowControl/>
        <w:autoSpaceDE w:val="0"/>
        <w:autoSpaceDN w:val="0"/>
        <w:adjustRightInd w:val="0"/>
        <w:rPr>
          <w:rFonts w:cs="Arial"/>
          <w:iCs/>
          <w:color w:val="000000"/>
          <w:lang w:eastAsia="de-AT"/>
        </w:rPr>
      </w:pPr>
    </w:p>
    <w:p w:rsidR="009D0A73" w:rsidRPr="00210CAA" w:rsidRDefault="009D0A73">
      <w:pPr>
        <w:widowControl/>
        <w:numPr>
          <w:ilvl w:val="0"/>
          <w:numId w:val="172"/>
        </w:numPr>
        <w:tabs>
          <w:tab w:val="clear" w:pos="390"/>
        </w:tabs>
        <w:autoSpaceDE w:val="0"/>
        <w:autoSpaceDN w:val="0"/>
        <w:adjustRightInd w:val="0"/>
        <w:ind w:left="567" w:hanging="567"/>
        <w:rPr>
          <w:rFonts w:cs="Arial"/>
          <w:iCs/>
          <w:color w:val="000000"/>
          <w:lang w:eastAsia="de-AT"/>
        </w:rPr>
      </w:pPr>
      <w:r w:rsidRPr="00210CAA">
        <w:rPr>
          <w:rFonts w:cs="Arial"/>
          <w:iCs/>
          <w:color w:val="000000"/>
          <w:lang w:eastAsia="de-AT"/>
        </w:rPr>
        <w:t>Has it been ensured that ambitious sustainability and environmental standards will be discussed at a multilateral level and on a broad basis to provide for a level international playing field and to what extent is a coherent policy suited to answer to questions with regard to ecological efficiency?</w:t>
      </w:r>
    </w:p>
    <w:p w:rsidR="009D0A73" w:rsidRPr="00210CAA" w:rsidRDefault="009D0A73">
      <w:pPr>
        <w:widowControl/>
        <w:autoSpaceDE w:val="0"/>
        <w:autoSpaceDN w:val="0"/>
        <w:adjustRightInd w:val="0"/>
        <w:rPr>
          <w:rFonts w:cs="Arial"/>
          <w:iCs/>
          <w:color w:val="000000"/>
          <w:lang w:eastAsia="de-AT"/>
        </w:rPr>
      </w:pPr>
    </w:p>
    <w:p w:rsidR="009D0A73" w:rsidRPr="00210CAA" w:rsidRDefault="009D0A73">
      <w:pPr>
        <w:widowControl/>
        <w:numPr>
          <w:ilvl w:val="0"/>
          <w:numId w:val="172"/>
        </w:numPr>
        <w:tabs>
          <w:tab w:val="clear" w:pos="390"/>
        </w:tabs>
        <w:autoSpaceDE w:val="0"/>
        <w:autoSpaceDN w:val="0"/>
        <w:adjustRightInd w:val="0"/>
        <w:ind w:left="567" w:hanging="567"/>
        <w:rPr>
          <w:rFonts w:cs="Arial"/>
          <w:iCs/>
          <w:color w:val="000000"/>
          <w:lang w:eastAsia="de-AT"/>
        </w:rPr>
      </w:pPr>
      <w:r w:rsidRPr="00210CAA">
        <w:rPr>
          <w:rFonts w:cs="Arial"/>
          <w:iCs/>
          <w:color w:val="000000"/>
          <w:lang w:eastAsia="de-AT"/>
        </w:rPr>
        <w:t>How can it be ensured that climate protection and economic growth can be reconciled?</w:t>
      </w:r>
    </w:p>
    <w:p w:rsidR="009D0A73" w:rsidRPr="00210CAA" w:rsidRDefault="009D0A73">
      <w:pPr>
        <w:widowControl/>
        <w:autoSpaceDE w:val="0"/>
        <w:autoSpaceDN w:val="0"/>
        <w:adjustRightInd w:val="0"/>
        <w:rPr>
          <w:lang w:eastAsia="de-AT"/>
        </w:rPr>
      </w:pPr>
    </w:p>
    <w:p w:rsidR="009D0A73" w:rsidRPr="00210CAA" w:rsidRDefault="009D0A73">
      <w:pPr>
        <w:widowControl/>
        <w:autoSpaceDE w:val="0"/>
        <w:autoSpaceDN w:val="0"/>
        <w:adjustRightInd w:val="0"/>
        <w:jc w:val="center"/>
        <w:rPr>
          <w:lang w:eastAsia="de-AT"/>
        </w:rPr>
      </w:pPr>
      <w:r w:rsidRPr="00210CAA">
        <w:rPr>
          <w:lang w:eastAsia="de-AT"/>
        </w:rPr>
        <w:t>________________</w:t>
      </w:r>
    </w:p>
    <w:sectPr w:rsidR="009D0A73" w:rsidRPr="00210CAA">
      <w:footerReference w:type="default" r:id="rId10"/>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A73" w:rsidRPr="00210CAA" w:rsidRDefault="009D0A73">
      <w:r w:rsidRPr="00210CAA">
        <w:separator/>
      </w:r>
    </w:p>
  </w:endnote>
  <w:endnote w:type="continuationSeparator" w:id="0">
    <w:p w:rsidR="009D0A73" w:rsidRPr="00210CAA" w:rsidRDefault="009D0A73">
      <w:r w:rsidRPr="00210CAA">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73" w:rsidRPr="00210CAA" w:rsidRDefault="009D0A73">
    <w:pPr>
      <w:pStyle w:val="Sidfot"/>
      <w:pBdr>
        <w:bottom w:val="single" w:sz="4" w:space="1" w:color="auto"/>
      </w:pBdr>
      <w:spacing w:after="60"/>
    </w:pPr>
  </w:p>
  <w:p w:rsidR="009D0A73" w:rsidRPr="00210CAA" w:rsidRDefault="009D0A73">
    <w:pPr>
      <w:pStyle w:val="Sidfot"/>
    </w:pPr>
    <w:bookmarkStart w:id="21" w:name="CoteFooter"/>
    <w:bookmarkEnd w:id="21"/>
    <w:r w:rsidRPr="00210CAA">
      <w:t>8674/06</w:t>
    </w:r>
    <w:r w:rsidRPr="00210CAA">
      <w:tab/>
    </w:r>
    <w:bookmarkStart w:id="22" w:name="SuplCote"/>
    <w:bookmarkEnd w:id="22"/>
    <w:r w:rsidRPr="00210CAA">
      <w:tab/>
    </w:r>
    <w:bookmarkStart w:id="23" w:name="Init"/>
    <w:bookmarkEnd w:id="23"/>
    <w:r w:rsidRPr="00210CAA">
      <w:t>AW/ep</w:t>
    </w:r>
    <w:r w:rsidRPr="00210CAA">
      <w:tab/>
    </w:r>
    <w:r w:rsidRPr="00210CAA">
      <w:rPr>
        <w:rStyle w:val="Sidnummer"/>
      </w:rPr>
      <w:fldChar w:fldCharType="begin" w:fldLock="1"/>
    </w:r>
    <w:r w:rsidRPr="00210CAA">
      <w:rPr>
        <w:rStyle w:val="Sidnummer"/>
      </w:rPr>
      <w:instrText xml:space="preserve"> PAGE </w:instrText>
    </w:r>
    <w:r w:rsidRPr="00210CAA">
      <w:rPr>
        <w:rStyle w:val="Sidnummer"/>
      </w:rPr>
      <w:fldChar w:fldCharType="separate"/>
    </w:r>
    <w:r w:rsidRPr="00210CAA">
      <w:rPr>
        <w:rStyle w:val="Sidnummer"/>
      </w:rPr>
      <w:t>4</w:t>
    </w:r>
    <w:r w:rsidRPr="00210CAA">
      <w:rPr>
        <w:rStyle w:val="Sidnummer"/>
      </w:rPr>
      <w:fldChar w:fldCharType="end"/>
    </w:r>
  </w:p>
  <w:p w:rsidR="009D0A73" w:rsidRPr="00210CAA" w:rsidRDefault="009D0A73">
    <w:pPr>
      <w:pStyle w:val="Sidfot"/>
      <w:tabs>
        <w:tab w:val="clear" w:pos="7371"/>
      </w:tabs>
      <w:spacing w:line="280" w:lineRule="exact"/>
    </w:pPr>
    <w:r w:rsidRPr="00210CAA">
      <w:tab/>
    </w:r>
    <w:bookmarkStart w:id="24" w:name="DG"/>
    <w:bookmarkEnd w:id="24"/>
    <w:r w:rsidRPr="00210CAA">
      <w:t>DG C II</w:t>
    </w:r>
    <w:r w:rsidRPr="00210CAA">
      <w:tab/>
    </w:r>
    <w:bookmarkStart w:id="25" w:name="FooterCoteSec"/>
    <w:r w:rsidRPr="00210CAA">
      <w:rPr>
        <w:b/>
        <w:position w:val="-4"/>
        <w:sz w:val="36"/>
      </w:rPr>
      <w:t xml:space="preserve"> </w:t>
    </w:r>
    <w:bookmarkEnd w:id="25"/>
    <w:r w:rsidRPr="00210CAA">
      <w:rPr>
        <w:b/>
        <w:position w:val="-4"/>
        <w:sz w:val="36"/>
      </w:rPr>
      <w:t> </w:t>
    </w:r>
    <w:bookmarkStart w:id="26" w:name="Langue"/>
    <w:r w:rsidRPr="00210CAA">
      <w:rPr>
        <w:b/>
        <w:position w:val="-4"/>
        <w:sz w:val="36"/>
      </w:rPr>
      <w:t>EN</w:t>
    </w:r>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73" w:rsidRPr="00210CAA" w:rsidRDefault="009D0A73">
    <w:pPr>
      <w:pStyle w:val="Sidfot"/>
      <w:pBdr>
        <w:bottom w:val="single" w:sz="4" w:space="1" w:color="auto"/>
      </w:pBdr>
      <w:spacing w:after="60"/>
    </w:pPr>
  </w:p>
  <w:p w:rsidR="009D0A73" w:rsidRPr="00210CAA" w:rsidRDefault="009D0A73">
    <w:pPr>
      <w:pStyle w:val="Sidfot"/>
    </w:pPr>
    <w:r w:rsidRPr="00210CAA">
      <w:t>8674/06</w:t>
    </w:r>
    <w:r w:rsidRPr="00210CAA">
      <w:tab/>
    </w:r>
    <w:r w:rsidRPr="00210CAA">
      <w:tab/>
      <w:t>AW/ep</w:t>
    </w:r>
    <w:r w:rsidRPr="00210CAA">
      <w:tab/>
    </w:r>
    <w:r w:rsidRPr="00210CAA">
      <w:rPr>
        <w:rStyle w:val="Sidnummer"/>
      </w:rPr>
      <w:fldChar w:fldCharType="begin" w:fldLock="1"/>
    </w:r>
    <w:r w:rsidRPr="00210CAA">
      <w:rPr>
        <w:rStyle w:val="Sidnummer"/>
      </w:rPr>
      <w:instrText xml:space="preserve"> PAGE </w:instrText>
    </w:r>
    <w:r w:rsidRPr="00210CAA">
      <w:rPr>
        <w:rStyle w:val="Sidnummer"/>
      </w:rPr>
      <w:fldChar w:fldCharType="separate"/>
    </w:r>
    <w:r w:rsidRPr="00210CAA">
      <w:rPr>
        <w:rStyle w:val="Sidnummer"/>
      </w:rPr>
      <w:t>5</w:t>
    </w:r>
    <w:r w:rsidRPr="00210CAA">
      <w:rPr>
        <w:rStyle w:val="Sidnummer"/>
      </w:rPr>
      <w:fldChar w:fldCharType="end"/>
    </w:r>
  </w:p>
  <w:p w:rsidR="009D0A73" w:rsidRPr="00210CAA" w:rsidRDefault="009D0A73">
    <w:pPr>
      <w:pStyle w:val="Sidfot"/>
      <w:tabs>
        <w:tab w:val="clear" w:pos="7371"/>
      </w:tabs>
      <w:spacing w:line="280" w:lineRule="exact"/>
    </w:pPr>
    <w:r w:rsidRPr="00210CAA">
      <w:t>ANNEX I</w:t>
    </w:r>
    <w:r w:rsidRPr="00210CAA">
      <w:tab/>
      <w:t>DG C II</w:t>
    </w:r>
    <w:r w:rsidRPr="00210CAA">
      <w:tab/>
    </w:r>
    <w:r w:rsidRPr="00210CAA">
      <w:rPr>
        <w:b/>
        <w:position w:val="-4"/>
        <w:sz w:val="36"/>
      </w:rPr>
      <w:t xml:space="preserve"> </w:t>
    </w:r>
    <w:r w:rsidRPr="00210CAA">
      <w:rPr>
        <w:b/>
        <w:position w:val="-4"/>
        <w:sz w:val="36"/>
      </w:rPr>
      <w:t> </w:t>
    </w:r>
    <w:r w:rsidRPr="00210CAA">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A73" w:rsidRPr="00210CAA" w:rsidRDefault="009D0A73">
    <w:pPr>
      <w:pStyle w:val="Sidfot"/>
      <w:pBdr>
        <w:bottom w:val="single" w:sz="4" w:space="1" w:color="auto"/>
      </w:pBdr>
      <w:spacing w:after="60"/>
    </w:pPr>
  </w:p>
  <w:p w:rsidR="009D0A73" w:rsidRPr="00210CAA" w:rsidRDefault="009D0A73">
    <w:pPr>
      <w:pStyle w:val="Sidfot"/>
    </w:pPr>
    <w:r w:rsidRPr="00210CAA">
      <w:t>8674/06</w:t>
    </w:r>
    <w:r w:rsidRPr="00210CAA">
      <w:tab/>
    </w:r>
    <w:r w:rsidRPr="00210CAA">
      <w:tab/>
      <w:t>AW/ep</w:t>
    </w:r>
    <w:r w:rsidRPr="00210CAA">
      <w:tab/>
    </w:r>
    <w:r w:rsidRPr="00210CAA">
      <w:rPr>
        <w:rStyle w:val="Sidnummer"/>
      </w:rPr>
      <w:fldChar w:fldCharType="begin" w:fldLock="1"/>
    </w:r>
    <w:r w:rsidRPr="00210CAA">
      <w:rPr>
        <w:rStyle w:val="Sidnummer"/>
      </w:rPr>
      <w:instrText xml:space="preserve"> PAGE </w:instrText>
    </w:r>
    <w:r w:rsidRPr="00210CAA">
      <w:rPr>
        <w:rStyle w:val="Sidnummer"/>
      </w:rPr>
      <w:fldChar w:fldCharType="separate"/>
    </w:r>
    <w:r w:rsidRPr="00210CAA">
      <w:rPr>
        <w:rStyle w:val="Sidnummer"/>
      </w:rPr>
      <w:t>6</w:t>
    </w:r>
    <w:r w:rsidRPr="00210CAA">
      <w:rPr>
        <w:rStyle w:val="Sidnummer"/>
      </w:rPr>
      <w:fldChar w:fldCharType="end"/>
    </w:r>
  </w:p>
  <w:p w:rsidR="009D0A73" w:rsidRPr="00210CAA" w:rsidRDefault="009D0A73">
    <w:pPr>
      <w:pStyle w:val="Sidfot"/>
      <w:tabs>
        <w:tab w:val="clear" w:pos="7371"/>
      </w:tabs>
      <w:spacing w:line="280" w:lineRule="exact"/>
    </w:pPr>
    <w:r w:rsidRPr="00210CAA">
      <w:t>ANNEX II</w:t>
    </w:r>
    <w:r w:rsidRPr="00210CAA">
      <w:tab/>
      <w:t>DG C II</w:t>
    </w:r>
    <w:r w:rsidRPr="00210CAA">
      <w:tab/>
    </w:r>
    <w:r w:rsidRPr="00210CAA">
      <w:rPr>
        <w:b/>
        <w:position w:val="-4"/>
        <w:sz w:val="36"/>
      </w:rPr>
      <w:t xml:space="preserve"> </w:t>
    </w:r>
    <w:r w:rsidRPr="00210CAA">
      <w:rPr>
        <w:b/>
        <w:position w:val="-4"/>
        <w:sz w:val="36"/>
      </w:rPr>
      <w:t> </w:t>
    </w:r>
    <w:r w:rsidRPr="00210CAA">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A73" w:rsidRPr="00210CAA" w:rsidRDefault="009D0A73">
      <w:pPr>
        <w:pStyle w:val="Fotnotstext"/>
      </w:pPr>
      <w:r w:rsidRPr="00210CAA">
        <w:separator/>
      </w:r>
    </w:p>
  </w:footnote>
  <w:footnote w:type="continuationSeparator" w:id="0">
    <w:p w:rsidR="009D0A73" w:rsidRPr="00210CAA" w:rsidRDefault="009D0A73">
      <w:pPr>
        <w:pStyle w:val="Fotnotstext"/>
      </w:pPr>
      <w:r w:rsidRPr="00210CAA">
        <w:separator/>
      </w:r>
    </w:p>
  </w:footnote>
  <w:footnote w:id="1">
    <w:p w:rsidR="009D0A73" w:rsidRPr="00210CAA" w:rsidRDefault="009D0A73">
      <w:pPr>
        <w:pStyle w:val="Fotnotstext"/>
      </w:pPr>
      <w:r w:rsidRPr="00210CAA">
        <w:rPr>
          <w:rStyle w:val="Fotnotsreferens"/>
        </w:rPr>
        <w:footnoteRef/>
      </w:r>
      <w:r w:rsidRPr="00210CAA">
        <w:tab/>
      </w:r>
      <w:r w:rsidRPr="00210CAA">
        <w:rPr>
          <w:szCs w:val="24"/>
        </w:rPr>
        <w:t>Cf. doc. 15796/05 (COM(2005) 658 final).</w:t>
      </w:r>
    </w:p>
  </w:footnote>
  <w:footnote w:id="2">
    <w:p w:rsidR="009D0A73" w:rsidRPr="00210CAA" w:rsidRDefault="009D0A73">
      <w:pPr>
        <w:pStyle w:val="Fotnotstext"/>
        <w:rPr>
          <w:szCs w:val="24"/>
        </w:rPr>
      </w:pPr>
      <w:r w:rsidRPr="00210CAA">
        <w:rPr>
          <w:rStyle w:val="Fotnotsreferens"/>
        </w:rPr>
        <w:footnoteRef/>
      </w:r>
      <w:r w:rsidRPr="00210CAA">
        <w:tab/>
      </w:r>
      <w:r w:rsidRPr="00210CAA">
        <w:rPr>
          <w:szCs w:val="24"/>
        </w:rPr>
        <w:t>Doc. 15796/05 (COM(2005) 658 final).</w:t>
      </w:r>
    </w:p>
    <w:p w:rsidR="009D0A73" w:rsidRPr="00210CAA" w:rsidRDefault="009D0A73">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14064BFE"/>
    <w:multiLevelType w:val="hybridMultilevel"/>
    <w:tmpl w:val="2990E94E"/>
    <w:lvl w:ilvl="0" w:tplc="A418D40C">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720"/>
        </w:tabs>
        <w:ind w:left="720" w:hanging="360"/>
      </w:pPr>
      <w:rPr>
        <w:rFonts w:ascii="Courier New" w:hAnsi="Courier New" w:cs="Courier New" w:hint="default"/>
      </w:rPr>
    </w:lvl>
    <w:lvl w:ilvl="2" w:tplc="0C070005" w:tentative="1">
      <w:start w:val="1"/>
      <w:numFmt w:val="bullet"/>
      <w:lvlText w:val=""/>
      <w:lvlJc w:val="left"/>
      <w:pPr>
        <w:tabs>
          <w:tab w:val="num" w:pos="1440"/>
        </w:tabs>
        <w:ind w:left="1440" w:hanging="360"/>
      </w:pPr>
      <w:rPr>
        <w:rFonts w:ascii="Wingdings" w:hAnsi="Wingdings" w:hint="default"/>
      </w:rPr>
    </w:lvl>
    <w:lvl w:ilvl="3" w:tplc="0C070001" w:tentative="1">
      <w:start w:val="1"/>
      <w:numFmt w:val="bullet"/>
      <w:lvlText w:val=""/>
      <w:lvlJc w:val="left"/>
      <w:pPr>
        <w:tabs>
          <w:tab w:val="num" w:pos="2160"/>
        </w:tabs>
        <w:ind w:left="2160" w:hanging="360"/>
      </w:pPr>
      <w:rPr>
        <w:rFonts w:ascii="Symbol" w:hAnsi="Symbol" w:hint="default"/>
      </w:rPr>
    </w:lvl>
    <w:lvl w:ilvl="4" w:tplc="0C070003" w:tentative="1">
      <w:start w:val="1"/>
      <w:numFmt w:val="bullet"/>
      <w:lvlText w:val="o"/>
      <w:lvlJc w:val="left"/>
      <w:pPr>
        <w:tabs>
          <w:tab w:val="num" w:pos="2880"/>
        </w:tabs>
        <w:ind w:left="2880" w:hanging="360"/>
      </w:pPr>
      <w:rPr>
        <w:rFonts w:ascii="Courier New" w:hAnsi="Courier New" w:cs="Courier New" w:hint="default"/>
      </w:rPr>
    </w:lvl>
    <w:lvl w:ilvl="5" w:tplc="0C070005" w:tentative="1">
      <w:start w:val="1"/>
      <w:numFmt w:val="bullet"/>
      <w:lvlText w:val=""/>
      <w:lvlJc w:val="left"/>
      <w:pPr>
        <w:tabs>
          <w:tab w:val="num" w:pos="3600"/>
        </w:tabs>
        <w:ind w:left="3600" w:hanging="360"/>
      </w:pPr>
      <w:rPr>
        <w:rFonts w:ascii="Wingdings" w:hAnsi="Wingdings" w:hint="default"/>
      </w:rPr>
    </w:lvl>
    <w:lvl w:ilvl="6" w:tplc="0C070001" w:tentative="1">
      <w:start w:val="1"/>
      <w:numFmt w:val="bullet"/>
      <w:lvlText w:val=""/>
      <w:lvlJc w:val="left"/>
      <w:pPr>
        <w:tabs>
          <w:tab w:val="num" w:pos="4320"/>
        </w:tabs>
        <w:ind w:left="4320" w:hanging="360"/>
      </w:pPr>
      <w:rPr>
        <w:rFonts w:ascii="Symbol" w:hAnsi="Symbol" w:hint="default"/>
      </w:rPr>
    </w:lvl>
    <w:lvl w:ilvl="7" w:tplc="0C070003" w:tentative="1">
      <w:start w:val="1"/>
      <w:numFmt w:val="bullet"/>
      <w:lvlText w:val="o"/>
      <w:lvlJc w:val="left"/>
      <w:pPr>
        <w:tabs>
          <w:tab w:val="num" w:pos="5040"/>
        </w:tabs>
        <w:ind w:left="5040" w:hanging="360"/>
      </w:pPr>
      <w:rPr>
        <w:rFonts w:ascii="Courier New" w:hAnsi="Courier New" w:cs="Courier New" w:hint="default"/>
      </w:rPr>
    </w:lvl>
    <w:lvl w:ilvl="8" w:tplc="0C07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8436E63"/>
    <w:multiLevelType w:val="hybridMultilevel"/>
    <w:tmpl w:val="13B438CC"/>
    <w:lvl w:ilvl="0" w:tplc="0409000B">
      <w:start w:val="1"/>
      <w:numFmt w:val="bullet"/>
      <w:lvlText w:val=""/>
      <w:lvlJc w:val="left"/>
      <w:pPr>
        <w:tabs>
          <w:tab w:val="num" w:pos="1068"/>
        </w:tabs>
        <w:ind w:left="1068" w:hanging="360"/>
      </w:pPr>
      <w:rPr>
        <w:rFonts w:ascii="Wingdings" w:hAnsi="Wingdings" w:hint="default"/>
      </w:rPr>
    </w:lvl>
    <w:lvl w:ilvl="1" w:tplc="0C070003">
      <w:start w:val="1"/>
      <w:numFmt w:val="decimal"/>
      <w:lvlText w:val="%2."/>
      <w:lvlJc w:val="left"/>
      <w:pPr>
        <w:tabs>
          <w:tab w:val="num" w:pos="1788"/>
        </w:tabs>
        <w:ind w:left="1788" w:hanging="360"/>
      </w:pPr>
    </w:lvl>
    <w:lvl w:ilvl="2" w:tplc="0C070005">
      <w:start w:val="1"/>
      <w:numFmt w:val="decimal"/>
      <w:lvlText w:val="%3."/>
      <w:lvlJc w:val="left"/>
      <w:pPr>
        <w:tabs>
          <w:tab w:val="num" w:pos="2508"/>
        </w:tabs>
        <w:ind w:left="2508" w:hanging="360"/>
      </w:pPr>
    </w:lvl>
    <w:lvl w:ilvl="3" w:tplc="0C070001">
      <w:start w:val="1"/>
      <w:numFmt w:val="decimal"/>
      <w:lvlText w:val="%4."/>
      <w:lvlJc w:val="left"/>
      <w:pPr>
        <w:tabs>
          <w:tab w:val="num" w:pos="3228"/>
        </w:tabs>
        <w:ind w:left="3228" w:hanging="360"/>
      </w:pPr>
    </w:lvl>
    <w:lvl w:ilvl="4" w:tplc="0C070003">
      <w:start w:val="1"/>
      <w:numFmt w:val="decimal"/>
      <w:lvlText w:val="%5."/>
      <w:lvlJc w:val="left"/>
      <w:pPr>
        <w:tabs>
          <w:tab w:val="num" w:pos="3948"/>
        </w:tabs>
        <w:ind w:left="3948" w:hanging="360"/>
      </w:pPr>
    </w:lvl>
    <w:lvl w:ilvl="5" w:tplc="0C070005">
      <w:start w:val="1"/>
      <w:numFmt w:val="decimal"/>
      <w:lvlText w:val="%6."/>
      <w:lvlJc w:val="left"/>
      <w:pPr>
        <w:tabs>
          <w:tab w:val="num" w:pos="4668"/>
        </w:tabs>
        <w:ind w:left="4668" w:hanging="360"/>
      </w:pPr>
    </w:lvl>
    <w:lvl w:ilvl="6" w:tplc="0C070001">
      <w:start w:val="1"/>
      <w:numFmt w:val="decimal"/>
      <w:lvlText w:val="%7."/>
      <w:lvlJc w:val="left"/>
      <w:pPr>
        <w:tabs>
          <w:tab w:val="num" w:pos="5388"/>
        </w:tabs>
        <w:ind w:left="5388" w:hanging="360"/>
      </w:pPr>
    </w:lvl>
    <w:lvl w:ilvl="7" w:tplc="0C070003">
      <w:start w:val="1"/>
      <w:numFmt w:val="decimal"/>
      <w:lvlText w:val="%8."/>
      <w:lvlJc w:val="left"/>
      <w:pPr>
        <w:tabs>
          <w:tab w:val="num" w:pos="6108"/>
        </w:tabs>
        <w:ind w:left="6108" w:hanging="360"/>
      </w:pPr>
    </w:lvl>
    <w:lvl w:ilvl="8" w:tplc="0C070005">
      <w:start w:val="1"/>
      <w:numFmt w:val="decimal"/>
      <w:lvlText w:val="%9."/>
      <w:lvlJc w:val="left"/>
      <w:pPr>
        <w:tabs>
          <w:tab w:val="num" w:pos="6828"/>
        </w:tabs>
        <w:ind w:left="6828" w:hanging="360"/>
      </w:pPr>
    </w:lvl>
  </w:abstractNum>
  <w:abstractNum w:abstractNumId="17" w15:restartNumberingAfterBreak="0">
    <w:nsid w:val="19602764"/>
    <w:multiLevelType w:val="hybridMultilevel"/>
    <w:tmpl w:val="A2229402"/>
    <w:lvl w:ilvl="0" w:tplc="0C070001">
      <w:start w:val="1"/>
      <w:numFmt w:val="bullet"/>
      <w:lvlText w:val=""/>
      <w:lvlJc w:val="left"/>
      <w:pPr>
        <w:tabs>
          <w:tab w:val="num" w:pos="360"/>
        </w:tabs>
        <w:ind w:left="360" w:hanging="360"/>
      </w:pPr>
      <w:rPr>
        <w:rFonts w:ascii="Symbol" w:hAnsi="Symbol" w:hint="default"/>
      </w:rPr>
    </w:lvl>
    <w:lvl w:ilvl="1" w:tplc="0C070003">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A1132BB"/>
    <w:multiLevelType w:val="hybridMultilevel"/>
    <w:tmpl w:val="11BA489E"/>
    <w:lvl w:ilvl="0" w:tplc="0409000B">
      <w:start w:val="1"/>
      <w:numFmt w:val="bullet"/>
      <w:lvlText w:val=""/>
      <w:lvlJc w:val="left"/>
      <w:pPr>
        <w:tabs>
          <w:tab w:val="num" w:pos="1068"/>
        </w:tabs>
        <w:ind w:left="1068" w:hanging="360"/>
      </w:pPr>
      <w:rPr>
        <w:rFonts w:ascii="Wingdings" w:hAnsi="Wingdings" w:hint="default"/>
      </w:rPr>
    </w:lvl>
    <w:lvl w:ilvl="1" w:tplc="0C070003">
      <w:start w:val="1"/>
      <w:numFmt w:val="bullet"/>
      <w:lvlText w:val="o"/>
      <w:lvlJc w:val="left"/>
      <w:pPr>
        <w:tabs>
          <w:tab w:val="num" w:pos="1788"/>
        </w:tabs>
        <w:ind w:left="1788" w:hanging="360"/>
      </w:pPr>
      <w:rPr>
        <w:rFonts w:ascii="Courier New" w:hAnsi="Courier New" w:cs="Courier New" w:hint="default"/>
      </w:rPr>
    </w:lvl>
    <w:lvl w:ilvl="2" w:tplc="0C070005" w:tentative="1">
      <w:start w:val="1"/>
      <w:numFmt w:val="bullet"/>
      <w:lvlText w:val=""/>
      <w:lvlJc w:val="left"/>
      <w:pPr>
        <w:tabs>
          <w:tab w:val="num" w:pos="2508"/>
        </w:tabs>
        <w:ind w:left="2508" w:hanging="360"/>
      </w:pPr>
      <w:rPr>
        <w:rFonts w:ascii="Wingdings" w:hAnsi="Wingdings" w:hint="default"/>
      </w:rPr>
    </w:lvl>
    <w:lvl w:ilvl="3" w:tplc="0C070001" w:tentative="1">
      <w:start w:val="1"/>
      <w:numFmt w:val="bullet"/>
      <w:lvlText w:val=""/>
      <w:lvlJc w:val="left"/>
      <w:pPr>
        <w:tabs>
          <w:tab w:val="num" w:pos="3228"/>
        </w:tabs>
        <w:ind w:left="3228" w:hanging="360"/>
      </w:pPr>
      <w:rPr>
        <w:rFonts w:ascii="Symbol" w:hAnsi="Symbol" w:hint="default"/>
      </w:rPr>
    </w:lvl>
    <w:lvl w:ilvl="4" w:tplc="0C070003" w:tentative="1">
      <w:start w:val="1"/>
      <w:numFmt w:val="bullet"/>
      <w:lvlText w:val="o"/>
      <w:lvlJc w:val="left"/>
      <w:pPr>
        <w:tabs>
          <w:tab w:val="num" w:pos="3948"/>
        </w:tabs>
        <w:ind w:left="3948" w:hanging="360"/>
      </w:pPr>
      <w:rPr>
        <w:rFonts w:ascii="Courier New" w:hAnsi="Courier New" w:cs="Courier New" w:hint="default"/>
      </w:rPr>
    </w:lvl>
    <w:lvl w:ilvl="5" w:tplc="0C070005" w:tentative="1">
      <w:start w:val="1"/>
      <w:numFmt w:val="bullet"/>
      <w:lvlText w:val=""/>
      <w:lvlJc w:val="left"/>
      <w:pPr>
        <w:tabs>
          <w:tab w:val="num" w:pos="4668"/>
        </w:tabs>
        <w:ind w:left="4668" w:hanging="360"/>
      </w:pPr>
      <w:rPr>
        <w:rFonts w:ascii="Wingdings" w:hAnsi="Wingdings" w:hint="default"/>
      </w:rPr>
    </w:lvl>
    <w:lvl w:ilvl="6" w:tplc="0C070001" w:tentative="1">
      <w:start w:val="1"/>
      <w:numFmt w:val="bullet"/>
      <w:lvlText w:val=""/>
      <w:lvlJc w:val="left"/>
      <w:pPr>
        <w:tabs>
          <w:tab w:val="num" w:pos="5388"/>
        </w:tabs>
        <w:ind w:left="5388" w:hanging="360"/>
      </w:pPr>
      <w:rPr>
        <w:rFonts w:ascii="Symbol" w:hAnsi="Symbol" w:hint="default"/>
      </w:rPr>
    </w:lvl>
    <w:lvl w:ilvl="7" w:tplc="0C070003" w:tentative="1">
      <w:start w:val="1"/>
      <w:numFmt w:val="bullet"/>
      <w:lvlText w:val="o"/>
      <w:lvlJc w:val="left"/>
      <w:pPr>
        <w:tabs>
          <w:tab w:val="num" w:pos="6108"/>
        </w:tabs>
        <w:ind w:left="6108" w:hanging="360"/>
      </w:pPr>
      <w:rPr>
        <w:rFonts w:ascii="Courier New" w:hAnsi="Courier New" w:cs="Courier New" w:hint="default"/>
      </w:rPr>
    </w:lvl>
    <w:lvl w:ilvl="8" w:tplc="0C07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1CAD5A6D"/>
    <w:multiLevelType w:val="hybridMultilevel"/>
    <w:tmpl w:val="A824182E"/>
    <w:lvl w:ilvl="0" w:tplc="0C070001">
      <w:start w:val="1"/>
      <w:numFmt w:val="bullet"/>
      <w:lvlText w:val=""/>
      <w:lvlJc w:val="left"/>
      <w:pPr>
        <w:tabs>
          <w:tab w:val="num" w:pos="360"/>
        </w:tabs>
        <w:ind w:left="360" w:hanging="360"/>
      </w:pPr>
      <w:rPr>
        <w:rFonts w:ascii="Symbol" w:hAnsi="Symbol" w:hint="default"/>
      </w:rPr>
    </w:lvl>
    <w:lvl w:ilvl="1" w:tplc="0C070003">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870AA7"/>
    <w:multiLevelType w:val="hybridMultilevel"/>
    <w:tmpl w:val="D52ECB9C"/>
    <w:lvl w:ilvl="0" w:tplc="A418D40C">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720"/>
        </w:tabs>
        <w:ind w:left="720" w:hanging="360"/>
      </w:pPr>
      <w:rPr>
        <w:rFonts w:ascii="Courier New" w:hAnsi="Courier New" w:cs="Courier New" w:hint="default"/>
      </w:rPr>
    </w:lvl>
    <w:lvl w:ilvl="2" w:tplc="0C070005" w:tentative="1">
      <w:start w:val="1"/>
      <w:numFmt w:val="bullet"/>
      <w:lvlText w:val=""/>
      <w:lvlJc w:val="left"/>
      <w:pPr>
        <w:tabs>
          <w:tab w:val="num" w:pos="1440"/>
        </w:tabs>
        <w:ind w:left="1440" w:hanging="360"/>
      </w:pPr>
      <w:rPr>
        <w:rFonts w:ascii="Wingdings" w:hAnsi="Wingdings" w:hint="default"/>
      </w:rPr>
    </w:lvl>
    <w:lvl w:ilvl="3" w:tplc="0C070001" w:tentative="1">
      <w:start w:val="1"/>
      <w:numFmt w:val="bullet"/>
      <w:lvlText w:val=""/>
      <w:lvlJc w:val="left"/>
      <w:pPr>
        <w:tabs>
          <w:tab w:val="num" w:pos="2160"/>
        </w:tabs>
        <w:ind w:left="2160" w:hanging="360"/>
      </w:pPr>
      <w:rPr>
        <w:rFonts w:ascii="Symbol" w:hAnsi="Symbol" w:hint="default"/>
      </w:rPr>
    </w:lvl>
    <w:lvl w:ilvl="4" w:tplc="0C070003" w:tentative="1">
      <w:start w:val="1"/>
      <w:numFmt w:val="bullet"/>
      <w:lvlText w:val="o"/>
      <w:lvlJc w:val="left"/>
      <w:pPr>
        <w:tabs>
          <w:tab w:val="num" w:pos="2880"/>
        </w:tabs>
        <w:ind w:left="2880" w:hanging="360"/>
      </w:pPr>
      <w:rPr>
        <w:rFonts w:ascii="Courier New" w:hAnsi="Courier New" w:cs="Courier New" w:hint="default"/>
      </w:rPr>
    </w:lvl>
    <w:lvl w:ilvl="5" w:tplc="0C070005" w:tentative="1">
      <w:start w:val="1"/>
      <w:numFmt w:val="bullet"/>
      <w:lvlText w:val=""/>
      <w:lvlJc w:val="left"/>
      <w:pPr>
        <w:tabs>
          <w:tab w:val="num" w:pos="3600"/>
        </w:tabs>
        <w:ind w:left="3600" w:hanging="360"/>
      </w:pPr>
      <w:rPr>
        <w:rFonts w:ascii="Wingdings" w:hAnsi="Wingdings" w:hint="default"/>
      </w:rPr>
    </w:lvl>
    <w:lvl w:ilvl="6" w:tplc="0C070001" w:tentative="1">
      <w:start w:val="1"/>
      <w:numFmt w:val="bullet"/>
      <w:lvlText w:val=""/>
      <w:lvlJc w:val="left"/>
      <w:pPr>
        <w:tabs>
          <w:tab w:val="num" w:pos="4320"/>
        </w:tabs>
        <w:ind w:left="4320" w:hanging="360"/>
      </w:pPr>
      <w:rPr>
        <w:rFonts w:ascii="Symbol" w:hAnsi="Symbol" w:hint="default"/>
      </w:rPr>
    </w:lvl>
    <w:lvl w:ilvl="7" w:tplc="0C070003" w:tentative="1">
      <w:start w:val="1"/>
      <w:numFmt w:val="bullet"/>
      <w:lvlText w:val="o"/>
      <w:lvlJc w:val="left"/>
      <w:pPr>
        <w:tabs>
          <w:tab w:val="num" w:pos="5040"/>
        </w:tabs>
        <w:ind w:left="5040" w:hanging="360"/>
      </w:pPr>
      <w:rPr>
        <w:rFonts w:ascii="Courier New" w:hAnsi="Courier New" w:cs="Courier New" w:hint="default"/>
      </w:rPr>
    </w:lvl>
    <w:lvl w:ilvl="8" w:tplc="0C07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2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3"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15:restartNumberingAfterBreak="0">
    <w:nsid w:val="236D346A"/>
    <w:multiLevelType w:val="hybridMultilevel"/>
    <w:tmpl w:val="11BA489E"/>
    <w:lvl w:ilvl="0" w:tplc="0C07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2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7"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8"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30"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31"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4"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6"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8"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B233D67"/>
    <w:multiLevelType w:val="hybridMultilevel"/>
    <w:tmpl w:val="8D4E8A54"/>
    <w:lvl w:ilvl="0" w:tplc="2E40C784">
      <w:start w:val="1"/>
      <w:numFmt w:val="decimal"/>
      <w:lvlText w:val="%1."/>
      <w:lvlJc w:val="left"/>
      <w:pPr>
        <w:tabs>
          <w:tab w:val="num" w:pos="390"/>
        </w:tabs>
        <w:ind w:left="390" w:hanging="39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1"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42"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43"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44" w15:restartNumberingAfterBreak="0">
    <w:nsid w:val="57E249C7"/>
    <w:multiLevelType w:val="hybridMultilevel"/>
    <w:tmpl w:val="AB2087A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46"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9"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50"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51"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5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53" w15:restartNumberingAfterBreak="0">
    <w:nsid w:val="71AA5B31"/>
    <w:multiLevelType w:val="hybridMultilevel"/>
    <w:tmpl w:val="6C4403C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516038396">
    <w:abstractNumId w:val="9"/>
  </w:num>
  <w:num w:numId="2" w16cid:durableId="1752115235">
    <w:abstractNumId w:val="7"/>
  </w:num>
  <w:num w:numId="3" w16cid:durableId="2053848499">
    <w:abstractNumId w:val="6"/>
  </w:num>
  <w:num w:numId="4" w16cid:durableId="1192915796">
    <w:abstractNumId w:val="5"/>
  </w:num>
  <w:num w:numId="5" w16cid:durableId="959217488">
    <w:abstractNumId w:val="4"/>
  </w:num>
  <w:num w:numId="6" w16cid:durableId="1847135744">
    <w:abstractNumId w:val="8"/>
  </w:num>
  <w:num w:numId="7" w16cid:durableId="992874271">
    <w:abstractNumId w:val="3"/>
  </w:num>
  <w:num w:numId="8" w16cid:durableId="958074611">
    <w:abstractNumId w:val="2"/>
  </w:num>
  <w:num w:numId="9" w16cid:durableId="1046174683">
    <w:abstractNumId w:val="1"/>
  </w:num>
  <w:num w:numId="10" w16cid:durableId="920219063">
    <w:abstractNumId w:val="0"/>
  </w:num>
  <w:num w:numId="11" w16cid:durableId="1505784628">
    <w:abstractNumId w:val="32"/>
  </w:num>
  <w:num w:numId="12" w16cid:durableId="1378968535">
    <w:abstractNumId w:val="51"/>
  </w:num>
  <w:num w:numId="13" w16cid:durableId="2140491169">
    <w:abstractNumId w:val="49"/>
  </w:num>
  <w:num w:numId="14" w16cid:durableId="1283802729">
    <w:abstractNumId w:val="38"/>
  </w:num>
  <w:num w:numId="15" w16cid:durableId="1798598271">
    <w:abstractNumId w:val="13"/>
  </w:num>
  <w:num w:numId="16" w16cid:durableId="1264804730">
    <w:abstractNumId w:val="41"/>
  </w:num>
  <w:num w:numId="17" w16cid:durableId="354615985">
    <w:abstractNumId w:val="28"/>
  </w:num>
  <w:num w:numId="18" w16cid:durableId="1859343320">
    <w:abstractNumId w:val="21"/>
  </w:num>
  <w:num w:numId="19" w16cid:durableId="1044410409">
    <w:abstractNumId w:val="14"/>
  </w:num>
  <w:num w:numId="20" w16cid:durableId="888567126">
    <w:abstractNumId w:val="14"/>
  </w:num>
  <w:num w:numId="21" w16cid:durableId="1022129004">
    <w:abstractNumId w:val="14"/>
  </w:num>
  <w:num w:numId="22" w16cid:durableId="1327397359">
    <w:abstractNumId w:val="14"/>
  </w:num>
  <w:num w:numId="23" w16cid:durableId="401030452">
    <w:abstractNumId w:val="14"/>
  </w:num>
  <w:num w:numId="24" w16cid:durableId="757287836">
    <w:abstractNumId w:val="14"/>
  </w:num>
  <w:num w:numId="25" w16cid:durableId="1742169246">
    <w:abstractNumId w:val="14"/>
  </w:num>
  <w:num w:numId="26" w16cid:durableId="1128206754">
    <w:abstractNumId w:val="14"/>
  </w:num>
  <w:num w:numId="27" w16cid:durableId="926689033">
    <w:abstractNumId w:val="14"/>
  </w:num>
  <w:num w:numId="28" w16cid:durableId="990644062">
    <w:abstractNumId w:val="14"/>
  </w:num>
  <w:num w:numId="29" w16cid:durableId="1602294907">
    <w:abstractNumId w:val="14"/>
  </w:num>
  <w:num w:numId="30" w16cid:durableId="1903902238">
    <w:abstractNumId w:val="14"/>
  </w:num>
  <w:num w:numId="31" w16cid:durableId="1425878787">
    <w:abstractNumId w:val="14"/>
  </w:num>
  <w:num w:numId="32" w16cid:durableId="1255167579">
    <w:abstractNumId w:val="14"/>
  </w:num>
  <w:num w:numId="33" w16cid:durableId="666321089">
    <w:abstractNumId w:val="14"/>
  </w:num>
  <w:num w:numId="34" w16cid:durableId="1797023382">
    <w:abstractNumId w:val="14"/>
  </w:num>
  <w:num w:numId="35" w16cid:durableId="1483153352">
    <w:abstractNumId w:val="14"/>
  </w:num>
  <w:num w:numId="36" w16cid:durableId="1857117185">
    <w:abstractNumId w:val="14"/>
  </w:num>
  <w:num w:numId="37" w16cid:durableId="1510215991">
    <w:abstractNumId w:val="46"/>
  </w:num>
  <w:num w:numId="38" w16cid:durableId="279265510">
    <w:abstractNumId w:val="48"/>
  </w:num>
  <w:num w:numId="39" w16cid:durableId="1757824958">
    <w:abstractNumId w:val="39"/>
  </w:num>
  <w:num w:numId="40" w16cid:durableId="435830731">
    <w:abstractNumId w:val="43"/>
  </w:num>
  <w:num w:numId="41" w16cid:durableId="565846690">
    <w:abstractNumId w:val="31"/>
  </w:num>
  <w:num w:numId="42" w16cid:durableId="1569219526">
    <w:abstractNumId w:val="54"/>
  </w:num>
  <w:num w:numId="43" w16cid:durableId="1622373252">
    <w:abstractNumId w:val="37"/>
  </w:num>
  <w:num w:numId="44" w16cid:durableId="1851487799">
    <w:abstractNumId w:val="30"/>
  </w:num>
  <w:num w:numId="45" w16cid:durableId="1838954193">
    <w:abstractNumId w:val="33"/>
  </w:num>
  <w:num w:numId="46" w16cid:durableId="649211350">
    <w:abstractNumId w:val="52"/>
  </w:num>
  <w:num w:numId="47" w16cid:durableId="814638965">
    <w:abstractNumId w:val="11"/>
  </w:num>
  <w:num w:numId="48" w16cid:durableId="1019888524">
    <w:abstractNumId w:val="22"/>
  </w:num>
  <w:num w:numId="49" w16cid:durableId="607931119">
    <w:abstractNumId w:val="14"/>
  </w:num>
  <w:num w:numId="50" w16cid:durableId="116338471">
    <w:abstractNumId w:val="14"/>
  </w:num>
  <w:num w:numId="51" w16cid:durableId="935747379">
    <w:abstractNumId w:val="14"/>
  </w:num>
  <w:num w:numId="52" w16cid:durableId="1967467807">
    <w:abstractNumId w:val="14"/>
  </w:num>
  <w:num w:numId="53" w16cid:durableId="754130946">
    <w:abstractNumId w:val="14"/>
  </w:num>
  <w:num w:numId="54" w16cid:durableId="873153262">
    <w:abstractNumId w:val="14"/>
  </w:num>
  <w:num w:numId="55" w16cid:durableId="1412695171">
    <w:abstractNumId w:val="14"/>
  </w:num>
  <w:num w:numId="56" w16cid:durableId="1343825816">
    <w:abstractNumId w:val="14"/>
  </w:num>
  <w:num w:numId="57" w16cid:durableId="967397560">
    <w:abstractNumId w:val="14"/>
  </w:num>
  <w:num w:numId="58" w16cid:durableId="1595163163">
    <w:abstractNumId w:val="54"/>
  </w:num>
  <w:num w:numId="59" w16cid:durableId="1115976214">
    <w:abstractNumId w:val="37"/>
  </w:num>
  <w:num w:numId="60" w16cid:durableId="170220185">
    <w:abstractNumId w:val="30"/>
  </w:num>
  <w:num w:numId="61" w16cid:durableId="1594359911">
    <w:abstractNumId w:val="33"/>
  </w:num>
  <w:num w:numId="62" w16cid:durableId="515967579">
    <w:abstractNumId w:val="52"/>
  </w:num>
  <w:num w:numId="63" w16cid:durableId="2147044541">
    <w:abstractNumId w:val="11"/>
  </w:num>
  <w:num w:numId="64" w16cid:durableId="963583461">
    <w:abstractNumId w:val="22"/>
  </w:num>
  <w:num w:numId="65" w16cid:durableId="572472581">
    <w:abstractNumId w:val="29"/>
  </w:num>
  <w:num w:numId="66" w16cid:durableId="606161408">
    <w:abstractNumId w:val="12"/>
  </w:num>
  <w:num w:numId="67" w16cid:durableId="770780779">
    <w:abstractNumId w:val="28"/>
  </w:num>
  <w:num w:numId="68" w16cid:durableId="10491958">
    <w:abstractNumId w:val="35"/>
  </w:num>
  <w:num w:numId="69" w16cid:durableId="1992057494">
    <w:abstractNumId w:val="26"/>
  </w:num>
  <w:num w:numId="70" w16cid:durableId="1475293012">
    <w:abstractNumId w:val="27"/>
  </w:num>
  <w:num w:numId="71" w16cid:durableId="1794666863">
    <w:abstractNumId w:val="26"/>
  </w:num>
  <w:num w:numId="72" w16cid:durableId="2020155578">
    <w:abstractNumId w:val="14"/>
  </w:num>
  <w:num w:numId="73" w16cid:durableId="1109354733">
    <w:abstractNumId w:val="14"/>
  </w:num>
  <w:num w:numId="74" w16cid:durableId="709913085">
    <w:abstractNumId w:val="14"/>
  </w:num>
  <w:num w:numId="75" w16cid:durableId="1595287919">
    <w:abstractNumId w:val="14"/>
  </w:num>
  <w:num w:numId="76" w16cid:durableId="1364742610">
    <w:abstractNumId w:val="14"/>
  </w:num>
  <w:num w:numId="77" w16cid:durableId="542668902">
    <w:abstractNumId w:val="14"/>
  </w:num>
  <w:num w:numId="78" w16cid:durableId="855729296">
    <w:abstractNumId w:val="14"/>
  </w:num>
  <w:num w:numId="79" w16cid:durableId="994995496">
    <w:abstractNumId w:val="14"/>
  </w:num>
  <w:num w:numId="80" w16cid:durableId="1958486043">
    <w:abstractNumId w:val="14"/>
  </w:num>
  <w:num w:numId="81" w16cid:durableId="1596862923">
    <w:abstractNumId w:val="54"/>
  </w:num>
  <w:num w:numId="82" w16cid:durableId="2017221532">
    <w:abstractNumId w:val="22"/>
  </w:num>
  <w:num w:numId="83" w16cid:durableId="729883574">
    <w:abstractNumId w:val="37"/>
  </w:num>
  <w:num w:numId="84" w16cid:durableId="1129086921">
    <w:abstractNumId w:val="30"/>
  </w:num>
  <w:num w:numId="85" w16cid:durableId="542254240">
    <w:abstractNumId w:val="26"/>
  </w:num>
  <w:num w:numId="86" w16cid:durableId="1300653138">
    <w:abstractNumId w:val="27"/>
  </w:num>
  <w:num w:numId="87" w16cid:durableId="1706754882">
    <w:abstractNumId w:val="26"/>
  </w:num>
  <w:num w:numId="88" w16cid:durableId="776759075">
    <w:abstractNumId w:val="11"/>
  </w:num>
  <w:num w:numId="89" w16cid:durableId="1705787150">
    <w:abstractNumId w:val="52"/>
  </w:num>
  <w:num w:numId="90" w16cid:durableId="1241021267">
    <w:abstractNumId w:val="34"/>
  </w:num>
  <w:num w:numId="91" w16cid:durableId="1795783181">
    <w:abstractNumId w:val="35"/>
  </w:num>
  <w:num w:numId="92" w16cid:durableId="233590838">
    <w:abstractNumId w:val="27"/>
  </w:num>
  <w:num w:numId="93" w16cid:durableId="1977947334">
    <w:abstractNumId w:val="22"/>
  </w:num>
  <w:num w:numId="94" w16cid:durableId="349450597">
    <w:abstractNumId w:val="37"/>
  </w:num>
  <w:num w:numId="95" w16cid:durableId="520631938">
    <w:abstractNumId w:val="54"/>
  </w:num>
  <w:num w:numId="96" w16cid:durableId="1265571671">
    <w:abstractNumId w:val="33"/>
  </w:num>
  <w:num w:numId="97" w16cid:durableId="605229978">
    <w:abstractNumId w:val="25"/>
  </w:num>
  <w:num w:numId="98" w16cid:durableId="777262734">
    <w:abstractNumId w:val="25"/>
  </w:num>
  <w:num w:numId="99" w16cid:durableId="132792221">
    <w:abstractNumId w:val="25"/>
  </w:num>
  <w:num w:numId="100" w16cid:durableId="629164023">
    <w:abstractNumId w:val="25"/>
  </w:num>
  <w:num w:numId="101" w16cid:durableId="238682124">
    <w:abstractNumId w:val="25"/>
  </w:num>
  <w:num w:numId="102" w16cid:durableId="57360337">
    <w:abstractNumId w:val="25"/>
  </w:num>
  <w:num w:numId="103" w16cid:durableId="1828396301">
    <w:abstractNumId w:val="25"/>
  </w:num>
  <w:num w:numId="104" w16cid:durableId="851799610">
    <w:abstractNumId w:val="25"/>
  </w:num>
  <w:num w:numId="105" w16cid:durableId="121659880">
    <w:abstractNumId w:val="25"/>
  </w:num>
  <w:num w:numId="106" w16cid:durableId="975379085">
    <w:abstractNumId w:val="25"/>
  </w:num>
  <w:num w:numId="107" w16cid:durableId="1444693919">
    <w:abstractNumId w:val="25"/>
  </w:num>
  <w:num w:numId="108" w16cid:durableId="1497695435">
    <w:abstractNumId w:val="25"/>
  </w:num>
  <w:num w:numId="109" w16cid:durableId="409935166">
    <w:abstractNumId w:val="25"/>
  </w:num>
  <w:num w:numId="110" w16cid:durableId="233860973">
    <w:abstractNumId w:val="14"/>
  </w:num>
  <w:num w:numId="111" w16cid:durableId="173693148">
    <w:abstractNumId w:val="14"/>
  </w:num>
  <w:num w:numId="112" w16cid:durableId="1035696881">
    <w:abstractNumId w:val="14"/>
  </w:num>
  <w:num w:numId="113" w16cid:durableId="1434016559">
    <w:abstractNumId w:val="14"/>
  </w:num>
  <w:num w:numId="114" w16cid:durableId="1910144054">
    <w:abstractNumId w:val="14"/>
  </w:num>
  <w:num w:numId="115" w16cid:durableId="1740976643">
    <w:abstractNumId w:val="14"/>
  </w:num>
  <w:num w:numId="116" w16cid:durableId="1722440416">
    <w:abstractNumId w:val="14"/>
  </w:num>
  <w:num w:numId="117" w16cid:durableId="2138330754">
    <w:abstractNumId w:val="14"/>
  </w:num>
  <w:num w:numId="118" w16cid:durableId="2059814327">
    <w:abstractNumId w:val="14"/>
  </w:num>
  <w:num w:numId="119" w16cid:durableId="840389573">
    <w:abstractNumId w:val="14"/>
  </w:num>
  <w:num w:numId="120" w16cid:durableId="115488770">
    <w:abstractNumId w:val="14"/>
  </w:num>
  <w:num w:numId="121" w16cid:durableId="1639069254">
    <w:abstractNumId w:val="14"/>
  </w:num>
  <w:num w:numId="122" w16cid:durableId="1278105487">
    <w:abstractNumId w:val="14"/>
  </w:num>
  <w:num w:numId="123" w16cid:durableId="1098525577">
    <w:abstractNumId w:val="14"/>
  </w:num>
  <w:num w:numId="124" w16cid:durableId="1625650715">
    <w:abstractNumId w:val="14"/>
  </w:num>
  <w:num w:numId="125" w16cid:durableId="1166898920">
    <w:abstractNumId w:val="14"/>
  </w:num>
  <w:num w:numId="126" w16cid:durableId="2014531955">
    <w:abstractNumId w:val="14"/>
  </w:num>
  <w:num w:numId="127" w16cid:durableId="1842043637">
    <w:abstractNumId w:val="14"/>
  </w:num>
  <w:num w:numId="128" w16cid:durableId="765269189">
    <w:abstractNumId w:val="34"/>
  </w:num>
  <w:num w:numId="129" w16cid:durableId="2069724849">
    <w:abstractNumId w:val="30"/>
  </w:num>
  <w:num w:numId="130" w16cid:durableId="741100710">
    <w:abstractNumId w:val="14"/>
  </w:num>
  <w:num w:numId="131" w16cid:durableId="1161041112">
    <w:abstractNumId w:val="14"/>
  </w:num>
  <w:num w:numId="132" w16cid:durableId="1601912873">
    <w:abstractNumId w:val="14"/>
  </w:num>
  <w:num w:numId="133" w16cid:durableId="559484980">
    <w:abstractNumId w:val="14"/>
  </w:num>
  <w:num w:numId="134" w16cid:durableId="1053191062">
    <w:abstractNumId w:val="14"/>
  </w:num>
  <w:num w:numId="135" w16cid:durableId="860239655">
    <w:abstractNumId w:val="14"/>
  </w:num>
  <w:num w:numId="136" w16cid:durableId="611984154">
    <w:abstractNumId w:val="14"/>
  </w:num>
  <w:num w:numId="137" w16cid:durableId="1378550426">
    <w:abstractNumId w:val="14"/>
  </w:num>
  <w:num w:numId="138" w16cid:durableId="2028825353">
    <w:abstractNumId w:val="14"/>
  </w:num>
  <w:num w:numId="139" w16cid:durableId="83459859">
    <w:abstractNumId w:val="54"/>
  </w:num>
  <w:num w:numId="140" w16cid:durableId="1071384913">
    <w:abstractNumId w:val="22"/>
  </w:num>
  <w:num w:numId="141" w16cid:durableId="216094588">
    <w:abstractNumId w:val="37"/>
  </w:num>
  <w:num w:numId="142" w16cid:durableId="1862354779">
    <w:abstractNumId w:val="33"/>
  </w:num>
  <w:num w:numId="143" w16cid:durableId="1019624589">
    <w:abstractNumId w:val="35"/>
  </w:num>
  <w:num w:numId="144" w16cid:durableId="607588616">
    <w:abstractNumId w:val="52"/>
  </w:num>
  <w:num w:numId="145" w16cid:durableId="364990177">
    <w:abstractNumId w:val="34"/>
  </w:num>
  <w:num w:numId="146" w16cid:durableId="1355577974">
    <w:abstractNumId w:val="26"/>
  </w:num>
  <w:num w:numId="147" w16cid:durableId="1408454581">
    <w:abstractNumId w:val="27"/>
  </w:num>
  <w:num w:numId="148" w16cid:durableId="560018089">
    <w:abstractNumId w:val="11"/>
  </w:num>
  <w:num w:numId="149" w16cid:durableId="822047207">
    <w:abstractNumId w:val="14"/>
  </w:num>
  <w:num w:numId="150" w16cid:durableId="2099281048">
    <w:abstractNumId w:val="45"/>
  </w:num>
  <w:num w:numId="151" w16cid:durableId="451366121">
    <w:abstractNumId w:val="42"/>
  </w:num>
  <w:num w:numId="152" w16cid:durableId="1121001106">
    <w:abstractNumId w:val="27"/>
  </w:num>
  <w:num w:numId="153" w16cid:durableId="1981766538">
    <w:abstractNumId w:val="47"/>
  </w:num>
  <w:num w:numId="154" w16cid:durableId="2013029297">
    <w:abstractNumId w:val="47"/>
  </w:num>
  <w:num w:numId="155" w16cid:durableId="1342514816">
    <w:abstractNumId w:val="47"/>
  </w:num>
  <w:num w:numId="156" w16cid:durableId="891039575">
    <w:abstractNumId w:val="47"/>
  </w:num>
  <w:num w:numId="157" w16cid:durableId="1748579163">
    <w:abstractNumId w:val="23"/>
  </w:num>
  <w:num w:numId="158" w16cid:durableId="1598176171">
    <w:abstractNumId w:val="23"/>
  </w:num>
  <w:num w:numId="159" w16cid:durableId="1645040972">
    <w:abstractNumId w:val="23"/>
  </w:num>
  <w:num w:numId="160" w16cid:durableId="230772753">
    <w:abstractNumId w:val="23"/>
  </w:num>
  <w:num w:numId="161" w16cid:durableId="1507399559">
    <w:abstractNumId w:val="36"/>
  </w:num>
  <w:num w:numId="162" w16cid:durableId="1504275484">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1166287014">
    <w:abstractNumId w:val="17"/>
  </w:num>
  <w:num w:numId="164" w16cid:durableId="1016736169">
    <w:abstractNumId w:val="19"/>
  </w:num>
  <w:num w:numId="165" w16cid:durableId="1845431883">
    <w:abstractNumId w:val="24"/>
  </w:num>
  <w:num w:numId="166" w16cid:durableId="2040741061">
    <w:abstractNumId w:val="53"/>
  </w:num>
  <w:num w:numId="167" w16cid:durableId="119694918">
    <w:abstractNumId w:val="18"/>
  </w:num>
  <w:num w:numId="168" w16cid:durableId="1779980967">
    <w:abstractNumId w:val="44"/>
  </w:num>
  <w:num w:numId="169" w16cid:durableId="190535049">
    <w:abstractNumId w:val="16"/>
  </w:num>
  <w:num w:numId="170" w16cid:durableId="1133986228">
    <w:abstractNumId w:val="20"/>
  </w:num>
  <w:num w:numId="171" w16cid:durableId="1398212270">
    <w:abstractNumId w:val="15"/>
  </w:num>
  <w:num w:numId="172" w16cid:durableId="204335686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E566B6"/>
    <w:rsid w:val="00210CAA"/>
    <w:rsid w:val="009D0A73"/>
    <w:rsid w:val="00E566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3771E2-6E65-4876-A1F9-CB92236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aliases w:val="BVI fnr,Footnote symbol, BVI fnr"/>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1110</Words>
  <Characters>5908</Characters>
  <Application>Microsoft Office Word</Application>
  <DocSecurity>4</DocSecurity>
  <Lines>184</Lines>
  <Paragraphs>97</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6921</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2006-05-09T08:34:00Z</cp:lastPrinted>
  <dcterms:created xsi:type="dcterms:W3CDTF">2025-12-16T23:07:00Z</dcterms:created>
  <dcterms:modified xsi:type="dcterms:W3CDTF">2025-12-16T23:07:00Z</dcterms:modified>
</cp:coreProperties>
</file>