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AF52F5">
        <w:tblPrEx>
          <w:tblCellMar>
            <w:top w:w="0" w:type="dxa"/>
            <w:bottom w:w="0" w:type="dxa"/>
          </w:tblCellMar>
        </w:tblPrEx>
        <w:tc>
          <w:tcPr>
            <w:tcW w:w="2268" w:type="dxa"/>
          </w:tcPr>
          <w:p w:rsidR="006E4E11" w:rsidRPr="00AF52F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F52F5" w:rsidRDefault="006E4E11" w:rsidP="007242A3">
            <w:pPr>
              <w:framePr w:w="5035" w:h="1644" w:wrap="notBeside" w:vAnchor="page" w:hAnchor="page" w:x="6573" w:y="721"/>
              <w:rPr>
                <w:rFonts w:ascii="TradeGothic" w:hAnsi="TradeGothic"/>
                <w:i/>
                <w:sz w:val="18"/>
              </w:rPr>
            </w:pPr>
          </w:p>
        </w:tc>
      </w:tr>
      <w:tr w:rsidR="006E4E11" w:rsidRPr="00AF52F5">
        <w:tblPrEx>
          <w:tblCellMar>
            <w:top w:w="0" w:type="dxa"/>
            <w:bottom w:w="0" w:type="dxa"/>
          </w:tblCellMar>
        </w:tblPrEx>
        <w:tc>
          <w:tcPr>
            <w:tcW w:w="2268" w:type="dxa"/>
          </w:tcPr>
          <w:p w:rsidR="006E4E11" w:rsidRPr="00AF52F5" w:rsidRDefault="00856A3C" w:rsidP="007242A3">
            <w:pPr>
              <w:framePr w:w="5035" w:h="1644" w:wrap="notBeside" w:vAnchor="page" w:hAnchor="page" w:x="6573" w:y="721"/>
              <w:rPr>
                <w:rFonts w:ascii="TradeGothic" w:hAnsi="TradeGothic"/>
                <w:b/>
                <w:sz w:val="22"/>
              </w:rPr>
            </w:pPr>
            <w:r w:rsidRPr="00AF52F5">
              <w:rPr>
                <w:rFonts w:ascii="TradeGothic" w:hAnsi="TradeGothic"/>
                <w:b/>
                <w:sz w:val="22"/>
              </w:rPr>
              <w:t xml:space="preserve">Annoteringar </w:t>
            </w:r>
          </w:p>
        </w:tc>
        <w:tc>
          <w:tcPr>
            <w:tcW w:w="2999" w:type="dxa"/>
            <w:gridSpan w:val="2"/>
          </w:tcPr>
          <w:p w:rsidR="006E4E11" w:rsidRPr="00AF52F5" w:rsidRDefault="006E4E11" w:rsidP="007242A3">
            <w:pPr>
              <w:framePr w:w="5035" w:h="1644" w:wrap="notBeside" w:vAnchor="page" w:hAnchor="page" w:x="6573" w:y="721"/>
              <w:rPr>
                <w:rFonts w:ascii="TradeGothic" w:hAnsi="TradeGothic"/>
                <w:b/>
                <w:sz w:val="22"/>
              </w:rPr>
            </w:pPr>
          </w:p>
        </w:tc>
      </w:tr>
      <w:tr w:rsidR="006E4E11" w:rsidRPr="00AF52F5">
        <w:tblPrEx>
          <w:tblCellMar>
            <w:top w:w="0" w:type="dxa"/>
            <w:bottom w:w="0" w:type="dxa"/>
          </w:tblCellMar>
        </w:tblPrEx>
        <w:tc>
          <w:tcPr>
            <w:tcW w:w="3402" w:type="dxa"/>
            <w:gridSpan w:val="2"/>
          </w:tcPr>
          <w:p w:rsidR="006E4E11" w:rsidRPr="00AF52F5" w:rsidRDefault="006E4E11" w:rsidP="007242A3">
            <w:pPr>
              <w:framePr w:w="5035" w:h="1644" w:wrap="notBeside" w:vAnchor="page" w:hAnchor="page" w:x="6573" w:y="721"/>
            </w:pPr>
          </w:p>
        </w:tc>
        <w:tc>
          <w:tcPr>
            <w:tcW w:w="1865" w:type="dxa"/>
          </w:tcPr>
          <w:p w:rsidR="006E4E11" w:rsidRPr="00AF52F5" w:rsidRDefault="006E4E11" w:rsidP="007242A3">
            <w:pPr>
              <w:framePr w:w="5035" w:h="1644" w:wrap="notBeside" w:vAnchor="page" w:hAnchor="page" w:x="6573" w:y="721"/>
            </w:pPr>
          </w:p>
        </w:tc>
      </w:tr>
      <w:tr w:rsidR="006E4E11" w:rsidRPr="00AF52F5">
        <w:tblPrEx>
          <w:tblCellMar>
            <w:top w:w="0" w:type="dxa"/>
            <w:bottom w:w="0" w:type="dxa"/>
          </w:tblCellMar>
        </w:tblPrEx>
        <w:tc>
          <w:tcPr>
            <w:tcW w:w="2268" w:type="dxa"/>
          </w:tcPr>
          <w:p w:rsidR="006E4E11" w:rsidRPr="00AF52F5" w:rsidRDefault="00856A3C" w:rsidP="007242A3">
            <w:pPr>
              <w:framePr w:w="5035" w:h="1644" w:wrap="notBeside" w:vAnchor="page" w:hAnchor="page" w:x="6573" w:y="721"/>
            </w:pPr>
            <w:r w:rsidRPr="00AF52F5">
              <w:t>20</w:t>
            </w:r>
            <w:r w:rsidR="00557C90" w:rsidRPr="00AF52F5">
              <w:t>10-0</w:t>
            </w:r>
            <w:r w:rsidR="003F4F70" w:rsidRPr="00AF52F5">
              <w:t>3-0</w:t>
            </w:r>
            <w:r w:rsidR="00CB00E0" w:rsidRPr="00AF52F5">
              <w:t>8</w:t>
            </w:r>
          </w:p>
        </w:tc>
        <w:tc>
          <w:tcPr>
            <w:tcW w:w="2999" w:type="dxa"/>
            <w:gridSpan w:val="2"/>
          </w:tcPr>
          <w:p w:rsidR="006E4E11" w:rsidRPr="00AF52F5" w:rsidRDefault="006E4E11" w:rsidP="007242A3">
            <w:pPr>
              <w:framePr w:w="5035" w:h="1644" w:wrap="notBeside" w:vAnchor="page" w:hAnchor="page" w:x="6573" w:y="721"/>
            </w:pPr>
          </w:p>
        </w:tc>
      </w:tr>
      <w:tr w:rsidR="006E4E11" w:rsidRPr="00AF52F5">
        <w:tblPrEx>
          <w:tblCellMar>
            <w:top w:w="0" w:type="dxa"/>
            <w:bottom w:w="0" w:type="dxa"/>
          </w:tblCellMar>
        </w:tblPrEx>
        <w:tc>
          <w:tcPr>
            <w:tcW w:w="2268" w:type="dxa"/>
          </w:tcPr>
          <w:p w:rsidR="006E4E11" w:rsidRPr="00AF52F5" w:rsidRDefault="006E4E11" w:rsidP="007242A3">
            <w:pPr>
              <w:framePr w:w="5035" w:h="1644" w:wrap="notBeside" w:vAnchor="page" w:hAnchor="page" w:x="6573" w:y="721"/>
            </w:pPr>
          </w:p>
        </w:tc>
        <w:tc>
          <w:tcPr>
            <w:tcW w:w="2999" w:type="dxa"/>
            <w:gridSpan w:val="2"/>
          </w:tcPr>
          <w:p w:rsidR="006E4E11" w:rsidRPr="00AF52F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F52F5">
        <w:tblPrEx>
          <w:tblCellMar>
            <w:top w:w="0" w:type="dxa"/>
            <w:bottom w:w="0" w:type="dxa"/>
          </w:tblCellMar>
        </w:tblPrEx>
        <w:trPr>
          <w:trHeight w:val="284"/>
        </w:trPr>
        <w:tc>
          <w:tcPr>
            <w:tcW w:w="4911" w:type="dxa"/>
          </w:tcPr>
          <w:p w:rsidR="006E4E11" w:rsidRPr="00AF52F5" w:rsidRDefault="00856A3C">
            <w:pPr>
              <w:pStyle w:val="Avsndare"/>
              <w:framePr w:h="2483" w:wrap="notBeside" w:x="1504"/>
              <w:rPr>
                <w:b/>
                <w:i w:val="0"/>
                <w:sz w:val="22"/>
              </w:rPr>
            </w:pPr>
            <w:r w:rsidRPr="00AF52F5">
              <w:rPr>
                <w:b/>
                <w:i w:val="0"/>
                <w:sz w:val="22"/>
              </w:rPr>
              <w:t>Finansdepartementet</w:t>
            </w:r>
          </w:p>
        </w:tc>
      </w:tr>
      <w:tr w:rsidR="006E4E11" w:rsidRPr="00AF52F5">
        <w:tblPrEx>
          <w:tblCellMar>
            <w:top w:w="0" w:type="dxa"/>
            <w:bottom w:w="0" w:type="dxa"/>
          </w:tblCellMar>
        </w:tblPrEx>
        <w:trPr>
          <w:trHeight w:val="284"/>
        </w:trPr>
        <w:tc>
          <w:tcPr>
            <w:tcW w:w="4911" w:type="dxa"/>
          </w:tcPr>
          <w:p w:rsidR="006E4E11" w:rsidRPr="00AF52F5" w:rsidRDefault="006E4E11">
            <w:pPr>
              <w:pStyle w:val="Avsndare"/>
              <w:framePr w:h="2483" w:wrap="notBeside" w:x="1504"/>
              <w:rPr>
                <w:bCs/>
                <w:iCs/>
              </w:rPr>
            </w:pPr>
          </w:p>
        </w:tc>
      </w:tr>
      <w:tr w:rsidR="006E4E11" w:rsidRPr="00AF52F5">
        <w:tblPrEx>
          <w:tblCellMar>
            <w:top w:w="0" w:type="dxa"/>
            <w:bottom w:w="0" w:type="dxa"/>
          </w:tblCellMar>
        </w:tblPrEx>
        <w:trPr>
          <w:trHeight w:val="284"/>
        </w:trPr>
        <w:tc>
          <w:tcPr>
            <w:tcW w:w="4911" w:type="dxa"/>
          </w:tcPr>
          <w:p w:rsidR="006E4E11" w:rsidRPr="00AF52F5" w:rsidRDefault="006E4E11">
            <w:pPr>
              <w:pStyle w:val="Avsndare"/>
              <w:framePr w:h="2483" w:wrap="notBeside" w:x="1504"/>
              <w:rPr>
                <w:bCs/>
                <w:iCs/>
              </w:rPr>
            </w:pPr>
          </w:p>
        </w:tc>
      </w:tr>
      <w:tr w:rsidR="006E4E11" w:rsidRPr="00AF52F5">
        <w:tblPrEx>
          <w:tblCellMar>
            <w:top w:w="0" w:type="dxa"/>
            <w:bottom w:w="0" w:type="dxa"/>
          </w:tblCellMar>
        </w:tblPrEx>
        <w:trPr>
          <w:trHeight w:val="284"/>
        </w:trPr>
        <w:tc>
          <w:tcPr>
            <w:tcW w:w="4911" w:type="dxa"/>
          </w:tcPr>
          <w:p w:rsidR="006E4E11" w:rsidRPr="00AF52F5" w:rsidRDefault="00856A3C">
            <w:pPr>
              <w:pStyle w:val="Avsndare"/>
              <w:framePr w:h="2483" w:wrap="notBeside" w:x="1504"/>
              <w:rPr>
                <w:bCs/>
                <w:iCs/>
              </w:rPr>
            </w:pPr>
            <w:r w:rsidRPr="00AF52F5">
              <w:rPr>
                <w:bCs/>
                <w:iCs/>
              </w:rPr>
              <w:t>Peter Holmgren</w:t>
            </w:r>
          </w:p>
        </w:tc>
      </w:tr>
      <w:tr w:rsidR="006E4E11" w:rsidRPr="00AF52F5">
        <w:tblPrEx>
          <w:tblCellMar>
            <w:top w:w="0" w:type="dxa"/>
            <w:bottom w:w="0" w:type="dxa"/>
          </w:tblCellMar>
        </w:tblPrEx>
        <w:trPr>
          <w:trHeight w:val="284"/>
        </w:trPr>
        <w:tc>
          <w:tcPr>
            <w:tcW w:w="4911" w:type="dxa"/>
          </w:tcPr>
          <w:p w:rsidR="006E4E11" w:rsidRPr="00AF52F5" w:rsidRDefault="006E4E11">
            <w:pPr>
              <w:pStyle w:val="Avsndare"/>
              <w:framePr w:h="2483" w:wrap="notBeside" w:x="1504"/>
              <w:rPr>
                <w:bCs/>
                <w:iCs/>
              </w:rPr>
            </w:pPr>
          </w:p>
        </w:tc>
      </w:tr>
      <w:tr w:rsidR="006E4E11" w:rsidRPr="00AF52F5">
        <w:tblPrEx>
          <w:tblCellMar>
            <w:top w:w="0" w:type="dxa"/>
            <w:bottom w:w="0" w:type="dxa"/>
          </w:tblCellMar>
        </w:tblPrEx>
        <w:trPr>
          <w:trHeight w:val="284"/>
        </w:trPr>
        <w:tc>
          <w:tcPr>
            <w:tcW w:w="4911" w:type="dxa"/>
          </w:tcPr>
          <w:p w:rsidR="006E4E11" w:rsidRPr="00AF52F5" w:rsidRDefault="006E4E11">
            <w:pPr>
              <w:pStyle w:val="Avsndare"/>
              <w:framePr w:h="2483" w:wrap="notBeside" w:x="1504"/>
              <w:rPr>
                <w:bCs/>
                <w:iCs/>
              </w:rPr>
            </w:pPr>
          </w:p>
        </w:tc>
      </w:tr>
    </w:tbl>
    <w:p w:rsidR="00856A3C" w:rsidRPr="00AF52F5" w:rsidRDefault="00856A3C">
      <w:pPr>
        <w:framePr w:w="4400" w:h="2523" w:wrap="notBeside" w:vAnchor="page" w:hAnchor="page" w:x="6453" w:y="2445"/>
        <w:ind w:left="142"/>
      </w:pPr>
    </w:p>
    <w:p w:rsidR="00856A3C" w:rsidRPr="00AF52F5" w:rsidRDefault="00856A3C">
      <w:pPr>
        <w:framePr w:w="4400" w:h="2523" w:wrap="notBeside" w:vAnchor="page" w:hAnchor="page" w:x="6453" w:y="2445"/>
        <w:ind w:left="142"/>
      </w:pPr>
    </w:p>
    <w:p w:rsidR="00856A3C" w:rsidRPr="00AF52F5" w:rsidRDefault="00856A3C">
      <w:pPr>
        <w:framePr w:w="4400" w:h="2523" w:wrap="notBeside" w:vAnchor="page" w:hAnchor="page" w:x="6453" w:y="2445"/>
        <w:ind w:left="142"/>
      </w:pPr>
    </w:p>
    <w:p w:rsidR="00D07381" w:rsidRPr="00AF52F5" w:rsidRDefault="00856A3C" w:rsidP="00D07381">
      <w:pPr>
        <w:framePr w:w="4400" w:h="2523" w:wrap="notBeside" w:vAnchor="page" w:hAnchor="page" w:x="6453" w:y="2445"/>
        <w:ind w:left="142"/>
      </w:pPr>
      <w:r w:rsidRPr="00AF52F5">
        <w:t xml:space="preserve">Ekofinrådets möte </w:t>
      </w:r>
      <w:r w:rsidR="00D07381" w:rsidRPr="00AF52F5">
        <w:t>i Bryssel</w:t>
      </w:r>
    </w:p>
    <w:p w:rsidR="006E4E11" w:rsidRPr="00AF52F5" w:rsidRDefault="00856A3C">
      <w:pPr>
        <w:framePr w:w="4400" w:h="2523" w:wrap="notBeside" w:vAnchor="page" w:hAnchor="page" w:x="6453" w:y="2445"/>
        <w:ind w:left="142"/>
      </w:pPr>
      <w:r w:rsidRPr="00AF52F5">
        <w:t xml:space="preserve">den </w:t>
      </w:r>
      <w:r w:rsidR="003615CB" w:rsidRPr="00AF52F5">
        <w:t>1</w:t>
      </w:r>
      <w:r w:rsidR="00E356AC" w:rsidRPr="00AF52F5">
        <w:t xml:space="preserve">6 </w:t>
      </w:r>
      <w:r w:rsidR="003F4F70" w:rsidRPr="00AF52F5">
        <w:t xml:space="preserve">mars </w:t>
      </w:r>
      <w:r w:rsidR="009741D0" w:rsidRPr="00AF52F5">
        <w:t>20</w:t>
      </w:r>
      <w:r w:rsidR="003615CB" w:rsidRPr="00AF52F5">
        <w:t>10</w:t>
      </w:r>
    </w:p>
    <w:p w:rsidR="006E4E11" w:rsidRPr="00AF52F5" w:rsidRDefault="00856A3C" w:rsidP="00856A3C">
      <w:pPr>
        <w:pStyle w:val="RKrubrik"/>
        <w:pBdr>
          <w:bottom w:val="single" w:sz="4" w:space="1" w:color="000000"/>
        </w:pBdr>
        <w:spacing w:before="0" w:after="0"/>
      </w:pPr>
      <w:r w:rsidRPr="00AF52F5">
        <w:t>Kommentera</w:t>
      </w:r>
      <w:r w:rsidR="004706A2" w:rsidRPr="00AF52F5">
        <w:t>d</w:t>
      </w:r>
      <w:r w:rsidRPr="00AF52F5">
        <w:t xml:space="preserve"> dagordning</w:t>
      </w:r>
    </w:p>
    <w:p w:rsidR="006E4E11" w:rsidRPr="00AF52F5" w:rsidRDefault="004706A2">
      <w:pPr>
        <w:pStyle w:val="RKnormal"/>
        <w:rPr>
          <w:sz w:val="20"/>
        </w:rPr>
      </w:pPr>
      <w:r w:rsidRPr="00AF52F5">
        <w:rPr>
          <w:sz w:val="20"/>
        </w:rPr>
        <w:t>- enligt den preliminära dagordning som framkom vid Coreper den</w:t>
      </w:r>
      <w:r w:rsidR="0021408F" w:rsidRPr="00AF52F5">
        <w:rPr>
          <w:sz w:val="20"/>
        </w:rPr>
        <w:t xml:space="preserve"> </w:t>
      </w:r>
      <w:r w:rsidR="00FE7059" w:rsidRPr="00AF52F5">
        <w:rPr>
          <w:sz w:val="20"/>
        </w:rPr>
        <w:t>4 mars</w:t>
      </w:r>
    </w:p>
    <w:p w:rsidR="004706A2" w:rsidRPr="00AF52F5" w:rsidRDefault="004706A2" w:rsidP="00856A3C">
      <w:pPr>
        <w:pStyle w:val="RKnormal"/>
        <w:tabs>
          <w:tab w:val="clear" w:pos="2835"/>
          <w:tab w:val="left" w:pos="1701"/>
        </w:tabs>
        <w:rPr>
          <w:b/>
        </w:rPr>
      </w:pPr>
    </w:p>
    <w:p w:rsidR="006E4E11" w:rsidRPr="00AF52F5" w:rsidRDefault="00856A3C" w:rsidP="00856A3C">
      <w:pPr>
        <w:pStyle w:val="RKnormal"/>
        <w:tabs>
          <w:tab w:val="clear" w:pos="2835"/>
          <w:tab w:val="left" w:pos="1701"/>
        </w:tabs>
        <w:rPr>
          <w:b/>
        </w:rPr>
      </w:pPr>
      <w:r w:rsidRPr="00AF52F5">
        <w:rPr>
          <w:b/>
        </w:rPr>
        <w:t>1.</w:t>
      </w:r>
      <w:r w:rsidRPr="00AF52F5">
        <w:rPr>
          <w:b/>
        </w:rPr>
        <w:tab/>
        <w:t>Antagande av den preliminära dagordningen</w:t>
      </w:r>
    </w:p>
    <w:p w:rsidR="00F7753D" w:rsidRPr="00AF52F5" w:rsidRDefault="00F7753D" w:rsidP="00856A3C">
      <w:pPr>
        <w:pStyle w:val="RKnormal"/>
        <w:tabs>
          <w:tab w:val="clear" w:pos="2835"/>
          <w:tab w:val="left" w:pos="1701"/>
        </w:tabs>
      </w:pPr>
    </w:p>
    <w:p w:rsidR="003C1AB1" w:rsidRPr="00AF52F5" w:rsidRDefault="003C1AB1" w:rsidP="00856A3C">
      <w:pPr>
        <w:pStyle w:val="RKnormal"/>
        <w:tabs>
          <w:tab w:val="clear" w:pos="2835"/>
          <w:tab w:val="left" w:pos="1701"/>
        </w:tabs>
      </w:pPr>
    </w:p>
    <w:p w:rsidR="00856A3C" w:rsidRPr="00AF52F5" w:rsidRDefault="00856A3C" w:rsidP="00856A3C">
      <w:pPr>
        <w:pStyle w:val="RKnormal"/>
        <w:tabs>
          <w:tab w:val="clear" w:pos="2835"/>
          <w:tab w:val="left" w:pos="1701"/>
        </w:tabs>
        <w:rPr>
          <w:b/>
        </w:rPr>
      </w:pPr>
      <w:r w:rsidRPr="00AF52F5">
        <w:rPr>
          <w:b/>
        </w:rPr>
        <w:t>2.</w:t>
      </w:r>
      <w:r w:rsidRPr="00AF52F5">
        <w:rPr>
          <w:b/>
        </w:rPr>
        <w:tab/>
        <w:t>Godkännande av listan över A-punkter</w:t>
      </w:r>
    </w:p>
    <w:p w:rsidR="00856A3C" w:rsidRPr="00AF52F5" w:rsidRDefault="00856A3C" w:rsidP="00856A3C">
      <w:pPr>
        <w:pStyle w:val="RKnormal"/>
        <w:tabs>
          <w:tab w:val="clear" w:pos="2835"/>
          <w:tab w:val="left" w:pos="1701"/>
        </w:tabs>
      </w:pPr>
    </w:p>
    <w:p w:rsidR="009741D0" w:rsidRPr="00AF52F5" w:rsidRDefault="000F7186" w:rsidP="00856A3C">
      <w:pPr>
        <w:pStyle w:val="RKnormal"/>
        <w:tabs>
          <w:tab w:val="clear" w:pos="2835"/>
          <w:tab w:val="left" w:pos="1701"/>
        </w:tabs>
      </w:pPr>
      <w:r w:rsidRPr="00AF52F5">
        <w:t xml:space="preserve">Det finns </w:t>
      </w:r>
      <w:r w:rsidR="004F252D" w:rsidRPr="00AF52F5">
        <w:t xml:space="preserve">ännu </w:t>
      </w:r>
      <w:r w:rsidRPr="00AF52F5">
        <w:t>inga uppgifter om tänkbara a-punkter.</w:t>
      </w:r>
    </w:p>
    <w:p w:rsidR="000F7186" w:rsidRPr="00AF52F5" w:rsidRDefault="000F7186" w:rsidP="00856A3C">
      <w:pPr>
        <w:pStyle w:val="RKnormal"/>
        <w:tabs>
          <w:tab w:val="clear" w:pos="2835"/>
          <w:tab w:val="left" w:pos="1701"/>
        </w:tabs>
      </w:pPr>
    </w:p>
    <w:p w:rsidR="003C1AB1" w:rsidRPr="00AF52F5" w:rsidRDefault="003C1AB1" w:rsidP="00856A3C">
      <w:pPr>
        <w:pStyle w:val="RKnormal"/>
        <w:tabs>
          <w:tab w:val="clear" w:pos="2835"/>
          <w:tab w:val="left" w:pos="1701"/>
        </w:tabs>
      </w:pPr>
    </w:p>
    <w:p w:rsidR="00DD627F" w:rsidRPr="00AF52F5" w:rsidRDefault="009741D0" w:rsidP="00856A3C">
      <w:pPr>
        <w:pStyle w:val="RKnormal"/>
        <w:tabs>
          <w:tab w:val="clear" w:pos="2835"/>
          <w:tab w:val="left" w:pos="1701"/>
        </w:tabs>
        <w:rPr>
          <w:b/>
        </w:rPr>
      </w:pPr>
      <w:r w:rsidRPr="00AF52F5">
        <w:rPr>
          <w:b/>
        </w:rPr>
        <w:t>3.</w:t>
      </w:r>
      <w:r w:rsidRPr="00AF52F5">
        <w:rPr>
          <w:b/>
        </w:rPr>
        <w:tab/>
      </w:r>
      <w:r w:rsidR="003F4F70" w:rsidRPr="00AF52F5">
        <w:rPr>
          <w:b/>
        </w:rPr>
        <w:t xml:space="preserve">Direktiv om </w:t>
      </w:r>
      <w:r w:rsidR="00DD627F" w:rsidRPr="00AF52F5">
        <w:rPr>
          <w:b/>
        </w:rPr>
        <w:t xml:space="preserve">förvaltare av </w:t>
      </w:r>
      <w:r w:rsidR="003F4F70" w:rsidRPr="00AF52F5">
        <w:rPr>
          <w:b/>
        </w:rPr>
        <w:t>alternativa</w:t>
      </w:r>
    </w:p>
    <w:p w:rsidR="001F2632" w:rsidRPr="00AF52F5" w:rsidRDefault="00DD627F" w:rsidP="00856A3C">
      <w:pPr>
        <w:pStyle w:val="RKnormal"/>
        <w:tabs>
          <w:tab w:val="clear" w:pos="2835"/>
          <w:tab w:val="left" w:pos="1701"/>
        </w:tabs>
        <w:rPr>
          <w:b/>
        </w:rPr>
      </w:pPr>
      <w:r w:rsidRPr="00AF52F5">
        <w:rPr>
          <w:b/>
        </w:rPr>
        <w:t xml:space="preserve">                            </w:t>
      </w:r>
      <w:r w:rsidR="003F4F70" w:rsidRPr="00AF52F5">
        <w:rPr>
          <w:b/>
        </w:rPr>
        <w:t>investeringsfonder</w:t>
      </w:r>
    </w:p>
    <w:p w:rsidR="009741D0" w:rsidRPr="00AF52F5" w:rsidRDefault="009741D0" w:rsidP="00856A3C">
      <w:pPr>
        <w:pStyle w:val="RKnormal"/>
        <w:tabs>
          <w:tab w:val="clear" w:pos="2835"/>
          <w:tab w:val="left" w:pos="1701"/>
        </w:tabs>
        <w:rPr>
          <w:i/>
        </w:rPr>
      </w:pPr>
      <w:r w:rsidRPr="00AF52F5">
        <w:rPr>
          <w:i/>
        </w:rPr>
        <w:tab/>
        <w:t xml:space="preserve">- </w:t>
      </w:r>
      <w:r w:rsidR="003F4F70" w:rsidRPr="00AF52F5">
        <w:rPr>
          <w:i/>
        </w:rPr>
        <w:t>allmän inriktning</w:t>
      </w:r>
    </w:p>
    <w:p w:rsidR="00872208" w:rsidRPr="00AF52F5" w:rsidRDefault="00872208" w:rsidP="00A047D1">
      <w:pPr>
        <w:rPr>
          <w:sz w:val="23"/>
          <w:szCs w:val="23"/>
        </w:rPr>
      </w:pPr>
    </w:p>
    <w:p w:rsidR="003C1AB1" w:rsidRPr="00AF52F5" w:rsidRDefault="003C1AB1" w:rsidP="003C1AB1">
      <w:pPr>
        <w:pStyle w:val="RKnormal"/>
        <w:rPr>
          <w:lang w:eastAsia="sv-SE"/>
        </w:rPr>
      </w:pPr>
      <w:r w:rsidRPr="00AF52F5">
        <w:rPr>
          <w:lang w:eastAsia="sv-SE"/>
        </w:rPr>
        <w:t xml:space="preserve">Ekofinrådet ska nå en allmän inriktning om ett kompromissförslag från det spanska ordförandeskapet rörande </w:t>
      </w:r>
      <w:r w:rsidR="00CD5048" w:rsidRPr="00AF52F5">
        <w:rPr>
          <w:lang w:eastAsia="sv-SE"/>
        </w:rPr>
        <w:t xml:space="preserve">direktivet om </w:t>
      </w:r>
      <w:r w:rsidR="00DD627F" w:rsidRPr="00AF52F5">
        <w:rPr>
          <w:lang w:eastAsia="sv-SE"/>
        </w:rPr>
        <w:t xml:space="preserve">förvaltare av </w:t>
      </w:r>
      <w:r w:rsidRPr="00AF52F5">
        <w:rPr>
          <w:lang w:eastAsia="sv-SE"/>
        </w:rPr>
        <w:t>alternativa investeringsfonder.</w:t>
      </w:r>
    </w:p>
    <w:p w:rsidR="003C1AB1" w:rsidRPr="00AF52F5" w:rsidRDefault="003C1AB1" w:rsidP="003C1AB1">
      <w:pPr>
        <w:pStyle w:val="RKnormal"/>
        <w:rPr>
          <w:lang w:eastAsia="sv-SE"/>
        </w:rPr>
      </w:pPr>
    </w:p>
    <w:p w:rsidR="003C1AB1" w:rsidRPr="00AF52F5" w:rsidRDefault="003C1AB1" w:rsidP="003C1AB1">
      <w:pPr>
        <w:pStyle w:val="RKnormal"/>
        <w:rPr>
          <w:lang w:eastAsia="sv-SE"/>
        </w:rPr>
      </w:pPr>
      <w:r w:rsidRPr="00AF52F5">
        <w:rPr>
          <w:lang w:eastAsia="sv-SE"/>
        </w:rPr>
        <w:t xml:space="preserve">Kommissionen lade våren 2009 fram förslaget om ett direktiv om reglering av förvaltare av alternativa investeringsfonder. Förslaget innebär att </w:t>
      </w:r>
      <w:r w:rsidRPr="00AF52F5">
        <w:rPr>
          <w:i/>
          <w:iCs/>
          <w:lang w:eastAsia="sv-SE"/>
        </w:rPr>
        <w:t>förvaltare</w:t>
      </w:r>
      <w:r w:rsidRPr="00AF52F5">
        <w:rPr>
          <w:lang w:eastAsia="sv-SE"/>
        </w:rPr>
        <w:t xml:space="preserve"> av alternativa investeringsfonder regleras. Krav på tillstånd ska gälla för sådana förvaltare och de ska stå under finansiell tillsyn. Förslaget omfattar förvaltare av fonder såsom </w:t>
      </w:r>
      <w:r w:rsidRPr="00AF52F5">
        <w:rPr>
          <w:i/>
          <w:lang w:eastAsia="sv-SE"/>
        </w:rPr>
        <w:t>hedgefonder</w:t>
      </w:r>
      <w:r w:rsidRPr="00AF52F5">
        <w:rPr>
          <w:lang w:eastAsia="sv-SE"/>
        </w:rPr>
        <w:t>, riskkapitalfonder (</w:t>
      </w:r>
      <w:r w:rsidRPr="00AF52F5">
        <w:rPr>
          <w:i/>
          <w:iCs/>
          <w:lang w:eastAsia="sv-SE"/>
        </w:rPr>
        <w:t>private equity</w:t>
      </w:r>
      <w:r w:rsidRPr="00AF52F5">
        <w:rPr>
          <w:lang w:eastAsia="sv-SE"/>
        </w:rPr>
        <w:t>) och fastighetsfonder. Dessa fonder är i dag inte reglerade på EU-nivå (de omfattas inte av det s.k. UCITS-direktivet) och marknadsförs ofta främst till professionella investerare (t.ex. finansiella företag och institutionella investerare).</w:t>
      </w:r>
      <w:r w:rsidR="00697A9D" w:rsidRPr="00AF52F5">
        <w:rPr>
          <w:lang w:eastAsia="sv-SE"/>
        </w:rPr>
        <w:t xml:space="preserve"> Förslaget beskrivs i faktapromemoria 2008/09:</w:t>
      </w:r>
      <w:r w:rsidR="00DD627F" w:rsidRPr="00AF52F5">
        <w:rPr>
          <w:lang w:eastAsia="sv-SE"/>
        </w:rPr>
        <w:t>FPM</w:t>
      </w:r>
      <w:r w:rsidR="00697A9D" w:rsidRPr="00AF52F5">
        <w:rPr>
          <w:lang w:eastAsia="sv-SE"/>
        </w:rPr>
        <w:t>130.</w:t>
      </w:r>
    </w:p>
    <w:p w:rsidR="003C1AB1" w:rsidRPr="00AF52F5" w:rsidRDefault="003C1AB1" w:rsidP="003C1AB1">
      <w:pPr>
        <w:pStyle w:val="RKnormal"/>
        <w:rPr>
          <w:lang w:eastAsia="sv-SE"/>
        </w:rPr>
      </w:pPr>
    </w:p>
    <w:p w:rsidR="003C1AB1" w:rsidRPr="00AF52F5" w:rsidRDefault="003C1AB1" w:rsidP="003C1AB1">
      <w:pPr>
        <w:pStyle w:val="RKnormal"/>
        <w:rPr>
          <w:lang w:eastAsia="sv-SE"/>
        </w:rPr>
      </w:pPr>
      <w:r w:rsidRPr="00AF52F5">
        <w:rPr>
          <w:lang w:eastAsia="sv-SE"/>
        </w:rPr>
        <w:t xml:space="preserve">Förhandlingarna i rådet pågår </w:t>
      </w:r>
      <w:r w:rsidR="00245E32" w:rsidRPr="00AF52F5">
        <w:rPr>
          <w:lang w:eastAsia="sv-SE"/>
        </w:rPr>
        <w:t xml:space="preserve">i skrivande stund </w:t>
      </w:r>
      <w:r w:rsidRPr="00AF52F5">
        <w:rPr>
          <w:lang w:eastAsia="sv-SE"/>
        </w:rPr>
        <w:t>(behandlas av Coreper den 4 och den 10 mars). Om det i de återstående diskussionerna i rådet inte görs några avgörande ändringar i förslaget bör regeringen kunna ge sitt stöd till att anta kompromissförslaget som en allmän inriktning.</w:t>
      </w:r>
    </w:p>
    <w:p w:rsidR="007F35AD" w:rsidRPr="00AF52F5" w:rsidRDefault="007F35AD" w:rsidP="007F35AD">
      <w:pPr>
        <w:tabs>
          <w:tab w:val="left" w:pos="1701"/>
        </w:tabs>
        <w:spacing w:line="240" w:lineRule="atLeast"/>
        <w:rPr>
          <w:rFonts w:cs="OrigGarmnd BT"/>
          <w:color w:val="000000"/>
          <w:lang w:eastAsia="sv-SE"/>
        </w:rPr>
      </w:pPr>
    </w:p>
    <w:p w:rsidR="007F35AD" w:rsidRPr="00AF52F5" w:rsidRDefault="007F35AD" w:rsidP="007F35AD">
      <w:pPr>
        <w:pStyle w:val="RKnormal"/>
      </w:pPr>
    </w:p>
    <w:p w:rsidR="00557C90" w:rsidRPr="00AF52F5" w:rsidRDefault="00BC762F" w:rsidP="00856A3C">
      <w:pPr>
        <w:pStyle w:val="RKnormal"/>
        <w:tabs>
          <w:tab w:val="clear" w:pos="2835"/>
          <w:tab w:val="left" w:pos="1701"/>
        </w:tabs>
      </w:pPr>
      <w:r w:rsidRPr="00AF52F5">
        <w:rPr>
          <w:b/>
        </w:rPr>
        <w:t>4</w:t>
      </w:r>
      <w:r w:rsidR="00856A3C" w:rsidRPr="00AF52F5">
        <w:rPr>
          <w:b/>
        </w:rPr>
        <w:t>.</w:t>
      </w:r>
      <w:r w:rsidR="00856A3C" w:rsidRPr="00AF52F5">
        <w:rPr>
          <w:b/>
        </w:rPr>
        <w:tab/>
      </w:r>
      <w:r w:rsidR="003F4F70" w:rsidRPr="00AF52F5">
        <w:rPr>
          <w:b/>
        </w:rPr>
        <w:t>Faktureringsdirektivet på momsområdet</w:t>
      </w:r>
    </w:p>
    <w:p w:rsidR="00557C90" w:rsidRPr="00AF52F5" w:rsidRDefault="003F4F70" w:rsidP="00856A3C">
      <w:pPr>
        <w:pStyle w:val="RKnormal"/>
        <w:tabs>
          <w:tab w:val="clear" w:pos="2835"/>
          <w:tab w:val="left" w:pos="1701"/>
        </w:tabs>
        <w:rPr>
          <w:i/>
        </w:rPr>
      </w:pPr>
      <w:r w:rsidRPr="00AF52F5">
        <w:rPr>
          <w:i/>
        </w:rPr>
        <w:tab/>
        <w:t>- allmän inriktning</w:t>
      </w:r>
    </w:p>
    <w:p w:rsidR="00872208" w:rsidRPr="00AF52F5" w:rsidRDefault="00872208" w:rsidP="00872208">
      <w:pPr>
        <w:pStyle w:val="RKnormal"/>
      </w:pPr>
    </w:p>
    <w:p w:rsidR="00872208" w:rsidRPr="00AF52F5" w:rsidRDefault="00245E32" w:rsidP="00872208">
      <w:pPr>
        <w:pStyle w:val="RKnormal"/>
      </w:pPr>
      <w:r w:rsidRPr="00AF52F5">
        <w:t>Ekofinr</w:t>
      </w:r>
      <w:r w:rsidR="00872208" w:rsidRPr="00AF52F5">
        <w:t xml:space="preserve">ådet ska nå en politisk överenskommelse rörande kommissionen direktivförslag om att förenkla och modernisera momsreglerna för fakturor. </w:t>
      </w:r>
    </w:p>
    <w:p w:rsidR="00872208" w:rsidRPr="00AF52F5" w:rsidRDefault="00872208" w:rsidP="00872208">
      <w:pPr>
        <w:pStyle w:val="RKnormal"/>
      </w:pPr>
    </w:p>
    <w:p w:rsidR="00872208" w:rsidRPr="00AF52F5" w:rsidRDefault="00872208" w:rsidP="00872208">
      <w:pPr>
        <w:pStyle w:val="RKnormal"/>
      </w:pPr>
      <w:r w:rsidRPr="00AF52F5">
        <w:t>Förslaget innebär större harmonisering och modernisering av momsreglerna för fakturering. Det nuvarande regelverket är fragmenterat och utgör bland annat ett hinder för gränsöverskridande elektronisk fakturering. Förslaget syftar bland annat till att underlätta gränsöverskridande elektronisk fakturering. Förslaget beskrivs i faktapromemoria 2008/09:</w:t>
      </w:r>
      <w:r w:rsidR="00DD627F" w:rsidRPr="00AF52F5">
        <w:t>FPM</w:t>
      </w:r>
      <w:r w:rsidRPr="00AF52F5">
        <w:t xml:space="preserve">102. </w:t>
      </w:r>
    </w:p>
    <w:p w:rsidR="00872208" w:rsidRPr="00AF52F5" w:rsidRDefault="00872208" w:rsidP="00872208">
      <w:pPr>
        <w:pStyle w:val="RKnormal"/>
      </w:pPr>
    </w:p>
    <w:p w:rsidR="00872208" w:rsidRPr="00AF52F5" w:rsidRDefault="00872208" w:rsidP="00872208">
      <w:pPr>
        <w:pStyle w:val="RKnormal"/>
      </w:pPr>
      <w:r w:rsidRPr="00AF52F5">
        <w:rPr>
          <w:szCs w:val="24"/>
        </w:rPr>
        <w:t>Det spanska ordförandeskapet har presenterat ett kompromissförslag som innebär att vissa teknikneutrala krav gäller för alla typer av fakturor i momshänseende. Ordförandeskapet planerar att ta upp kompromissförslaget vid Ekofinrådets möte den 16 mars för en politisk överenskommelse. Punkten är uppsatt som allmän inriktning på agendan eftersom parlamentet inte har lämnat sina synpunkter på texten.</w:t>
      </w:r>
    </w:p>
    <w:p w:rsidR="00872208" w:rsidRPr="00AF52F5" w:rsidRDefault="00872208" w:rsidP="00872208">
      <w:pPr>
        <w:pStyle w:val="RKnormal"/>
      </w:pPr>
    </w:p>
    <w:p w:rsidR="00872208" w:rsidRPr="00AF52F5" w:rsidRDefault="00872208" w:rsidP="00872208">
      <w:pPr>
        <w:pStyle w:val="RKnormal"/>
      </w:pPr>
      <w:r w:rsidRPr="00AF52F5">
        <w:t>Regeringen är generellt positivt till kompromissförslaget från det spanska ordförandeskapet. Det ligger i linje med regeringens och EU:s mål att minska den administrativa bördan för företag och utgör en rimlig avvägning mellan målet att förenkla för företagen och myndigheternas behov av kontroll. De nya harmoniserade kraven i momshänseende motsvarar i princip befintliga krav i den svenska bokföringslagstiftningen och medför därför inte någon ökad administrativ börda för svenska företag.</w:t>
      </w:r>
    </w:p>
    <w:p w:rsidR="003F4F70" w:rsidRPr="00AF52F5" w:rsidRDefault="003F4F70" w:rsidP="00856A3C">
      <w:pPr>
        <w:pStyle w:val="RKnormal"/>
        <w:tabs>
          <w:tab w:val="clear" w:pos="2835"/>
          <w:tab w:val="left" w:pos="1701"/>
        </w:tabs>
        <w:rPr>
          <w:b/>
        </w:rPr>
      </w:pPr>
    </w:p>
    <w:p w:rsidR="003F4F70" w:rsidRPr="00AF52F5" w:rsidRDefault="003F4F70" w:rsidP="00856A3C">
      <w:pPr>
        <w:pStyle w:val="RKnormal"/>
        <w:tabs>
          <w:tab w:val="clear" w:pos="2835"/>
          <w:tab w:val="left" w:pos="1701"/>
        </w:tabs>
        <w:rPr>
          <w:b/>
        </w:rPr>
      </w:pPr>
    </w:p>
    <w:p w:rsidR="002603B7" w:rsidRPr="00AF52F5" w:rsidRDefault="00BC762F" w:rsidP="00856A3C">
      <w:pPr>
        <w:pStyle w:val="RKnormal"/>
        <w:tabs>
          <w:tab w:val="clear" w:pos="2835"/>
          <w:tab w:val="left" w:pos="1701"/>
        </w:tabs>
        <w:rPr>
          <w:b/>
        </w:rPr>
      </w:pPr>
      <w:r w:rsidRPr="00AF52F5">
        <w:rPr>
          <w:b/>
        </w:rPr>
        <w:t>5</w:t>
      </w:r>
      <w:r w:rsidR="00856A3C" w:rsidRPr="00AF52F5">
        <w:rPr>
          <w:b/>
        </w:rPr>
        <w:t>.</w:t>
      </w:r>
      <w:r w:rsidR="009741D0" w:rsidRPr="00AF52F5">
        <w:rPr>
          <w:b/>
        </w:rPr>
        <w:tab/>
      </w:r>
      <w:r w:rsidR="002603B7" w:rsidRPr="00AF52F5">
        <w:rPr>
          <w:b/>
        </w:rPr>
        <w:t>Genomförande av Stabilitetspakten</w:t>
      </w:r>
    </w:p>
    <w:p w:rsidR="00856A3C" w:rsidRPr="00AF52F5" w:rsidRDefault="002603B7" w:rsidP="00856A3C">
      <w:pPr>
        <w:pStyle w:val="RKnormal"/>
        <w:tabs>
          <w:tab w:val="clear" w:pos="2835"/>
          <w:tab w:val="left" w:pos="1701"/>
        </w:tabs>
        <w:rPr>
          <w:i/>
        </w:rPr>
      </w:pPr>
      <w:r w:rsidRPr="00AF52F5">
        <w:rPr>
          <w:i/>
        </w:rPr>
        <w:tab/>
        <w:t>- utvärdering av den grekiska skuldsaneringen</w:t>
      </w:r>
      <w:r w:rsidR="00D27F9E" w:rsidRPr="00AF52F5">
        <w:rPr>
          <w:i/>
        </w:rPr>
        <w:t xml:space="preserve"> </w:t>
      </w:r>
    </w:p>
    <w:p w:rsidR="00C8443D" w:rsidRPr="00AF52F5" w:rsidRDefault="00C8443D" w:rsidP="00C8443D">
      <w:pPr>
        <w:pStyle w:val="RKnormal"/>
      </w:pPr>
    </w:p>
    <w:p w:rsidR="00D2603D" w:rsidRPr="00AF52F5" w:rsidRDefault="00D2603D" w:rsidP="00D2603D">
      <w:r w:rsidRPr="00AF52F5">
        <w:t xml:space="preserve">Ekofinrådet ska diskutera de åtgärder som Grekland planerar att genomföra för att korrigera det alltför stora budgetunderskottet, mot bakgrund av en rapport från </w:t>
      </w:r>
      <w:r w:rsidR="002603B7" w:rsidRPr="00AF52F5">
        <w:t>k</w:t>
      </w:r>
      <w:r w:rsidRPr="00AF52F5">
        <w:t xml:space="preserve">ommissionen. Grekland är i underskottsförfarande sedan i april ifjol och har fått fram till 2012 på sig för att korrigera underskottet. Grekland behöver genomföra mycket kraftiga åtgärder för att komma till rätta med underskottet som är tvåsiffrigt. De stora utmaningar som Grekland står inför har bidragit till att </w:t>
      </w:r>
      <w:r w:rsidR="002603B7" w:rsidRPr="00AF52F5">
        <w:t>k</w:t>
      </w:r>
      <w:r w:rsidRPr="00AF52F5">
        <w:t>ommissionen har valt att ha en mer omfattande uppföljning än normalt. Ett först steg i denna process är att den grekiska regeringen ska sammanställa en rapport där de ska redovisa en tidsplan för genomförandet av de åtgärder som krävs för att klara konsolideringen 2010. Kommissionen och finansministrarna kommer sedan att göra en bedömning av om man anser att åtgärderna är tillräckliga eller inte.</w:t>
      </w:r>
    </w:p>
    <w:p w:rsidR="00D2603D" w:rsidRPr="00AF52F5" w:rsidRDefault="00D2603D" w:rsidP="00D2603D">
      <w:r w:rsidRPr="00AF52F5">
        <w:t xml:space="preserve"> </w:t>
      </w:r>
    </w:p>
    <w:p w:rsidR="00D2603D" w:rsidRPr="00AF52F5" w:rsidRDefault="00D2603D" w:rsidP="00D2603D">
      <w:pPr>
        <w:pStyle w:val="RKnormal"/>
      </w:pPr>
      <w:r w:rsidRPr="00AF52F5">
        <w:t xml:space="preserve">Regeringen välkomnar det omfattande åtgärdspaket som </w:t>
      </w:r>
      <w:r w:rsidR="002603B7" w:rsidRPr="00AF52F5">
        <w:t>k</w:t>
      </w:r>
      <w:r w:rsidRPr="00AF52F5">
        <w:t xml:space="preserve">ommissionen riktat till Grekland med tillhörande granskning och uppföljning av den ekonomiska politiken. Det är centralt att Grekland kommer till rätta med det alltför stora budgetunderskottet och åtgärdar strukturpolitiken i syfte att öka den långsiktiga tillväxtförmågan. </w:t>
      </w:r>
    </w:p>
    <w:p w:rsidR="00D2603D" w:rsidRPr="00AF52F5" w:rsidRDefault="00D2603D" w:rsidP="00C8443D">
      <w:pPr>
        <w:pStyle w:val="RKnormal"/>
      </w:pPr>
    </w:p>
    <w:p w:rsidR="00F01816" w:rsidRPr="00AF52F5" w:rsidRDefault="00F01816" w:rsidP="00856A3C">
      <w:pPr>
        <w:pStyle w:val="RKnormal"/>
        <w:tabs>
          <w:tab w:val="clear" w:pos="2835"/>
          <w:tab w:val="left" w:pos="1701"/>
        </w:tabs>
      </w:pPr>
    </w:p>
    <w:p w:rsidR="009A31DC" w:rsidRPr="00AF52F5" w:rsidRDefault="00BE2767" w:rsidP="00856A3C">
      <w:pPr>
        <w:pStyle w:val="RKnormal"/>
        <w:tabs>
          <w:tab w:val="clear" w:pos="2835"/>
          <w:tab w:val="left" w:pos="1701"/>
        </w:tabs>
        <w:rPr>
          <w:b/>
        </w:rPr>
      </w:pPr>
      <w:r w:rsidRPr="00AF52F5">
        <w:rPr>
          <w:b/>
        </w:rPr>
        <w:t xml:space="preserve">6. </w:t>
      </w:r>
      <w:r w:rsidR="002603B7" w:rsidRPr="00AF52F5">
        <w:rPr>
          <w:b/>
        </w:rPr>
        <w:tab/>
        <w:t>Förberedelser inför Europeiska rådet</w:t>
      </w:r>
    </w:p>
    <w:p w:rsidR="002603B7" w:rsidRPr="00AF52F5" w:rsidRDefault="002603B7" w:rsidP="00856A3C">
      <w:pPr>
        <w:pStyle w:val="RKnormal"/>
        <w:tabs>
          <w:tab w:val="clear" w:pos="2835"/>
          <w:tab w:val="left" w:pos="1701"/>
        </w:tabs>
        <w:rPr>
          <w:b/>
        </w:rPr>
      </w:pPr>
    </w:p>
    <w:p w:rsidR="002603B7" w:rsidRPr="00AF52F5" w:rsidRDefault="002603B7" w:rsidP="00856A3C">
      <w:pPr>
        <w:pStyle w:val="RKnormal"/>
        <w:tabs>
          <w:tab w:val="clear" w:pos="2835"/>
          <w:tab w:val="left" w:pos="1701"/>
        </w:tabs>
        <w:rPr>
          <w:b/>
        </w:rPr>
      </w:pPr>
      <w:r w:rsidRPr="00AF52F5">
        <w:rPr>
          <w:b/>
        </w:rPr>
        <w:t>6.1   E</w:t>
      </w:r>
      <w:r w:rsidR="00284009" w:rsidRPr="00AF52F5">
        <w:rPr>
          <w:b/>
        </w:rPr>
        <w:t xml:space="preserve">uropa </w:t>
      </w:r>
      <w:r w:rsidRPr="00AF52F5">
        <w:rPr>
          <w:b/>
        </w:rPr>
        <w:t>2020</w:t>
      </w:r>
    </w:p>
    <w:p w:rsidR="002603B7" w:rsidRPr="00AF52F5" w:rsidRDefault="002603B7" w:rsidP="00856A3C">
      <w:pPr>
        <w:pStyle w:val="RKnormal"/>
        <w:tabs>
          <w:tab w:val="clear" w:pos="2835"/>
          <w:tab w:val="left" w:pos="1701"/>
        </w:tabs>
        <w:rPr>
          <w:i/>
        </w:rPr>
      </w:pPr>
      <w:r w:rsidRPr="00AF52F5">
        <w:rPr>
          <w:i/>
        </w:rPr>
        <w:t xml:space="preserve">         - rådets slutsatser</w:t>
      </w:r>
    </w:p>
    <w:p w:rsidR="00E46B06" w:rsidRPr="00AF52F5" w:rsidRDefault="00E46B06" w:rsidP="00856A3C">
      <w:pPr>
        <w:pStyle w:val="RKnormal"/>
        <w:tabs>
          <w:tab w:val="clear" w:pos="2835"/>
          <w:tab w:val="left" w:pos="1701"/>
        </w:tabs>
      </w:pPr>
    </w:p>
    <w:p w:rsidR="002603B7" w:rsidRPr="00AF52F5" w:rsidRDefault="00E46B06" w:rsidP="00856A3C">
      <w:pPr>
        <w:pStyle w:val="RKnormal"/>
        <w:tabs>
          <w:tab w:val="clear" w:pos="2835"/>
          <w:tab w:val="left" w:pos="1701"/>
        </w:tabs>
      </w:pPr>
      <w:r w:rsidRPr="00AF52F5">
        <w:t xml:space="preserve">Ekofinrådet ska anta slutsatser </w:t>
      </w:r>
      <w:r w:rsidR="009955E3" w:rsidRPr="00AF52F5">
        <w:t xml:space="preserve">om EU:s nya strategi för tillväxt och sysselsättning – Europa 2020. Slutsatserna baseras på kommissionens meddelande: </w:t>
      </w:r>
      <w:r w:rsidR="00E52F06" w:rsidRPr="00AF52F5">
        <w:t>”</w:t>
      </w:r>
      <w:r w:rsidR="00284009" w:rsidRPr="00AF52F5">
        <w:t>Europa 2020 – en strategi för smart</w:t>
      </w:r>
      <w:r w:rsidR="00E52F06" w:rsidRPr="00AF52F5">
        <w:t xml:space="preserve"> och </w:t>
      </w:r>
      <w:r w:rsidR="00284009" w:rsidRPr="00AF52F5">
        <w:t>uthållig</w:t>
      </w:r>
      <w:r w:rsidR="00E52F06" w:rsidRPr="00AF52F5">
        <w:t xml:space="preserve"> tillväxt för alla” </w:t>
      </w:r>
      <w:r w:rsidR="009955E3" w:rsidRPr="00AF52F5">
        <w:t>som underlag för Europeiska rådets diskussions om den övergripande inriktningen av Europa 2020.</w:t>
      </w:r>
      <w:r w:rsidR="00284009" w:rsidRPr="00AF52F5">
        <w:t xml:space="preserve"> </w:t>
      </w:r>
    </w:p>
    <w:p w:rsidR="00E46B06" w:rsidRPr="00AF52F5" w:rsidRDefault="00E46B06" w:rsidP="00856A3C">
      <w:pPr>
        <w:pStyle w:val="RKnormal"/>
        <w:tabs>
          <w:tab w:val="clear" w:pos="2835"/>
          <w:tab w:val="left" w:pos="1701"/>
        </w:tabs>
        <w:rPr>
          <w:b/>
        </w:rPr>
      </w:pPr>
    </w:p>
    <w:p w:rsidR="009955E3" w:rsidRPr="00AF52F5" w:rsidRDefault="009955E3" w:rsidP="009955E3">
      <w:pPr>
        <w:tabs>
          <w:tab w:val="left" w:pos="1701"/>
        </w:tabs>
        <w:spacing w:line="240" w:lineRule="atLeast"/>
        <w:rPr>
          <w:rFonts w:cs="OrigGarmnd BT"/>
          <w:color w:val="000000"/>
          <w:lang w:eastAsia="sv-SE"/>
        </w:rPr>
      </w:pPr>
      <w:r w:rsidRPr="00AF52F5">
        <w:rPr>
          <w:rFonts w:cs="OrigGarmnd BT"/>
          <w:color w:val="000000"/>
          <w:lang w:eastAsia="sv-SE"/>
        </w:rPr>
        <w:t>Kommissionens meddelande om Europa 2020 har tre övergripande prioriteringar:</w:t>
      </w:r>
    </w:p>
    <w:p w:rsidR="009955E3" w:rsidRPr="00AF52F5" w:rsidRDefault="009955E3" w:rsidP="009955E3">
      <w:pPr>
        <w:tabs>
          <w:tab w:val="left" w:pos="1701"/>
        </w:tabs>
        <w:spacing w:line="240" w:lineRule="atLeast"/>
        <w:rPr>
          <w:rFonts w:cs="OrigGarmnd BT"/>
          <w:color w:val="000000"/>
          <w:lang w:eastAsia="sv-SE"/>
        </w:rPr>
      </w:pPr>
    </w:p>
    <w:p w:rsidR="009955E3" w:rsidRPr="00AF52F5" w:rsidRDefault="009955E3" w:rsidP="009955E3">
      <w:pPr>
        <w:numPr>
          <w:ilvl w:val="0"/>
          <w:numId w:val="14"/>
        </w:numPr>
        <w:tabs>
          <w:tab w:val="left" w:pos="1701"/>
        </w:tabs>
        <w:spacing w:line="240" w:lineRule="atLeast"/>
        <w:rPr>
          <w:rFonts w:cs="OrigGarmnd BT"/>
          <w:color w:val="000000"/>
          <w:lang w:eastAsia="sv-SE"/>
        </w:rPr>
      </w:pPr>
      <w:r w:rsidRPr="00AF52F5">
        <w:rPr>
          <w:rFonts w:cs="OrigGarmnd BT"/>
          <w:i/>
          <w:color w:val="000000"/>
          <w:lang w:eastAsia="sv-SE"/>
        </w:rPr>
        <w:t>Smart tillväxt</w:t>
      </w:r>
      <w:r w:rsidRPr="00AF52F5">
        <w:rPr>
          <w:rFonts w:cs="OrigGarmnd BT"/>
          <w:color w:val="000000"/>
          <w:lang w:eastAsia="sv-SE"/>
        </w:rPr>
        <w:t xml:space="preserve"> – baserad på kunskap och innovation</w:t>
      </w:r>
    </w:p>
    <w:p w:rsidR="009955E3" w:rsidRPr="00AF52F5" w:rsidRDefault="009955E3" w:rsidP="009955E3">
      <w:pPr>
        <w:numPr>
          <w:ilvl w:val="0"/>
          <w:numId w:val="14"/>
        </w:numPr>
        <w:tabs>
          <w:tab w:val="left" w:pos="1701"/>
        </w:tabs>
        <w:spacing w:line="240" w:lineRule="atLeast"/>
        <w:rPr>
          <w:rFonts w:cs="OrigGarmnd BT"/>
          <w:color w:val="000000"/>
          <w:lang w:eastAsia="sv-SE"/>
        </w:rPr>
      </w:pPr>
      <w:r w:rsidRPr="00AF52F5">
        <w:rPr>
          <w:rFonts w:cs="OrigGarmnd BT"/>
          <w:i/>
          <w:color w:val="000000"/>
          <w:lang w:eastAsia="sv-SE"/>
        </w:rPr>
        <w:t>Grön tillväxt</w:t>
      </w:r>
      <w:r w:rsidRPr="00AF52F5">
        <w:rPr>
          <w:rFonts w:cs="OrigGarmnd BT"/>
          <w:color w:val="000000"/>
          <w:lang w:eastAsia="sv-SE"/>
        </w:rPr>
        <w:t xml:space="preserve"> – genom en hållbar och konkurrenskraftig ekonomi</w:t>
      </w:r>
    </w:p>
    <w:p w:rsidR="009955E3" w:rsidRPr="00AF52F5" w:rsidRDefault="009955E3" w:rsidP="009955E3">
      <w:pPr>
        <w:numPr>
          <w:ilvl w:val="0"/>
          <w:numId w:val="14"/>
        </w:numPr>
        <w:tabs>
          <w:tab w:val="left" w:pos="1701"/>
        </w:tabs>
        <w:spacing w:line="240" w:lineRule="atLeast"/>
        <w:rPr>
          <w:rFonts w:cs="OrigGarmnd BT"/>
          <w:color w:val="000000"/>
          <w:lang w:eastAsia="sv-SE"/>
        </w:rPr>
      </w:pPr>
      <w:r w:rsidRPr="00AF52F5">
        <w:rPr>
          <w:rFonts w:cs="OrigGarmnd BT"/>
          <w:i/>
          <w:color w:val="000000"/>
          <w:lang w:eastAsia="sv-SE"/>
        </w:rPr>
        <w:t>Inkluderande tillväxt</w:t>
      </w:r>
      <w:r w:rsidRPr="00AF52F5">
        <w:rPr>
          <w:rFonts w:cs="OrigGarmnd BT"/>
          <w:color w:val="000000"/>
          <w:lang w:eastAsia="sv-SE"/>
        </w:rPr>
        <w:t xml:space="preserve"> – genom hög sysselsättning som leder till social sammanhållning</w:t>
      </w:r>
    </w:p>
    <w:p w:rsidR="009955E3" w:rsidRPr="00AF52F5" w:rsidRDefault="009955E3" w:rsidP="009955E3">
      <w:pPr>
        <w:tabs>
          <w:tab w:val="left" w:pos="1701"/>
        </w:tabs>
        <w:spacing w:line="240" w:lineRule="atLeast"/>
        <w:rPr>
          <w:rFonts w:cs="OrigGarmnd BT"/>
          <w:color w:val="000000"/>
          <w:lang w:eastAsia="sv-SE"/>
        </w:rPr>
      </w:pPr>
    </w:p>
    <w:p w:rsidR="009955E3" w:rsidRPr="00AF52F5" w:rsidRDefault="009955E3" w:rsidP="009955E3">
      <w:pPr>
        <w:tabs>
          <w:tab w:val="left" w:pos="1701"/>
        </w:tabs>
        <w:spacing w:line="240" w:lineRule="atLeast"/>
        <w:rPr>
          <w:rFonts w:cs="OrigGarmnd BT"/>
          <w:color w:val="000000"/>
          <w:lang w:eastAsia="sv-SE"/>
        </w:rPr>
      </w:pPr>
      <w:r w:rsidRPr="00AF52F5">
        <w:rPr>
          <w:rFonts w:cs="OrigGarmnd BT"/>
          <w:color w:val="000000"/>
          <w:lang w:eastAsia="sv-SE"/>
        </w:rPr>
        <w:t xml:space="preserve">Dessa prioriteringar ska uppnås genom ett antal initiativ på EU- och medlemsstatsnivå, så kallade flaggskeppsinitiativ, inom exempelvis FoU, resurseffektivisering och utbildning. Vidare föreslår kommissionen att man för att mäta strategins framsteg inför ett antal kvantitativa mål. Kommissionen föreslår även ett förbättrat genomförande av strategin, en stärkt roll för Europeiska rådet och en tidsmässig samordning med stabilitets- och tillväxtpaktens rapporterings- och uppföljningsprocess. </w:t>
      </w:r>
    </w:p>
    <w:p w:rsidR="009955E3" w:rsidRPr="00AF52F5" w:rsidRDefault="009955E3" w:rsidP="009955E3">
      <w:pPr>
        <w:tabs>
          <w:tab w:val="left" w:pos="1701"/>
        </w:tabs>
        <w:spacing w:line="240" w:lineRule="atLeast"/>
        <w:rPr>
          <w:rFonts w:cs="OrigGarmnd BT"/>
          <w:color w:val="000000"/>
          <w:lang w:eastAsia="sv-SE"/>
        </w:rPr>
      </w:pPr>
    </w:p>
    <w:p w:rsidR="009955E3" w:rsidRPr="00AF52F5" w:rsidRDefault="009955E3" w:rsidP="009955E3">
      <w:pPr>
        <w:tabs>
          <w:tab w:val="left" w:pos="1701"/>
        </w:tabs>
        <w:spacing w:line="240" w:lineRule="atLeast"/>
        <w:rPr>
          <w:rFonts w:cs="OrigGarmnd BT"/>
          <w:color w:val="000000"/>
          <w:lang w:eastAsia="sv-SE"/>
        </w:rPr>
      </w:pPr>
      <w:r w:rsidRPr="00AF52F5">
        <w:rPr>
          <w:rFonts w:cs="OrigGarmnd BT"/>
          <w:color w:val="000000"/>
          <w:lang w:eastAsia="sv-SE"/>
        </w:rPr>
        <w:t>Regeringen välkomnar initiativet med Europa 2020</w:t>
      </w:r>
      <w:r w:rsidR="00CA390F" w:rsidRPr="00AF52F5">
        <w:rPr>
          <w:rFonts w:cs="OrigGarmnd BT"/>
          <w:color w:val="000000"/>
          <w:lang w:eastAsia="sv-SE"/>
        </w:rPr>
        <w:t>. Utkastet till slutsatser är fortfarande under behandling och regeringen återkommer till sin ståndpunkt.</w:t>
      </w:r>
      <w:r w:rsidRPr="00AF52F5">
        <w:rPr>
          <w:rFonts w:cs="OrigGarmnd BT"/>
          <w:color w:val="000000"/>
          <w:lang w:eastAsia="sv-SE"/>
        </w:rPr>
        <w:t xml:space="preserve"> </w:t>
      </w:r>
    </w:p>
    <w:p w:rsidR="009955E3" w:rsidRPr="00AF52F5" w:rsidRDefault="009955E3" w:rsidP="00856A3C">
      <w:pPr>
        <w:pStyle w:val="RKnormal"/>
        <w:tabs>
          <w:tab w:val="clear" w:pos="2835"/>
          <w:tab w:val="left" w:pos="1701"/>
        </w:tabs>
        <w:rPr>
          <w:b/>
        </w:rPr>
      </w:pPr>
    </w:p>
    <w:p w:rsidR="009955E3" w:rsidRPr="00AF52F5" w:rsidRDefault="009955E3" w:rsidP="00856A3C">
      <w:pPr>
        <w:pStyle w:val="RKnormal"/>
        <w:tabs>
          <w:tab w:val="clear" w:pos="2835"/>
          <w:tab w:val="left" w:pos="1701"/>
        </w:tabs>
        <w:rPr>
          <w:b/>
        </w:rPr>
      </w:pPr>
    </w:p>
    <w:p w:rsidR="002603B7" w:rsidRPr="00AF52F5" w:rsidRDefault="002603B7" w:rsidP="00856A3C">
      <w:pPr>
        <w:pStyle w:val="RKnormal"/>
        <w:tabs>
          <w:tab w:val="clear" w:pos="2835"/>
          <w:tab w:val="left" w:pos="1701"/>
        </w:tabs>
        <w:rPr>
          <w:b/>
        </w:rPr>
      </w:pPr>
      <w:r w:rsidRPr="00AF52F5">
        <w:rPr>
          <w:b/>
        </w:rPr>
        <w:t xml:space="preserve">6.3   Exitstrategier </w:t>
      </w:r>
      <w:r w:rsidR="008C1948" w:rsidRPr="00AF52F5">
        <w:rPr>
          <w:b/>
        </w:rPr>
        <w:t>för stimulansåtgärder</w:t>
      </w:r>
    </w:p>
    <w:p w:rsidR="002603B7" w:rsidRPr="00AF52F5" w:rsidRDefault="002603B7" w:rsidP="00856A3C">
      <w:pPr>
        <w:pStyle w:val="RKnormal"/>
        <w:tabs>
          <w:tab w:val="clear" w:pos="2835"/>
          <w:tab w:val="left" w:pos="1701"/>
        </w:tabs>
        <w:rPr>
          <w:i/>
        </w:rPr>
      </w:pPr>
      <w:r w:rsidRPr="00AF52F5">
        <w:rPr>
          <w:i/>
        </w:rPr>
        <w:t xml:space="preserve">         - rådets slutsatser</w:t>
      </w:r>
    </w:p>
    <w:p w:rsidR="002603B7" w:rsidRPr="00AF52F5" w:rsidRDefault="002603B7" w:rsidP="00856A3C">
      <w:pPr>
        <w:pStyle w:val="RKnormal"/>
        <w:tabs>
          <w:tab w:val="clear" w:pos="2835"/>
          <w:tab w:val="left" w:pos="1701"/>
        </w:tabs>
        <w:rPr>
          <w:b/>
        </w:rPr>
      </w:pPr>
    </w:p>
    <w:p w:rsidR="00284009" w:rsidRPr="00AF52F5" w:rsidRDefault="00E46B06" w:rsidP="00284009">
      <w:pPr>
        <w:pStyle w:val="RKnormal"/>
        <w:tabs>
          <w:tab w:val="clear" w:pos="2835"/>
          <w:tab w:val="left" w:pos="1701"/>
        </w:tabs>
        <w:rPr>
          <w:b/>
        </w:rPr>
      </w:pPr>
      <w:r w:rsidRPr="00AF52F5">
        <w:t xml:space="preserve">Ekofinrådet ska  anta slutsatser om </w:t>
      </w:r>
      <w:r w:rsidR="00284009" w:rsidRPr="00AF52F5">
        <w:t>strategier för avveckling av de krisrelaterade stimulansåtgärderna (fr</w:t>
      </w:r>
      <w:r w:rsidR="00DE2B0B" w:rsidRPr="00AF52F5">
        <w:t>amförallt stöd åt företag, branscher och arbetsmarknad</w:t>
      </w:r>
      <w:r w:rsidR="00284009" w:rsidRPr="00AF52F5">
        <w:t xml:space="preserve">). </w:t>
      </w:r>
      <w:r w:rsidR="00284009" w:rsidRPr="00AF52F5">
        <w:rPr>
          <w:lang w:eastAsia="sv-SE"/>
        </w:rPr>
        <w:t xml:space="preserve"> </w:t>
      </w:r>
    </w:p>
    <w:p w:rsidR="00284009" w:rsidRPr="00AF52F5" w:rsidRDefault="00284009" w:rsidP="00284009">
      <w:pPr>
        <w:tabs>
          <w:tab w:val="left" w:pos="1701"/>
        </w:tabs>
        <w:spacing w:line="240" w:lineRule="atLeast"/>
        <w:rPr>
          <w:rFonts w:cs="OrigGarmnd BT"/>
          <w:color w:val="000000"/>
          <w:lang w:eastAsia="sv-SE"/>
        </w:rPr>
      </w:pPr>
    </w:p>
    <w:p w:rsidR="00284009" w:rsidRPr="00AF52F5" w:rsidRDefault="00284009" w:rsidP="00284009">
      <w:pPr>
        <w:tabs>
          <w:tab w:val="left" w:pos="1701"/>
        </w:tabs>
        <w:spacing w:line="240" w:lineRule="atLeast"/>
        <w:rPr>
          <w:rFonts w:cs="OrigGarmnd BT"/>
          <w:color w:val="000000"/>
          <w:lang w:eastAsia="sv-SE"/>
        </w:rPr>
      </w:pPr>
      <w:r w:rsidRPr="00AF52F5">
        <w:rPr>
          <w:rFonts w:cs="OrigGarmnd BT"/>
          <w:color w:val="000000"/>
          <w:lang w:eastAsia="sv-SE"/>
        </w:rPr>
        <w:t>Regeringen stöder utkastet till slutsatser och är angelägen om att principerna för utfasning inom dessa områden är förenliga med de exitstrategier om finanspolitik</w:t>
      </w:r>
      <w:r w:rsidR="00CD5048" w:rsidRPr="00AF52F5">
        <w:rPr>
          <w:rFonts w:cs="OrigGarmnd BT"/>
          <w:color w:val="000000"/>
          <w:lang w:eastAsia="sv-SE"/>
        </w:rPr>
        <w:t xml:space="preserve"> och </w:t>
      </w:r>
      <w:r w:rsidR="00DE2B0B" w:rsidRPr="00AF52F5">
        <w:rPr>
          <w:rFonts w:cs="OrigGarmnd BT"/>
          <w:color w:val="000000"/>
          <w:lang w:eastAsia="sv-SE"/>
        </w:rPr>
        <w:t xml:space="preserve">om </w:t>
      </w:r>
      <w:r w:rsidRPr="00AF52F5">
        <w:rPr>
          <w:rFonts w:cs="OrigGarmnd BT"/>
          <w:color w:val="000000"/>
          <w:lang w:eastAsia="sv-SE"/>
        </w:rPr>
        <w:t>stöd till den finansiella sektorn som Ekofinrådet enades om i höstas. Risken för bland annat snedvridning av konkurrens på den inre marknaden och försening av nödvändig strukturomvandling bör beaktas</w:t>
      </w:r>
      <w:r w:rsidR="00CD5048" w:rsidRPr="00AF52F5">
        <w:rPr>
          <w:rFonts w:cs="OrigGarmnd BT"/>
          <w:color w:val="000000"/>
          <w:lang w:eastAsia="sv-SE"/>
        </w:rPr>
        <w:t>.</w:t>
      </w:r>
      <w:r w:rsidRPr="00AF52F5">
        <w:rPr>
          <w:rFonts w:cs="OrigGarmnd BT"/>
          <w:color w:val="000000"/>
          <w:lang w:eastAsia="sv-SE"/>
        </w:rPr>
        <w:t xml:space="preserve"> Vid utfasning av åtgärder bör hänsyn tas till konjunkturläget och länderspecifika förhållanden. Tillbakadragandet av sektorstöd bör prioriteras, följt av stödåtgärder till arbetsmarknaden.</w:t>
      </w:r>
      <w:r w:rsidR="00DE2B0B" w:rsidRPr="00AF52F5">
        <w:rPr>
          <w:rFonts w:cs="OrigGarmnd BT"/>
          <w:color w:val="000000"/>
          <w:lang w:eastAsia="sv-SE"/>
        </w:rPr>
        <w:t xml:space="preserve"> </w:t>
      </w:r>
      <w:r w:rsidRPr="00AF52F5">
        <w:rPr>
          <w:rFonts w:cs="OrigGarmnd BT"/>
          <w:color w:val="000000"/>
          <w:lang w:eastAsia="sv-SE"/>
        </w:rPr>
        <w:t xml:space="preserve">Vad gäller finansiering till </w:t>
      </w:r>
      <w:r w:rsidR="00DE2B0B" w:rsidRPr="00AF52F5">
        <w:rPr>
          <w:rFonts w:cs="OrigGarmnd BT"/>
          <w:color w:val="000000"/>
          <w:lang w:eastAsia="sv-SE"/>
        </w:rPr>
        <w:t xml:space="preserve">enskilda </w:t>
      </w:r>
      <w:r w:rsidRPr="00AF52F5">
        <w:rPr>
          <w:rFonts w:cs="OrigGarmnd BT"/>
          <w:color w:val="000000"/>
          <w:lang w:eastAsia="sv-SE"/>
        </w:rPr>
        <w:t xml:space="preserve">företag bör försiktighet iakttas då situationen på de finansiella marknaderna ännu inte normaliserats.   </w:t>
      </w:r>
    </w:p>
    <w:p w:rsidR="002603B7" w:rsidRPr="00AF52F5" w:rsidRDefault="002603B7" w:rsidP="00856A3C">
      <w:pPr>
        <w:pStyle w:val="RKnormal"/>
        <w:tabs>
          <w:tab w:val="clear" w:pos="2835"/>
          <w:tab w:val="left" w:pos="1701"/>
        </w:tabs>
        <w:rPr>
          <w:b/>
        </w:rPr>
      </w:pPr>
    </w:p>
    <w:p w:rsidR="00E46B06" w:rsidRPr="00AF52F5" w:rsidRDefault="00E46B06" w:rsidP="00856A3C">
      <w:pPr>
        <w:pStyle w:val="RKnormal"/>
        <w:tabs>
          <w:tab w:val="clear" w:pos="2835"/>
          <w:tab w:val="left" w:pos="1701"/>
        </w:tabs>
        <w:rPr>
          <w:b/>
        </w:rPr>
      </w:pPr>
    </w:p>
    <w:p w:rsidR="002603B7" w:rsidRPr="00AF52F5" w:rsidRDefault="002603B7" w:rsidP="00856A3C">
      <w:pPr>
        <w:pStyle w:val="RKnormal"/>
        <w:tabs>
          <w:tab w:val="clear" w:pos="2835"/>
          <w:tab w:val="left" w:pos="1701"/>
        </w:tabs>
        <w:rPr>
          <w:b/>
        </w:rPr>
      </w:pPr>
      <w:r w:rsidRPr="00AF52F5">
        <w:rPr>
          <w:b/>
        </w:rPr>
        <w:t>6.4   Finansiering av klimatförändringar</w:t>
      </w:r>
    </w:p>
    <w:p w:rsidR="002603B7" w:rsidRPr="00AF52F5" w:rsidRDefault="002603B7" w:rsidP="00856A3C">
      <w:pPr>
        <w:pStyle w:val="RKnormal"/>
        <w:tabs>
          <w:tab w:val="clear" w:pos="2835"/>
          <w:tab w:val="left" w:pos="1701"/>
        </w:tabs>
        <w:rPr>
          <w:i/>
        </w:rPr>
      </w:pPr>
      <w:r w:rsidRPr="00AF52F5">
        <w:rPr>
          <w:i/>
        </w:rPr>
        <w:t xml:space="preserve">         - rådets slutsatser</w:t>
      </w:r>
    </w:p>
    <w:p w:rsidR="002603B7" w:rsidRPr="00AF52F5" w:rsidRDefault="002603B7" w:rsidP="002603B7">
      <w:pPr>
        <w:pStyle w:val="RKnormal"/>
        <w:tabs>
          <w:tab w:val="clear" w:pos="2835"/>
          <w:tab w:val="left" w:pos="567"/>
          <w:tab w:val="left" w:pos="1701"/>
        </w:tabs>
      </w:pPr>
    </w:p>
    <w:p w:rsidR="00A0403E" w:rsidRPr="00AF52F5" w:rsidRDefault="00A0403E" w:rsidP="00A0403E">
      <w:pPr>
        <w:pStyle w:val="RKnormal"/>
        <w:rPr>
          <w:lang w:eastAsia="sv-SE"/>
        </w:rPr>
      </w:pPr>
      <w:r w:rsidRPr="00AF52F5">
        <w:rPr>
          <w:lang w:eastAsia="sv-SE"/>
        </w:rPr>
        <w:t>Ekofinrådet ska anta slutsatser avseende EU:s syn på finansiering av den internationella klimatpolitiken.</w:t>
      </w:r>
    </w:p>
    <w:p w:rsidR="00A0403E" w:rsidRPr="00AF52F5" w:rsidRDefault="00A0403E" w:rsidP="00A0403E">
      <w:pPr>
        <w:pStyle w:val="RKnormal"/>
        <w:rPr>
          <w:lang w:eastAsia="sv-SE"/>
        </w:rPr>
      </w:pPr>
    </w:p>
    <w:p w:rsidR="00A0403E" w:rsidRPr="00AF52F5" w:rsidRDefault="00A0403E" w:rsidP="00A0403E">
      <w:pPr>
        <w:pStyle w:val="RKnormal"/>
        <w:rPr>
          <w:lang w:eastAsia="sv-SE"/>
        </w:rPr>
      </w:pPr>
      <w:r w:rsidRPr="00AF52F5">
        <w:rPr>
          <w:lang w:eastAsia="sv-SE"/>
        </w:rPr>
        <w:t>I utkastet till slutsatserna</w:t>
      </w:r>
      <w:r w:rsidR="00CD5048" w:rsidRPr="00AF52F5">
        <w:rPr>
          <w:lang w:eastAsia="sv-SE"/>
        </w:rPr>
        <w:t xml:space="preserve"> bekräftas </w:t>
      </w:r>
      <w:r w:rsidRPr="00AF52F5">
        <w:rPr>
          <w:lang w:eastAsia="sv-SE"/>
        </w:rPr>
        <w:t>framförallt vad som tidigare överenskommits i Copenhagen Accord</w:t>
      </w:r>
      <w:r w:rsidR="002C15DA" w:rsidRPr="00AF52F5">
        <w:rPr>
          <w:lang w:eastAsia="sv-SE"/>
        </w:rPr>
        <w:t xml:space="preserve"> och speciellt vad gäller;</w:t>
      </w:r>
    </w:p>
    <w:p w:rsidR="00A0403E" w:rsidRPr="00AF52F5" w:rsidRDefault="00A0403E" w:rsidP="00A0403E">
      <w:pPr>
        <w:pStyle w:val="RKnormal"/>
        <w:rPr>
          <w:lang w:eastAsia="sv-SE"/>
        </w:rPr>
      </w:pPr>
    </w:p>
    <w:p w:rsidR="00A0403E" w:rsidRPr="00AF52F5" w:rsidRDefault="00A0403E" w:rsidP="00A0403E">
      <w:pPr>
        <w:pStyle w:val="RKnormal"/>
        <w:numPr>
          <w:ilvl w:val="0"/>
          <w:numId w:val="11"/>
        </w:numPr>
        <w:rPr>
          <w:lang w:eastAsia="sv-SE"/>
        </w:rPr>
      </w:pPr>
      <w:r w:rsidRPr="00AF52F5">
        <w:rPr>
          <w:lang w:eastAsia="sv-SE"/>
        </w:rPr>
        <w:t>det åtagande om s.k. fast-start finansieringen (30 miljarder USD år 2010-2012) som industriländer har gjort samt vilka områden som kan komma i fråga för denna finansiering, inklusive REDD-plus (åtgärder för att minska avskogning) Dessutom att uppföljning ska ske av det åtagande om 2,4 miljarder EUR som EU gjorde vid Europeiska rådet i december 2009,</w:t>
      </w:r>
    </w:p>
    <w:p w:rsidR="00A0403E" w:rsidRPr="00AF52F5" w:rsidRDefault="00A0403E" w:rsidP="00A0403E">
      <w:pPr>
        <w:pStyle w:val="RKnormal"/>
        <w:rPr>
          <w:lang w:eastAsia="sv-SE"/>
        </w:rPr>
      </w:pPr>
    </w:p>
    <w:p w:rsidR="00540DCA" w:rsidRPr="00AF52F5" w:rsidRDefault="00A0403E" w:rsidP="00540DCA">
      <w:pPr>
        <w:pStyle w:val="RKnormal"/>
        <w:numPr>
          <w:ilvl w:val="0"/>
          <w:numId w:val="11"/>
        </w:numPr>
        <w:rPr>
          <w:lang w:eastAsia="sv-SE"/>
        </w:rPr>
      </w:pPr>
      <w:r w:rsidRPr="00AF52F5">
        <w:rPr>
          <w:lang w:eastAsia="sv-SE"/>
        </w:rPr>
        <w:t xml:space="preserve">det åtagande om långsiktig finansiering (100 miljarder USD per år vid år 2020) som industriländer har gjort, samt </w:t>
      </w:r>
    </w:p>
    <w:p w:rsidR="00A0403E" w:rsidRPr="00AF52F5" w:rsidRDefault="00A0403E" w:rsidP="00540DCA">
      <w:pPr>
        <w:pStyle w:val="RKnormal"/>
        <w:rPr>
          <w:lang w:eastAsia="sv-SE"/>
        </w:rPr>
      </w:pPr>
      <w:r w:rsidRPr="00AF52F5">
        <w:rPr>
          <w:lang w:eastAsia="sv-SE"/>
        </w:rPr>
        <w:t xml:space="preserve"> </w:t>
      </w:r>
    </w:p>
    <w:p w:rsidR="00540DCA" w:rsidRPr="00AF52F5" w:rsidRDefault="00A0403E" w:rsidP="00540DCA">
      <w:pPr>
        <w:numPr>
          <w:ilvl w:val="0"/>
          <w:numId w:val="11"/>
        </w:numPr>
        <w:overflowPunct/>
        <w:spacing w:line="240" w:lineRule="auto"/>
        <w:textAlignment w:val="auto"/>
        <w:rPr>
          <w:rStyle w:val="RKnormalChar"/>
        </w:rPr>
      </w:pPr>
      <w:r w:rsidRPr="00AF52F5">
        <w:rPr>
          <w:lang w:eastAsia="sv-SE"/>
        </w:rPr>
        <w:t xml:space="preserve">ett välkomnande av den rådgivande grupp som FN avser inrätta för finansieringsfrågor (Advisory Group on Climate Change Financing) samt EU:s vilja att bidra till denna grupps arbete, särskilt vad gäller </w:t>
      </w:r>
      <w:r w:rsidR="00540DCA" w:rsidRPr="00AF52F5">
        <w:rPr>
          <w:rStyle w:val="RKnormalChar"/>
        </w:rPr>
        <w:t>att bidra med kunskap och analys rörande lämpliga finansieringskällor.</w:t>
      </w:r>
    </w:p>
    <w:p w:rsidR="00A0403E" w:rsidRPr="00AF52F5" w:rsidRDefault="00A0403E" w:rsidP="00540DCA">
      <w:pPr>
        <w:pStyle w:val="RKnormal"/>
        <w:rPr>
          <w:lang w:eastAsia="sv-SE"/>
        </w:rPr>
      </w:pPr>
    </w:p>
    <w:p w:rsidR="002603B7" w:rsidRPr="00AF52F5" w:rsidRDefault="00A0403E" w:rsidP="00A0403E">
      <w:pPr>
        <w:pStyle w:val="RKnormal"/>
        <w:rPr>
          <w:lang w:eastAsia="sv-SE"/>
        </w:rPr>
      </w:pPr>
      <w:r w:rsidRPr="00AF52F5">
        <w:rPr>
          <w:lang w:eastAsia="sv-SE"/>
        </w:rPr>
        <w:t>Regeringen delar dessa budskap.</w:t>
      </w:r>
    </w:p>
    <w:p w:rsidR="00A0403E" w:rsidRPr="00AF52F5" w:rsidRDefault="00A0403E" w:rsidP="00A0403E">
      <w:pPr>
        <w:pStyle w:val="RKnormal"/>
        <w:rPr>
          <w:lang w:eastAsia="sv-SE"/>
        </w:rPr>
      </w:pPr>
    </w:p>
    <w:p w:rsidR="00A0403E" w:rsidRPr="00AF52F5" w:rsidRDefault="00A0403E" w:rsidP="00A0403E">
      <w:pPr>
        <w:pStyle w:val="RKnormal"/>
      </w:pPr>
    </w:p>
    <w:p w:rsidR="002603B7" w:rsidRPr="00AF52F5" w:rsidRDefault="002603B7" w:rsidP="00856A3C">
      <w:pPr>
        <w:pStyle w:val="RKnormal"/>
        <w:tabs>
          <w:tab w:val="clear" w:pos="2835"/>
          <w:tab w:val="left" w:pos="1701"/>
        </w:tabs>
        <w:rPr>
          <w:b/>
        </w:rPr>
      </w:pPr>
      <w:r w:rsidRPr="00AF52F5">
        <w:rPr>
          <w:b/>
        </w:rPr>
        <w:t>7.</w:t>
      </w:r>
      <w:r w:rsidRPr="00AF52F5">
        <w:rPr>
          <w:b/>
        </w:rPr>
        <w:tab/>
        <w:t>Budgetriktlinjer för 2011</w:t>
      </w:r>
    </w:p>
    <w:p w:rsidR="002603B7" w:rsidRPr="00AF52F5" w:rsidRDefault="002603B7" w:rsidP="00856A3C">
      <w:pPr>
        <w:pStyle w:val="RKnormal"/>
        <w:tabs>
          <w:tab w:val="clear" w:pos="2835"/>
          <w:tab w:val="left" w:pos="1701"/>
        </w:tabs>
        <w:rPr>
          <w:i/>
        </w:rPr>
      </w:pPr>
      <w:r w:rsidRPr="00AF52F5">
        <w:rPr>
          <w:i/>
        </w:rPr>
        <w:tab/>
        <w:t>- rådets slutsatser</w:t>
      </w:r>
    </w:p>
    <w:p w:rsidR="002603B7" w:rsidRPr="00AF52F5" w:rsidRDefault="002603B7" w:rsidP="00856A3C">
      <w:pPr>
        <w:pStyle w:val="RKnormal"/>
        <w:tabs>
          <w:tab w:val="clear" w:pos="2835"/>
          <w:tab w:val="left" w:pos="1701"/>
        </w:tabs>
      </w:pPr>
    </w:p>
    <w:p w:rsidR="00AF0121" w:rsidRPr="00AF52F5" w:rsidRDefault="00AF0121" w:rsidP="00AF0121">
      <w:pPr>
        <w:pStyle w:val="RKnormal"/>
        <w:rPr>
          <w:lang w:eastAsia="sv-SE"/>
        </w:rPr>
      </w:pPr>
      <w:r w:rsidRPr="00AF52F5">
        <w:rPr>
          <w:lang w:eastAsia="sv-SE"/>
        </w:rPr>
        <w:t xml:space="preserve">Rådet ska anta slutsatser om vilka prioriteringar som man vill se i kommissionens förslag till EU-budget för 2011. </w:t>
      </w:r>
    </w:p>
    <w:p w:rsidR="00AF0121" w:rsidRPr="00AF52F5" w:rsidRDefault="00AF0121" w:rsidP="00AF0121">
      <w:pPr>
        <w:pStyle w:val="RKnormal"/>
        <w:rPr>
          <w:lang w:eastAsia="sv-SE"/>
        </w:rPr>
      </w:pPr>
    </w:p>
    <w:p w:rsidR="00AF0121" w:rsidRPr="00AF52F5" w:rsidRDefault="00AF0121" w:rsidP="00AF0121">
      <w:pPr>
        <w:pStyle w:val="RKnormal"/>
        <w:rPr>
          <w:lang w:eastAsia="sv-SE"/>
        </w:rPr>
      </w:pPr>
      <w:r w:rsidRPr="00AF52F5">
        <w:rPr>
          <w:lang w:eastAsia="sv-SE"/>
        </w:rPr>
        <w:t xml:space="preserve">Budgetriktlinjerna innehåller en generell del där kommissionen bl.a. uppmanas att respektera de finansiella ramarna 2007-2013, tillämpa återhållsamhet mot bakgrund av de höga budgetunderskotten i många medlemsstater, budgetera med tillräckliga marginaler för att möjliggöra hantering av oförutsedda händelser samt göra mer realistiska prognoser. </w:t>
      </w:r>
    </w:p>
    <w:p w:rsidR="00AF0121" w:rsidRPr="00AF52F5" w:rsidRDefault="00AF0121" w:rsidP="00AF0121">
      <w:pPr>
        <w:pStyle w:val="RKnormal"/>
        <w:rPr>
          <w:lang w:eastAsia="sv-SE"/>
        </w:rPr>
      </w:pPr>
    </w:p>
    <w:p w:rsidR="00AF0121" w:rsidRPr="00AF52F5" w:rsidRDefault="00AF0121" w:rsidP="00AF0121">
      <w:pPr>
        <w:pStyle w:val="RKnormal"/>
        <w:rPr>
          <w:lang w:eastAsia="sv-SE"/>
        </w:rPr>
      </w:pPr>
      <w:r w:rsidRPr="00AF52F5">
        <w:rPr>
          <w:lang w:eastAsia="sv-SE"/>
        </w:rPr>
        <w:t>I den sektorsspecifika delen av riktlinjerna uppmanas kommissionen att särskilt fokusera på bl.a. realistiska betalningsanslag för strukturfonderna, förbättrade prognoser för jordbruksutgifterna, respektera nivån på utgifterna för EU:s utrikes- och säkerhetspolitik, samt föreslå åtgärder för att ytterligare effektivisera administrationen.</w:t>
      </w:r>
    </w:p>
    <w:p w:rsidR="00AF0121" w:rsidRPr="00AF52F5" w:rsidRDefault="00AF0121" w:rsidP="00856A3C">
      <w:pPr>
        <w:pStyle w:val="RKnormal"/>
        <w:tabs>
          <w:tab w:val="clear" w:pos="2835"/>
          <w:tab w:val="left" w:pos="1701"/>
        </w:tabs>
      </w:pPr>
    </w:p>
    <w:p w:rsidR="00AF0121" w:rsidRPr="00AF52F5" w:rsidRDefault="00AF0121" w:rsidP="00856A3C">
      <w:pPr>
        <w:pStyle w:val="RKnormal"/>
        <w:tabs>
          <w:tab w:val="clear" w:pos="2835"/>
          <w:tab w:val="left" w:pos="1701"/>
        </w:tabs>
      </w:pPr>
      <w:r w:rsidRPr="00AF52F5">
        <w:t>Regeringen kan ställa sig bakom utkastet till slutsatser</w:t>
      </w:r>
    </w:p>
    <w:p w:rsidR="00AF0121" w:rsidRPr="00AF52F5" w:rsidRDefault="00AF0121" w:rsidP="00856A3C">
      <w:pPr>
        <w:pStyle w:val="RKnormal"/>
        <w:tabs>
          <w:tab w:val="clear" w:pos="2835"/>
          <w:tab w:val="left" w:pos="1701"/>
        </w:tabs>
      </w:pPr>
    </w:p>
    <w:p w:rsidR="002603B7" w:rsidRPr="00AF52F5" w:rsidRDefault="002603B7" w:rsidP="00856A3C">
      <w:pPr>
        <w:pStyle w:val="RKnormal"/>
        <w:tabs>
          <w:tab w:val="clear" w:pos="2835"/>
          <w:tab w:val="left" w:pos="1701"/>
        </w:tabs>
      </w:pPr>
    </w:p>
    <w:p w:rsidR="00856A3C" w:rsidRPr="00AF52F5" w:rsidRDefault="002603B7" w:rsidP="00856A3C">
      <w:pPr>
        <w:pStyle w:val="RKnormal"/>
        <w:tabs>
          <w:tab w:val="clear" w:pos="2835"/>
          <w:tab w:val="left" w:pos="1701"/>
        </w:tabs>
        <w:rPr>
          <w:b/>
        </w:rPr>
      </w:pPr>
      <w:r w:rsidRPr="00AF52F5">
        <w:rPr>
          <w:b/>
        </w:rPr>
        <w:t>8</w:t>
      </w:r>
      <w:r w:rsidR="00856A3C" w:rsidRPr="00AF52F5">
        <w:rPr>
          <w:b/>
        </w:rPr>
        <w:t>.</w:t>
      </w:r>
      <w:r w:rsidR="00856A3C" w:rsidRPr="00AF52F5">
        <w:rPr>
          <w:b/>
        </w:rPr>
        <w:tab/>
      </w:r>
      <w:r w:rsidR="00A94474" w:rsidRPr="00AF52F5">
        <w:rPr>
          <w:b/>
        </w:rPr>
        <w:t xml:space="preserve">(ev.) </w:t>
      </w:r>
      <w:r w:rsidR="00856A3C" w:rsidRPr="00AF52F5">
        <w:rPr>
          <w:b/>
        </w:rPr>
        <w:t>Övriga ärenden</w:t>
      </w:r>
    </w:p>
    <w:p w:rsidR="00B21CD8" w:rsidRPr="00AF52F5" w:rsidRDefault="00B21CD8" w:rsidP="00B21CD8">
      <w:pPr>
        <w:pStyle w:val="RKnormal"/>
        <w:tabs>
          <w:tab w:val="clear" w:pos="2835"/>
          <w:tab w:val="left" w:pos="567"/>
          <w:tab w:val="left" w:pos="1701"/>
        </w:tabs>
        <w:rPr>
          <w:b/>
        </w:rPr>
      </w:pPr>
    </w:p>
    <w:p w:rsidR="007B41AD" w:rsidRPr="00AF52F5" w:rsidRDefault="000F7186" w:rsidP="00856A3C">
      <w:pPr>
        <w:pStyle w:val="RKnormal"/>
        <w:tabs>
          <w:tab w:val="clear" w:pos="2835"/>
          <w:tab w:val="left" w:pos="1701"/>
        </w:tabs>
      </w:pPr>
      <w:r w:rsidRPr="00AF52F5">
        <w:t>Inga övriga ärenden har</w:t>
      </w:r>
      <w:r w:rsidR="003615CB" w:rsidRPr="00AF52F5">
        <w:t xml:space="preserve"> </w:t>
      </w:r>
      <w:r w:rsidR="009A31DC" w:rsidRPr="00AF52F5">
        <w:t xml:space="preserve">ännu </w:t>
      </w:r>
      <w:r w:rsidRPr="00AF52F5">
        <w:t>annonserats.</w:t>
      </w:r>
    </w:p>
    <w:p w:rsidR="000F7186" w:rsidRPr="00AF52F5" w:rsidRDefault="000F7186" w:rsidP="00856A3C">
      <w:pPr>
        <w:pStyle w:val="RKnormal"/>
        <w:tabs>
          <w:tab w:val="clear" w:pos="2835"/>
          <w:tab w:val="left" w:pos="1701"/>
        </w:tabs>
      </w:pPr>
    </w:p>
    <w:p w:rsidR="000F7186" w:rsidRPr="00AF52F5" w:rsidRDefault="000F7186" w:rsidP="00856A3C">
      <w:pPr>
        <w:pStyle w:val="RKnormal"/>
        <w:tabs>
          <w:tab w:val="clear" w:pos="2835"/>
          <w:tab w:val="left" w:pos="1701"/>
        </w:tabs>
      </w:pPr>
    </w:p>
    <w:p w:rsidR="00AA7510" w:rsidRPr="00AF52F5" w:rsidRDefault="00AA7510" w:rsidP="00AA7510">
      <w:pPr>
        <w:pStyle w:val="RKnormal"/>
        <w:tabs>
          <w:tab w:val="clear" w:pos="2835"/>
          <w:tab w:val="left" w:pos="1701"/>
        </w:tabs>
        <w:jc w:val="center"/>
      </w:pPr>
      <w:r w:rsidRPr="00AF52F5">
        <w:softHyphen/>
      </w:r>
      <w:r w:rsidRPr="00AF52F5">
        <w:softHyphen/>
      </w:r>
      <w:r w:rsidRPr="00AF52F5">
        <w:softHyphen/>
      </w:r>
      <w:r w:rsidRPr="00AF52F5">
        <w:softHyphen/>
      </w:r>
      <w:r w:rsidRPr="00AF52F5">
        <w:softHyphen/>
      </w:r>
      <w:r w:rsidRPr="00AF52F5">
        <w:softHyphen/>
      </w:r>
      <w:r w:rsidRPr="00AF52F5">
        <w:softHyphen/>
      </w:r>
      <w:r w:rsidRPr="00AF52F5">
        <w:softHyphen/>
      </w:r>
      <w:r w:rsidRPr="00AF52F5">
        <w:softHyphen/>
      </w:r>
      <w:r w:rsidRPr="00AF52F5">
        <w:softHyphen/>
      </w:r>
      <w:r w:rsidRPr="00AF52F5">
        <w:softHyphen/>
        <w:t>_______________________</w:t>
      </w:r>
    </w:p>
    <w:p w:rsidR="00AA7510" w:rsidRPr="00AF52F5" w:rsidRDefault="00AA7510">
      <w:pPr>
        <w:rPr>
          <w:b/>
        </w:rPr>
      </w:pPr>
    </w:p>
    <w:sectPr w:rsidR="00AA7510" w:rsidRPr="00AF52F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E59" w:rsidRPr="00AF52F5" w:rsidRDefault="008D1E59">
      <w:r w:rsidRPr="00AF52F5">
        <w:separator/>
      </w:r>
    </w:p>
  </w:endnote>
  <w:endnote w:type="continuationSeparator" w:id="0">
    <w:p w:rsidR="008D1E59" w:rsidRPr="00AF52F5" w:rsidRDefault="008D1E59">
      <w:r w:rsidRPr="00AF52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E59" w:rsidRPr="00AF52F5" w:rsidRDefault="008D1E59">
      <w:r w:rsidRPr="00AF52F5">
        <w:separator/>
      </w:r>
    </w:p>
  </w:footnote>
  <w:footnote w:type="continuationSeparator" w:id="0">
    <w:p w:rsidR="008D1E59" w:rsidRPr="00AF52F5" w:rsidRDefault="008D1E59">
      <w:r w:rsidRPr="00AF52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048" w:rsidRPr="00AF52F5" w:rsidRDefault="00CD5048">
    <w:pPr>
      <w:pStyle w:val="Sidhuvud"/>
      <w:framePr w:wrap="around" w:vAnchor="text" w:hAnchor="margin" w:xAlign="right" w:y="1"/>
      <w:rPr>
        <w:rStyle w:val="Sidnummer"/>
      </w:rPr>
    </w:pPr>
    <w:r w:rsidRPr="00AF52F5">
      <w:rPr>
        <w:rStyle w:val="Sidnummer"/>
      </w:rPr>
      <w:fldChar w:fldCharType="begin" w:fldLock="1"/>
    </w:r>
    <w:r w:rsidRPr="00AF52F5">
      <w:rPr>
        <w:rStyle w:val="Sidnummer"/>
      </w:rPr>
      <w:instrText xml:space="preserve">PAGE  </w:instrText>
    </w:r>
    <w:r w:rsidRPr="00AF52F5">
      <w:rPr>
        <w:rStyle w:val="Sidnummer"/>
      </w:rPr>
      <w:fldChar w:fldCharType="separate"/>
    </w:r>
    <w:r w:rsidR="004024FF" w:rsidRPr="00AF52F5">
      <w:rPr>
        <w:rStyle w:val="Sidnummer"/>
      </w:rPr>
      <w:t>4</w:t>
    </w:r>
    <w:r w:rsidRPr="00AF52F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D5048" w:rsidRPr="00AF52F5">
      <w:tblPrEx>
        <w:tblCellMar>
          <w:top w:w="0" w:type="dxa"/>
          <w:bottom w:w="0" w:type="dxa"/>
        </w:tblCellMar>
      </w:tblPrEx>
      <w:trPr>
        <w:cantSplit/>
      </w:trPr>
      <w:tc>
        <w:tcPr>
          <w:tcW w:w="3119" w:type="dxa"/>
        </w:tcPr>
        <w:p w:rsidR="00CD5048" w:rsidRPr="00AF52F5" w:rsidRDefault="00CD5048">
          <w:pPr>
            <w:pStyle w:val="Sidhuvud"/>
            <w:spacing w:line="200" w:lineRule="atLeast"/>
            <w:ind w:right="357"/>
            <w:rPr>
              <w:rFonts w:ascii="TradeGothic" w:hAnsi="TradeGothic"/>
              <w:b/>
              <w:bCs/>
              <w:sz w:val="16"/>
            </w:rPr>
          </w:pPr>
        </w:p>
      </w:tc>
      <w:tc>
        <w:tcPr>
          <w:tcW w:w="4111" w:type="dxa"/>
          <w:tcMar>
            <w:left w:w="567" w:type="dxa"/>
          </w:tcMar>
        </w:tcPr>
        <w:p w:rsidR="00CD5048" w:rsidRPr="00AF52F5" w:rsidRDefault="00CD5048">
          <w:pPr>
            <w:pStyle w:val="Sidhuvud"/>
            <w:ind w:right="360"/>
          </w:pPr>
        </w:p>
      </w:tc>
      <w:tc>
        <w:tcPr>
          <w:tcW w:w="1525" w:type="dxa"/>
        </w:tcPr>
        <w:p w:rsidR="00CD5048" w:rsidRPr="00AF52F5" w:rsidRDefault="00CD5048">
          <w:pPr>
            <w:pStyle w:val="Sidhuvud"/>
            <w:ind w:right="360"/>
          </w:pPr>
        </w:p>
      </w:tc>
    </w:tr>
  </w:tbl>
  <w:p w:rsidR="00CD5048" w:rsidRPr="00AF52F5" w:rsidRDefault="00CD504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048" w:rsidRPr="00AF52F5" w:rsidRDefault="00CD5048">
    <w:pPr>
      <w:pStyle w:val="Sidhuvud"/>
      <w:framePr w:wrap="around" w:vAnchor="text" w:hAnchor="margin" w:xAlign="right" w:y="1"/>
      <w:rPr>
        <w:rStyle w:val="Sidnummer"/>
      </w:rPr>
    </w:pPr>
    <w:r w:rsidRPr="00AF52F5">
      <w:rPr>
        <w:rStyle w:val="Sidnummer"/>
      </w:rPr>
      <w:fldChar w:fldCharType="begin" w:fldLock="1"/>
    </w:r>
    <w:r w:rsidRPr="00AF52F5">
      <w:rPr>
        <w:rStyle w:val="Sidnummer"/>
      </w:rPr>
      <w:instrText xml:space="preserve">PAGE  </w:instrText>
    </w:r>
    <w:r w:rsidRPr="00AF52F5">
      <w:rPr>
        <w:rStyle w:val="Sidnummer"/>
      </w:rPr>
      <w:fldChar w:fldCharType="separate"/>
    </w:r>
    <w:r w:rsidR="004024FF" w:rsidRPr="00AF52F5">
      <w:rPr>
        <w:rStyle w:val="Sidnummer"/>
      </w:rPr>
      <w:t>5</w:t>
    </w:r>
    <w:r w:rsidRPr="00AF52F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D5048" w:rsidRPr="00AF52F5">
      <w:tblPrEx>
        <w:tblCellMar>
          <w:top w:w="0" w:type="dxa"/>
          <w:bottom w:w="0" w:type="dxa"/>
        </w:tblCellMar>
      </w:tblPrEx>
      <w:trPr>
        <w:cantSplit/>
      </w:trPr>
      <w:tc>
        <w:tcPr>
          <w:tcW w:w="3119" w:type="dxa"/>
        </w:tcPr>
        <w:p w:rsidR="00CD5048" w:rsidRPr="00AF52F5" w:rsidRDefault="00CD5048">
          <w:pPr>
            <w:pStyle w:val="Sidhuvud"/>
            <w:spacing w:line="200" w:lineRule="atLeast"/>
            <w:ind w:right="357"/>
            <w:rPr>
              <w:rFonts w:ascii="TradeGothic" w:hAnsi="TradeGothic"/>
              <w:b/>
              <w:bCs/>
              <w:sz w:val="16"/>
            </w:rPr>
          </w:pPr>
        </w:p>
      </w:tc>
      <w:tc>
        <w:tcPr>
          <w:tcW w:w="4111" w:type="dxa"/>
          <w:tcMar>
            <w:left w:w="567" w:type="dxa"/>
          </w:tcMar>
        </w:tcPr>
        <w:p w:rsidR="00CD5048" w:rsidRPr="00AF52F5" w:rsidRDefault="00CD5048">
          <w:pPr>
            <w:pStyle w:val="Sidhuvud"/>
            <w:ind w:right="360"/>
          </w:pPr>
        </w:p>
      </w:tc>
      <w:tc>
        <w:tcPr>
          <w:tcW w:w="1525" w:type="dxa"/>
        </w:tcPr>
        <w:p w:rsidR="00CD5048" w:rsidRPr="00AF52F5" w:rsidRDefault="00CD5048">
          <w:pPr>
            <w:pStyle w:val="Sidhuvud"/>
            <w:ind w:right="360"/>
          </w:pPr>
        </w:p>
      </w:tc>
    </w:tr>
  </w:tbl>
  <w:p w:rsidR="00CD5048" w:rsidRPr="00AF52F5" w:rsidRDefault="00CD504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048" w:rsidRPr="00AF52F5" w:rsidRDefault="00AF52F5">
    <w:pPr>
      <w:framePr w:w="2948" w:h="1321" w:hRule="exact" w:wrap="notBeside" w:vAnchor="page" w:hAnchor="page" w:x="1362" w:y="653"/>
    </w:pPr>
    <w:r w:rsidRPr="00AF52F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D5048" w:rsidRPr="00AF52F5" w:rsidRDefault="00CD5048">
    <w:pPr>
      <w:pStyle w:val="RKrubrik"/>
      <w:keepNext w:val="0"/>
      <w:tabs>
        <w:tab w:val="clear" w:pos="1134"/>
        <w:tab w:val="clear" w:pos="2835"/>
      </w:tabs>
      <w:spacing w:before="0" w:after="0" w:line="320" w:lineRule="atLeast"/>
      <w:rPr>
        <w:bCs/>
      </w:rPr>
    </w:pPr>
  </w:p>
  <w:p w:rsidR="00CD5048" w:rsidRPr="00AF52F5" w:rsidRDefault="00CD5048">
    <w:pPr>
      <w:rPr>
        <w:rFonts w:ascii="TradeGothic" w:hAnsi="TradeGothic"/>
        <w:b/>
        <w:bCs/>
        <w:spacing w:val="12"/>
        <w:sz w:val="22"/>
      </w:rPr>
    </w:pPr>
  </w:p>
  <w:p w:rsidR="00CD5048" w:rsidRPr="00AF52F5" w:rsidRDefault="00CD5048">
    <w:pPr>
      <w:pStyle w:val="RKrubrik"/>
      <w:keepNext w:val="0"/>
      <w:tabs>
        <w:tab w:val="clear" w:pos="1134"/>
        <w:tab w:val="clear" w:pos="2835"/>
      </w:tabs>
      <w:spacing w:before="0" w:after="0" w:line="320" w:lineRule="atLeast"/>
      <w:rPr>
        <w:bCs/>
      </w:rPr>
    </w:pPr>
  </w:p>
  <w:p w:rsidR="00CD5048" w:rsidRPr="00AF52F5" w:rsidRDefault="00CD504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A2566E9"/>
    <w:multiLevelType w:val="hybridMultilevel"/>
    <w:tmpl w:val="7E04E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71B59"/>
    <w:multiLevelType w:val="hybridMultilevel"/>
    <w:tmpl w:val="9C723062"/>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F53115"/>
    <w:multiLevelType w:val="hybridMultilevel"/>
    <w:tmpl w:val="BF5E2BF4"/>
    <w:lvl w:ilvl="0" w:tplc="5AA262FC">
      <w:start w:val="1"/>
      <w:numFmt w:val="lowerRoman"/>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F257D3D"/>
    <w:multiLevelType w:val="hybridMultilevel"/>
    <w:tmpl w:val="B9EACF38"/>
    <w:lvl w:ilvl="0" w:tplc="9F5CF940">
      <w:numFmt w:val="bullet"/>
      <w:lvlText w:val="-"/>
      <w:lvlJc w:val="left"/>
      <w:pPr>
        <w:tabs>
          <w:tab w:val="num" w:pos="1080"/>
        </w:tabs>
        <w:ind w:left="1080" w:hanging="360"/>
      </w:pPr>
      <w:rPr>
        <w:rFonts w:ascii="OrigGarmnd BT" w:eastAsia="Times New Roman" w:hAnsi="OrigGarmnd BT"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C382950"/>
    <w:multiLevelType w:val="hybridMultilevel"/>
    <w:tmpl w:val="4FF4A87E"/>
    <w:lvl w:ilvl="0" w:tplc="041D0001">
      <w:start w:val="1"/>
      <w:numFmt w:val="bullet"/>
      <w:lvlText w:val=""/>
      <w:lvlJc w:val="left"/>
      <w:pPr>
        <w:tabs>
          <w:tab w:val="num" w:pos="787"/>
        </w:tabs>
        <w:ind w:left="787" w:hanging="360"/>
      </w:pPr>
      <w:rPr>
        <w:rFonts w:ascii="Symbol" w:hAnsi="Symbol"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6" w15:restartNumberingAfterBreak="0">
    <w:nsid w:val="308A694D"/>
    <w:multiLevelType w:val="hybridMultilevel"/>
    <w:tmpl w:val="0A222B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07D94"/>
    <w:multiLevelType w:val="hybridMultilevel"/>
    <w:tmpl w:val="C90A2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CA44B0"/>
    <w:multiLevelType w:val="hybridMultilevel"/>
    <w:tmpl w:val="8C589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0742CF"/>
    <w:multiLevelType w:val="hybridMultilevel"/>
    <w:tmpl w:val="58A4E8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4B6221"/>
    <w:multiLevelType w:val="hybridMultilevel"/>
    <w:tmpl w:val="D4402FFC"/>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A36A24"/>
    <w:multiLevelType w:val="hybridMultilevel"/>
    <w:tmpl w:val="7E9E1944"/>
    <w:lvl w:ilvl="0" w:tplc="041D000B">
      <w:start w:val="1"/>
      <w:numFmt w:val="bullet"/>
      <w:lvlText w:val=""/>
      <w:lvlJc w:val="left"/>
      <w:pPr>
        <w:tabs>
          <w:tab w:val="num" w:pos="787"/>
        </w:tabs>
        <w:ind w:left="787" w:hanging="360"/>
      </w:pPr>
      <w:rPr>
        <w:rFonts w:ascii="Wingdings" w:hAnsi="Wingdings"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12" w15:restartNumberingAfterBreak="0">
    <w:nsid w:val="76394375"/>
    <w:multiLevelType w:val="hybridMultilevel"/>
    <w:tmpl w:val="524C90A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4952C2"/>
    <w:multiLevelType w:val="hybridMultilevel"/>
    <w:tmpl w:val="223CB882"/>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87543589">
    <w:abstractNumId w:val="0"/>
    <w:lvlOverride w:ilvl="0">
      <w:lvl w:ilvl="0">
        <w:numFmt w:val="bullet"/>
        <w:lvlText w:val="•"/>
        <w:legacy w:legacy="1" w:legacySpace="0" w:legacyIndent="0"/>
        <w:lvlJc w:val="left"/>
        <w:rPr>
          <w:rFonts w:ascii="Helv" w:hAnsi="Helv" w:hint="default"/>
        </w:rPr>
      </w:lvl>
    </w:lvlOverride>
  </w:num>
  <w:num w:numId="2" w16cid:durableId="697899007">
    <w:abstractNumId w:val="6"/>
  </w:num>
  <w:num w:numId="3" w16cid:durableId="1220245073">
    <w:abstractNumId w:val="12"/>
  </w:num>
  <w:num w:numId="4" w16cid:durableId="1461025377">
    <w:abstractNumId w:val="8"/>
  </w:num>
  <w:num w:numId="5" w16cid:durableId="962921929">
    <w:abstractNumId w:val="1"/>
  </w:num>
  <w:num w:numId="6" w16cid:durableId="834491260">
    <w:abstractNumId w:val="10"/>
  </w:num>
  <w:num w:numId="7" w16cid:durableId="276255797">
    <w:abstractNumId w:val="4"/>
  </w:num>
  <w:num w:numId="8" w16cid:durableId="996956847">
    <w:abstractNumId w:val="2"/>
  </w:num>
  <w:num w:numId="9" w16cid:durableId="1204438316">
    <w:abstractNumId w:val="13"/>
  </w:num>
  <w:num w:numId="10" w16cid:durableId="1962497439">
    <w:abstractNumId w:val="7"/>
  </w:num>
  <w:num w:numId="11" w16cid:durableId="1862889549">
    <w:abstractNumId w:val="9"/>
  </w:num>
  <w:num w:numId="12" w16cid:durableId="11684809">
    <w:abstractNumId w:val="3"/>
  </w:num>
  <w:num w:numId="13" w16cid:durableId="400098337">
    <w:abstractNumId w:val="11"/>
  </w:num>
  <w:num w:numId="14" w16cid:durableId="178011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E7D"/>
    <w:rsid w:val="000368BF"/>
    <w:rsid w:val="00041195"/>
    <w:rsid w:val="00045C74"/>
    <w:rsid w:val="00050A61"/>
    <w:rsid w:val="0005228A"/>
    <w:rsid w:val="00054A4F"/>
    <w:rsid w:val="00065C80"/>
    <w:rsid w:val="0007009C"/>
    <w:rsid w:val="00085088"/>
    <w:rsid w:val="000E52B4"/>
    <w:rsid w:val="000F368A"/>
    <w:rsid w:val="000F7186"/>
    <w:rsid w:val="000F7A65"/>
    <w:rsid w:val="00104C19"/>
    <w:rsid w:val="00113C40"/>
    <w:rsid w:val="001140C4"/>
    <w:rsid w:val="00132043"/>
    <w:rsid w:val="00144666"/>
    <w:rsid w:val="00150384"/>
    <w:rsid w:val="00165A4C"/>
    <w:rsid w:val="00167FD2"/>
    <w:rsid w:val="001805B7"/>
    <w:rsid w:val="001A3B22"/>
    <w:rsid w:val="001D758A"/>
    <w:rsid w:val="001F2632"/>
    <w:rsid w:val="00202F66"/>
    <w:rsid w:val="0021408F"/>
    <w:rsid w:val="00214E8E"/>
    <w:rsid w:val="0021594A"/>
    <w:rsid w:val="002323A0"/>
    <w:rsid w:val="00240588"/>
    <w:rsid w:val="00245E32"/>
    <w:rsid w:val="002603B7"/>
    <w:rsid w:val="00284009"/>
    <w:rsid w:val="002971F6"/>
    <w:rsid w:val="002C15DA"/>
    <w:rsid w:val="002C54FD"/>
    <w:rsid w:val="002C7698"/>
    <w:rsid w:val="002C7789"/>
    <w:rsid w:val="002D197A"/>
    <w:rsid w:val="002E75F5"/>
    <w:rsid w:val="002F2F1E"/>
    <w:rsid w:val="003034ED"/>
    <w:rsid w:val="00310545"/>
    <w:rsid w:val="00324996"/>
    <w:rsid w:val="00330369"/>
    <w:rsid w:val="00331F88"/>
    <w:rsid w:val="0035222F"/>
    <w:rsid w:val="003615CB"/>
    <w:rsid w:val="003629A1"/>
    <w:rsid w:val="00363447"/>
    <w:rsid w:val="00373DD3"/>
    <w:rsid w:val="00383698"/>
    <w:rsid w:val="003A3FEA"/>
    <w:rsid w:val="003C1AB1"/>
    <w:rsid w:val="003C645A"/>
    <w:rsid w:val="003D45A4"/>
    <w:rsid w:val="003E5ABF"/>
    <w:rsid w:val="003F16DF"/>
    <w:rsid w:val="003F436C"/>
    <w:rsid w:val="003F4F70"/>
    <w:rsid w:val="004024FF"/>
    <w:rsid w:val="00403A3B"/>
    <w:rsid w:val="0043370C"/>
    <w:rsid w:val="00435A03"/>
    <w:rsid w:val="0043636F"/>
    <w:rsid w:val="004624B4"/>
    <w:rsid w:val="004629C8"/>
    <w:rsid w:val="004706A2"/>
    <w:rsid w:val="004938B1"/>
    <w:rsid w:val="004A328D"/>
    <w:rsid w:val="004A743A"/>
    <w:rsid w:val="004B75EE"/>
    <w:rsid w:val="004D4014"/>
    <w:rsid w:val="004D53AC"/>
    <w:rsid w:val="004F252D"/>
    <w:rsid w:val="00501200"/>
    <w:rsid w:val="00515451"/>
    <w:rsid w:val="00521DC8"/>
    <w:rsid w:val="00540DCA"/>
    <w:rsid w:val="00557C90"/>
    <w:rsid w:val="005659EB"/>
    <w:rsid w:val="00575D45"/>
    <w:rsid w:val="00580564"/>
    <w:rsid w:val="005A52F6"/>
    <w:rsid w:val="005B54C3"/>
    <w:rsid w:val="005B6658"/>
    <w:rsid w:val="005C18BC"/>
    <w:rsid w:val="005C2DB7"/>
    <w:rsid w:val="005F3AA0"/>
    <w:rsid w:val="005F4359"/>
    <w:rsid w:val="00605AF6"/>
    <w:rsid w:val="0061465F"/>
    <w:rsid w:val="00620957"/>
    <w:rsid w:val="0063673F"/>
    <w:rsid w:val="006838E2"/>
    <w:rsid w:val="0069477C"/>
    <w:rsid w:val="00695636"/>
    <w:rsid w:val="00697A9D"/>
    <w:rsid w:val="006A4D13"/>
    <w:rsid w:val="006D4CF5"/>
    <w:rsid w:val="006D54AE"/>
    <w:rsid w:val="006E4E11"/>
    <w:rsid w:val="006E6F31"/>
    <w:rsid w:val="006F3CAD"/>
    <w:rsid w:val="006F7D42"/>
    <w:rsid w:val="00707A0C"/>
    <w:rsid w:val="00723A76"/>
    <w:rsid w:val="007242A3"/>
    <w:rsid w:val="0072718D"/>
    <w:rsid w:val="007359F0"/>
    <w:rsid w:val="007511FC"/>
    <w:rsid w:val="00773948"/>
    <w:rsid w:val="00775043"/>
    <w:rsid w:val="00787EE4"/>
    <w:rsid w:val="007A75C4"/>
    <w:rsid w:val="007B2AB5"/>
    <w:rsid w:val="007B41AD"/>
    <w:rsid w:val="007D37CD"/>
    <w:rsid w:val="007E18BA"/>
    <w:rsid w:val="007F35AD"/>
    <w:rsid w:val="007F588C"/>
    <w:rsid w:val="007F62C7"/>
    <w:rsid w:val="00830ABD"/>
    <w:rsid w:val="00856A3C"/>
    <w:rsid w:val="00872208"/>
    <w:rsid w:val="008B4D72"/>
    <w:rsid w:val="008C0F8F"/>
    <w:rsid w:val="008C1948"/>
    <w:rsid w:val="008D0588"/>
    <w:rsid w:val="008D1B0F"/>
    <w:rsid w:val="008D1E59"/>
    <w:rsid w:val="008D46F1"/>
    <w:rsid w:val="008E6978"/>
    <w:rsid w:val="009035A6"/>
    <w:rsid w:val="009044A2"/>
    <w:rsid w:val="0091620F"/>
    <w:rsid w:val="00921BD8"/>
    <w:rsid w:val="009263F7"/>
    <w:rsid w:val="00944507"/>
    <w:rsid w:val="00951256"/>
    <w:rsid w:val="00963470"/>
    <w:rsid w:val="00964FF1"/>
    <w:rsid w:val="00973291"/>
    <w:rsid w:val="009741D0"/>
    <w:rsid w:val="00974A08"/>
    <w:rsid w:val="009906C2"/>
    <w:rsid w:val="009928FE"/>
    <w:rsid w:val="0099397A"/>
    <w:rsid w:val="009955E3"/>
    <w:rsid w:val="00995D45"/>
    <w:rsid w:val="009A31DC"/>
    <w:rsid w:val="009A6C4B"/>
    <w:rsid w:val="009B3A3C"/>
    <w:rsid w:val="009D6C77"/>
    <w:rsid w:val="009D79B4"/>
    <w:rsid w:val="009E1C2C"/>
    <w:rsid w:val="00A0403E"/>
    <w:rsid w:val="00A047D1"/>
    <w:rsid w:val="00A20AD3"/>
    <w:rsid w:val="00A3439C"/>
    <w:rsid w:val="00A343DC"/>
    <w:rsid w:val="00A41507"/>
    <w:rsid w:val="00A433C5"/>
    <w:rsid w:val="00A531A0"/>
    <w:rsid w:val="00A657A4"/>
    <w:rsid w:val="00A678B6"/>
    <w:rsid w:val="00A826AE"/>
    <w:rsid w:val="00A87990"/>
    <w:rsid w:val="00A94474"/>
    <w:rsid w:val="00AA7510"/>
    <w:rsid w:val="00AB0E4D"/>
    <w:rsid w:val="00AE1EBF"/>
    <w:rsid w:val="00AF0121"/>
    <w:rsid w:val="00AF52F5"/>
    <w:rsid w:val="00B03237"/>
    <w:rsid w:val="00B21CD8"/>
    <w:rsid w:val="00B26E85"/>
    <w:rsid w:val="00B4134A"/>
    <w:rsid w:val="00B417A1"/>
    <w:rsid w:val="00B53E1E"/>
    <w:rsid w:val="00B61ABA"/>
    <w:rsid w:val="00B762A9"/>
    <w:rsid w:val="00BB74A0"/>
    <w:rsid w:val="00BC762F"/>
    <w:rsid w:val="00BD360A"/>
    <w:rsid w:val="00BD65B2"/>
    <w:rsid w:val="00BE2767"/>
    <w:rsid w:val="00BF5B65"/>
    <w:rsid w:val="00C0353B"/>
    <w:rsid w:val="00C1295E"/>
    <w:rsid w:val="00C27F25"/>
    <w:rsid w:val="00C413B4"/>
    <w:rsid w:val="00C5306B"/>
    <w:rsid w:val="00C8443D"/>
    <w:rsid w:val="00C86D99"/>
    <w:rsid w:val="00C929A9"/>
    <w:rsid w:val="00CA390F"/>
    <w:rsid w:val="00CA4AAC"/>
    <w:rsid w:val="00CA742F"/>
    <w:rsid w:val="00CB00E0"/>
    <w:rsid w:val="00CB1951"/>
    <w:rsid w:val="00CD5048"/>
    <w:rsid w:val="00CE175F"/>
    <w:rsid w:val="00CE2CE9"/>
    <w:rsid w:val="00CE6F12"/>
    <w:rsid w:val="00D033B9"/>
    <w:rsid w:val="00D07381"/>
    <w:rsid w:val="00D07E25"/>
    <w:rsid w:val="00D13AF7"/>
    <w:rsid w:val="00D2603D"/>
    <w:rsid w:val="00D27F9E"/>
    <w:rsid w:val="00D4327E"/>
    <w:rsid w:val="00D56B66"/>
    <w:rsid w:val="00DA190E"/>
    <w:rsid w:val="00DA6C7B"/>
    <w:rsid w:val="00DD627F"/>
    <w:rsid w:val="00DE2B0B"/>
    <w:rsid w:val="00DF01CD"/>
    <w:rsid w:val="00DF3567"/>
    <w:rsid w:val="00DF5492"/>
    <w:rsid w:val="00DF60C3"/>
    <w:rsid w:val="00E00022"/>
    <w:rsid w:val="00E02C39"/>
    <w:rsid w:val="00E13F80"/>
    <w:rsid w:val="00E233FE"/>
    <w:rsid w:val="00E24AEE"/>
    <w:rsid w:val="00E31111"/>
    <w:rsid w:val="00E356AC"/>
    <w:rsid w:val="00E46B06"/>
    <w:rsid w:val="00E52F06"/>
    <w:rsid w:val="00E910EB"/>
    <w:rsid w:val="00E9129D"/>
    <w:rsid w:val="00E92CF1"/>
    <w:rsid w:val="00E94C55"/>
    <w:rsid w:val="00E97091"/>
    <w:rsid w:val="00EC25F9"/>
    <w:rsid w:val="00EC450A"/>
    <w:rsid w:val="00EC5436"/>
    <w:rsid w:val="00EE056F"/>
    <w:rsid w:val="00EE66A7"/>
    <w:rsid w:val="00F000BA"/>
    <w:rsid w:val="00F01816"/>
    <w:rsid w:val="00F20C14"/>
    <w:rsid w:val="00F20F99"/>
    <w:rsid w:val="00F561CA"/>
    <w:rsid w:val="00F75534"/>
    <w:rsid w:val="00F7753D"/>
    <w:rsid w:val="00FA18F6"/>
    <w:rsid w:val="00FA76FB"/>
    <w:rsid w:val="00FB0CB3"/>
    <w:rsid w:val="00FB0DAB"/>
    <w:rsid w:val="00FB6A1C"/>
    <w:rsid w:val="00FB6B28"/>
    <w:rsid w:val="00FD0013"/>
    <w:rsid w:val="00FE7059"/>
    <w:rsid w:val="00FF765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7C123E1-42B7-4B7E-AFB0-32D2BDF7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character" w:styleId="Stark">
    <w:name w:val="Strong"/>
    <w:basedOn w:val="Standardstycketeckensnitt"/>
    <w:qFormat/>
    <w:rsid w:val="00E24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1167</Words>
  <Characters>7599</Characters>
  <Application>Microsoft Office Word</Application>
  <DocSecurity>4</DocSecurity>
  <Lines>230</Lines>
  <Paragraphs>67</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2010-03-08T11:06:00Z</cp:lastPrinted>
  <dcterms:created xsi:type="dcterms:W3CDTF">2025-12-18T00:01:00Z</dcterms:created>
  <dcterms:modified xsi:type="dcterms:W3CDTF">2025-12-18T00:01:00Z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