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E03D39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E03D39" w:rsidRDefault="00FB47A2">
            <w:pPr>
              <w:pStyle w:val="HuvudRubrik"/>
            </w:pPr>
            <w:r w:rsidRPr="00E03D39">
              <w:t>Riksdagsstyrelsens framställning till riksdagen</w:t>
            </w:r>
          </w:p>
          <w:p w:rsidR="00F53A97" w:rsidRPr="00E03D39" w:rsidRDefault="00314550">
            <w:pPr>
              <w:pStyle w:val="HuvudRubrikRad2"/>
            </w:pPr>
            <w:bookmarkStart w:id="0" w:name="BetänkandeNr"/>
            <w:bookmarkEnd w:id="0"/>
            <w:r w:rsidRPr="00E03D39">
              <w:t>2011/12</w:t>
            </w:r>
            <w:r w:rsidR="00F53A97" w:rsidRPr="00E03D39">
              <w:t>:</w:t>
            </w:r>
            <w:r w:rsidRPr="00E03D39">
              <w:t>RS3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E03D39" w:rsidRDefault="00E03D39">
            <w:pPr>
              <w:spacing w:line="230" w:lineRule="auto"/>
              <w:jc w:val="center"/>
            </w:pPr>
            <w:r w:rsidRPr="00E03D3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E03D39" w:rsidRDefault="00F53A97">
            <w:pPr>
              <w:pStyle w:val="Normaltindrag"/>
              <w:jc w:val="center"/>
            </w:pPr>
          </w:p>
          <w:p w:rsidR="00F53A97" w:rsidRPr="00E03D39" w:rsidRDefault="00F53A97">
            <w:pPr>
              <w:pStyle w:val="StatusSida1"/>
            </w:pPr>
          </w:p>
          <w:p w:rsidR="00F53A97" w:rsidRPr="00E03D39" w:rsidRDefault="00F53A97">
            <w:pPr>
              <w:pStyle w:val="UtskriftsdatumSida1"/>
              <w:framePr w:wrap="around"/>
            </w:pPr>
          </w:p>
        </w:tc>
      </w:tr>
      <w:tr w:rsidR="00F53A97" w:rsidRPr="00E03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E03D39" w:rsidRDefault="00FB47A2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E03D39">
              <w:rPr>
                <w:noProof w:val="0"/>
              </w:rPr>
              <w:t>Hanteringsordning</w:t>
            </w:r>
            <w:r w:rsidR="00D63D52" w:rsidRPr="00E03D39">
              <w:rPr>
                <w:noProof w:val="0"/>
              </w:rPr>
              <w:t xml:space="preserve"> av Riksrevisionens rapporter m.m.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E03D39" w:rsidRDefault="00F53A97"/>
        </w:tc>
      </w:tr>
      <w:tr w:rsidR="00F53A97" w:rsidRPr="00E03D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E03D39" w:rsidRDefault="00F53A97"/>
        </w:tc>
        <w:tc>
          <w:tcPr>
            <w:tcW w:w="3012" w:type="dxa"/>
          </w:tcPr>
          <w:p w:rsidR="00F53A97" w:rsidRPr="00E03D39" w:rsidRDefault="00F53A97"/>
        </w:tc>
        <w:tc>
          <w:tcPr>
            <w:tcW w:w="1418" w:type="dxa"/>
          </w:tcPr>
          <w:p w:rsidR="00F53A97" w:rsidRPr="00E03D39" w:rsidRDefault="00F53A97"/>
        </w:tc>
      </w:tr>
    </w:tbl>
    <w:p w:rsidR="00F53A97" w:rsidRPr="00E03D39" w:rsidRDefault="00F53A97"/>
    <w:p w:rsidR="00FB47A2" w:rsidRPr="00E03D39" w:rsidRDefault="00FB47A2" w:rsidP="00FB47A2">
      <w:pPr>
        <w:pStyle w:val="Rubrik1"/>
        <w:spacing w:after="180"/>
        <w:rPr>
          <w:noProof w:val="0"/>
        </w:rPr>
      </w:pPr>
      <w:bookmarkStart w:id="2" w:name="_Toc320621095"/>
      <w:r w:rsidRPr="00E03D39">
        <w:rPr>
          <w:noProof w:val="0"/>
        </w:rPr>
        <w:t>Sammanfattning</w:t>
      </w:r>
      <w:bookmarkEnd w:id="2"/>
    </w:p>
    <w:p w:rsidR="0061217D" w:rsidRPr="00E03D39" w:rsidRDefault="009353BD" w:rsidP="00075B31">
      <w:r w:rsidRPr="00E03D39">
        <w:t>I framställningen föreslår riksdagsstyrelsen att det införs en särskild hante</w:t>
      </w:r>
      <w:r w:rsidRPr="00E03D39">
        <w:t>r</w:t>
      </w:r>
      <w:r w:rsidRPr="00E03D39">
        <w:t xml:space="preserve">ingsordning för </w:t>
      </w:r>
      <w:r w:rsidR="004D127E" w:rsidRPr="00E03D39">
        <w:t xml:space="preserve">Riksrevisionens </w:t>
      </w:r>
      <w:r w:rsidRPr="00E03D39">
        <w:t xml:space="preserve">granskningsrapporter som avser </w:t>
      </w:r>
      <w:r w:rsidR="0061217D" w:rsidRPr="00E03D39">
        <w:t>R</w:t>
      </w:r>
      <w:r w:rsidRPr="00E03D39">
        <w:t>iksdag</w:t>
      </w:r>
      <w:r w:rsidRPr="00E03D39">
        <w:t>s</w:t>
      </w:r>
      <w:r w:rsidRPr="00E03D39">
        <w:t>förvaltningen och riksdagens övriga myndigheter. Syftet med förslaget är att göra hanteringen av sådana granskningsrapporter tydligare och mer änd</w:t>
      </w:r>
      <w:r w:rsidRPr="00E03D39">
        <w:t>a</w:t>
      </w:r>
      <w:r w:rsidRPr="00E03D39">
        <w:t xml:space="preserve">målsenlig. </w:t>
      </w:r>
      <w:r w:rsidR="0061217D" w:rsidRPr="00E03D39">
        <w:t>Enligt förslaget ska granskningsrapporter lämnas i form av redog</w:t>
      </w:r>
      <w:r w:rsidR="0061217D" w:rsidRPr="00E03D39">
        <w:t>ö</w:t>
      </w:r>
      <w:r w:rsidR="0061217D" w:rsidRPr="00E03D39">
        <w:t>relser till riksdagen. Det innebär att dessa blir formella riksdagsärenden</w:t>
      </w:r>
      <w:r w:rsidR="0036344C" w:rsidRPr="00E03D39">
        <w:t xml:space="preserve"> med sedvanlig motionsrätt</w:t>
      </w:r>
      <w:r w:rsidR="0061217D" w:rsidRPr="00E03D39">
        <w:t xml:space="preserve"> redan när de kommer in till riksdagen. Berört u</w:t>
      </w:r>
      <w:r w:rsidR="0061217D" w:rsidRPr="00E03D39">
        <w:t>t</w:t>
      </w:r>
      <w:r w:rsidR="0061217D" w:rsidRPr="00E03D39">
        <w:t xml:space="preserve">skott bereder </w:t>
      </w:r>
      <w:r w:rsidR="00584845" w:rsidRPr="00E03D39">
        <w:t>R</w:t>
      </w:r>
      <w:r w:rsidR="0061217D" w:rsidRPr="00E03D39">
        <w:t>iksrevisionens redogörelse och de event</w:t>
      </w:r>
      <w:r w:rsidR="0061217D" w:rsidRPr="00E03D39">
        <w:t>u</w:t>
      </w:r>
      <w:r w:rsidR="0061217D" w:rsidRPr="00E03D39">
        <w:t>ella motioner som väckts med anledning av ärendet och redovisar sina ställningstaganden i ett betä</w:t>
      </w:r>
      <w:r w:rsidR="0061217D" w:rsidRPr="00E03D39">
        <w:t>n</w:t>
      </w:r>
      <w:r w:rsidR="0061217D" w:rsidRPr="00E03D39">
        <w:t>kande. För att genomföra den särskilda hanteringsor</w:t>
      </w:r>
      <w:r w:rsidR="0061217D" w:rsidRPr="00E03D39">
        <w:t>d</w:t>
      </w:r>
      <w:r w:rsidR="0061217D" w:rsidRPr="00E03D39">
        <w:t>ningen krävs en ändring i riksdagsordningen.</w:t>
      </w:r>
    </w:p>
    <w:p w:rsidR="0055257B" w:rsidRPr="00E03D39" w:rsidRDefault="0061217D" w:rsidP="0061217D">
      <w:pPr>
        <w:pStyle w:val="Normaltindrag"/>
      </w:pPr>
      <w:r w:rsidRPr="00E03D39">
        <w:t xml:space="preserve">Effektivitetsgranskningar som berör både regeringens och riksdagens kompetensområde </w:t>
      </w:r>
      <w:r w:rsidR="00D63D52" w:rsidRPr="00E03D39">
        <w:t>bör hanteras enligt huvudmodellen</w:t>
      </w:r>
      <w:r w:rsidR="00584845" w:rsidRPr="00E03D39">
        <w:t>.</w:t>
      </w:r>
      <w:r w:rsidR="00AE6B7F" w:rsidRPr="00E03D39">
        <w:t xml:space="preserve"> </w:t>
      </w:r>
      <w:r w:rsidR="0055257B" w:rsidRPr="00E03D39">
        <w:t>Det</w:t>
      </w:r>
      <w:r w:rsidR="00F16319" w:rsidRPr="00E03D39">
        <w:t xml:space="preserve"> betyder att den aktuella granskningsrapporten överlämnas från riksdagen till regeringen som sedan har att återkomma med en skrivelse i ärendet till riksdagen.</w:t>
      </w:r>
    </w:p>
    <w:p w:rsidR="00E308EA" w:rsidRPr="00E03D39" w:rsidRDefault="00E308EA" w:rsidP="0061217D">
      <w:pPr>
        <w:pStyle w:val="Normaltindrag"/>
      </w:pPr>
      <w:r w:rsidRPr="00E03D39">
        <w:t>Vidare föreslår rik</w:t>
      </w:r>
      <w:r w:rsidRPr="00E03D39">
        <w:t>s</w:t>
      </w:r>
      <w:r w:rsidRPr="00E03D39">
        <w:t>dagsstyrelsen att offentlighets- och sekretesslagen (2009:400)</w:t>
      </w:r>
      <w:r w:rsidR="00C60144" w:rsidRPr="00E03D39">
        <w:t xml:space="preserve">, förkortad OSL, </w:t>
      </w:r>
      <w:r w:rsidRPr="00E03D39">
        <w:t>ändras så att uppgifter som är sekretessbelagda hos Riksrevisio</w:t>
      </w:r>
      <w:r w:rsidR="007C7541" w:rsidRPr="00E03D39">
        <w:t xml:space="preserve">nen omfattas av sekretess även efter att </w:t>
      </w:r>
      <w:r w:rsidRPr="00E03D39">
        <w:t xml:space="preserve">de </w:t>
      </w:r>
      <w:r w:rsidR="00584845" w:rsidRPr="00E03D39">
        <w:t xml:space="preserve">begärts in </w:t>
      </w:r>
      <w:r w:rsidRPr="00E03D39">
        <w:t>av rik</w:t>
      </w:r>
      <w:r w:rsidRPr="00E03D39">
        <w:t>s</w:t>
      </w:r>
      <w:r w:rsidRPr="00E03D39">
        <w:t xml:space="preserve">dagen </w:t>
      </w:r>
      <w:r w:rsidR="00075B31" w:rsidRPr="00E03D39">
        <w:t>– detta oavsett om det är fråga om en primär eller sekundär sekretess. Förslaget motiveras bl.a. av att ett heltäckande sekrete</w:t>
      </w:r>
      <w:r w:rsidR="00075B31" w:rsidRPr="00E03D39">
        <w:t>s</w:t>
      </w:r>
      <w:r w:rsidR="00075B31" w:rsidRPr="00E03D39">
        <w:t>skydd för känsliga uppgifter kan förväntas bidra till att främja ett effektivt och fördjupat rev</w:t>
      </w:r>
      <w:r w:rsidR="00075B31" w:rsidRPr="00E03D39">
        <w:t>i</w:t>
      </w:r>
      <w:r w:rsidR="00075B31" w:rsidRPr="00E03D39">
        <w:t>sionsarbete inte bara hos Riksrevisi</w:t>
      </w:r>
      <w:r w:rsidR="00075B31" w:rsidRPr="00E03D39">
        <w:t>o</w:t>
      </w:r>
      <w:r w:rsidR="00075B31" w:rsidRPr="00E03D39">
        <w:t>nen utan också i utskotten.</w:t>
      </w:r>
    </w:p>
    <w:p w:rsidR="00075B31" w:rsidRPr="00E03D39" w:rsidRDefault="0061217D" w:rsidP="00ED6272">
      <w:pPr>
        <w:pStyle w:val="Normaltindrag"/>
      </w:pPr>
      <w:r w:rsidRPr="00E03D39">
        <w:t>De föreslagna ändringarna bedöms</w:t>
      </w:r>
      <w:r w:rsidR="00AF60DF" w:rsidRPr="00E03D39">
        <w:t xml:space="preserve"> inte ge några ekonomiska effe</w:t>
      </w:r>
      <w:r w:rsidR="00AF60DF" w:rsidRPr="00E03D39">
        <w:t>k</w:t>
      </w:r>
      <w:r w:rsidR="00AF60DF" w:rsidRPr="00E03D39">
        <w:t>ter.</w:t>
      </w:r>
    </w:p>
    <w:p w:rsidR="00ED6272" w:rsidRPr="00E03D39" w:rsidRDefault="008655EC" w:rsidP="00ED6272">
      <w:pPr>
        <w:pStyle w:val="Normaltindrag"/>
      </w:pPr>
      <w:r w:rsidRPr="00E03D39">
        <w:t>De nya bestämmelse</w:t>
      </w:r>
      <w:r w:rsidR="00075B31" w:rsidRPr="00E03D39">
        <w:t>rna</w:t>
      </w:r>
      <w:r w:rsidRPr="00E03D39">
        <w:t xml:space="preserve"> föreslås träda i kraft den </w:t>
      </w:r>
      <w:r w:rsidR="00075B31" w:rsidRPr="00E03D39">
        <w:t xml:space="preserve">1 oktober </w:t>
      </w:r>
      <w:r w:rsidRPr="00E03D39">
        <w:t>2012.</w:t>
      </w:r>
      <w:r w:rsidR="000225EF" w:rsidRPr="00E03D39">
        <w:t xml:space="preserve"> </w:t>
      </w:r>
    </w:p>
    <w:p w:rsidR="009353BD" w:rsidRPr="00E03D39" w:rsidRDefault="009353BD" w:rsidP="009353BD">
      <w:pPr>
        <w:pStyle w:val="Normaltindrag"/>
      </w:pPr>
    </w:p>
    <w:p w:rsidR="00FB47A2" w:rsidRPr="00E03D39" w:rsidRDefault="00FB47A2" w:rsidP="00FB47A2">
      <w:bookmarkStart w:id="3" w:name="TextStart"/>
      <w:bookmarkEnd w:id="3"/>
    </w:p>
    <w:p w:rsidR="00FB47A2" w:rsidRPr="00E03D39" w:rsidRDefault="00FB47A2" w:rsidP="00FB47A2">
      <w:pPr>
        <w:pStyle w:val="Normaltindrag"/>
        <w:sectPr w:rsidR="00FB47A2" w:rsidRPr="00E03D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B47A2" w:rsidRPr="00E03D39" w:rsidRDefault="00FB47A2" w:rsidP="00FB47A2">
      <w:pPr>
        <w:pStyle w:val="Rubrik1"/>
        <w:rPr>
          <w:noProof w:val="0"/>
        </w:rPr>
      </w:pPr>
      <w:bookmarkStart w:id="4" w:name="_Toc320621096"/>
      <w:r w:rsidRPr="00E03D39">
        <w:rPr>
          <w:noProof w:val="0"/>
        </w:rPr>
        <w:lastRenderedPageBreak/>
        <w:t>Innehållsförteckning</w:t>
      </w:r>
      <w:bookmarkEnd w:id="4"/>
    </w:p>
    <w:p w:rsidR="00314550" w:rsidRPr="00E03D39" w:rsidRDefault="00314550">
      <w:pPr>
        <w:pStyle w:val="Innehll1"/>
        <w:rPr>
          <w:sz w:val="24"/>
          <w:szCs w:val="24"/>
        </w:rPr>
      </w:pPr>
      <w:r w:rsidRPr="00E03D39">
        <w:t>Sammanfattning</w:t>
      </w:r>
      <w:r w:rsidRPr="00E03D39">
        <w:tab/>
      </w:r>
      <w:r w:rsidR="00596008" w:rsidRPr="00E03D39">
        <w:t>1</w:t>
      </w:r>
    </w:p>
    <w:p w:rsidR="00314550" w:rsidRPr="00E03D39" w:rsidRDefault="00314550">
      <w:pPr>
        <w:pStyle w:val="Innehll1"/>
        <w:rPr>
          <w:sz w:val="24"/>
          <w:szCs w:val="24"/>
        </w:rPr>
      </w:pPr>
      <w:r w:rsidRPr="00E03D39">
        <w:t>1 Riksdagsstyrelsens förslag till riksdagsbeslut</w:t>
      </w:r>
      <w:r w:rsidRPr="00E03D39">
        <w:tab/>
      </w:r>
      <w:r w:rsidR="00596008" w:rsidRPr="00E03D39">
        <w:t>3</w:t>
      </w:r>
    </w:p>
    <w:p w:rsidR="00314550" w:rsidRPr="00E03D39" w:rsidRDefault="00314550">
      <w:pPr>
        <w:pStyle w:val="Innehll1"/>
        <w:rPr>
          <w:sz w:val="24"/>
          <w:szCs w:val="24"/>
        </w:rPr>
      </w:pPr>
      <w:r w:rsidRPr="00E03D39">
        <w:t xml:space="preserve">2 </w:t>
      </w:r>
      <w:r w:rsidR="00D459C0" w:rsidRPr="00E03D39">
        <w:t>L</w:t>
      </w:r>
      <w:r w:rsidRPr="00E03D39">
        <w:t>agförslag</w:t>
      </w:r>
      <w:r w:rsidRPr="00E03D39">
        <w:tab/>
      </w:r>
      <w:r w:rsidR="00596008" w:rsidRPr="00E03D39">
        <w:t>4</w:t>
      </w:r>
    </w:p>
    <w:p w:rsidR="00314550" w:rsidRPr="00E03D39" w:rsidRDefault="00314550">
      <w:pPr>
        <w:pStyle w:val="Innehll2"/>
        <w:rPr>
          <w:sz w:val="24"/>
          <w:szCs w:val="24"/>
        </w:rPr>
      </w:pPr>
      <w:r w:rsidRPr="00E03D39">
        <w:t>2.1 Förslag till lag om ändring i riksdagsordningen</w:t>
      </w:r>
      <w:r w:rsidRPr="00E03D39">
        <w:tab/>
      </w:r>
      <w:r w:rsidR="00596008" w:rsidRPr="00E03D39">
        <w:t>4</w:t>
      </w:r>
    </w:p>
    <w:p w:rsidR="00D459C0" w:rsidRPr="00E03D39" w:rsidRDefault="00314550">
      <w:pPr>
        <w:pStyle w:val="Innehll2"/>
      </w:pPr>
      <w:r w:rsidRPr="00E03D39">
        <w:t>2.2 Förslag till lag om ändring i offentlighets- och sekretesslagen (2009:400)</w:t>
      </w:r>
      <w:r w:rsidRPr="00E03D39">
        <w:tab/>
      </w:r>
      <w:r w:rsidR="00596008" w:rsidRPr="00E03D39">
        <w:t>5</w:t>
      </w:r>
    </w:p>
    <w:p w:rsidR="00D459C0" w:rsidRPr="00E03D39" w:rsidRDefault="00D459C0">
      <w:pPr>
        <w:pStyle w:val="Innehll1"/>
      </w:pPr>
      <w:r w:rsidRPr="00E03D39">
        <w:t>3 Redogörelse för ärendet</w:t>
      </w:r>
      <w:r w:rsidRPr="00E03D39">
        <w:tab/>
        <w:t>6</w:t>
      </w:r>
    </w:p>
    <w:p w:rsidR="00D459C0" w:rsidRPr="00E03D39" w:rsidRDefault="00D459C0" w:rsidP="00D459C0">
      <w:pPr>
        <w:pStyle w:val="Innehll1"/>
        <w:ind w:left="190"/>
      </w:pPr>
      <w:r w:rsidRPr="00E03D39">
        <w:t>3.1 Ärendet och dess beredning</w:t>
      </w:r>
      <w:r w:rsidRPr="00E03D39">
        <w:tab/>
        <w:t>6</w:t>
      </w:r>
    </w:p>
    <w:p w:rsidR="00D459C0" w:rsidRPr="00E03D39" w:rsidRDefault="00D459C0" w:rsidP="00D459C0">
      <w:pPr>
        <w:pStyle w:val="Innehll1"/>
        <w:ind w:left="190"/>
      </w:pPr>
      <w:r w:rsidRPr="00E03D39">
        <w:t>3.2 Revisionsgruppens förslag</w:t>
      </w:r>
      <w:r w:rsidRPr="00E03D39">
        <w:tab/>
        <w:t>7</w:t>
      </w:r>
    </w:p>
    <w:p w:rsidR="00D459C0" w:rsidRPr="00E03D39" w:rsidRDefault="00D459C0" w:rsidP="00D459C0">
      <w:pPr>
        <w:pStyle w:val="Innehll1"/>
        <w:ind w:left="190"/>
      </w:pPr>
      <w:r w:rsidRPr="00E03D39">
        <w:t>3.3 Remissinstanserna</w:t>
      </w:r>
      <w:r w:rsidRPr="00E03D39">
        <w:tab/>
        <w:t>8</w:t>
      </w:r>
    </w:p>
    <w:p w:rsidR="00314550" w:rsidRPr="00E03D39" w:rsidRDefault="00D459C0">
      <w:pPr>
        <w:pStyle w:val="Innehll1"/>
      </w:pPr>
      <w:r w:rsidRPr="00E03D39">
        <w:t>4 Riksdagsstyrelsens överväganden och förslag</w:t>
      </w:r>
      <w:r w:rsidR="00314550" w:rsidRPr="00E03D39">
        <w:tab/>
      </w:r>
      <w:r w:rsidRPr="00E03D39">
        <w:t>9</w:t>
      </w:r>
    </w:p>
    <w:p w:rsidR="00D459C0" w:rsidRPr="00E03D39" w:rsidRDefault="00D459C0" w:rsidP="00D459C0">
      <w:pPr>
        <w:pStyle w:val="Innehll1"/>
        <w:ind w:left="190"/>
      </w:pPr>
      <w:r w:rsidRPr="00E03D39">
        <w:t>4.1 Hanteringsordning</w:t>
      </w:r>
      <w:r w:rsidRPr="00E03D39">
        <w:tab/>
        <w:t>9</w:t>
      </w:r>
    </w:p>
    <w:p w:rsidR="00D459C0" w:rsidRPr="00E03D39" w:rsidRDefault="00D459C0" w:rsidP="00D459C0">
      <w:pPr>
        <w:pStyle w:val="Innehll1"/>
        <w:ind w:left="190"/>
      </w:pPr>
      <w:r w:rsidRPr="00E03D39">
        <w:t>4.2 Sekretess</w:t>
      </w:r>
      <w:r w:rsidRPr="00E03D39">
        <w:tab/>
      </w:r>
      <w:r w:rsidR="005D2BA4" w:rsidRPr="00E03D39">
        <w:t>10</w:t>
      </w:r>
    </w:p>
    <w:p w:rsidR="00314550" w:rsidRPr="00E03D39" w:rsidRDefault="00D459C0" w:rsidP="00104F91">
      <w:pPr>
        <w:pStyle w:val="Innehll1"/>
        <w:rPr>
          <w:sz w:val="24"/>
          <w:szCs w:val="24"/>
        </w:rPr>
      </w:pPr>
      <w:r w:rsidRPr="00E03D39">
        <w:t>5 Ekonomiska konsekvenser</w:t>
      </w:r>
      <w:r w:rsidRPr="00E03D39">
        <w:tab/>
        <w:t>1</w:t>
      </w:r>
      <w:r w:rsidR="00774F7B" w:rsidRPr="00E03D39">
        <w:t>2</w:t>
      </w:r>
    </w:p>
    <w:p w:rsidR="00FB47A2" w:rsidRPr="00E03D39" w:rsidRDefault="00FB47A2" w:rsidP="00FB47A2"/>
    <w:p w:rsidR="00FB47A2" w:rsidRPr="00E03D39" w:rsidRDefault="00FB47A2" w:rsidP="00FB47A2">
      <w:pPr>
        <w:pStyle w:val="Normaltindrag"/>
        <w:sectPr w:rsidR="00FB47A2" w:rsidRPr="00E03D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B47A2" w:rsidRPr="00E03D39" w:rsidRDefault="00157C01" w:rsidP="00FB47A2">
      <w:pPr>
        <w:pStyle w:val="Rubrik1"/>
        <w:rPr>
          <w:noProof w:val="0"/>
        </w:rPr>
      </w:pPr>
      <w:bookmarkStart w:id="5" w:name="_Toc320621097"/>
      <w:r w:rsidRPr="00E03D39">
        <w:rPr>
          <w:noProof w:val="0"/>
        </w:rPr>
        <w:t xml:space="preserve">1 </w:t>
      </w:r>
      <w:r w:rsidR="00FB47A2" w:rsidRPr="00E03D39">
        <w:rPr>
          <w:noProof w:val="0"/>
        </w:rPr>
        <w:t>Riksdagsstyrelsens förslag till riksdagsbeslut</w:t>
      </w:r>
      <w:bookmarkEnd w:id="5"/>
    </w:p>
    <w:p w:rsidR="00CC6224" w:rsidRPr="00E03D39" w:rsidRDefault="004D127E" w:rsidP="007F2509">
      <w:r w:rsidRPr="00E03D39">
        <w:t xml:space="preserve">Riksdagen antar </w:t>
      </w:r>
      <w:r w:rsidR="007F2509" w:rsidRPr="00E03D39">
        <w:t>riksdagsstyrelsens förslag till</w:t>
      </w:r>
    </w:p>
    <w:p w:rsidR="004D127E" w:rsidRPr="00E03D39" w:rsidRDefault="004D127E" w:rsidP="00FE28E4">
      <w:pPr>
        <w:numPr>
          <w:ilvl w:val="0"/>
          <w:numId w:val="14"/>
        </w:numPr>
        <w:tabs>
          <w:tab w:val="clear" w:pos="720"/>
        </w:tabs>
        <w:ind w:left="380" w:hanging="380"/>
      </w:pPr>
      <w:r w:rsidRPr="00E03D39">
        <w:t>lag om ändring i riksdagsor</w:t>
      </w:r>
      <w:r w:rsidRPr="00E03D39">
        <w:t>d</w:t>
      </w:r>
      <w:r w:rsidRPr="00E03D39">
        <w:t>ningen</w:t>
      </w:r>
      <w:r w:rsidR="00B42656" w:rsidRPr="00E03D39">
        <w:t>,</w:t>
      </w:r>
    </w:p>
    <w:p w:rsidR="00CC6224" w:rsidRPr="00E03D39" w:rsidRDefault="00CC6224" w:rsidP="00FE28E4">
      <w:pPr>
        <w:pStyle w:val="Normaltindrag"/>
        <w:numPr>
          <w:ilvl w:val="0"/>
          <w:numId w:val="14"/>
        </w:numPr>
        <w:tabs>
          <w:tab w:val="clear" w:pos="720"/>
        </w:tabs>
        <w:ind w:left="380" w:hanging="380"/>
      </w:pPr>
      <w:r w:rsidRPr="00E03D39">
        <w:t>lag om ändring i offentlighets- och sekretesslagen (2009:400)</w:t>
      </w:r>
      <w:r w:rsidR="00B42656" w:rsidRPr="00E03D39">
        <w:t>.</w:t>
      </w:r>
    </w:p>
    <w:p w:rsidR="00FB47A2" w:rsidRPr="00E03D39" w:rsidRDefault="00FB47A2" w:rsidP="00E64A1D">
      <w:pPr>
        <w:pStyle w:val="Utskriftsdatum"/>
        <w:spacing w:before="480"/>
      </w:pPr>
      <w:bookmarkStart w:id="6" w:name="Nästa_Hpunkt"/>
      <w:bookmarkEnd w:id="6"/>
      <w:r w:rsidRPr="00E03D39">
        <w:t xml:space="preserve">Stockholm den </w:t>
      </w:r>
      <w:r w:rsidR="00716F53" w:rsidRPr="00E03D39">
        <w:t>9 maj 2012</w:t>
      </w:r>
    </w:p>
    <w:p w:rsidR="00FB47A2" w:rsidRPr="00E03D39" w:rsidRDefault="00FB47A2" w:rsidP="00E64A1D">
      <w:pPr>
        <w:spacing w:before="240"/>
      </w:pPr>
      <w:r w:rsidRPr="00E03D39">
        <w:t>På riksdagsstyrelsens vägnar</w:t>
      </w:r>
    </w:p>
    <w:p w:rsidR="009A311B" w:rsidRPr="00E03D39" w:rsidRDefault="009A311B" w:rsidP="009A311B">
      <w:pPr>
        <w:pStyle w:val="Normaltindrag"/>
      </w:pPr>
    </w:p>
    <w:p w:rsidR="009A311B" w:rsidRPr="00E03D39" w:rsidRDefault="009A311B" w:rsidP="009A311B"/>
    <w:p w:rsidR="009A311B" w:rsidRPr="00E03D39" w:rsidRDefault="009A311B" w:rsidP="009A311B"/>
    <w:p w:rsidR="009A311B" w:rsidRPr="00E03D39" w:rsidRDefault="009A311B" w:rsidP="009A311B">
      <w:pPr>
        <w:rPr>
          <w:i/>
        </w:rPr>
      </w:pPr>
      <w:r w:rsidRPr="00E03D39">
        <w:rPr>
          <w:i/>
        </w:rPr>
        <w:t>Per Westerberg</w:t>
      </w:r>
      <w:r w:rsidRPr="00E03D39">
        <w:rPr>
          <w:i/>
        </w:rPr>
        <w:tab/>
      </w:r>
      <w:r w:rsidRPr="00E03D39">
        <w:rPr>
          <w:i/>
        </w:rPr>
        <w:tab/>
      </w:r>
    </w:p>
    <w:p w:rsidR="009A311B" w:rsidRPr="00E03D39" w:rsidRDefault="009A311B" w:rsidP="009A311B">
      <w:pPr>
        <w:pStyle w:val="Normaltindrag"/>
      </w:pPr>
    </w:p>
    <w:p w:rsidR="009A311B" w:rsidRPr="00E03D39" w:rsidRDefault="009A311B" w:rsidP="009A311B">
      <w:pPr>
        <w:pStyle w:val="Normaltindrag"/>
      </w:pPr>
    </w:p>
    <w:p w:rsidR="009A311B" w:rsidRPr="00E03D39" w:rsidRDefault="009A311B" w:rsidP="009A311B">
      <w:pPr>
        <w:pStyle w:val="Normaltindrag"/>
      </w:pPr>
    </w:p>
    <w:p w:rsidR="009A311B" w:rsidRPr="00E03D39" w:rsidRDefault="009A311B" w:rsidP="009A311B">
      <w:pPr>
        <w:pStyle w:val="Normaltindrag"/>
        <w:rPr>
          <w:i/>
        </w:rPr>
      </w:pPr>
      <w:r w:rsidRPr="00E03D39">
        <w:tab/>
      </w:r>
      <w:r w:rsidRPr="00E03D39">
        <w:tab/>
      </w:r>
      <w:r w:rsidRPr="00E03D39">
        <w:tab/>
      </w:r>
      <w:r w:rsidRPr="00E03D39">
        <w:rPr>
          <w:i/>
        </w:rPr>
        <w:t>Kathrin Flossing</w:t>
      </w: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pPr>
        <w:pStyle w:val="Normaltindrag"/>
        <w:rPr>
          <w:i/>
        </w:rPr>
      </w:pPr>
    </w:p>
    <w:p w:rsidR="009A311B" w:rsidRPr="00E03D39" w:rsidRDefault="009A311B" w:rsidP="009A311B">
      <w:r w:rsidRPr="00E03D39">
        <w:t>I beslutet har deltagit: Per Westerberg, ordförande, Berit Högman (S), Anna Kinberg Batra (M), Gunvor G Ericson (MP), Johan Pehrson (FP), Carina Moberg (S), Margareta Pålsson (M), Leif Jakobsson (S), Tomas Tobé (M), Karin Åström (S) och Magdalena Andersson (</w:t>
      </w:r>
      <w:r w:rsidR="00716F53" w:rsidRPr="00E03D39">
        <w:t>M</w:t>
      </w:r>
      <w:r w:rsidRPr="00E03D39">
        <w:t>).</w:t>
      </w:r>
    </w:p>
    <w:p w:rsidR="007F2509" w:rsidRPr="00E03D39" w:rsidRDefault="007F2509" w:rsidP="007F2509">
      <w:pPr>
        <w:pStyle w:val="Normaltindrag"/>
      </w:pPr>
    </w:p>
    <w:p w:rsidR="007F2509" w:rsidRPr="00E03D39" w:rsidRDefault="007F2509" w:rsidP="007F2509">
      <w:pPr>
        <w:pStyle w:val="Normaltindrag"/>
      </w:pPr>
    </w:p>
    <w:p w:rsidR="007F2509" w:rsidRPr="00E03D39" w:rsidRDefault="007F2509" w:rsidP="00FB47A2">
      <w:pPr>
        <w:pStyle w:val="Normaltindrag"/>
      </w:pPr>
      <w:bookmarkStart w:id="7" w:name="Ordförande"/>
      <w:bookmarkEnd w:id="7"/>
    </w:p>
    <w:p w:rsidR="007F2509" w:rsidRPr="00E03D39" w:rsidRDefault="007F2509" w:rsidP="00FB47A2">
      <w:pPr>
        <w:pStyle w:val="Normaltindrag"/>
        <w:sectPr w:rsidR="007F2509" w:rsidRPr="00E03D3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57C01" w:rsidRPr="00E03D39" w:rsidRDefault="00157C01" w:rsidP="00157C01">
      <w:pPr>
        <w:pStyle w:val="Rubrik1"/>
        <w:rPr>
          <w:noProof w:val="0"/>
        </w:rPr>
      </w:pPr>
      <w:bookmarkStart w:id="8" w:name="_Toc320621098"/>
      <w:r w:rsidRPr="00E03D39">
        <w:rPr>
          <w:noProof w:val="0"/>
        </w:rPr>
        <w:t xml:space="preserve">2 </w:t>
      </w:r>
      <w:r w:rsidR="00017D9B" w:rsidRPr="00E03D39">
        <w:rPr>
          <w:noProof w:val="0"/>
        </w:rPr>
        <w:t>L</w:t>
      </w:r>
      <w:r w:rsidRPr="00E03D39">
        <w:rPr>
          <w:noProof w:val="0"/>
        </w:rPr>
        <w:t>agförslag</w:t>
      </w:r>
      <w:bookmarkEnd w:id="8"/>
    </w:p>
    <w:p w:rsidR="00157C01" w:rsidRPr="00E03D39" w:rsidRDefault="00157C01" w:rsidP="00152E27">
      <w:pPr>
        <w:pStyle w:val="Rubrik2"/>
        <w:spacing w:before="0"/>
      </w:pPr>
      <w:bookmarkStart w:id="9" w:name="_Toc320621099"/>
      <w:r w:rsidRPr="00E03D39">
        <w:t>2.1 Förslag till lag om ändring i riksdagsordningen</w:t>
      </w:r>
      <w:bookmarkEnd w:id="9"/>
    </w:p>
    <w:p w:rsidR="00157C01" w:rsidRPr="00E03D39" w:rsidRDefault="00157C01" w:rsidP="00157C01">
      <w:pPr>
        <w:pStyle w:val="Normaltindrag"/>
      </w:pPr>
      <w:r w:rsidRPr="00E03D39">
        <w:t xml:space="preserve">Härigenom föreskrivs att </w:t>
      </w:r>
      <w:r w:rsidR="00646EAE" w:rsidRPr="00E03D39">
        <w:t xml:space="preserve">tilläggsbestämmelsen </w:t>
      </w:r>
      <w:r w:rsidR="00860BB4" w:rsidRPr="00E03D39">
        <w:t>3.</w:t>
      </w:r>
      <w:r w:rsidRPr="00E03D39">
        <w:t>8a</w:t>
      </w:r>
      <w:r w:rsidR="00860BB4" w:rsidRPr="00E03D39">
        <w:t>.</w:t>
      </w:r>
      <w:r w:rsidRPr="00E03D39">
        <w:t>2 riksdagsordnin</w:t>
      </w:r>
      <w:r w:rsidRPr="00E03D39">
        <w:t>g</w:t>
      </w:r>
      <w:r w:rsidRPr="00E03D39">
        <w:t>en</w:t>
      </w:r>
      <w:r w:rsidR="00860BB4" w:rsidRPr="00E03D39">
        <w:rPr>
          <w:rStyle w:val="Fotnotsreferens"/>
        </w:rPr>
        <w:footnoteReference w:id="1"/>
      </w:r>
      <w:r w:rsidRPr="00E03D39">
        <w:t xml:space="preserve"> ska ha följande lydelse.</w:t>
      </w:r>
    </w:p>
    <w:p w:rsidR="00860BB4" w:rsidRPr="00E03D39" w:rsidRDefault="00860BB4" w:rsidP="00157C01">
      <w:pPr>
        <w:pStyle w:val="Normaltindrag"/>
      </w:pPr>
    </w:p>
    <w:tbl>
      <w:tblPr>
        <w:tblW w:w="61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7174D8" w:rsidRPr="00E03D39" w:rsidTr="007174D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860BB4" w:rsidRPr="00E03D39" w:rsidRDefault="00AD037E" w:rsidP="00AD037E">
            <w:pPr>
              <w:pStyle w:val="LagtextRubrik"/>
            </w:pPr>
            <w:r w:rsidRPr="00E03D39">
              <w:t>Nuvarande lydelse</w:t>
            </w:r>
          </w:p>
        </w:tc>
        <w:tc>
          <w:tcPr>
            <w:tcW w:w="3090" w:type="dxa"/>
          </w:tcPr>
          <w:p w:rsidR="007174D8" w:rsidRPr="00E03D39" w:rsidRDefault="007174D8" w:rsidP="007174D8">
            <w:pPr>
              <w:pStyle w:val="LagtextRubrik"/>
            </w:pPr>
            <w:r w:rsidRPr="00E03D39">
              <w:t>Föreslagen lydelse</w:t>
            </w:r>
          </w:p>
        </w:tc>
      </w:tr>
      <w:tr w:rsidR="00AD037E" w:rsidRPr="00E03D39" w:rsidTr="00AD037E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AD037E" w:rsidRPr="00E03D39" w:rsidRDefault="00AD037E" w:rsidP="00AD037E">
            <w:pPr>
              <w:pStyle w:val="LagtextIndrag"/>
              <w:jc w:val="center"/>
            </w:pPr>
            <w:r w:rsidRPr="00E03D39">
              <w:t>3.8a.2</w:t>
            </w:r>
            <w:r w:rsidRPr="00E03D39">
              <w:rPr>
                <w:rStyle w:val="Fotnotsreferens"/>
              </w:rPr>
              <w:footnoteReference w:id="2"/>
            </w:r>
          </w:p>
        </w:tc>
      </w:tr>
      <w:tr w:rsidR="007174D8" w:rsidRPr="00E03D39" w:rsidTr="007174D8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7174D8" w:rsidRPr="00E03D39" w:rsidRDefault="007174D8" w:rsidP="007174D8">
            <w:pPr>
              <w:pStyle w:val="LagtextIndrag"/>
            </w:pPr>
            <w:r w:rsidRPr="00E03D39">
              <w:t>Den årliga rapporten lämnas som en redogörelse.</w:t>
            </w:r>
          </w:p>
        </w:tc>
        <w:tc>
          <w:tcPr>
            <w:tcW w:w="3090" w:type="dxa"/>
          </w:tcPr>
          <w:p w:rsidR="007174D8" w:rsidRPr="00E03D39" w:rsidRDefault="007174D8" w:rsidP="007174D8">
            <w:pPr>
              <w:pStyle w:val="LagtextIndrag"/>
            </w:pPr>
            <w:r w:rsidRPr="00E03D39">
              <w:t xml:space="preserve">Den årliga rapporten </w:t>
            </w:r>
            <w:r w:rsidRPr="00E03D39">
              <w:rPr>
                <w:i/>
              </w:rPr>
              <w:t>och grans</w:t>
            </w:r>
            <w:r w:rsidRPr="00E03D39">
              <w:rPr>
                <w:i/>
              </w:rPr>
              <w:t>k</w:t>
            </w:r>
            <w:r w:rsidRPr="00E03D39">
              <w:rPr>
                <w:i/>
              </w:rPr>
              <w:t>ningsrapporter som rör den ver</w:t>
            </w:r>
            <w:r w:rsidRPr="00E03D39">
              <w:rPr>
                <w:i/>
              </w:rPr>
              <w:t>k</w:t>
            </w:r>
            <w:r w:rsidRPr="00E03D39">
              <w:rPr>
                <w:i/>
              </w:rPr>
              <w:t xml:space="preserve">samhet som bedrivs av </w:t>
            </w:r>
            <w:r w:rsidR="00D63D52" w:rsidRPr="00E03D39">
              <w:rPr>
                <w:i/>
              </w:rPr>
              <w:t>R</w:t>
            </w:r>
            <w:r w:rsidRPr="00E03D39">
              <w:rPr>
                <w:i/>
              </w:rPr>
              <w:t>iksdag</w:t>
            </w:r>
            <w:r w:rsidR="00D63D52" w:rsidRPr="00E03D39">
              <w:rPr>
                <w:i/>
              </w:rPr>
              <w:t>s</w:t>
            </w:r>
            <w:r w:rsidRPr="00E03D39">
              <w:rPr>
                <w:i/>
              </w:rPr>
              <w:t>fö</w:t>
            </w:r>
            <w:r w:rsidRPr="00E03D39">
              <w:rPr>
                <w:i/>
              </w:rPr>
              <w:t>r</w:t>
            </w:r>
            <w:r w:rsidRPr="00E03D39">
              <w:rPr>
                <w:i/>
              </w:rPr>
              <w:t>valtning</w:t>
            </w:r>
            <w:r w:rsidR="00D63D52" w:rsidRPr="00E03D39">
              <w:rPr>
                <w:i/>
              </w:rPr>
              <w:t>en</w:t>
            </w:r>
            <w:r w:rsidRPr="00E03D39">
              <w:rPr>
                <w:i/>
              </w:rPr>
              <w:t xml:space="preserve"> och myndigheter under riksdagen </w:t>
            </w:r>
            <w:r w:rsidRPr="00E03D39">
              <w:t>lämnas som en redogöre</w:t>
            </w:r>
            <w:r w:rsidRPr="00E03D39">
              <w:t>l</w:t>
            </w:r>
            <w:r w:rsidRPr="00E03D39">
              <w:t>se.</w:t>
            </w:r>
          </w:p>
        </w:tc>
      </w:tr>
    </w:tbl>
    <w:p w:rsidR="00860BB4" w:rsidRPr="00E03D39" w:rsidRDefault="00860BB4" w:rsidP="00F62C5E">
      <w:r w:rsidRPr="00E03D39">
        <w:t>___________</w:t>
      </w:r>
    </w:p>
    <w:p w:rsidR="00F62C5E" w:rsidRPr="00E03D39" w:rsidRDefault="00F62C5E" w:rsidP="00F62C5E">
      <w:r w:rsidRPr="00E03D39">
        <w:t xml:space="preserve">Denna lag träder i kraft den </w:t>
      </w:r>
      <w:r w:rsidR="00646EAE" w:rsidRPr="00E03D39">
        <w:t xml:space="preserve">1 oktober </w:t>
      </w:r>
      <w:r w:rsidRPr="00E03D39">
        <w:t>2012.</w:t>
      </w:r>
    </w:p>
    <w:p w:rsidR="00157C01" w:rsidRPr="00E03D39" w:rsidRDefault="00157C01" w:rsidP="00157C01"/>
    <w:p w:rsidR="00646EAE" w:rsidRPr="00E03D39" w:rsidRDefault="00646EAE" w:rsidP="00646EAE">
      <w:pPr>
        <w:pStyle w:val="Normaltindrag"/>
      </w:pPr>
    </w:p>
    <w:p w:rsidR="00646EAE" w:rsidRPr="00E03D39" w:rsidRDefault="00646EAE" w:rsidP="000E0C17">
      <w:pPr>
        <w:pStyle w:val="Rubrik2"/>
        <w:pageBreakBefore/>
        <w:spacing w:before="0"/>
      </w:pPr>
      <w:bookmarkStart w:id="10" w:name="_Toc320621100"/>
      <w:r w:rsidRPr="00E03D39">
        <w:t>2.2 Förslag till lag om ändring i offentlighets- och sekretesslagen (2009:400)</w:t>
      </w:r>
      <w:bookmarkEnd w:id="10"/>
    </w:p>
    <w:p w:rsidR="00646EAE" w:rsidRPr="00E03D39" w:rsidRDefault="002F547B" w:rsidP="00646EAE">
      <w:pPr>
        <w:pStyle w:val="Normaltindrag"/>
      </w:pPr>
      <w:r w:rsidRPr="00E03D39">
        <w:t>Härigenom föreskrivs att det i lagen ska införas en ny paragraf, 41 kap. 3</w:t>
      </w:r>
      <w:r w:rsidR="00C879AF" w:rsidRPr="00E03D39">
        <w:t> </w:t>
      </w:r>
      <w:r w:rsidRPr="00E03D39">
        <w:t>a</w:t>
      </w:r>
      <w:r w:rsidR="00C879AF" w:rsidRPr="00E03D39">
        <w:t> </w:t>
      </w:r>
      <w:r w:rsidRPr="00E03D39">
        <w:t>§</w:t>
      </w:r>
      <w:r w:rsidR="00220C21" w:rsidRPr="00E03D39">
        <w:t>,</w:t>
      </w:r>
      <w:r w:rsidRPr="00E03D39">
        <w:t xml:space="preserve"> av följande lydelse.</w:t>
      </w:r>
    </w:p>
    <w:p w:rsidR="00706F93" w:rsidRPr="00E03D39" w:rsidRDefault="00706F93" w:rsidP="00646EAE">
      <w:pPr>
        <w:pStyle w:val="Normaltindrag"/>
      </w:pPr>
    </w:p>
    <w:tbl>
      <w:tblPr>
        <w:tblW w:w="61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2F547B" w:rsidRPr="00E03D39" w:rsidTr="002F54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203E04" w:rsidRPr="00E03D39" w:rsidRDefault="00AD037E" w:rsidP="00AD037E">
            <w:pPr>
              <w:pStyle w:val="LagtextRubrik"/>
            </w:pPr>
            <w:r w:rsidRPr="00E03D39">
              <w:t>Nuvarande lydelse</w:t>
            </w:r>
          </w:p>
        </w:tc>
        <w:tc>
          <w:tcPr>
            <w:tcW w:w="3090" w:type="dxa"/>
          </w:tcPr>
          <w:p w:rsidR="002F547B" w:rsidRPr="00E03D39" w:rsidRDefault="002F547B" w:rsidP="002F547B">
            <w:pPr>
              <w:pStyle w:val="LagtextRubrik"/>
            </w:pPr>
            <w:r w:rsidRPr="00E03D39">
              <w:t>Föreslagen lydelse</w:t>
            </w:r>
          </w:p>
        </w:tc>
      </w:tr>
      <w:tr w:rsidR="00AD037E" w:rsidRPr="00E03D39" w:rsidTr="00AD037E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AD037E" w:rsidRPr="00E03D39" w:rsidRDefault="00AD037E" w:rsidP="00AD037E">
            <w:pPr>
              <w:pStyle w:val="LagtextIndrag"/>
              <w:jc w:val="center"/>
              <w:rPr>
                <w:i/>
              </w:rPr>
            </w:pPr>
            <w:r w:rsidRPr="00E03D39">
              <w:t xml:space="preserve">41 kap.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E03D39">
                <w:t>3 a</w:t>
              </w:r>
            </w:smartTag>
            <w:r w:rsidRPr="00E03D39">
              <w:t xml:space="preserve"> §</w:t>
            </w:r>
          </w:p>
        </w:tc>
      </w:tr>
      <w:tr w:rsidR="002F547B" w:rsidRPr="00E03D39" w:rsidTr="002F547B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2F547B" w:rsidRPr="00E03D39" w:rsidRDefault="002F547B" w:rsidP="002F547B">
            <w:pPr>
              <w:pStyle w:val="LagtextIndrag"/>
            </w:pPr>
          </w:p>
        </w:tc>
        <w:tc>
          <w:tcPr>
            <w:tcW w:w="3090" w:type="dxa"/>
          </w:tcPr>
          <w:p w:rsidR="002F547B" w:rsidRPr="00E03D39" w:rsidRDefault="002F547B" w:rsidP="002F547B">
            <w:pPr>
              <w:pStyle w:val="LagtextIndrag"/>
              <w:rPr>
                <w:i/>
              </w:rPr>
            </w:pPr>
            <w:r w:rsidRPr="00E03D39">
              <w:rPr>
                <w:i/>
              </w:rPr>
              <w:t>Får riksdagen från Riksrevisionen en sekretessreglerad uppgift eller en uppgift som där omfattas av överförd sekretess enligt 11 kap. 1 §, blir sekretessbestämmelsen tillämplig på uppgiften även hos riksdagen.</w:t>
            </w:r>
          </w:p>
        </w:tc>
      </w:tr>
    </w:tbl>
    <w:p w:rsidR="00203E04" w:rsidRPr="00E03D39" w:rsidRDefault="00203E04" w:rsidP="00891BEF">
      <w:r w:rsidRPr="00E03D39">
        <w:t>_____________</w:t>
      </w:r>
    </w:p>
    <w:p w:rsidR="00891BEF" w:rsidRPr="00E03D39" w:rsidRDefault="00891BEF" w:rsidP="00891BEF">
      <w:r w:rsidRPr="00E03D39">
        <w:t>Denna lag träder i kraft den 1 oktober 2012.</w:t>
      </w:r>
    </w:p>
    <w:p w:rsidR="00646EAE" w:rsidRPr="00E03D39" w:rsidRDefault="00646EAE" w:rsidP="00646EAE"/>
    <w:p w:rsidR="00FB47A2" w:rsidRPr="00E03D39" w:rsidRDefault="00FB47A2" w:rsidP="00891BEF">
      <w:pPr>
        <w:pStyle w:val="Normaltindrag"/>
      </w:pPr>
      <w:bookmarkStart w:id="11" w:name="Deltagare"/>
      <w:bookmarkEnd w:id="11"/>
    </w:p>
    <w:p w:rsidR="00FB47A2" w:rsidRPr="00E03D39" w:rsidRDefault="00FB47A2" w:rsidP="00FB47A2">
      <w:pPr>
        <w:pStyle w:val="Normaltindrag"/>
        <w:sectPr w:rsidR="00FB47A2" w:rsidRPr="00E03D3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7D9B" w:rsidRPr="00E03D39" w:rsidRDefault="00850875" w:rsidP="00850875">
      <w:pPr>
        <w:pStyle w:val="Rubrik1"/>
        <w:rPr>
          <w:noProof w:val="0"/>
        </w:rPr>
      </w:pPr>
      <w:bookmarkStart w:id="12" w:name="_Toc320621101"/>
      <w:r w:rsidRPr="00E03D39">
        <w:rPr>
          <w:noProof w:val="0"/>
        </w:rPr>
        <w:t xml:space="preserve">3 </w:t>
      </w:r>
      <w:r w:rsidR="00017D9B" w:rsidRPr="00E03D39">
        <w:rPr>
          <w:noProof w:val="0"/>
        </w:rPr>
        <w:t>Redogörelse för ärendet</w:t>
      </w:r>
    </w:p>
    <w:p w:rsidR="00FB47A2" w:rsidRPr="00E03D39" w:rsidRDefault="00850875" w:rsidP="00373948">
      <w:pPr>
        <w:pStyle w:val="Rubrik2"/>
        <w:spacing w:before="0"/>
      </w:pPr>
      <w:r w:rsidRPr="00E03D39">
        <w:t xml:space="preserve">3.1 </w:t>
      </w:r>
      <w:r w:rsidR="004D2C6E" w:rsidRPr="00E03D39">
        <w:t>Ärendet och dess beredning</w:t>
      </w:r>
      <w:bookmarkEnd w:id="12"/>
    </w:p>
    <w:p w:rsidR="005B3BFD" w:rsidRPr="00E03D39" w:rsidRDefault="00DA230F" w:rsidP="00DA230F">
      <w:r w:rsidRPr="00E03D39">
        <w:t>Från och med den 1 januari 2011 gäller en ny besluts- och hanteringsordning för Riksrevisionens granskningsrapporter. De</w:t>
      </w:r>
      <w:r w:rsidR="005B3BFD" w:rsidRPr="00E03D39">
        <w:t>n</w:t>
      </w:r>
      <w:r w:rsidRPr="00E03D39">
        <w:t xml:space="preserve"> innebär bl.a. att riksrevisore</w:t>
      </w:r>
      <w:r w:rsidRPr="00E03D39">
        <w:t>r</w:t>
      </w:r>
      <w:r w:rsidRPr="00E03D39">
        <w:t>na lämnar sina granskningsrapporter från effektivitetsrevisionen direkt till riksdagen. Regeringen ska sedan, inom fyra</w:t>
      </w:r>
      <w:r w:rsidR="00A33C93" w:rsidRPr="00E03D39">
        <w:t xml:space="preserve"> månader</w:t>
      </w:r>
      <w:r w:rsidRPr="00E03D39">
        <w:t>, i en skrivelse till rik</w:t>
      </w:r>
      <w:r w:rsidRPr="00E03D39">
        <w:t>s</w:t>
      </w:r>
      <w:r w:rsidRPr="00E03D39">
        <w:t>dagen red</w:t>
      </w:r>
      <w:r w:rsidRPr="00E03D39">
        <w:t>o</w:t>
      </w:r>
      <w:r w:rsidRPr="00E03D39">
        <w:t>visa vilka åtgärder den vidtagit eller avser att vidta med anledning av granskningsrapporterna.</w:t>
      </w:r>
    </w:p>
    <w:p w:rsidR="005B3BFD" w:rsidRPr="00E03D39" w:rsidRDefault="00DA230F" w:rsidP="004170A8">
      <w:pPr>
        <w:pStyle w:val="Normaltindrag"/>
      </w:pPr>
      <w:r w:rsidRPr="00E03D39">
        <w:t xml:space="preserve">En särskild arbetsgrupp (revisionsgruppen) </w:t>
      </w:r>
      <w:r w:rsidR="00A33C93" w:rsidRPr="00E03D39">
        <w:t>t</w:t>
      </w:r>
      <w:r w:rsidRPr="00E03D39">
        <w:t>illsa</w:t>
      </w:r>
      <w:r w:rsidRPr="00E03D39">
        <w:t>t</w:t>
      </w:r>
      <w:r w:rsidR="00A33C93" w:rsidRPr="00E03D39">
        <w:t>te</w:t>
      </w:r>
      <w:r w:rsidRPr="00E03D39">
        <w:t xml:space="preserve">s för att genomföra den nya ordningen. Gruppen </w:t>
      </w:r>
      <w:r w:rsidR="00A33C93" w:rsidRPr="00E03D39">
        <w:t xml:space="preserve">redovisade </w:t>
      </w:r>
      <w:r w:rsidRPr="00E03D39">
        <w:t>i december 2010</w:t>
      </w:r>
      <w:r w:rsidR="00A33C93" w:rsidRPr="00E03D39">
        <w:t xml:space="preserve"> </w:t>
      </w:r>
      <w:r w:rsidRPr="00E03D39">
        <w:t xml:space="preserve">i en promemoria </w:t>
      </w:r>
      <w:r w:rsidR="00A33C93" w:rsidRPr="00E03D39">
        <w:t>v</w:t>
      </w:r>
      <w:r w:rsidRPr="00E03D39">
        <w:t xml:space="preserve">ilka handlingsrutiner som behövs för hanteringen av Riksrevisionens rapporter. Dessutom </w:t>
      </w:r>
      <w:r w:rsidR="00A33C93" w:rsidRPr="00E03D39">
        <w:t xml:space="preserve">tog </w:t>
      </w:r>
      <w:r w:rsidRPr="00E03D39">
        <w:t xml:space="preserve">gruppen </w:t>
      </w:r>
      <w:r w:rsidR="00A33C93" w:rsidRPr="00E03D39">
        <w:t>f</w:t>
      </w:r>
      <w:r w:rsidR="006329E0" w:rsidRPr="00E03D39">
        <w:t>ram en kortfattad</w:t>
      </w:r>
      <w:r w:rsidRPr="00E03D39">
        <w:t xml:space="preserve"> handledning för de nya arbetsrut</w:t>
      </w:r>
      <w:r w:rsidRPr="00E03D39">
        <w:t>i</w:t>
      </w:r>
      <w:r w:rsidRPr="00E03D39">
        <w:t>nerna.</w:t>
      </w:r>
    </w:p>
    <w:p w:rsidR="004170A8" w:rsidRPr="00E03D39" w:rsidRDefault="004170A8" w:rsidP="004170A8">
      <w:pPr>
        <w:pStyle w:val="Normaltindrag"/>
      </w:pPr>
      <w:r w:rsidRPr="00E03D39">
        <w:t>Mot bakgrund av riksdagens tidigare tillkännagivande till riksdagsst</w:t>
      </w:r>
      <w:r w:rsidRPr="00E03D39">
        <w:t>y</w:t>
      </w:r>
      <w:r w:rsidRPr="00E03D39">
        <w:t>relsen i samband med vilandeförklaringen av den nya hantering</w:t>
      </w:r>
      <w:r w:rsidRPr="00E03D39">
        <w:t>s</w:t>
      </w:r>
      <w:r w:rsidRPr="00E03D39">
        <w:t xml:space="preserve">ordningen (bet. 2009/10:KU17 s. 18) </w:t>
      </w:r>
      <w:r w:rsidR="005B3BFD" w:rsidRPr="00E03D39">
        <w:t>fick gruppen i januari 2011 ett tilläggsuppdrag. G</w:t>
      </w:r>
      <w:r w:rsidRPr="00E03D39">
        <w:t>ru</w:t>
      </w:r>
      <w:r w:rsidRPr="00E03D39">
        <w:t>p</w:t>
      </w:r>
      <w:r w:rsidRPr="00E03D39">
        <w:t xml:space="preserve">pen </w:t>
      </w:r>
      <w:r w:rsidR="005B3BFD" w:rsidRPr="00E03D39">
        <w:t xml:space="preserve">skulle </w:t>
      </w:r>
      <w:r w:rsidRPr="00E03D39">
        <w:t xml:space="preserve">även utreda dels hanteringen av granskningsrapporter som avser </w:t>
      </w:r>
      <w:r w:rsidR="005B3BFD" w:rsidRPr="00E03D39">
        <w:t>R</w:t>
      </w:r>
      <w:r w:rsidRPr="00E03D39">
        <w:t>ik</w:t>
      </w:r>
      <w:r w:rsidRPr="00E03D39">
        <w:t>s</w:t>
      </w:r>
      <w:r w:rsidRPr="00E03D39">
        <w:t>dagsförvaltningen och riksdagens myndigheter, dels hanteringen i rik</w:t>
      </w:r>
      <w:r w:rsidRPr="00E03D39">
        <w:t>s</w:t>
      </w:r>
      <w:r w:rsidRPr="00E03D39">
        <w:t>dagen av handlingar och uppgifter som är sekretessbelagda hos Riksrevisi</w:t>
      </w:r>
      <w:r w:rsidRPr="00E03D39">
        <w:t>o</w:t>
      </w:r>
      <w:r w:rsidRPr="00E03D39">
        <w:t>nen.</w:t>
      </w:r>
    </w:p>
    <w:p w:rsidR="00EB5345" w:rsidRPr="00E03D39" w:rsidRDefault="00EB5345" w:rsidP="004170A8">
      <w:pPr>
        <w:pStyle w:val="Normaltindrag"/>
      </w:pPr>
      <w:r w:rsidRPr="00E03D39">
        <w:t>Revisionsgruppen redovisade sina slutsatser i två promemorior.</w:t>
      </w:r>
      <w:r w:rsidRPr="00E03D39">
        <w:rPr>
          <w:rStyle w:val="Fotnotsreferens"/>
        </w:rPr>
        <w:footnoteReference w:id="3"/>
      </w:r>
      <w:r w:rsidRPr="00E03D39">
        <w:t xml:space="preserve"> </w:t>
      </w:r>
    </w:p>
    <w:p w:rsidR="00220C21" w:rsidRPr="00E03D39" w:rsidRDefault="00220C21" w:rsidP="004170A8">
      <w:pPr>
        <w:pStyle w:val="Normaltindrag"/>
      </w:pPr>
      <w:r w:rsidRPr="00E03D39">
        <w:t>Revisionsgruppens förslag har remissb</w:t>
      </w:r>
      <w:r w:rsidR="00447EA0" w:rsidRPr="00E03D39">
        <w:t>e</w:t>
      </w:r>
      <w:r w:rsidRPr="00E03D39">
        <w:t>handlats.</w:t>
      </w:r>
    </w:p>
    <w:p w:rsidR="00FB47A2" w:rsidRPr="00E03D39" w:rsidRDefault="00FB47A2" w:rsidP="00FB47A2"/>
    <w:p w:rsidR="00FB47A2" w:rsidRPr="00E03D39" w:rsidRDefault="00FB47A2" w:rsidP="00FB47A2">
      <w:pPr>
        <w:pStyle w:val="Normaltindrag"/>
        <w:sectPr w:rsidR="00FB47A2" w:rsidRPr="00E03D39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220C21" w:rsidRPr="00E03D39" w:rsidRDefault="00850875" w:rsidP="00373948">
      <w:pPr>
        <w:pStyle w:val="Rubrik2"/>
        <w:spacing w:before="0"/>
      </w:pPr>
      <w:bookmarkStart w:id="13" w:name="_Toc320621103"/>
      <w:r w:rsidRPr="00E03D39">
        <w:t xml:space="preserve">3.2 </w:t>
      </w:r>
      <w:r w:rsidR="00220C21" w:rsidRPr="00E03D39">
        <w:t>Revisionsgruppens</w:t>
      </w:r>
      <w:r w:rsidR="00017D9B" w:rsidRPr="00E03D39">
        <w:t xml:space="preserve"> förslag</w:t>
      </w:r>
    </w:p>
    <w:p w:rsidR="00727C10" w:rsidRPr="00E03D39" w:rsidRDefault="00220C21" w:rsidP="00727C10">
      <w:r w:rsidRPr="00E03D39">
        <w:t>En särskild hanteringsordning bör införas för granskningsrapporter som avser Riksdagsförvaltningen och riksdagens övriga myndigheter. Det är inte rimligt att regeringen i en skrivelse till riksdagen ska anmodas redovisa vilka åtgä</w:t>
      </w:r>
      <w:r w:rsidRPr="00E03D39">
        <w:t>r</w:t>
      </w:r>
      <w:r w:rsidRPr="00E03D39">
        <w:t>der man vidtagit eller ämnar vidta med anledning av en granskningsrapport som inte ligger inom dess ansvarsområde. Den föreslagna särskilda hante</w:t>
      </w:r>
      <w:r w:rsidRPr="00E03D39">
        <w:t>r</w:t>
      </w:r>
      <w:r w:rsidRPr="00E03D39">
        <w:t>ingsordningen bör u</w:t>
      </w:r>
      <w:r w:rsidR="00485604" w:rsidRPr="00E03D39">
        <w:t>tforma</w:t>
      </w:r>
      <w:r w:rsidRPr="00E03D39">
        <w:t>s så att den i så stor utsträckning som möjligt öve</w:t>
      </w:r>
      <w:r w:rsidRPr="00E03D39">
        <w:t>r</w:t>
      </w:r>
      <w:r w:rsidRPr="00E03D39">
        <w:t>ensstämmer med hanteringen av Riksrevisionens övriga granskningsrappo</w:t>
      </w:r>
      <w:r w:rsidRPr="00E03D39">
        <w:t>r</w:t>
      </w:r>
      <w:r w:rsidRPr="00E03D39">
        <w:t>ter. Då skapas förutsättningar för att beredningsarbetet i riksd</w:t>
      </w:r>
      <w:r w:rsidRPr="00E03D39">
        <w:t>a</w:t>
      </w:r>
      <w:r w:rsidRPr="00E03D39">
        <w:t>gen sker på ett omsorgsfullt sätt och att det vilar på ett allsidigt beslutsunderlag. I likhet med vad som gäller för övriga granskningsrapporter från effektivitetsrevisi</w:t>
      </w:r>
      <w:r w:rsidRPr="00E03D39">
        <w:t>o</w:t>
      </w:r>
      <w:r w:rsidRPr="00E03D39">
        <w:t>nen bör hanteringsordningen möjliggöra insyn.</w:t>
      </w:r>
      <w:r w:rsidR="00727C10" w:rsidRPr="00E03D39">
        <w:t xml:space="preserve"> Mot denna bakgrund har rev</w:t>
      </w:r>
      <w:r w:rsidR="00727C10" w:rsidRPr="00E03D39">
        <w:t>i</w:t>
      </w:r>
      <w:r w:rsidR="00727C10" w:rsidRPr="00E03D39">
        <w:t>sionsgruppen övervägt två alternativa hanteringsordningar.</w:t>
      </w:r>
    </w:p>
    <w:p w:rsidR="00727C10" w:rsidRPr="00E03D39" w:rsidRDefault="00727C10" w:rsidP="00727C10">
      <w:pPr>
        <w:pStyle w:val="Normaltindrag"/>
      </w:pPr>
      <w:r w:rsidRPr="00E03D39">
        <w:t xml:space="preserve"> I det första alternativet lämnar den ansvarige riksrevisorn sin effektivitet</w:t>
      </w:r>
      <w:r w:rsidRPr="00E03D39">
        <w:t>s</w:t>
      </w:r>
      <w:r w:rsidRPr="00E03D39">
        <w:t>granskning till kammarkansliet. Granskningsrapporten anmäls av talmannen vid ett sammanträde med kammaren och överlämnas till berört riksdag</w:t>
      </w:r>
      <w:r w:rsidRPr="00E03D39">
        <w:t>s</w:t>
      </w:r>
      <w:r w:rsidRPr="00E03D39">
        <w:t xml:space="preserve">organ. Därefter </w:t>
      </w:r>
      <w:r w:rsidR="00B42656" w:rsidRPr="00E03D39">
        <w:t xml:space="preserve">är </w:t>
      </w:r>
      <w:r w:rsidRPr="00E03D39">
        <w:t>det berört riksdagsorgan</w:t>
      </w:r>
      <w:r w:rsidR="00B42656" w:rsidRPr="00E03D39">
        <w:t>s uppgift</w:t>
      </w:r>
      <w:r w:rsidRPr="00E03D39">
        <w:t xml:space="preserve"> att lämna en redogörelse till riksdagen över granskningsrapporten och till denna bifoga granskningsra</w:t>
      </w:r>
      <w:r w:rsidRPr="00E03D39">
        <w:t>p</w:t>
      </w:r>
      <w:r w:rsidRPr="00E03D39">
        <w:t>porten. I redogörelsen ska riksdagsorganet redovisa för riksdagen vilka åtgä</w:t>
      </w:r>
      <w:r w:rsidRPr="00E03D39">
        <w:t>r</w:t>
      </w:r>
      <w:r w:rsidRPr="00E03D39">
        <w:t xml:space="preserve">der som har vidtagits eller avses </w:t>
      </w:r>
      <w:r w:rsidR="00B42656" w:rsidRPr="00E03D39">
        <w:t xml:space="preserve">bli vidtagna </w:t>
      </w:r>
      <w:r w:rsidRPr="00E03D39">
        <w:t>på grund av iakttagelserna. Redogörelsen ska lämnas till riksdagen inom fyra månader från det att rik</w:t>
      </w:r>
      <w:r w:rsidRPr="00E03D39">
        <w:t>s</w:t>
      </w:r>
      <w:r w:rsidRPr="00E03D39">
        <w:t>dagsorganet har mottagit rapporten. Infaller juli och augusti under tidsfristen u</w:t>
      </w:r>
      <w:r w:rsidRPr="00E03D39">
        <w:t>t</w:t>
      </w:r>
      <w:r w:rsidRPr="00E03D39">
        <w:t>sträcks perioden till sex månader. I likhet med vad som gäller för övriga granskningsrapporter informeras berört utskott om Riksrevisionens effektiv</w:t>
      </w:r>
      <w:r w:rsidRPr="00E03D39">
        <w:t>i</w:t>
      </w:r>
      <w:r w:rsidRPr="00E03D39">
        <w:t>tetsgrans</w:t>
      </w:r>
      <w:r w:rsidRPr="00E03D39">
        <w:t>k</w:t>
      </w:r>
      <w:r w:rsidRPr="00E03D39">
        <w:t>ning för att möjliggöra en inledande utskottsberedning. Efter det att berört rik</w:t>
      </w:r>
      <w:r w:rsidRPr="00E03D39">
        <w:t>s</w:t>
      </w:r>
      <w:r w:rsidRPr="00E03D39">
        <w:t>dagsorgan lämnat sin redogörelse över granskningsrapporten blir ärendet ett formellt riksdagsäre</w:t>
      </w:r>
      <w:r w:rsidRPr="00E03D39">
        <w:t>n</w:t>
      </w:r>
      <w:r w:rsidRPr="00E03D39">
        <w:t xml:space="preserve">de. Berört utskott har därefter att behandla ärendet och eventuella motioner i ett betänkande för vidare </w:t>
      </w:r>
      <w:r w:rsidR="00485604" w:rsidRPr="00E03D39">
        <w:t xml:space="preserve">befordran till </w:t>
      </w:r>
      <w:r w:rsidRPr="00E03D39">
        <w:t>kammaren.</w:t>
      </w:r>
    </w:p>
    <w:p w:rsidR="00727C10" w:rsidRPr="00E03D39" w:rsidRDefault="00727C10" w:rsidP="00727C10">
      <w:pPr>
        <w:pStyle w:val="Normaltindrag"/>
      </w:pPr>
      <w:r w:rsidRPr="00E03D39">
        <w:t>I det andra alternativet lämnar den ansvarige riksrevisorn, i likhet med andra effektivitetsgranskningar, sin rapport till riksdagen. I riksdagen anmäls effektivitetsgranskningen av talmannen vid ett sammanträde med kammaren efter det att den har gjorts tillgänglig för ledamöterna i tryckt form. Efter bordläggning i kammaren hänvisas ärendet jämte eventuella motioner till berört utskott. Beredningen i utskotten sker sedan i enlighe</w:t>
      </w:r>
      <w:r w:rsidR="00485604" w:rsidRPr="00E03D39">
        <w:t xml:space="preserve">t med normal ordning </w:t>
      </w:r>
      <w:r w:rsidRPr="00E03D39">
        <w:t>i riksdagen. Till skillnad från utskottsberedningen av andra grans</w:t>
      </w:r>
      <w:r w:rsidRPr="00E03D39">
        <w:t>k</w:t>
      </w:r>
      <w:r w:rsidRPr="00E03D39">
        <w:t>ningsrapporter från Riksrevisionen föreligger i detta fall ingen skrivelse med red</w:t>
      </w:r>
      <w:r w:rsidRPr="00E03D39">
        <w:t>o</w:t>
      </w:r>
      <w:r w:rsidRPr="00E03D39">
        <w:t>visning av det ansvariga organets bedömning. För att på motsvarande sätt säke</w:t>
      </w:r>
      <w:r w:rsidRPr="00E03D39">
        <w:t>r</w:t>
      </w:r>
      <w:r w:rsidRPr="00E03D39">
        <w:t>ställa att riksdagen får ett allsidigt beslutsunderlag kan det finnas skäl för utskottet att begära in yttrande från i första hand det riksdagsorgan som berörs av äre</w:t>
      </w:r>
      <w:r w:rsidRPr="00E03D39">
        <w:t>n</w:t>
      </w:r>
      <w:r w:rsidRPr="00E03D39">
        <w:t>det. Även andra berörda myndigheter och organ kan höras. I samma</w:t>
      </w:r>
      <w:r w:rsidRPr="00E03D39">
        <w:t>n</w:t>
      </w:r>
      <w:r w:rsidRPr="00E03D39">
        <w:t>hanget kan även övervägas att den ansvarige riksrevisorn ges tillfälle att r</w:t>
      </w:r>
      <w:r w:rsidRPr="00E03D39">
        <w:t>e</w:t>
      </w:r>
      <w:r w:rsidRPr="00E03D39">
        <w:t>dogöra för sin granskning för utskottet. Det kan även bli aktuellt att begära in yttranden från andra fackutskott. Efter utskottsbehandlingen lämnas ärendet till kamm</w:t>
      </w:r>
      <w:r w:rsidRPr="00E03D39">
        <w:t>a</w:t>
      </w:r>
      <w:r w:rsidRPr="00E03D39">
        <w:t>ren för debatt och beslut samt eventuellt utfärdande av riksdag</w:t>
      </w:r>
      <w:r w:rsidRPr="00E03D39">
        <w:t>s</w:t>
      </w:r>
      <w:r w:rsidRPr="00E03D39">
        <w:t>skrivelse till det organ som har att verkställa beslutet.</w:t>
      </w:r>
    </w:p>
    <w:p w:rsidR="00220C21" w:rsidRPr="00E03D39" w:rsidRDefault="00220C21" w:rsidP="00220C21">
      <w:pPr>
        <w:pStyle w:val="Normaltindrag"/>
      </w:pPr>
      <w:r w:rsidRPr="00E03D39">
        <w:t xml:space="preserve">Granskningsrapporter som avser riksdagens myndigheter bör </w:t>
      </w:r>
      <w:r w:rsidR="00017D9B" w:rsidRPr="00E03D39">
        <w:t xml:space="preserve">enligt det andra alternativet </w:t>
      </w:r>
      <w:r w:rsidRPr="00E03D39">
        <w:t>lämnas i form av redogörelser till riksdagen. Det innebär att dessa, till skillnad från övriga granskningsrapporter, blir formella riksdag</w:t>
      </w:r>
      <w:r w:rsidRPr="00E03D39">
        <w:t>s</w:t>
      </w:r>
      <w:r w:rsidRPr="00E03D39">
        <w:t>ärenden</w:t>
      </w:r>
      <w:r w:rsidR="00093941" w:rsidRPr="00E03D39">
        <w:t xml:space="preserve"> med sedvanlig motionsrätt </w:t>
      </w:r>
      <w:r w:rsidRPr="00E03D39">
        <w:t>redan när de kommer in till riksdagen. Berört utskott bereder riksrevisorns redogörelse och de eventuella moti</w:t>
      </w:r>
      <w:r w:rsidRPr="00E03D39">
        <w:t>o</w:t>
      </w:r>
      <w:r w:rsidRPr="00E03D39">
        <w:t>ner som väckts med anledning av ärendet och redovisar sina ställningstaga</w:t>
      </w:r>
      <w:r w:rsidRPr="00E03D39">
        <w:t>n</w:t>
      </w:r>
      <w:r w:rsidRPr="00E03D39">
        <w:t>den i ett betänkande.</w:t>
      </w:r>
    </w:p>
    <w:p w:rsidR="00220C21" w:rsidRPr="00E03D39" w:rsidRDefault="00220C21" w:rsidP="00220C21">
      <w:pPr>
        <w:pStyle w:val="Normaltindrag"/>
      </w:pPr>
      <w:r w:rsidRPr="00E03D39">
        <w:t>Effektivitetsgranskningar som berör både regeringens och riksdagens kompetensområde hanteras enligt huvudmodellen</w:t>
      </w:r>
      <w:r w:rsidR="0055257B" w:rsidRPr="00E03D39">
        <w:t>. Det innebär att sådana granskningsrapporter lämnas vidare till regeringen för yttrande.</w:t>
      </w:r>
      <w:r w:rsidRPr="00E03D39">
        <w:t xml:space="preserve"> Den särskilda hanteringsordningen bör </w:t>
      </w:r>
      <w:r w:rsidR="0055257B" w:rsidRPr="00E03D39">
        <w:t xml:space="preserve">bestämmas </w:t>
      </w:r>
      <w:r w:rsidRPr="00E03D39">
        <w:t>till att avse granskningsrapporter som avser verksamheten vid Riksdagsförvaltningen och riksdagsmyndigheterna Riksdagens ombudsmän (JO), Riksbanken samt riksdagens nämndmyndigh</w:t>
      </w:r>
      <w:r w:rsidRPr="00E03D39">
        <w:t>e</w:t>
      </w:r>
      <w:r w:rsidRPr="00E03D39">
        <w:t>ter.</w:t>
      </w:r>
    </w:p>
    <w:p w:rsidR="00220C21" w:rsidRPr="00E03D39" w:rsidRDefault="00220C21" w:rsidP="00220C21">
      <w:r w:rsidRPr="00E03D39">
        <w:t>En ny paragraf bör införas i OSL för att säkerställa att uppgifter som o</w:t>
      </w:r>
      <w:r w:rsidRPr="00E03D39">
        <w:t>m</w:t>
      </w:r>
      <w:r w:rsidRPr="00E03D39">
        <w:t>fattas av sekretess hos Riksrevisionen inte blir offentliga bara av den anle</w:t>
      </w:r>
      <w:r w:rsidRPr="00E03D39">
        <w:t>d</w:t>
      </w:r>
      <w:r w:rsidRPr="00E03D39">
        <w:t xml:space="preserve">ningen att det material vari uppgiften finns fordrats in av ett utskott. </w:t>
      </w:r>
    </w:p>
    <w:p w:rsidR="00220C21" w:rsidRPr="00E03D39" w:rsidRDefault="00850875" w:rsidP="00850875">
      <w:pPr>
        <w:pStyle w:val="Rubrik2"/>
      </w:pPr>
      <w:r w:rsidRPr="00E03D39">
        <w:t xml:space="preserve">3.3 </w:t>
      </w:r>
      <w:r w:rsidR="00220C21" w:rsidRPr="00E03D39">
        <w:t>Remissinstanserna</w:t>
      </w:r>
    </w:p>
    <w:p w:rsidR="00220C21" w:rsidRPr="00E03D39" w:rsidRDefault="00220C21" w:rsidP="00220C21">
      <w:r w:rsidRPr="00E03D39">
        <w:t>Revisionsgruppens förslag i de båda promemoriorna har remissbehandlats. Regeringskansliet välkomnar att det klargörs vad som ska gälla för dels ra</w:t>
      </w:r>
      <w:r w:rsidRPr="00E03D39">
        <w:t>p</w:t>
      </w:r>
      <w:r w:rsidRPr="00E03D39">
        <w:t>porter som berör såväl regeringens som riksdagens kompetensområde, dels rapporter som endast avser Riksdagsförvaltningen och riksdagens övriga myndigheter. Regeringskansliet har inga synpunkter på förslaget till ny sekr</w:t>
      </w:r>
      <w:r w:rsidRPr="00E03D39">
        <w:t>e</w:t>
      </w:r>
      <w:r w:rsidRPr="00E03D39">
        <w:t>tessbestä</w:t>
      </w:r>
      <w:r w:rsidRPr="00E03D39">
        <w:t>m</w:t>
      </w:r>
      <w:r w:rsidRPr="00E03D39">
        <w:t>melse. Riksrevisionen anser att förslagen är väl avvägda och bör genomföras. Statskontoret har ingen invändning mot förslaget.</w:t>
      </w:r>
      <w:r w:rsidR="00482476" w:rsidRPr="00E03D39">
        <w:t xml:space="preserve"> Riksdagens ombudsmän (JO) och Justitiekanslern (JK) har inga synpunkter på förslaget. Advokatsamfundet har inge</w:t>
      </w:r>
      <w:r w:rsidR="006012BB" w:rsidRPr="00E03D39">
        <w:t xml:space="preserve">t att invända </w:t>
      </w:r>
      <w:r w:rsidR="00482476" w:rsidRPr="00E03D39">
        <w:t>mot fö</w:t>
      </w:r>
      <w:r w:rsidR="00482476" w:rsidRPr="00E03D39">
        <w:t>r</w:t>
      </w:r>
      <w:r w:rsidR="00482476" w:rsidRPr="00E03D39">
        <w:t>slaget.</w:t>
      </w:r>
    </w:p>
    <w:p w:rsidR="00373948" w:rsidRPr="00E03D39" w:rsidRDefault="00373948" w:rsidP="00373948">
      <w:pPr>
        <w:pStyle w:val="Normaltindrag"/>
      </w:pPr>
    </w:p>
    <w:p w:rsidR="00373948" w:rsidRPr="00E03D39" w:rsidRDefault="00373948" w:rsidP="00373948">
      <w:pPr>
        <w:pStyle w:val="Normaltindrag"/>
        <w:sectPr w:rsidR="00373948" w:rsidRPr="00E03D39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17D9B" w:rsidRPr="00E03D39" w:rsidRDefault="00416EA5" w:rsidP="00850875">
      <w:pPr>
        <w:pStyle w:val="Rubrik1"/>
        <w:rPr>
          <w:noProof w:val="0"/>
        </w:rPr>
      </w:pPr>
      <w:r w:rsidRPr="00E03D39">
        <w:rPr>
          <w:noProof w:val="0"/>
        </w:rPr>
        <w:t xml:space="preserve">4 </w:t>
      </w:r>
      <w:r w:rsidR="00017D9B" w:rsidRPr="00E03D39">
        <w:rPr>
          <w:noProof w:val="0"/>
        </w:rPr>
        <w:t>Riksdagsstyrelsens överväganden och förslag</w:t>
      </w:r>
    </w:p>
    <w:p w:rsidR="00FB47A2" w:rsidRPr="00E03D39" w:rsidRDefault="00416EA5" w:rsidP="00373948">
      <w:pPr>
        <w:pStyle w:val="Rubrik2"/>
        <w:spacing w:before="0"/>
      </w:pPr>
      <w:r w:rsidRPr="00E03D39">
        <w:t xml:space="preserve">4.1 </w:t>
      </w:r>
      <w:r w:rsidR="001A54F5" w:rsidRPr="00E03D39">
        <w:t>Hanteringsordning</w:t>
      </w:r>
      <w:bookmarkEnd w:id="13"/>
    </w:p>
    <w:p w:rsidR="001C3026" w:rsidRPr="00E03D39" w:rsidRDefault="001A54F5" w:rsidP="00B55AC7">
      <w:pPr>
        <w:pStyle w:val="R4"/>
      </w:pPr>
      <w:r w:rsidRPr="00E03D39">
        <w:t>Gällande bestämmelser</w:t>
      </w:r>
    </w:p>
    <w:p w:rsidR="008521A7" w:rsidRPr="00E03D39" w:rsidRDefault="004170A8" w:rsidP="008521A7">
      <w:r w:rsidRPr="00E03D39">
        <w:t>Riksrevisionen har ett omfattande granskningsmandat som innefattar hela den statliga sektorn. Genom effektivitetsrevisionen granskar därmed Riksrevisi</w:t>
      </w:r>
      <w:r w:rsidRPr="00E03D39">
        <w:t>o</w:t>
      </w:r>
      <w:r w:rsidRPr="00E03D39">
        <w:t>nen en rad förhållanden som rör statens budget, genomförande och resultat av den statliga verksamheten samt statens åtaganden. Hanteringsordningen för Riksrevisionens effektivitetsgranskningar sker sedan den 1 januari 2011</w:t>
      </w:r>
      <w:r w:rsidR="008521A7" w:rsidRPr="00E03D39">
        <w:t xml:space="preserve"> i följande steg:</w:t>
      </w:r>
    </w:p>
    <w:p w:rsidR="008521A7" w:rsidRPr="00E03D39" w:rsidRDefault="008521A7" w:rsidP="007F2509">
      <w:pPr>
        <w:numPr>
          <w:ilvl w:val="0"/>
          <w:numId w:val="13"/>
        </w:numPr>
        <w:tabs>
          <w:tab w:val="clear" w:pos="720"/>
        </w:tabs>
        <w:spacing w:before="120"/>
        <w:ind w:left="357" w:hanging="357"/>
      </w:pPr>
      <w:r w:rsidRPr="00E03D39">
        <w:t>Riksrevisionen lämnar sina effektivitetsgranskningar till riksdagen.</w:t>
      </w:r>
    </w:p>
    <w:p w:rsidR="008521A7" w:rsidRPr="00E03D39" w:rsidRDefault="008521A7" w:rsidP="007F2509">
      <w:pPr>
        <w:pStyle w:val="Normaltindrag"/>
        <w:numPr>
          <w:ilvl w:val="0"/>
          <w:numId w:val="13"/>
        </w:numPr>
        <w:tabs>
          <w:tab w:val="clear" w:pos="720"/>
        </w:tabs>
        <w:ind w:left="357" w:hanging="357"/>
      </w:pPr>
      <w:r w:rsidRPr="00E03D39">
        <w:t>Riksdagen svarar för att granskningarna lämnas vidare till regerin</w:t>
      </w:r>
      <w:r w:rsidRPr="00E03D39">
        <w:t>g</w:t>
      </w:r>
      <w:r w:rsidRPr="00E03D39">
        <w:t>en för yttrande.</w:t>
      </w:r>
    </w:p>
    <w:p w:rsidR="008521A7" w:rsidRPr="00E03D39" w:rsidRDefault="008521A7" w:rsidP="007F2509">
      <w:pPr>
        <w:pStyle w:val="Normaltindrag"/>
        <w:numPr>
          <w:ilvl w:val="0"/>
          <w:numId w:val="13"/>
        </w:numPr>
        <w:tabs>
          <w:tab w:val="clear" w:pos="720"/>
        </w:tabs>
        <w:ind w:left="357" w:hanging="357"/>
      </w:pPr>
      <w:r w:rsidRPr="00E03D39">
        <w:t>Regeringen redogör i en särskild skrivelse till riksdagen vilka åtgä</w:t>
      </w:r>
      <w:r w:rsidRPr="00E03D39">
        <w:t>r</w:t>
      </w:r>
      <w:r w:rsidRPr="00E03D39">
        <w:t>der man vidtagit eller ämnar vidta med anledning av en granskningsra</w:t>
      </w:r>
      <w:r w:rsidRPr="00E03D39">
        <w:t>p</w:t>
      </w:r>
      <w:r w:rsidRPr="00E03D39">
        <w:t>port.</w:t>
      </w:r>
    </w:p>
    <w:p w:rsidR="008521A7" w:rsidRPr="00E03D39" w:rsidRDefault="008521A7" w:rsidP="007F2509">
      <w:pPr>
        <w:pStyle w:val="Normaltindrag"/>
        <w:numPr>
          <w:ilvl w:val="0"/>
          <w:numId w:val="13"/>
        </w:numPr>
        <w:tabs>
          <w:tab w:val="clear" w:pos="720"/>
        </w:tabs>
        <w:ind w:left="357" w:hanging="357"/>
      </w:pPr>
      <w:r w:rsidRPr="00E03D39">
        <w:t>Berört utskott bereder regeringens skrivelse och de eventuella m</w:t>
      </w:r>
      <w:r w:rsidRPr="00E03D39">
        <w:t>o</w:t>
      </w:r>
      <w:r w:rsidRPr="00E03D39">
        <w:t>tioner som väckts med anledning av ärendet i ett betänkande.</w:t>
      </w:r>
    </w:p>
    <w:p w:rsidR="008521A7" w:rsidRPr="00E03D39" w:rsidRDefault="008521A7" w:rsidP="007F2509">
      <w:pPr>
        <w:pStyle w:val="Normaltindrag"/>
        <w:numPr>
          <w:ilvl w:val="0"/>
          <w:numId w:val="13"/>
        </w:numPr>
        <w:tabs>
          <w:tab w:val="clear" w:pos="720"/>
        </w:tabs>
        <w:ind w:left="357" w:hanging="357"/>
      </w:pPr>
      <w:r w:rsidRPr="00E03D39">
        <w:t>Betänkandet behandlas av riksdagen.</w:t>
      </w:r>
    </w:p>
    <w:p w:rsidR="008521A7" w:rsidRPr="00E03D39" w:rsidRDefault="008521A7" w:rsidP="00373948">
      <w:pPr>
        <w:spacing w:before="120"/>
      </w:pPr>
      <w:r w:rsidRPr="00E03D39">
        <w:t xml:space="preserve">Den nya hanteringsordningen är anpassad till den helt övervägande delen av Riksrevisionens granskningsverksamhet. </w:t>
      </w:r>
    </w:p>
    <w:p w:rsidR="00E314CC" w:rsidRPr="00E03D39" w:rsidRDefault="00E314CC" w:rsidP="00277098">
      <w:pPr>
        <w:pStyle w:val="Rubrik4"/>
        <w:rPr>
          <w:noProof w:val="0"/>
        </w:rPr>
      </w:pPr>
      <w:r w:rsidRPr="00E03D39">
        <w:rPr>
          <w:noProof w:val="0"/>
        </w:rPr>
        <w:t>Riksdagsstyrelsens ställningstagande</w:t>
      </w:r>
    </w:p>
    <w:p w:rsidR="00E314CC" w:rsidRPr="00E03D39" w:rsidRDefault="00E314CC" w:rsidP="00E314CC">
      <w:r w:rsidRPr="00E03D39">
        <w:t>Riksdagsstyrelsen anser att den särskilda hanteringsordningen så nära som mö</w:t>
      </w:r>
      <w:r w:rsidRPr="00E03D39">
        <w:t>j</w:t>
      </w:r>
      <w:r w:rsidRPr="00E03D39">
        <w:t>ligt bör överensstämma med vad som gäller för Riksrevisionens övriga granskningsrapporter. På så sätt skapas förutsättningar för att beredningsarb</w:t>
      </w:r>
      <w:r w:rsidRPr="00E03D39">
        <w:t>e</w:t>
      </w:r>
      <w:r w:rsidRPr="00E03D39">
        <w:t>tet i riksd</w:t>
      </w:r>
      <w:r w:rsidRPr="00E03D39">
        <w:t>a</w:t>
      </w:r>
      <w:r w:rsidRPr="00E03D39">
        <w:t>gen sker med omsorg och vilar på ett allsidigt beslutsunderlag. I likhet med vad som gäller för övriga granskningsrapporter från effektivitet</w:t>
      </w:r>
      <w:r w:rsidRPr="00E03D39">
        <w:t>s</w:t>
      </w:r>
      <w:r w:rsidRPr="00E03D39">
        <w:t>revisi</w:t>
      </w:r>
      <w:r w:rsidRPr="00E03D39">
        <w:t>o</w:t>
      </w:r>
      <w:r w:rsidRPr="00E03D39">
        <w:t>nen bör vidare hanteringen ske på ett transparent sätt som möjliggör insyn. Mot denna bakgrund har riksdagsstyrelsen övervägt de två alternativa hanteringsor</w:t>
      </w:r>
      <w:r w:rsidRPr="00E03D39">
        <w:t>d</w:t>
      </w:r>
      <w:r w:rsidRPr="00E03D39">
        <w:t>ningar som revisionsgruppen redovisar i sin promemoria.</w:t>
      </w:r>
    </w:p>
    <w:p w:rsidR="00E314CC" w:rsidRPr="00E03D39" w:rsidRDefault="00E314CC" w:rsidP="00E314CC">
      <w:pPr>
        <w:pStyle w:val="Normaltindrag"/>
      </w:pPr>
      <w:r w:rsidRPr="00E03D39">
        <w:t>Riksdagsstyrelsen konstaterar att det finns administrativa fördelar med att en och samma hanteringsordning tillämpas för samtliga granskningsrapporter från Riksrevisionen. Ett mer likformigt hanteringssystem ger också förutsät</w:t>
      </w:r>
      <w:r w:rsidRPr="00E03D39">
        <w:t>t</w:t>
      </w:r>
      <w:r w:rsidRPr="00E03D39">
        <w:t>ningar för att utskottens ärendebehandling vilar på underlag från berört rik</w:t>
      </w:r>
      <w:r w:rsidRPr="00E03D39">
        <w:t>s</w:t>
      </w:r>
      <w:r w:rsidRPr="00E03D39">
        <w:t xml:space="preserve">dagsorgan. </w:t>
      </w:r>
      <w:r w:rsidR="000F04A4" w:rsidRPr="00E03D39">
        <w:t xml:space="preserve">Det ger också ett </w:t>
      </w:r>
      <w:r w:rsidRPr="00E03D39">
        <w:t>underlag som kan tillföras ytterligare synpunkter genom att skrivelsen från det berörda riksdagsorganet ger motionsrätt. Samt</w:t>
      </w:r>
      <w:r w:rsidRPr="00E03D39">
        <w:t>i</w:t>
      </w:r>
      <w:r w:rsidRPr="00E03D39">
        <w:t>digt kan det förefalla omständligt och mindre lämpligt med en likformig hanteringsordning med hänsyn till tänkbara granskningar. Ingen granskning</w:t>
      </w:r>
      <w:r w:rsidRPr="00E03D39">
        <w:t>s</w:t>
      </w:r>
      <w:r w:rsidRPr="00E03D39">
        <w:t>rapport har hittills lämnats i Riksrevisionens snart tioåriga historia som avser Rik</w:t>
      </w:r>
      <w:r w:rsidRPr="00E03D39">
        <w:t>s</w:t>
      </w:r>
      <w:r w:rsidRPr="00E03D39">
        <w:t>dagsförvaltningens verksamhet eller riksdagens myndigheter.</w:t>
      </w:r>
    </w:p>
    <w:p w:rsidR="00E314CC" w:rsidRPr="00E03D39" w:rsidRDefault="00E314CC" w:rsidP="00E314CC">
      <w:pPr>
        <w:pStyle w:val="Normaltindrag"/>
      </w:pPr>
      <w:r w:rsidRPr="00E03D39">
        <w:t>Riksdagsstyrelsen föreslår</w:t>
      </w:r>
      <w:r w:rsidR="00DE5CE7" w:rsidRPr="00E03D39">
        <w:t xml:space="preserve"> därför</w:t>
      </w:r>
      <w:r w:rsidRPr="00E03D39">
        <w:t xml:space="preserve"> att granskningsrapporten blir ett rik</w:t>
      </w:r>
      <w:r w:rsidRPr="00E03D39">
        <w:t>s</w:t>
      </w:r>
      <w:r w:rsidRPr="00E03D39">
        <w:t>dagsärende direkt när den kommer in till riksdagen i enlighet med förslaget i det andra alternativet som revisionsgruppen redovisar i sin promemoria. Rik</w:t>
      </w:r>
      <w:r w:rsidRPr="00E03D39">
        <w:t>s</w:t>
      </w:r>
      <w:r w:rsidRPr="00E03D39">
        <w:t xml:space="preserve">dagsstyrelsen </w:t>
      </w:r>
      <w:r w:rsidR="00DD467C" w:rsidRPr="00E03D39">
        <w:t xml:space="preserve">anser </w:t>
      </w:r>
      <w:r w:rsidR="00DE5CE7" w:rsidRPr="00E03D39">
        <w:t xml:space="preserve">följaktligen </w:t>
      </w:r>
      <w:r w:rsidRPr="00E03D39">
        <w:t>att tilläggsbestämmelsen 3.8a.2 riksdagsor</w:t>
      </w:r>
      <w:r w:rsidRPr="00E03D39">
        <w:t>d</w:t>
      </w:r>
      <w:r w:rsidRPr="00E03D39">
        <w:t xml:space="preserve">ningen </w:t>
      </w:r>
      <w:r w:rsidR="00DE5CE7" w:rsidRPr="00E03D39">
        <w:t xml:space="preserve">bör </w:t>
      </w:r>
      <w:r w:rsidRPr="00E03D39">
        <w:t>ändras så att det framgår att granskningar som avser Riksdagsfö</w:t>
      </w:r>
      <w:r w:rsidRPr="00E03D39">
        <w:t>r</w:t>
      </w:r>
      <w:r w:rsidRPr="00E03D39">
        <w:t>valtningen och riksdagens myndigheter ska lämnas i form av redog</w:t>
      </w:r>
      <w:r w:rsidRPr="00E03D39">
        <w:t>ö</w:t>
      </w:r>
      <w:r w:rsidRPr="00E03D39">
        <w:t>relser.</w:t>
      </w:r>
    </w:p>
    <w:p w:rsidR="00954658" w:rsidRPr="00E03D39" w:rsidRDefault="00416EA5" w:rsidP="00416EA5">
      <w:pPr>
        <w:pStyle w:val="Rubrik2"/>
      </w:pPr>
      <w:r w:rsidRPr="00E03D39">
        <w:t xml:space="preserve">4.2 </w:t>
      </w:r>
      <w:r w:rsidR="00954658" w:rsidRPr="00E03D39">
        <w:t>Sekretess</w:t>
      </w:r>
    </w:p>
    <w:p w:rsidR="001A54F5" w:rsidRPr="00E03D39" w:rsidRDefault="001A54F5" w:rsidP="00B55AC7">
      <w:pPr>
        <w:pStyle w:val="R4"/>
      </w:pPr>
      <w:r w:rsidRPr="00E03D39">
        <w:t>Gällande bestämmelser</w:t>
      </w:r>
    </w:p>
    <w:p w:rsidR="00CD1DAF" w:rsidRPr="00E03D39" w:rsidRDefault="00947A63" w:rsidP="00227168">
      <w:r w:rsidRPr="00E03D39">
        <w:t xml:space="preserve">Att </w:t>
      </w:r>
      <w:r w:rsidR="006F576A" w:rsidRPr="00E03D39">
        <w:t>uppgifter som kan vara aktuella för riksdagen att begära in från Riksrev</w:t>
      </w:r>
      <w:r w:rsidR="006F576A" w:rsidRPr="00E03D39">
        <w:t>i</w:t>
      </w:r>
      <w:r w:rsidR="006F576A" w:rsidRPr="00E03D39">
        <w:t xml:space="preserve">sionen omfattas av sekretess kan grunda sig på antingen en </w:t>
      </w:r>
      <w:r w:rsidR="006F576A" w:rsidRPr="00E03D39">
        <w:rPr>
          <w:i/>
        </w:rPr>
        <w:t>primär sekretes</w:t>
      </w:r>
      <w:r w:rsidR="006F576A" w:rsidRPr="00E03D39">
        <w:rPr>
          <w:i/>
        </w:rPr>
        <w:t>s</w:t>
      </w:r>
      <w:r w:rsidR="006F576A" w:rsidRPr="00E03D39">
        <w:rPr>
          <w:i/>
        </w:rPr>
        <w:t xml:space="preserve">bestämmelse </w:t>
      </w:r>
      <w:r w:rsidR="006F576A" w:rsidRPr="00E03D39">
        <w:t xml:space="preserve">eller en </w:t>
      </w:r>
      <w:r w:rsidR="006F576A" w:rsidRPr="00E03D39">
        <w:rPr>
          <w:i/>
        </w:rPr>
        <w:t>sekundär sekretessbestämmelse.</w:t>
      </w:r>
      <w:r w:rsidR="006F576A" w:rsidRPr="00E03D39">
        <w:t xml:space="preserve"> En primär sekretessb</w:t>
      </w:r>
      <w:r w:rsidR="006F576A" w:rsidRPr="00E03D39">
        <w:t>e</w:t>
      </w:r>
      <w:r w:rsidR="006F576A" w:rsidRPr="00E03D39">
        <w:t>stämmelse föreskriver att sekretess ska gälla för en uppgift i en viss verksa</w:t>
      </w:r>
      <w:r w:rsidR="006F576A" w:rsidRPr="00E03D39">
        <w:t>m</w:t>
      </w:r>
      <w:r w:rsidR="006F576A" w:rsidRPr="00E03D39">
        <w:t>het elle</w:t>
      </w:r>
      <w:r w:rsidRPr="00E03D39">
        <w:t>r</w:t>
      </w:r>
      <w:r w:rsidR="006F576A" w:rsidRPr="00E03D39">
        <w:t xml:space="preserve"> myndighet (eller inom hela det allmännas verksa</w:t>
      </w:r>
      <w:r w:rsidR="006F576A" w:rsidRPr="00E03D39">
        <w:t>m</w:t>
      </w:r>
      <w:r w:rsidR="006F576A" w:rsidRPr="00E03D39">
        <w:t>het, dvs. oavsett hos vilken myndighet den för</w:t>
      </w:r>
      <w:r w:rsidR="00227168" w:rsidRPr="00E03D39">
        <w:t>e</w:t>
      </w:r>
      <w:r w:rsidR="006F576A" w:rsidRPr="00E03D39">
        <w:t>kommer). En sekundär sekretessb</w:t>
      </w:r>
      <w:r w:rsidR="006F576A" w:rsidRPr="00E03D39">
        <w:t>e</w:t>
      </w:r>
      <w:r w:rsidR="006F576A" w:rsidRPr="00E03D39">
        <w:t>stämmelse innebär att sekretess som gäller en uppgift i en myndighet i vissa särskilt angivna fall ska överföras till en annan myndighet när uppgiften öve</w:t>
      </w:r>
      <w:r w:rsidR="006F576A" w:rsidRPr="00E03D39">
        <w:t>r</w:t>
      </w:r>
      <w:r w:rsidR="006F576A" w:rsidRPr="00E03D39">
        <w:t>lämnas.</w:t>
      </w:r>
      <w:r w:rsidR="00345DB1" w:rsidRPr="00E03D39">
        <w:t xml:space="preserve"> Huvudregeln är enligt 7 kap. 2 § OSL att sekr</w:t>
      </w:r>
      <w:r w:rsidR="00345DB1" w:rsidRPr="00E03D39">
        <w:t>e</w:t>
      </w:r>
      <w:r w:rsidR="00345DB1" w:rsidRPr="00E03D39">
        <w:t>tess inte följer med en uppgift när uppgiften överlämnas till en annan myndighet. Undantag från denna h</w:t>
      </w:r>
      <w:r w:rsidR="00345DB1" w:rsidRPr="00E03D39">
        <w:t>u</w:t>
      </w:r>
      <w:r w:rsidR="00345DB1" w:rsidRPr="00E03D39">
        <w:t>vudregel kan göras i uttryckliga bestämmelser om överföring av sekretess</w:t>
      </w:r>
      <w:r w:rsidR="00682903" w:rsidRPr="00E03D39">
        <w:t>. Sekretess gäller däremot hos den mottagande myndigheten endast om en primär sekretessbestämmelse är tillämplig där eller om en bestämmelse om överföring av sekretess är tillämplig.</w:t>
      </w:r>
    </w:p>
    <w:p w:rsidR="00682903" w:rsidRPr="00E03D39" w:rsidRDefault="00682903" w:rsidP="00682903">
      <w:pPr>
        <w:pStyle w:val="Normaltindrag"/>
      </w:pPr>
      <w:r w:rsidRPr="00E03D39">
        <w:t>Vissa primära sekretessbestämmelser avser just den verksamhet som Rik</w:t>
      </w:r>
      <w:r w:rsidRPr="00E03D39">
        <w:t>s</w:t>
      </w:r>
      <w:r w:rsidRPr="00E03D39">
        <w:t>revisionen bedriver. Andra primära sekretessbestämmelser gäller i all offen</w:t>
      </w:r>
      <w:r w:rsidRPr="00E03D39">
        <w:t>t</w:t>
      </w:r>
      <w:r w:rsidRPr="00E03D39">
        <w:t>lig verksamhet, dvs. oavsett hos vilken myndighet uppgiften förekommer. Härutöver medför bestämmelsen i 11 kap. 1 § OSL att om Riksrevisionen i sin tillsyns- och revisionsverksamhet från en annan myndighet får en sekr</w:t>
      </w:r>
      <w:r w:rsidRPr="00E03D39">
        <w:t>e</w:t>
      </w:r>
      <w:r w:rsidRPr="00E03D39">
        <w:t>tessreglerad uppgift, blir sekretessbestämmelsen tillämplig på uppgiften även hos Riksrevisionen (sekundär sekretess).</w:t>
      </w:r>
    </w:p>
    <w:p w:rsidR="00AE462F" w:rsidRPr="00E03D39" w:rsidRDefault="00220C21" w:rsidP="00682903">
      <w:pPr>
        <w:pStyle w:val="Normaltindrag"/>
      </w:pPr>
      <w:r w:rsidRPr="00E03D39">
        <w:t>P</w:t>
      </w:r>
      <w:r w:rsidR="00802951" w:rsidRPr="00E03D39">
        <w:t xml:space="preserve">rimär sekretess </w:t>
      </w:r>
      <w:r w:rsidRPr="00E03D39">
        <w:t xml:space="preserve">kan </w:t>
      </w:r>
      <w:r w:rsidR="00802951" w:rsidRPr="00E03D39">
        <w:t>i vissa fall gäll</w:t>
      </w:r>
      <w:r w:rsidRPr="00E03D39">
        <w:t>a</w:t>
      </w:r>
      <w:r w:rsidR="00802951" w:rsidRPr="00E03D39">
        <w:t xml:space="preserve"> hos riksdagen för hemliga uppgifter som kan komma att lämnas från Riksrevisionen till riksdagen enligt sekr</w:t>
      </w:r>
      <w:r w:rsidR="00802951" w:rsidRPr="00E03D39">
        <w:t>e</w:t>
      </w:r>
      <w:r w:rsidR="00802951" w:rsidRPr="00E03D39">
        <w:t xml:space="preserve">tessbestämmelser som är </w:t>
      </w:r>
      <w:r w:rsidR="006E3178" w:rsidRPr="00E03D39">
        <w:t>generellt tillämpliga</w:t>
      </w:r>
      <w:r w:rsidR="00802951" w:rsidRPr="00E03D39">
        <w:t xml:space="preserve"> inom hela det allmännas ver</w:t>
      </w:r>
      <w:r w:rsidR="00802951" w:rsidRPr="00E03D39">
        <w:t>k</w:t>
      </w:r>
      <w:r w:rsidR="00802951" w:rsidRPr="00E03D39">
        <w:t>samhet. Vidare finns vissa uttryckliga bestä</w:t>
      </w:r>
      <w:r w:rsidR="00802951" w:rsidRPr="00E03D39">
        <w:t>m</w:t>
      </w:r>
      <w:r w:rsidR="00802951" w:rsidRPr="00E03D39">
        <w:t>melser i OSL med koppling till revision, vilket medför att sekretessbestämmelsen blir tillämplig även i rik</w:t>
      </w:r>
      <w:r w:rsidR="00802951" w:rsidRPr="00E03D39">
        <w:t>s</w:t>
      </w:r>
      <w:r w:rsidR="00802951" w:rsidRPr="00E03D39">
        <w:t>dagen. Som exempel kan nämnas sekretess för uppgifter om en myndi</w:t>
      </w:r>
      <w:r w:rsidR="00802951" w:rsidRPr="00E03D39">
        <w:t>g</w:t>
      </w:r>
      <w:r w:rsidR="00802951" w:rsidRPr="00E03D39">
        <w:t>hets affärs- och driftsförhållanden i 19 kap. 1 § OSL och för enskildas affärs- och driftsförhållanden i 31 kap. 4 § OSL. I dessa bestämme</w:t>
      </w:r>
      <w:r w:rsidR="00802951" w:rsidRPr="00E03D39">
        <w:t>l</w:t>
      </w:r>
      <w:r w:rsidR="00802951" w:rsidRPr="00E03D39">
        <w:t xml:space="preserve">ser om överföring av sekretess görs emellertid undantag för </w:t>
      </w:r>
      <w:r w:rsidR="006012BB" w:rsidRPr="00E03D39">
        <w:t xml:space="preserve">de fall </w:t>
      </w:r>
      <w:r w:rsidR="00802951" w:rsidRPr="00E03D39">
        <w:t>uppgiften ingår i ett beslut hos den mottagande myndigheten</w:t>
      </w:r>
      <w:r w:rsidR="006012BB" w:rsidRPr="00E03D39">
        <w:t>.</w:t>
      </w:r>
    </w:p>
    <w:p w:rsidR="006319EE" w:rsidRPr="00E03D39" w:rsidRDefault="006319EE" w:rsidP="00B55AC7">
      <w:pPr>
        <w:pStyle w:val="R4"/>
      </w:pPr>
      <w:r w:rsidRPr="00E03D39">
        <w:t>Riksdagsstyrelsens ställningstagande</w:t>
      </w:r>
    </w:p>
    <w:p w:rsidR="00E314CC" w:rsidRPr="00E03D39" w:rsidRDefault="00E314CC" w:rsidP="00E314CC">
      <w:r w:rsidRPr="00E03D39">
        <w:t>När det gäller frågan om sekretess för handlingar och uppgifter som inkommit från Riksrevisionen och som är sekretessbelagda hos Riksrevisionen och granskningsob</w:t>
      </w:r>
      <w:r w:rsidR="006E3178" w:rsidRPr="00E03D39">
        <w:t>jekten anser riksdagsstyrelsen i likhet med</w:t>
      </w:r>
      <w:r w:rsidRPr="00E03D39">
        <w:t xml:space="preserve"> revisionsgruppen att det b</w:t>
      </w:r>
      <w:r w:rsidRPr="00E03D39">
        <w:t>e</w:t>
      </w:r>
      <w:r w:rsidRPr="00E03D39">
        <w:t>hövs ett förtydligande.</w:t>
      </w:r>
    </w:p>
    <w:p w:rsidR="00E314CC" w:rsidRPr="00E03D39" w:rsidRDefault="00E314CC" w:rsidP="006E3178">
      <w:pPr>
        <w:pStyle w:val="Normaltindrag"/>
      </w:pPr>
      <w:r w:rsidRPr="00E03D39">
        <w:t>Enligt riksdagsstyrelsen måste behovet av sekretess i riksdagen för uppgi</w:t>
      </w:r>
      <w:r w:rsidRPr="00E03D39">
        <w:t>f</w:t>
      </w:r>
      <w:r w:rsidRPr="00E03D39">
        <w:t>ter som hämtats in från Riksrevisionen bedömas utifrån de motiv som föra</w:t>
      </w:r>
      <w:r w:rsidRPr="00E03D39">
        <w:t>n</w:t>
      </w:r>
      <w:r w:rsidRPr="00E03D39">
        <w:t>lett sekretess hos Riksrevisionen och granskningsobjekten. Skälen för sekr</w:t>
      </w:r>
      <w:r w:rsidRPr="00E03D39">
        <w:t>e</w:t>
      </w:r>
      <w:r w:rsidRPr="00E03D39">
        <w:t>tess torde vara desamma oavsett om uppgifterna finns hos ett granskningso</w:t>
      </w:r>
      <w:r w:rsidRPr="00E03D39">
        <w:t>b</w:t>
      </w:r>
      <w:r w:rsidRPr="00E03D39">
        <w:t>jekt, hos Riksr</w:t>
      </w:r>
      <w:r w:rsidRPr="00E03D39">
        <w:t>e</w:t>
      </w:r>
      <w:r w:rsidR="006E3178" w:rsidRPr="00E03D39">
        <w:t xml:space="preserve">visionen eller i ett utskott. </w:t>
      </w:r>
      <w:r w:rsidRPr="00E03D39">
        <w:t xml:space="preserve">Riksdagsstyrelsen föreslår </w:t>
      </w:r>
      <w:r w:rsidR="006E3178" w:rsidRPr="00E03D39">
        <w:t xml:space="preserve">därför </w:t>
      </w:r>
      <w:r w:rsidRPr="00E03D39">
        <w:t>att det införs en ny paragraf i OSL för att säkerställa att uppgifter som omfa</w:t>
      </w:r>
      <w:r w:rsidRPr="00E03D39">
        <w:t>t</w:t>
      </w:r>
      <w:r w:rsidRPr="00E03D39">
        <w:t>tas av sekretess hos Riksrevisionen inte blir offentliga bara av den anlednin</w:t>
      </w:r>
      <w:r w:rsidRPr="00E03D39">
        <w:t>g</w:t>
      </w:r>
      <w:r w:rsidRPr="00E03D39">
        <w:t>en att det material vari uppgiften finns for</w:t>
      </w:r>
      <w:r w:rsidRPr="00E03D39">
        <w:t>d</w:t>
      </w:r>
      <w:r w:rsidRPr="00E03D39">
        <w:t>rats in av ett utskott. Vetskapen om ett heltäckande sekrete</w:t>
      </w:r>
      <w:r w:rsidRPr="00E03D39">
        <w:t>s</w:t>
      </w:r>
      <w:r w:rsidRPr="00E03D39">
        <w:t>skydd kan också bidra till att främja ett effektivt och fördjupat revisionsarbete inte bara hos Riksrevisionen utan också i utsko</w:t>
      </w:r>
      <w:r w:rsidRPr="00E03D39">
        <w:t>t</w:t>
      </w:r>
      <w:r w:rsidRPr="00E03D39">
        <w:t>ten. Eftersom uppgifter i ett underlagsmaterial som kan begäras in av riksd</w:t>
      </w:r>
      <w:r w:rsidRPr="00E03D39">
        <w:t>a</w:t>
      </w:r>
      <w:r w:rsidRPr="00E03D39">
        <w:t>gen i Riksrevisionen kan omfattas av både pr</w:t>
      </w:r>
      <w:r w:rsidRPr="00E03D39">
        <w:t>i</w:t>
      </w:r>
      <w:r w:rsidRPr="00E03D39">
        <w:t>mär och sekundär sekretess, måste en sekretessbestämmelse för riksd</w:t>
      </w:r>
      <w:r w:rsidRPr="00E03D39">
        <w:t>a</w:t>
      </w:r>
      <w:r w:rsidRPr="00E03D39">
        <w:t>gen formuleras så att den anpassas efter detta. Med den föreslagna lydelsen öve</w:t>
      </w:r>
      <w:r w:rsidRPr="00E03D39">
        <w:t>r</w:t>
      </w:r>
      <w:r w:rsidRPr="00E03D39">
        <w:t>förs både den sekretess som kan gälla i Riksrevisionen på grund av en primär sekretessbestämmelse och sekr</w:t>
      </w:r>
      <w:r w:rsidRPr="00E03D39">
        <w:t>e</w:t>
      </w:r>
      <w:r w:rsidRPr="00E03D39">
        <w:t>tess som enligt 11 kap. 1 § OSL har överförts till Riksrevisionen från andra myndigheter, i praktiken oftast de granskade myndigh</w:t>
      </w:r>
      <w:r w:rsidRPr="00E03D39">
        <w:t>e</w:t>
      </w:r>
      <w:r w:rsidRPr="00E03D39">
        <w:t>terna.</w:t>
      </w:r>
    </w:p>
    <w:p w:rsidR="007B38C3" w:rsidRPr="00E03D39" w:rsidRDefault="007B38C3" w:rsidP="00395310">
      <w:pPr>
        <w:pStyle w:val="Normaltindrag"/>
      </w:pPr>
    </w:p>
    <w:p w:rsidR="007B38C3" w:rsidRPr="00E03D39" w:rsidRDefault="007B38C3" w:rsidP="00395310">
      <w:pPr>
        <w:pStyle w:val="Normaltindrag"/>
        <w:sectPr w:rsidR="007B38C3" w:rsidRPr="00E03D39" w:rsidSect="007B38C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F12C4" w:rsidRPr="00E03D39" w:rsidRDefault="00416EA5" w:rsidP="00395310">
      <w:pPr>
        <w:pStyle w:val="Rubrik1"/>
        <w:rPr>
          <w:noProof w:val="0"/>
        </w:rPr>
      </w:pPr>
      <w:r w:rsidRPr="00E03D39">
        <w:rPr>
          <w:noProof w:val="0"/>
        </w:rPr>
        <w:t xml:space="preserve">5 </w:t>
      </w:r>
      <w:r w:rsidR="00DF12C4" w:rsidRPr="00E03D39">
        <w:rPr>
          <w:noProof w:val="0"/>
        </w:rPr>
        <w:t>Ekonomiska konsekvenser</w:t>
      </w:r>
    </w:p>
    <w:p w:rsidR="00DF12C4" w:rsidRPr="00E03D39" w:rsidRDefault="00DF12C4" w:rsidP="00DF12C4">
      <w:r w:rsidRPr="00E03D39">
        <w:t>Riksdagsstyrelsen förutser inga ekonomiska effekter av sina förslag.</w:t>
      </w:r>
    </w:p>
    <w:p w:rsidR="00A738E8" w:rsidRPr="00E03D39" w:rsidRDefault="00A738E8" w:rsidP="005D3206">
      <w:pPr>
        <w:pStyle w:val="Normaltindrag"/>
      </w:pPr>
    </w:p>
    <w:p w:rsidR="00A738E8" w:rsidRPr="00E03D39" w:rsidRDefault="00A738E8" w:rsidP="00A738E8">
      <w:pPr>
        <w:pStyle w:val="Tryckort"/>
        <w:framePr w:wrap="around"/>
        <w:jc w:val="right"/>
      </w:pPr>
      <w:r w:rsidRPr="00E03D39">
        <w:t>Elanders Gotab, Stockholm  2012</w:t>
      </w:r>
    </w:p>
    <w:p w:rsidR="005D3206" w:rsidRPr="00E03D39" w:rsidRDefault="005D3206" w:rsidP="005D3206">
      <w:pPr>
        <w:pStyle w:val="Normaltindrag"/>
      </w:pPr>
    </w:p>
    <w:sectPr w:rsidR="005D3206" w:rsidRPr="00E03D39" w:rsidSect="007B38C3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7B6" w:rsidRPr="00E03D39" w:rsidRDefault="003807B6">
      <w:r w:rsidRPr="00E03D39">
        <w:separator/>
      </w:r>
    </w:p>
  </w:endnote>
  <w:endnote w:type="continuationSeparator" w:id="0">
    <w:p w:rsidR="003807B6" w:rsidRPr="00E03D39" w:rsidRDefault="003807B6">
      <w:r w:rsidRPr="00E03D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2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6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t>5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4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2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4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2</w:instrText>
    </w:r>
    <w:r w:rsidRPr="00E03D39">
      <w:fldChar w:fldCharType="end"/>
    </w:r>
    <w:r w:rsidRPr="00E03D39">
      <w:fldChar w:fldCharType="separate"/>
    </w:r>
    <w:r w:rsidR="003762FD" w:rsidRPr="00E03D39">
      <w:instrText>0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4</w:instrText>
    </w:r>
    <w:r w:rsidRPr="00E03D39">
      <w:fldChar w:fldCharType="end"/>
    </w:r>
  </w:p>
  <w:p w:rsidR="003762FD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5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4</w:t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end"/>
    </w:r>
  </w:p>
  <w:p w:rsidR="00E30297" w:rsidRPr="00E03D39" w:rsidRDefault="00E30297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2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3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6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3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6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3</w:instrText>
    </w:r>
    <w:r w:rsidRPr="00E03D39">
      <w:fldChar w:fldCharType="end"/>
    </w:r>
    <w:r w:rsidRPr="00E03D39">
      <w:fldChar w:fldCharType="separate"/>
    </w:r>
    <w:r w:rsidR="003762FD" w:rsidRPr="00E03D39">
      <w:instrText>0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6</w:instrText>
    </w:r>
    <w:r w:rsidRPr="00E03D39">
      <w:fldChar w:fldCharType="end"/>
    </w:r>
  </w:p>
  <w:p w:rsidR="003762FD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7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6</w:t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end"/>
    </w:r>
  </w:p>
  <w:p w:rsidR="00E30297" w:rsidRPr="00E03D39" w:rsidRDefault="00E30297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t>8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9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7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3,5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7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3</w:instrText>
    </w:r>
    <w:r w:rsidRPr="00E03D39">
      <w:fldChar w:fldCharType="end"/>
    </w:r>
    <w:r w:rsidRPr="00E03D39">
      <w:fldChar w:fldCharType="separate"/>
    </w:r>
    <w:r w:rsidR="003762FD" w:rsidRPr="00E03D39">
      <w:instrText>0,5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12</w:instrText>
    </w:r>
    <w:r w:rsidRPr="00E03D39">
      <w:fldChar w:fldCharType="end"/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7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7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t>10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3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t>11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9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4,5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9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4</w:instrText>
    </w:r>
    <w:r w:rsidRPr="00E03D39">
      <w:fldChar w:fldCharType="end"/>
    </w:r>
    <w:r w:rsidRPr="00E03D39">
      <w:fldChar w:fldCharType="separate"/>
    </w:r>
    <w:r w:rsidR="003762FD" w:rsidRPr="00E03D39">
      <w:instrText>0,5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12</w:instrText>
    </w:r>
    <w:r w:rsidRPr="00E03D39">
      <w:fldChar w:fldCharType="end"/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9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9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14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13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12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6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12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6</w:instrText>
    </w:r>
    <w:r w:rsidRPr="00E03D39">
      <w:fldChar w:fldCharType="end"/>
    </w:r>
    <w:r w:rsidRPr="00E03D39">
      <w:fldChar w:fldCharType="separate"/>
    </w:r>
    <w:r w:rsidR="003762FD" w:rsidRPr="00E03D39">
      <w:instrText>0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12</w:instrText>
    </w:r>
    <w:r w:rsidRPr="00E03D39">
      <w:fldChar w:fldCharType="end"/>
    </w:r>
  </w:p>
  <w:p w:rsidR="003762FD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13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12</w:t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end"/>
    </w:r>
  </w:p>
  <w:p w:rsidR="00E30297" w:rsidRPr="00E03D39" w:rsidRDefault="00E302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E03D39">
      <w:rPr>
        <w:noProof/>
      </w:rPr>
      <w:instrText>1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E03D39">
      <w:rPr>
        <w:noProof/>
      </w:rPr>
      <w:instrText>0,5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E03D39">
      <w:rPr>
        <w:noProof/>
      </w:rPr>
      <w:instrText>1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E03D39">
      <w:rPr>
        <w:noProof/>
      </w:rPr>
      <w:instrText>0</w:instrText>
    </w:r>
    <w:r w:rsidRPr="00E03D39">
      <w:fldChar w:fldCharType="end"/>
    </w:r>
    <w:r w:rsidRPr="00E03D39">
      <w:fldChar w:fldCharType="separate"/>
    </w:r>
    <w:r w:rsidR="00E03D39">
      <w:rPr>
        <w:noProof/>
      </w:rPr>
      <w:instrText>0,5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14</w:instrText>
    </w:r>
    <w:r w:rsidRPr="00E03D39">
      <w:fldChar w:fldCharType="end"/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E03D39">
      <w:rPr>
        <w:noProof/>
      </w:rPr>
      <w:instrText>1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E03D39">
      <w:rPr>
        <w:noProof/>
      </w:rPr>
      <w:t>1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2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3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2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1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2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1</w:instrText>
    </w:r>
    <w:r w:rsidRPr="00E03D39">
      <w:fldChar w:fldCharType="end"/>
    </w:r>
    <w:r w:rsidRPr="00E03D39">
      <w:fldChar w:fldCharType="separate"/>
    </w:r>
    <w:r w:rsidR="003762FD" w:rsidRPr="00E03D39">
      <w:instrText>0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2</w:instrText>
    </w:r>
    <w:r w:rsidRPr="00E03D39">
      <w:fldChar w:fldCharType="end"/>
    </w:r>
  </w:p>
  <w:p w:rsidR="003762FD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3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2</w:t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end"/>
    </w:r>
  </w:p>
  <w:p w:rsidR="00E30297" w:rsidRPr="00E03D39" w:rsidRDefault="00E3029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2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t>5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fotV"/>
      <w:framePr w:w="8732" w:h="284" w:hRule="exact" w:hSpace="0" w:vSpace="0" w:wrap="around" w:xAlign="inside" w:y="13042" w:anchorLock="0"/>
    </w:pPr>
    <w:r w:rsidRPr="00E03D39">
      <w:fldChar w:fldCharType="begin" w:fldLock="1"/>
    </w:r>
    <w:r w:rsidRPr="00E03D39">
      <w:instrText xml:space="preserve"> if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= 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3</w:instrText>
    </w:r>
    <w:r w:rsidRPr="00E03D39">
      <w:fldChar w:fldCharType="end"/>
    </w:r>
    <w:r w:rsidRPr="00E03D39">
      <w:instrText xml:space="preserve">/2 </w:instrText>
    </w:r>
    <w:r w:rsidRPr="00E03D39">
      <w:fldChar w:fldCharType="separate"/>
    </w:r>
    <w:r w:rsidR="003762FD" w:rsidRPr="00E03D39">
      <w:instrText>1,5</w:instrText>
    </w:r>
    <w:r w:rsidRPr="00E03D39">
      <w:fldChar w:fldCharType="end"/>
    </w:r>
    <w:r w:rsidRPr="00E03D39">
      <w:instrText xml:space="preserve"> - </w:instrText>
    </w:r>
    <w:r w:rsidRPr="00E03D39">
      <w:fldChar w:fldCharType="begin" w:fldLock="1"/>
    </w:r>
    <w:r w:rsidRPr="00E03D39">
      <w:instrText xml:space="preserve"> = int(</w:instrText>
    </w:r>
    <w:r w:rsidRPr="00E03D39">
      <w:fldChar w:fldCharType="begin" w:fldLock="1"/>
    </w:r>
    <w:r w:rsidRPr="00E03D39">
      <w:instrText xml:space="preserve"> page</w:instrText>
    </w:r>
    <w:r w:rsidRPr="00E03D39">
      <w:fldChar w:fldCharType="separate"/>
    </w:r>
    <w:r w:rsidR="003762FD" w:rsidRPr="00E03D39">
      <w:instrText>3</w:instrText>
    </w:r>
    <w:r w:rsidRPr="00E03D39">
      <w:fldChar w:fldCharType="end"/>
    </w:r>
    <w:r w:rsidRPr="00E03D39">
      <w:instrText xml:space="preserve">/2) </w:instrText>
    </w:r>
    <w:r w:rsidRPr="00E03D39">
      <w:fldChar w:fldCharType="separate"/>
    </w:r>
    <w:r w:rsidR="003762FD" w:rsidRPr="00E03D39">
      <w:instrText>1</w:instrText>
    </w:r>
    <w:r w:rsidRPr="00E03D39">
      <w:fldChar w:fldCharType="end"/>
    </w:r>
    <w:r w:rsidRPr="00E03D39">
      <w:fldChar w:fldCharType="separate"/>
    </w:r>
    <w:r w:rsidR="003762FD" w:rsidRPr="00E03D39">
      <w:instrText>0,5</w:instrText>
    </w:r>
    <w:r w:rsidRPr="00E03D39">
      <w:fldChar w:fldCharType="end"/>
    </w:r>
    <w:r w:rsidRPr="00E03D39">
      <w:instrText xml:space="preserve"> = 0 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Pr="00E03D39">
      <w:instrText>4</w:instrText>
    </w:r>
    <w:r w:rsidRPr="00E03D39">
      <w:fldChar w:fldCharType="end"/>
    </w:r>
  </w:p>
  <w:p w:rsidR="00E30297" w:rsidRPr="00E03D39" w:rsidRDefault="00E30297">
    <w:pPr>
      <w:pStyle w:val="SidfotH"/>
      <w:framePr w:w="8732" w:h="284" w:hRule="exact" w:hSpace="0" w:vSpace="0" w:wrap="around" w:xAlign="inside" w:y="13042" w:anchorLock="0"/>
    </w:pPr>
    <w:r w:rsidRPr="00E03D39">
      <w:instrText>""</w:instrText>
    </w:r>
    <w:r w:rsidRPr="00E03D39">
      <w:fldChar w:fldCharType="begin" w:fldLock="1"/>
    </w:r>
    <w:r w:rsidRPr="00E03D39">
      <w:instrText xml:space="preserve"> P</w:instrText>
    </w:r>
    <w:r w:rsidRPr="00E03D39">
      <w:instrText>A</w:instrText>
    </w:r>
    <w:r w:rsidRPr="00E03D39">
      <w:instrText xml:space="preserve">GE </w:instrText>
    </w:r>
    <w:r w:rsidRPr="00E03D39">
      <w:fldChar w:fldCharType="separate"/>
    </w:r>
    <w:r w:rsidR="003762FD" w:rsidRPr="00E03D39">
      <w:instrText>3</w:instrText>
    </w:r>
    <w:r w:rsidRPr="00E03D39">
      <w:fldChar w:fldCharType="end"/>
    </w:r>
    <w:r w:rsidRPr="00E03D39">
      <w:instrText>"</w:instrText>
    </w:r>
    <w:r w:rsidRPr="00E03D39">
      <w:fldChar w:fldCharType="separate"/>
    </w:r>
    <w:r w:rsidR="003762FD" w:rsidRPr="00E03D39">
      <w:t>3</w:t>
    </w:r>
    <w:r w:rsidRPr="00E03D39">
      <w:fldChar w:fldCharType="end"/>
    </w:r>
  </w:p>
  <w:p w:rsidR="00E30297" w:rsidRPr="00E03D39" w:rsidRDefault="00E30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7B6" w:rsidRPr="00E03D39" w:rsidRDefault="003807B6">
      <w:r w:rsidRPr="00E03D39">
        <w:separator/>
      </w:r>
    </w:p>
  </w:footnote>
  <w:footnote w:type="continuationSeparator" w:id="0">
    <w:p w:rsidR="003807B6" w:rsidRPr="00E03D39" w:rsidRDefault="003807B6">
      <w:r w:rsidRPr="00E03D39">
        <w:continuationSeparator/>
      </w:r>
    </w:p>
  </w:footnote>
  <w:footnote w:id="1">
    <w:p w:rsidR="00E30297" w:rsidRPr="00E03D39" w:rsidRDefault="00E30297">
      <w:pPr>
        <w:pStyle w:val="Fotnotstext"/>
      </w:pPr>
      <w:r w:rsidRPr="00E03D39">
        <w:rPr>
          <w:rStyle w:val="Fotnotsreferens"/>
        </w:rPr>
        <w:footnoteRef/>
      </w:r>
      <w:r w:rsidRPr="00E03D39">
        <w:t xml:space="preserve"> Omtryck 2007:726.</w:t>
      </w:r>
    </w:p>
  </w:footnote>
  <w:footnote w:id="2">
    <w:p w:rsidR="00E30297" w:rsidRPr="00E03D39" w:rsidRDefault="00E30297" w:rsidP="00AD037E">
      <w:pPr>
        <w:pStyle w:val="Fotnotstext"/>
      </w:pPr>
      <w:r w:rsidRPr="00E03D39">
        <w:rPr>
          <w:rStyle w:val="Fotnotsreferens"/>
        </w:rPr>
        <w:footnoteRef/>
      </w:r>
      <w:r w:rsidRPr="00E03D39">
        <w:t xml:space="preserve"> Senaste lydelse 2010:1417.</w:t>
      </w:r>
    </w:p>
  </w:footnote>
  <w:footnote w:id="3">
    <w:p w:rsidR="00E30297" w:rsidRPr="00E03D39" w:rsidRDefault="00E30297">
      <w:pPr>
        <w:pStyle w:val="Fotnotstext"/>
      </w:pPr>
      <w:r w:rsidRPr="00E03D39">
        <w:rPr>
          <w:rStyle w:val="Fotnotsreferens"/>
        </w:rPr>
        <w:footnoteRef/>
      </w:r>
      <w:r w:rsidRPr="00E03D39">
        <w:t xml:space="preserve"> Hanteringsordning för granskningar av Riksdagsförvaltningen och riksdagens my</w:t>
      </w:r>
      <w:r w:rsidRPr="00E03D39">
        <w:t>n</w:t>
      </w:r>
      <w:r w:rsidRPr="00E03D39">
        <w:t>digheter m.m./PM 2011-05-05.</w:t>
      </w:r>
    </w:p>
    <w:p w:rsidR="00E30297" w:rsidRPr="00E03D39" w:rsidRDefault="00E30297" w:rsidP="00EB5345">
      <w:pPr>
        <w:pStyle w:val="Fotnotstextindrag"/>
      </w:pPr>
      <w:r w:rsidRPr="00E03D39">
        <w:t>Sekretess i riksdagen för underlagsmaterial till Riksrevisionens granskningsrappo</w:t>
      </w:r>
      <w:r w:rsidRPr="00E03D39">
        <w:t>r</w:t>
      </w:r>
      <w:r w:rsidRPr="00E03D39">
        <w:t>ter/PM 2011-11-29.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  <w:r w:rsidRPr="00E03D39">
      <w:t xml:space="preserve">     </w:t>
    </w:r>
    <w:r w:rsidRPr="00E03D39">
      <w:rPr>
        <w:rStyle w:val="SidhuvudBilaga"/>
      </w:rPr>
      <w:t xml:space="preserve"> </w:t>
    </w: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Sammanfattning</w:t>
    </w:r>
    <w:r w:rsidRPr="00E03D39">
      <w:rPr>
        <w:rStyle w:val="SidhuvudRubrikReferens"/>
      </w:rPr>
      <w:fldChar w:fldCharType="end"/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Status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   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  <w:r w:rsidRPr="00E03D39">
      <w:t xml:space="preserve">     </w:t>
    </w:r>
    <w:r w:rsidRPr="00E03D39">
      <w:rPr>
        <w:rStyle w:val="SidhuvudBilaga"/>
      </w:rPr>
      <w:t xml:space="preserve"> </w:t>
    </w: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1 Riksdagsstyrelsens förslag till riksdagsbeslut</w:t>
    </w:r>
    <w:r w:rsidRPr="00E03D39">
      <w:rPr>
        <w:rStyle w:val="SidhuvudRubrikReferens"/>
      </w:rPr>
      <w:fldChar w:fldCharType="end"/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Status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   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t>2 Lagförslag</w:t>
    </w:r>
    <w:r w:rsidR="00E30297" w:rsidRPr="00E03D39">
      <w:rPr>
        <w:rStyle w:val="SidhuvudBilaga"/>
      </w:rPr>
      <w:t xml:space="preserve"> </w:t>
    </w:r>
    <w:r w:rsidR="00E30297" w:rsidRPr="00E03D39">
      <w:t xml:space="preserve">     </w:t>
    </w:r>
    <w:r w:rsidR="00E30297" w:rsidRPr="00E03D39">
      <w:rPr>
        <w:rStyle w:val="SidhuvudUtskott"/>
      </w:rPr>
      <w:t>2011/12:RS3</w:t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t>2011/12:RS3</w:t>
    </w:r>
    <w:r w:rsidRPr="00E03D39">
      <w:t xml:space="preserve">    </w:t>
    </w:r>
  </w:p>
  <w:p w:rsidR="003762FD" w:rsidRPr="00E03D39" w:rsidRDefault="003762FD">
    <w:pPr>
      <w:pStyle w:val="SidhuvudKantJmn"/>
      <w:framePr w:w="8732" w:h="567" w:hRule="exact" w:vSpace="0" w:wrap="around" w:vAnchor="page" w:y="341" w:anchorLock="0"/>
    </w:pPr>
  </w:p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  <w:smallCaps w:val="0"/>
      </w:rPr>
      <w:t xml:space="preserve"> </w:t>
    </w:r>
  </w:p>
  <w:p w:rsidR="00E30297" w:rsidRPr="00E03D39" w:rsidRDefault="00E30297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  <w:r w:rsidRPr="00E03D39">
      <w:t xml:space="preserve">     </w:t>
    </w:r>
    <w:r w:rsidRPr="00E03D39">
      <w:rPr>
        <w:rStyle w:val="SidhuvudBilaga"/>
      </w:rPr>
      <w:t xml:space="preserve"> </w:t>
    </w: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2 Lagförslag</w:t>
    </w:r>
    <w:r w:rsidRPr="00E03D39">
      <w:rPr>
        <w:rStyle w:val="SidhuvudRubrikReferens"/>
      </w:rPr>
      <w:fldChar w:fldCharType="end"/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Status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   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2 Lagförslag</w:t>
    </w:r>
    <w:r w:rsidRPr="00E03D39">
      <w:rPr>
        <w:rStyle w:val="SidhuvudRubrikReferens"/>
      </w:rPr>
      <w:fldChar w:fldCharType="end"/>
    </w:r>
    <w:r w:rsidRPr="00E03D39">
      <w:rPr>
        <w:rStyle w:val="SidhuvudBilaga"/>
      </w:rPr>
      <w:t xml:space="preserve"> </w:t>
    </w:r>
    <w:r w:rsidRPr="00E03D39">
      <w:t xml:space="preserve">     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</w:instrText>
    </w:r>
    <w:r w:rsidRPr="00E03D39">
      <w:instrText xml:space="preserve"> </w:instrText>
    </w:r>
    <w:r w:rsidRPr="00E03D39">
      <w:rPr>
        <w:rStyle w:val="SidhuvudUtskott"/>
      </w:rPr>
      <w:instrText>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</w:instrText>
    </w:r>
    <w:r w:rsidRPr="00E03D39">
      <w:rPr>
        <w:rStyle w:val="SidhuvudUtskott"/>
      </w:rPr>
      <w:instrText>n</w:instrText>
    </w:r>
    <w:r w:rsidRPr="00E03D39">
      <w:rPr>
        <w:rStyle w:val="SidhuvudUtskott"/>
      </w:rPr>
      <w:instrText>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    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</w:instrText>
    </w:r>
    <w:r w:rsidRPr="00E03D39">
      <w:rPr>
        <w:rStyle w:val="SidhuvudUtskott"/>
      </w:rPr>
      <w:instrText>O</w:instrText>
    </w:r>
    <w:r w:rsidRPr="00E03D39">
      <w:rPr>
        <w:rStyle w:val="SidhuvudUtskott"/>
      </w:rPr>
      <w:instrText>PERTY Status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t>2011/12:RS3</w:t>
    </w:r>
    <w:r w:rsidRPr="00E03D39">
      <w:t xml:space="preserve">    </w:t>
    </w:r>
  </w:p>
  <w:p w:rsidR="003762FD" w:rsidRPr="00E03D39" w:rsidRDefault="003762FD">
    <w:pPr>
      <w:pStyle w:val="SidhuvudKantJmn"/>
      <w:framePr w:w="8732" w:h="567" w:hRule="exact" w:vSpace="0" w:wrap="around" w:vAnchor="page" w:y="341" w:anchorLock="0"/>
    </w:pPr>
  </w:p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  <w:smallCaps w:val="0"/>
      </w:rPr>
      <w:t xml:space="preserve"> </w:t>
    </w:r>
  </w:p>
  <w:p w:rsidR="00E30297" w:rsidRPr="00E03D39" w:rsidRDefault="00E30297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t>2011/12:RS3</w:t>
    </w:r>
    <w:r w:rsidRPr="00E03D39">
      <w:t xml:space="preserve">     </w:t>
    </w:r>
    <w:r w:rsidRPr="00E03D39">
      <w:rPr>
        <w:rStyle w:val="SidhuvudBilaga"/>
      </w:rPr>
      <w:t xml:space="preserve"> </w:t>
    </w:r>
    <w:r w:rsidR="003762FD" w:rsidRPr="00E03D39">
      <w:rPr>
        <w:rStyle w:val="SidhuvudRubrikReferens"/>
      </w:rPr>
      <w:t>3 Redogörelse för ärendet</w:t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3 Redogörelse för ärendet</w:t>
    </w:r>
    <w:r w:rsidRPr="00E03D39">
      <w:rPr>
        <w:rStyle w:val="SidhuvudRubrikReferens"/>
      </w:rPr>
      <w:fldChar w:fldCharType="end"/>
    </w:r>
    <w:r w:rsidRPr="00E03D39">
      <w:rPr>
        <w:rStyle w:val="SidhuvudBilaga"/>
      </w:rPr>
      <w:t xml:space="preserve"> </w:t>
    </w:r>
    <w:r w:rsidRPr="00E03D39">
      <w:t xml:space="preserve">     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</w:instrText>
    </w:r>
    <w:r w:rsidRPr="00E03D39">
      <w:instrText xml:space="preserve"> </w:instrText>
    </w:r>
    <w:r w:rsidRPr="00E03D39">
      <w:rPr>
        <w:rStyle w:val="SidhuvudUtskott"/>
      </w:rPr>
      <w:instrText>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</w:instrText>
    </w:r>
    <w:r w:rsidRPr="00E03D39">
      <w:rPr>
        <w:rStyle w:val="SidhuvudUtskott"/>
      </w:rPr>
      <w:instrText>n</w:instrText>
    </w:r>
    <w:r w:rsidRPr="00E03D39">
      <w:rPr>
        <w:rStyle w:val="SidhuvudUtskott"/>
      </w:rPr>
      <w:instrText>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    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</w:instrText>
    </w:r>
    <w:r w:rsidRPr="00E03D39">
      <w:rPr>
        <w:rStyle w:val="SidhuvudUtskott"/>
      </w:rPr>
      <w:instrText>O</w:instrText>
    </w:r>
    <w:r w:rsidRPr="00E03D39">
      <w:rPr>
        <w:rStyle w:val="SidhuvudUtskott"/>
      </w:rPr>
      <w:instrText>PERTY Status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t xml:space="preserve">  </w:t>
    </w:r>
    <w:r w:rsidRPr="00E03D39">
      <w:rPr>
        <w:rStyle w:val="SidhuvudUtskott"/>
      </w:rPr>
      <w:t>2011/12:RS3</w:t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t>2011/12:RS3</w:t>
    </w:r>
    <w:r w:rsidRPr="00E03D39">
      <w:t xml:space="preserve">     </w:t>
    </w:r>
    <w:r w:rsidRPr="00E03D39">
      <w:rPr>
        <w:rStyle w:val="SidhuvudBilaga"/>
      </w:rPr>
      <w:t xml:space="preserve"> </w:t>
    </w:r>
    <w:r w:rsidR="003762FD" w:rsidRPr="00E03D39">
      <w:rPr>
        <w:rStyle w:val="SidhuvudRubrikReferens"/>
      </w:rPr>
      <w:t>4 Riksdagsstyrelsens överväganden och förslag</w:t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Sammanfattning</w:t>
    </w:r>
    <w:r w:rsidRPr="00E03D39">
      <w:rPr>
        <w:rStyle w:val="SidhuvudRubrikReferens"/>
      </w:rPr>
      <w:fldChar w:fldCharType="end"/>
    </w:r>
    <w:r w:rsidRPr="00E03D39">
      <w:rPr>
        <w:rStyle w:val="SidhuvudBilaga"/>
      </w:rPr>
      <w:t xml:space="preserve"> </w:t>
    </w:r>
    <w:r w:rsidRPr="00E03D39">
      <w:t xml:space="preserve">     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</w:instrText>
    </w:r>
    <w:r w:rsidRPr="00E03D39">
      <w:instrText xml:space="preserve"> </w:instrText>
    </w:r>
    <w:r w:rsidRPr="00E03D39">
      <w:rPr>
        <w:rStyle w:val="SidhuvudUtskott"/>
      </w:rPr>
      <w:instrText>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</w:instrText>
    </w:r>
    <w:r w:rsidRPr="00E03D39">
      <w:rPr>
        <w:rStyle w:val="SidhuvudUtskott"/>
      </w:rPr>
      <w:instrText>n</w:instrText>
    </w:r>
    <w:r w:rsidRPr="00E03D39">
      <w:rPr>
        <w:rStyle w:val="SidhuvudUtskott"/>
      </w:rPr>
      <w:instrText>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    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</w:instrText>
    </w:r>
    <w:r w:rsidRPr="00E03D39">
      <w:rPr>
        <w:rStyle w:val="SidhuvudUtskott"/>
      </w:rPr>
      <w:instrText>O</w:instrText>
    </w:r>
    <w:r w:rsidRPr="00E03D39">
      <w:rPr>
        <w:rStyle w:val="SidhuvudUtskott"/>
      </w:rPr>
      <w:instrText>PERTY Status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t>4 Riksdagsstyrelsens överväganden och förslag</w:t>
    </w:r>
    <w:r w:rsidR="00E30297" w:rsidRPr="00E03D39">
      <w:rPr>
        <w:rStyle w:val="SidhuvudBilaga"/>
      </w:rPr>
      <w:t xml:space="preserve"> </w:t>
    </w:r>
    <w:r w:rsidR="00E30297" w:rsidRPr="00E03D39">
      <w:t xml:space="preserve">     </w:t>
    </w:r>
    <w:r w:rsidR="00E30297" w:rsidRPr="00E03D39">
      <w:rPr>
        <w:rStyle w:val="SidhuvudUtskott"/>
      </w:rPr>
      <w:t>2011/12:RS3</w:t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t xml:space="preserve">  </w:t>
    </w:r>
    <w:r w:rsidRPr="00E03D39">
      <w:rPr>
        <w:rStyle w:val="SidhuvudUtskott"/>
      </w:rPr>
      <w:t>2011/12:RS3</w:t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  <w:r w:rsidRPr="00E03D39">
      <w:t xml:space="preserve">     </w:t>
    </w:r>
    <w:r w:rsidRPr="00E03D39">
      <w:rPr>
        <w:rStyle w:val="SidhuvudBilaga"/>
      </w:rPr>
      <w:t xml:space="preserve"> </w:t>
    </w: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4 Riksdagsstyrelsens överväganden och förslag</w:t>
    </w:r>
    <w:r w:rsidRPr="00E03D39">
      <w:rPr>
        <w:rStyle w:val="SidhuvudRubrikReferens"/>
      </w:rPr>
      <w:fldChar w:fldCharType="end"/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Status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   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4 Riksdagsstyrelsens överväganden och förslag</w:t>
    </w:r>
    <w:r w:rsidRPr="00E03D39">
      <w:rPr>
        <w:rStyle w:val="SidhuvudRubrikReferens"/>
      </w:rPr>
      <w:fldChar w:fldCharType="end"/>
    </w:r>
    <w:r w:rsidRPr="00E03D39">
      <w:rPr>
        <w:rStyle w:val="SidhuvudBilaga"/>
      </w:rPr>
      <w:t xml:space="preserve"> </w:t>
    </w:r>
    <w:r w:rsidRPr="00E03D39">
      <w:t xml:space="preserve">     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</w:instrText>
    </w:r>
    <w:r w:rsidRPr="00E03D39">
      <w:instrText xml:space="preserve"> </w:instrText>
    </w:r>
    <w:r w:rsidRPr="00E03D39">
      <w:rPr>
        <w:rStyle w:val="SidhuvudUtskott"/>
      </w:rPr>
      <w:instrText>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</w:instrText>
    </w:r>
    <w:r w:rsidRPr="00E03D39">
      <w:rPr>
        <w:rStyle w:val="SidhuvudUtskott"/>
      </w:rPr>
      <w:instrText>n</w:instrText>
    </w:r>
    <w:r w:rsidRPr="00E03D39">
      <w:rPr>
        <w:rStyle w:val="SidhuvudUtskott"/>
      </w:rPr>
      <w:instrText>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    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</w:instrText>
    </w:r>
    <w:r w:rsidRPr="00E03D39">
      <w:rPr>
        <w:rStyle w:val="SidhuvudUtskott"/>
      </w:rPr>
      <w:instrText>O</w:instrText>
    </w:r>
    <w:r w:rsidRPr="00E03D39">
      <w:rPr>
        <w:rStyle w:val="SidhuvudUtskott"/>
      </w:rPr>
      <w:instrText>PERTY Status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t>2011/12:RS3</w:t>
    </w:r>
    <w:r w:rsidRPr="00E03D39">
      <w:t xml:space="preserve">    </w:t>
    </w:r>
  </w:p>
  <w:p w:rsidR="003762FD" w:rsidRPr="00E03D39" w:rsidRDefault="003762FD">
    <w:pPr>
      <w:pStyle w:val="SidhuvudKantJmn"/>
      <w:framePr w:w="8732" w:h="567" w:hRule="exact" w:vSpace="0" w:wrap="around" w:vAnchor="page" w:y="341" w:anchorLock="0"/>
    </w:pPr>
  </w:p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  <w:smallCaps w:val="0"/>
      </w:rPr>
      <w:t xml:space="preserve"> </w:t>
    </w:r>
  </w:p>
  <w:p w:rsidR="00E30297" w:rsidRPr="00E03D39" w:rsidRDefault="00E3029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t xml:space="preserve"> </w:t>
    </w:r>
  </w:p>
  <w:p w:rsidR="00E30297" w:rsidRPr="00E03D39" w:rsidRDefault="00E3029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  <w:r w:rsidRPr="00E03D39">
      <w:t xml:space="preserve">     </w:t>
    </w:r>
    <w:r w:rsidRPr="00E03D39">
      <w:rPr>
        <w:rStyle w:val="SidhuvudBilaga"/>
      </w:rPr>
      <w:t xml:space="preserve"> </w:t>
    </w: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Sammanfattning</w:t>
    </w:r>
    <w:r w:rsidRPr="00E03D39">
      <w:rPr>
        <w:rStyle w:val="SidhuvudRubrikReferens"/>
      </w:rPr>
      <w:fldChar w:fldCharType="end"/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Status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   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Sammanfattning</w:t>
    </w:r>
    <w:r w:rsidRPr="00E03D39">
      <w:rPr>
        <w:rStyle w:val="SidhuvudRubrikReferens"/>
      </w:rPr>
      <w:fldChar w:fldCharType="end"/>
    </w:r>
    <w:r w:rsidRPr="00E03D39">
      <w:rPr>
        <w:rStyle w:val="SidhuvudBilaga"/>
      </w:rPr>
      <w:t xml:space="preserve"> </w:t>
    </w:r>
    <w:r w:rsidRPr="00E03D39">
      <w:t xml:space="preserve">     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</w:instrText>
    </w:r>
    <w:r w:rsidRPr="00E03D39">
      <w:instrText xml:space="preserve"> </w:instrText>
    </w:r>
    <w:r w:rsidRPr="00E03D39">
      <w:rPr>
        <w:rStyle w:val="SidhuvudUtskott"/>
      </w:rPr>
      <w:instrText>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</w:instrText>
    </w:r>
    <w:r w:rsidRPr="00E03D39">
      <w:rPr>
        <w:rStyle w:val="SidhuvudUtskott"/>
      </w:rPr>
      <w:instrText>n</w:instrText>
    </w:r>
    <w:r w:rsidRPr="00E03D39">
      <w:rPr>
        <w:rStyle w:val="SidhuvudUtskott"/>
      </w:rPr>
      <w:instrText>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    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</w:instrText>
    </w:r>
    <w:r w:rsidRPr="00E03D39">
      <w:rPr>
        <w:rStyle w:val="SidhuvudUtskott"/>
      </w:rPr>
      <w:instrText>O</w:instrText>
    </w:r>
    <w:r w:rsidRPr="00E03D39">
      <w:rPr>
        <w:rStyle w:val="SidhuvudUtskott"/>
      </w:rPr>
      <w:instrText>PERTY Status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t>2011/12:RS3</w:t>
    </w:r>
    <w:r w:rsidRPr="00E03D39">
      <w:t xml:space="preserve">    </w:t>
    </w:r>
  </w:p>
  <w:p w:rsidR="003762FD" w:rsidRPr="00E03D39" w:rsidRDefault="003762FD">
    <w:pPr>
      <w:pStyle w:val="SidhuvudKantJmn"/>
      <w:framePr w:w="8732" w:h="567" w:hRule="exact" w:vSpace="0" w:wrap="around" w:vAnchor="page" w:y="341" w:anchorLock="0"/>
    </w:pPr>
  </w:p>
  <w:p w:rsidR="00E30297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  <w:smallCaps w:val="0"/>
      </w:rPr>
      <w:t xml:space="preserve"> </w:t>
    </w:r>
  </w:p>
  <w:p w:rsidR="00E30297" w:rsidRPr="00E03D39" w:rsidRDefault="00E3029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  <w:r w:rsidRPr="00E03D39">
      <w:t xml:space="preserve">     </w:t>
    </w:r>
    <w:r w:rsidRPr="00E03D39">
      <w:rPr>
        <w:rStyle w:val="SidhuvudBilaga"/>
      </w:rPr>
      <w:t xml:space="preserve"> </w:t>
    </w: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Innehållsförteckning</w:t>
    </w:r>
    <w:r w:rsidRPr="00E03D39">
      <w:rPr>
        <w:rStyle w:val="SidhuvudRubrikReferens"/>
      </w:rPr>
      <w:fldChar w:fldCharType="end"/>
    </w:r>
  </w:p>
  <w:p w:rsidR="00E30297" w:rsidRPr="00E03D39" w:rsidRDefault="00E30297">
    <w:pPr>
      <w:pStyle w:val="SidhuvudKantJmn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Status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   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RubrikReferens"/>
      </w:rPr>
      <w:fldChar w:fldCharType="begin" w:fldLock="1"/>
    </w:r>
    <w:r w:rsidRPr="00E03D39">
      <w:rPr>
        <w:rStyle w:val="SidhuvudRubrikReferens"/>
      </w:rPr>
      <w:instrText xml:space="preserve"> StyleREF "Rubrik 1" </w:instrText>
    </w:r>
    <w:r w:rsidRPr="00E03D39">
      <w:rPr>
        <w:rStyle w:val="SidhuvudRubrikReferens"/>
      </w:rPr>
      <w:fldChar w:fldCharType="separate"/>
    </w:r>
    <w:r w:rsidRPr="00E03D39">
      <w:rPr>
        <w:rStyle w:val="SidhuvudRubrikReferens"/>
      </w:rPr>
      <w:t>Innehållsförteckning</w:t>
    </w:r>
    <w:r w:rsidRPr="00E03D39">
      <w:rPr>
        <w:rStyle w:val="SidhuvudRubrikReferens"/>
      </w:rPr>
      <w:fldChar w:fldCharType="end"/>
    </w:r>
    <w:r w:rsidRPr="00E03D39">
      <w:rPr>
        <w:rStyle w:val="SidhuvudBilaga"/>
      </w:rPr>
      <w:t xml:space="preserve"> </w:t>
    </w:r>
    <w:r w:rsidRPr="00E03D39">
      <w:t xml:space="preserve">     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BetänkandeÅr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2011/12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t>:</w: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</w:instrText>
    </w:r>
    <w:r w:rsidRPr="00E03D39">
      <w:instrText xml:space="preserve"> </w:instrText>
    </w:r>
    <w:r w:rsidRPr="00E03D39">
      <w:rPr>
        <w:rStyle w:val="SidhuvudUtskott"/>
      </w:rPr>
      <w:instrText>Utskott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RS</w: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Betä</w:instrText>
    </w:r>
    <w:r w:rsidRPr="00E03D39">
      <w:rPr>
        <w:rStyle w:val="SidhuvudUtskott"/>
      </w:rPr>
      <w:instrText>n</w:instrText>
    </w:r>
    <w:r w:rsidRPr="00E03D39">
      <w:rPr>
        <w:rStyle w:val="SidhuvudUtskott"/>
      </w:rPr>
      <w:instrText>kandeNr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t>3</w: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if 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DOCPROPERTY "UtkastDatum"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Nej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 = "Ja" "</w:instrText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PRINTDATE \@ "yyyy-MM-dd HH.mm    " </w:instrText>
    </w:r>
    <w:r w:rsidRPr="00E03D39">
      <w:rPr>
        <w:rStyle w:val="SidhuvudUtskott"/>
      </w:rPr>
      <w:fldChar w:fldCharType="separate"/>
    </w:r>
    <w:r w:rsidRPr="00E03D39">
      <w:rPr>
        <w:rStyle w:val="SidhuvudUtskott"/>
      </w:rPr>
      <w:instrText>2000-08-11 16.42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instrText xml:space="preserve">" </w:instrText>
    </w:r>
    <w:r w:rsidRPr="00E03D39">
      <w:rPr>
        <w:rStyle w:val="SidhuvudUtskott"/>
      </w:rPr>
      <w:fldChar w:fldCharType="end"/>
    </w:r>
    <w:r w:rsidRPr="00E03D39">
      <w:rPr>
        <w:rStyle w:val="SidhuvudUtskott"/>
      </w:rPr>
      <w:fldChar w:fldCharType="begin" w:fldLock="1"/>
    </w:r>
    <w:r w:rsidRPr="00E03D39">
      <w:rPr>
        <w:rStyle w:val="SidhuvudUtskott"/>
      </w:rPr>
      <w:instrText xml:space="preserve"> DOCPR</w:instrText>
    </w:r>
    <w:r w:rsidRPr="00E03D39">
      <w:rPr>
        <w:rStyle w:val="SidhuvudUtskott"/>
      </w:rPr>
      <w:instrText>O</w:instrText>
    </w:r>
    <w:r w:rsidRPr="00E03D39">
      <w:rPr>
        <w:rStyle w:val="SidhuvudUtskott"/>
      </w:rPr>
      <w:instrText>PERTY Status</w:instrText>
    </w:r>
    <w:r w:rsidRPr="00E03D39">
      <w:rPr>
        <w:rStyle w:val="SidhuvudUtskott"/>
      </w:rPr>
      <w:fldChar w:fldCharType="end"/>
    </w:r>
  </w:p>
  <w:p w:rsidR="00E30297" w:rsidRPr="00E03D39" w:rsidRDefault="00E3029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2FD" w:rsidRPr="00E03D39" w:rsidRDefault="003762FD">
    <w:pPr>
      <w:pStyle w:val="SidhuvudKantUdda"/>
      <w:framePr w:w="8732" w:h="567" w:hRule="exact" w:vSpace="0" w:wrap="around" w:vAnchor="page" w:y="341" w:anchorLock="0"/>
    </w:pPr>
    <w:r w:rsidRPr="00E03D39">
      <w:t xml:space="preserve">  </w:t>
    </w:r>
    <w:r w:rsidRPr="00E03D39">
      <w:rPr>
        <w:rStyle w:val="SidhuvudUtskott"/>
      </w:rPr>
      <w:t>2011/12:RS3</w:t>
    </w:r>
  </w:p>
  <w:p w:rsidR="00E30297" w:rsidRPr="00E03D39" w:rsidRDefault="00E30297">
    <w:pPr>
      <w:pStyle w:val="SidhuvudKantUdda"/>
      <w:framePr w:w="8732" w:h="567" w:hRule="exact" w:vSpace="0" w:wrap="around" w:vAnchor="page" w:y="341" w:anchorLock="0"/>
    </w:pPr>
  </w:p>
  <w:p w:rsidR="00E30297" w:rsidRPr="00E03D39" w:rsidRDefault="00E3029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33C66"/>
    <w:multiLevelType w:val="hybridMultilevel"/>
    <w:tmpl w:val="A95CC8F4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81447A"/>
    <w:multiLevelType w:val="hybridMultilevel"/>
    <w:tmpl w:val="9FB424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E7EF5"/>
    <w:multiLevelType w:val="hybridMultilevel"/>
    <w:tmpl w:val="599C4A7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306229">
    <w:abstractNumId w:val="11"/>
  </w:num>
  <w:num w:numId="2" w16cid:durableId="14232659">
    <w:abstractNumId w:val="8"/>
  </w:num>
  <w:num w:numId="3" w16cid:durableId="479615174">
    <w:abstractNumId w:val="3"/>
  </w:num>
  <w:num w:numId="4" w16cid:durableId="1950619497">
    <w:abstractNumId w:val="2"/>
  </w:num>
  <w:num w:numId="5" w16cid:durableId="979771123">
    <w:abstractNumId w:val="1"/>
  </w:num>
  <w:num w:numId="6" w16cid:durableId="415791408">
    <w:abstractNumId w:val="0"/>
  </w:num>
  <w:num w:numId="7" w16cid:durableId="3480511">
    <w:abstractNumId w:val="9"/>
  </w:num>
  <w:num w:numId="8" w16cid:durableId="697321096">
    <w:abstractNumId w:val="7"/>
  </w:num>
  <w:num w:numId="9" w16cid:durableId="572590482">
    <w:abstractNumId w:val="6"/>
  </w:num>
  <w:num w:numId="10" w16cid:durableId="1445271789">
    <w:abstractNumId w:val="5"/>
  </w:num>
  <w:num w:numId="11" w16cid:durableId="1631980061">
    <w:abstractNumId w:val="4"/>
  </w:num>
  <w:num w:numId="12" w16cid:durableId="580916276">
    <w:abstractNumId w:val="10"/>
  </w:num>
  <w:num w:numId="13" w16cid:durableId="832070009">
    <w:abstractNumId w:val="12"/>
  </w:num>
  <w:num w:numId="14" w16cid:durableId="867526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sstyrelsens"/>
    <w:docVar w:name="Skapår" w:val="1112"/>
  </w:docVars>
  <w:rsids>
    <w:rsidRoot w:val="00FB47A2"/>
    <w:rsid w:val="00001BFF"/>
    <w:rsid w:val="00011314"/>
    <w:rsid w:val="00014F22"/>
    <w:rsid w:val="00017D9B"/>
    <w:rsid w:val="000225EF"/>
    <w:rsid w:val="00032D41"/>
    <w:rsid w:val="00075B31"/>
    <w:rsid w:val="00081D89"/>
    <w:rsid w:val="00093941"/>
    <w:rsid w:val="000B158A"/>
    <w:rsid w:val="000D5FCE"/>
    <w:rsid w:val="000E0C17"/>
    <w:rsid w:val="000E6A9C"/>
    <w:rsid w:val="000F04A4"/>
    <w:rsid w:val="00104F91"/>
    <w:rsid w:val="00152E27"/>
    <w:rsid w:val="00154AA1"/>
    <w:rsid w:val="00157C01"/>
    <w:rsid w:val="0019399E"/>
    <w:rsid w:val="001A54F5"/>
    <w:rsid w:val="001C3026"/>
    <w:rsid w:val="001E3251"/>
    <w:rsid w:val="001F3C49"/>
    <w:rsid w:val="001F74AD"/>
    <w:rsid w:val="00203E04"/>
    <w:rsid w:val="00220C21"/>
    <w:rsid w:val="00220C36"/>
    <w:rsid w:val="00227168"/>
    <w:rsid w:val="00245234"/>
    <w:rsid w:val="00262D01"/>
    <w:rsid w:val="00277098"/>
    <w:rsid w:val="00277CF3"/>
    <w:rsid w:val="002B0969"/>
    <w:rsid w:val="002E1457"/>
    <w:rsid w:val="002F19B5"/>
    <w:rsid w:val="002F547B"/>
    <w:rsid w:val="00314550"/>
    <w:rsid w:val="00322737"/>
    <w:rsid w:val="00345DB1"/>
    <w:rsid w:val="0034766D"/>
    <w:rsid w:val="003511E4"/>
    <w:rsid w:val="003554CE"/>
    <w:rsid w:val="0036344C"/>
    <w:rsid w:val="00373948"/>
    <w:rsid w:val="003762FD"/>
    <w:rsid w:val="003807B6"/>
    <w:rsid w:val="0039096C"/>
    <w:rsid w:val="00391B28"/>
    <w:rsid w:val="00395310"/>
    <w:rsid w:val="003B709E"/>
    <w:rsid w:val="00414DEC"/>
    <w:rsid w:val="00416316"/>
    <w:rsid w:val="00416EA5"/>
    <w:rsid w:val="004170A8"/>
    <w:rsid w:val="0044601F"/>
    <w:rsid w:val="00447EA0"/>
    <w:rsid w:val="00482476"/>
    <w:rsid w:val="004833BE"/>
    <w:rsid w:val="00484F62"/>
    <w:rsid w:val="00485604"/>
    <w:rsid w:val="004B4398"/>
    <w:rsid w:val="004C00BE"/>
    <w:rsid w:val="004D127E"/>
    <w:rsid w:val="004D2C6E"/>
    <w:rsid w:val="004F7779"/>
    <w:rsid w:val="005109DC"/>
    <w:rsid w:val="005142CA"/>
    <w:rsid w:val="0055257B"/>
    <w:rsid w:val="00584845"/>
    <w:rsid w:val="00596008"/>
    <w:rsid w:val="005A3A68"/>
    <w:rsid w:val="005B3BFD"/>
    <w:rsid w:val="005D2BA4"/>
    <w:rsid w:val="005D3206"/>
    <w:rsid w:val="005E1DEB"/>
    <w:rsid w:val="006012BB"/>
    <w:rsid w:val="0061217D"/>
    <w:rsid w:val="006319EE"/>
    <w:rsid w:val="006329E0"/>
    <w:rsid w:val="006417B9"/>
    <w:rsid w:val="00646EAE"/>
    <w:rsid w:val="00682903"/>
    <w:rsid w:val="006B44DC"/>
    <w:rsid w:val="006E3178"/>
    <w:rsid w:val="006F576A"/>
    <w:rsid w:val="006F6136"/>
    <w:rsid w:val="00706F93"/>
    <w:rsid w:val="00716F53"/>
    <w:rsid w:val="007174D8"/>
    <w:rsid w:val="00722D3C"/>
    <w:rsid w:val="00727C10"/>
    <w:rsid w:val="00762AE4"/>
    <w:rsid w:val="00774F7B"/>
    <w:rsid w:val="00794142"/>
    <w:rsid w:val="007B38C3"/>
    <w:rsid w:val="007C7541"/>
    <w:rsid w:val="007D7AA2"/>
    <w:rsid w:val="007F2509"/>
    <w:rsid w:val="00800703"/>
    <w:rsid w:val="00802951"/>
    <w:rsid w:val="00805CD3"/>
    <w:rsid w:val="008070F1"/>
    <w:rsid w:val="00827533"/>
    <w:rsid w:val="00830667"/>
    <w:rsid w:val="00850875"/>
    <w:rsid w:val="00851326"/>
    <w:rsid w:val="008521A7"/>
    <w:rsid w:val="00860BB4"/>
    <w:rsid w:val="008629B2"/>
    <w:rsid w:val="00863B0D"/>
    <w:rsid w:val="008655EC"/>
    <w:rsid w:val="00890CEF"/>
    <w:rsid w:val="00891BEF"/>
    <w:rsid w:val="008A36C5"/>
    <w:rsid w:val="008A6B68"/>
    <w:rsid w:val="008A6C84"/>
    <w:rsid w:val="008C7B86"/>
    <w:rsid w:val="009353BD"/>
    <w:rsid w:val="00947A63"/>
    <w:rsid w:val="00952996"/>
    <w:rsid w:val="00954658"/>
    <w:rsid w:val="00983401"/>
    <w:rsid w:val="009A311B"/>
    <w:rsid w:val="009F77FE"/>
    <w:rsid w:val="009F7C23"/>
    <w:rsid w:val="00A06E3D"/>
    <w:rsid w:val="00A21BDF"/>
    <w:rsid w:val="00A30E02"/>
    <w:rsid w:val="00A33C93"/>
    <w:rsid w:val="00A738E8"/>
    <w:rsid w:val="00A86549"/>
    <w:rsid w:val="00AA13FF"/>
    <w:rsid w:val="00AA2201"/>
    <w:rsid w:val="00AB1A9A"/>
    <w:rsid w:val="00AD037E"/>
    <w:rsid w:val="00AD485B"/>
    <w:rsid w:val="00AE462F"/>
    <w:rsid w:val="00AE6B7F"/>
    <w:rsid w:val="00AF60DF"/>
    <w:rsid w:val="00B27DC2"/>
    <w:rsid w:val="00B42656"/>
    <w:rsid w:val="00B55AC7"/>
    <w:rsid w:val="00B700F4"/>
    <w:rsid w:val="00B8342B"/>
    <w:rsid w:val="00BC477B"/>
    <w:rsid w:val="00BD486F"/>
    <w:rsid w:val="00BE15DB"/>
    <w:rsid w:val="00BF40F5"/>
    <w:rsid w:val="00C60144"/>
    <w:rsid w:val="00C76D19"/>
    <w:rsid w:val="00C879AF"/>
    <w:rsid w:val="00CA1702"/>
    <w:rsid w:val="00CC6224"/>
    <w:rsid w:val="00CD1DAF"/>
    <w:rsid w:val="00CE6878"/>
    <w:rsid w:val="00D03F87"/>
    <w:rsid w:val="00D04ADD"/>
    <w:rsid w:val="00D459C0"/>
    <w:rsid w:val="00D53FA8"/>
    <w:rsid w:val="00D565E1"/>
    <w:rsid w:val="00D63D52"/>
    <w:rsid w:val="00D63F37"/>
    <w:rsid w:val="00D650DD"/>
    <w:rsid w:val="00DA230F"/>
    <w:rsid w:val="00DA280F"/>
    <w:rsid w:val="00DA2D00"/>
    <w:rsid w:val="00DD467C"/>
    <w:rsid w:val="00DE5CE7"/>
    <w:rsid w:val="00DE630D"/>
    <w:rsid w:val="00DF12C4"/>
    <w:rsid w:val="00DF7401"/>
    <w:rsid w:val="00E03D39"/>
    <w:rsid w:val="00E30297"/>
    <w:rsid w:val="00E308EA"/>
    <w:rsid w:val="00E314CC"/>
    <w:rsid w:val="00E3344B"/>
    <w:rsid w:val="00E43865"/>
    <w:rsid w:val="00E51390"/>
    <w:rsid w:val="00E64A1D"/>
    <w:rsid w:val="00E733D4"/>
    <w:rsid w:val="00EB5345"/>
    <w:rsid w:val="00ED4321"/>
    <w:rsid w:val="00ED6272"/>
    <w:rsid w:val="00EE46EC"/>
    <w:rsid w:val="00F16319"/>
    <w:rsid w:val="00F33DC3"/>
    <w:rsid w:val="00F46432"/>
    <w:rsid w:val="00F46C0B"/>
    <w:rsid w:val="00F53A97"/>
    <w:rsid w:val="00F62C5E"/>
    <w:rsid w:val="00F71558"/>
    <w:rsid w:val="00FA17BF"/>
    <w:rsid w:val="00FB47A2"/>
    <w:rsid w:val="00FC58AD"/>
    <w:rsid w:val="00FE19B8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E7F48-E64C-4F49-9B6D-27123E6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2256</Words>
  <Characters>14938</Characters>
  <Application>Microsoft Office Word</Application>
  <DocSecurity>4</DocSecurity>
  <Lines>339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Riksdagsstyrelsens framställning till riksdagen</vt:lpstr>
    </vt:vector>
  </TitlesOfParts>
  <Company>Riksdagen</Company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Riksdagsstyrelsens framställning till riksdagen</dc:title>
  <dc:subject>Riksdagsstyrelsens framställning till riksdagen</dc:subject>
  <dc:creator>Riksdagen</dc:creator>
  <cp:keywords>Riksdagen</cp:keywords>
  <dc:description/>
  <cp:lastModifiedBy>Lars Brink</cp:lastModifiedBy>
  <cp:revision>2</cp:revision>
  <cp:lastPrinted>2012-05-15T13:42:00Z</cp:lastPrinted>
  <dcterms:created xsi:type="dcterms:W3CDTF">2025-12-17T20:59:00Z</dcterms:created>
  <dcterms:modified xsi:type="dcterms:W3CDTF">2025-12-17T20:59:00Z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RS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