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8C7B" w14:textId="77777777" w:rsidR="00FB32B9" w:rsidRDefault="000D2C88" w:rsidP="00FB32B9">
      <w:pPr>
        <w:pStyle w:val="UDrubrik"/>
        <w:tabs>
          <w:tab w:val="left" w:pos="1701"/>
          <w:tab w:val="left" w:pos="1985"/>
        </w:tabs>
        <w:rPr>
          <w:rFonts w:cs="Arial"/>
          <w:sz w:val="28"/>
        </w:rPr>
      </w:pPr>
    </w:p>
    <w:p w14:paraId="7DDF8C7C" w14:textId="77777777" w:rsidR="00FB32B9" w:rsidRDefault="000D2C88" w:rsidP="00FB32B9">
      <w:pPr>
        <w:pStyle w:val="UDrubrik"/>
        <w:tabs>
          <w:tab w:val="left" w:pos="1701"/>
          <w:tab w:val="left" w:pos="1985"/>
        </w:tabs>
        <w:rPr>
          <w:rFonts w:cs="Arial"/>
          <w:sz w:val="28"/>
        </w:rPr>
      </w:pPr>
    </w:p>
    <w:p w14:paraId="7DDF8C7D" w14:textId="77777777" w:rsidR="00FB32B9" w:rsidRDefault="000D2C88" w:rsidP="00FB32B9">
      <w:pPr>
        <w:pStyle w:val="UDrubrik"/>
        <w:tabs>
          <w:tab w:val="left" w:pos="1701"/>
          <w:tab w:val="left" w:pos="1985"/>
        </w:tabs>
        <w:rPr>
          <w:rFonts w:cs="Arial"/>
          <w:sz w:val="28"/>
        </w:rPr>
      </w:pPr>
    </w:p>
    <w:p w14:paraId="7DDF8C7E" w14:textId="77777777" w:rsidR="00FB32B9" w:rsidRDefault="000D2C88" w:rsidP="00FB32B9">
      <w:pPr>
        <w:pStyle w:val="UDrubrik"/>
        <w:tabs>
          <w:tab w:val="left" w:pos="1701"/>
          <w:tab w:val="left" w:pos="1985"/>
        </w:tabs>
        <w:rPr>
          <w:rFonts w:cs="Arial"/>
          <w:sz w:val="28"/>
        </w:rPr>
      </w:pPr>
    </w:p>
    <w:p w14:paraId="7DDF8C7F" w14:textId="6A6EB637" w:rsidR="00FB32B9" w:rsidRDefault="00446022" w:rsidP="00FB32B9">
      <w:pPr>
        <w:pStyle w:val="UDrubrik"/>
        <w:tabs>
          <w:tab w:val="left" w:pos="1701"/>
          <w:tab w:val="left" w:pos="1985"/>
        </w:tabs>
        <w:rPr>
          <w:rFonts w:cs="Arial"/>
          <w:sz w:val="28"/>
        </w:rPr>
      </w:pPr>
      <w:r>
        <w:rPr>
          <w:rFonts w:cs="Arial"/>
          <w:sz w:val="28"/>
        </w:rPr>
        <w:t xml:space="preserve">Troliga A-punkter inför </w:t>
      </w:r>
      <w:r w:rsidR="00077140">
        <w:rPr>
          <w:rFonts w:cs="Arial"/>
          <w:sz w:val="28"/>
        </w:rPr>
        <w:t>kommande rådsmöten som</w:t>
      </w:r>
      <w:r>
        <w:rPr>
          <w:rFonts w:cs="Arial"/>
          <w:sz w:val="28"/>
        </w:rPr>
        <w:t xml:space="preserve"> godkän</w:t>
      </w:r>
      <w:r w:rsidR="00077140">
        <w:rPr>
          <w:rFonts w:cs="Arial"/>
          <w:sz w:val="28"/>
        </w:rPr>
        <w:t>des vid Coreper I 2014-05-14 vecka 20</w:t>
      </w:r>
      <w:r>
        <w:rPr>
          <w:rFonts w:cs="Arial"/>
          <w:sz w:val="28"/>
        </w:rPr>
        <w:t>.</w:t>
      </w:r>
    </w:p>
    <w:p w14:paraId="7DDF8C80" w14:textId="77777777" w:rsidR="00FB32B9" w:rsidRDefault="000D2C88" w:rsidP="00FB32B9">
      <w:pPr>
        <w:pStyle w:val="Brdtext"/>
      </w:pPr>
    </w:p>
    <w:p w14:paraId="7DDF8C81" w14:textId="5666A1EC" w:rsidR="00FB32B9" w:rsidRDefault="00446022" w:rsidP="00FB32B9">
      <w:pPr>
        <w:pStyle w:val="Brdtext"/>
      </w:pPr>
      <w:r>
        <w:t>Överlämnas för s</w:t>
      </w:r>
      <w:r w:rsidR="00077140">
        <w:t>kriftligt samråd till fredagen den 16 maj 2014, kl. 14.00.</w:t>
      </w:r>
    </w:p>
    <w:p w14:paraId="7DDF8C82" w14:textId="77777777" w:rsidR="00FB32B9" w:rsidRDefault="0044602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DDF8C83" w14:textId="77777777" w:rsidR="00D957FB" w:rsidRPr="00FB32B9" w:rsidRDefault="00446022">
          <w:pPr>
            <w:pStyle w:val="Innehllsfrteckningsrubrik"/>
            <w:rPr>
              <w:color w:val="auto"/>
            </w:rPr>
          </w:pPr>
          <w:proofErr w:type="spellStart"/>
          <w:r w:rsidRPr="00FB32B9">
            <w:rPr>
              <w:color w:val="auto"/>
            </w:rPr>
            <w:t>Innehållsförteckning</w:t>
          </w:r>
          <w:proofErr w:type="spellEnd"/>
        </w:p>
        <w:p w14:paraId="7DDF8C84" w14:textId="77777777" w:rsidR="00DA7250" w:rsidRPr="00DA7250" w:rsidRDefault="000D2C88" w:rsidP="00DA7250">
          <w:pPr>
            <w:rPr>
              <w:lang w:val="en-US" w:eastAsia="ja-JP"/>
            </w:rPr>
          </w:pPr>
        </w:p>
        <w:p w14:paraId="77062E8D" w14:textId="77777777" w:rsidR="00013FC3" w:rsidRDefault="0044602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387906301" w:history="1">
            <w:r w:rsidR="00013FC3" w:rsidRPr="006E0C70">
              <w:rPr>
                <w:rStyle w:val="Hyperlnk"/>
                <w:noProof/>
              </w:rPr>
              <w:t>1.</w:t>
            </w:r>
            <w:r w:rsidR="00013FC3">
              <w:rPr>
                <w:rFonts w:asciiTheme="minorHAnsi" w:eastAsiaTheme="minorEastAsia" w:hAnsiTheme="minorHAnsi" w:cstheme="minorBidi"/>
                <w:noProof/>
                <w:lang w:eastAsia="sv-SE"/>
              </w:rPr>
              <w:tab/>
            </w:r>
            <w:r w:rsidR="00013FC3" w:rsidRPr="006E0C70">
              <w:rPr>
                <w:rStyle w:val="Hyperlnk"/>
                <w:noProof/>
              </w:rPr>
              <w:t>Replies to written questions put to the Council by Members of the European Parliament</w:t>
            </w:r>
            <w:r w:rsidR="00013FC3">
              <w:rPr>
                <w:noProof/>
                <w:webHidden/>
              </w:rPr>
              <w:tab/>
            </w:r>
            <w:r w:rsidR="00013FC3">
              <w:rPr>
                <w:noProof/>
                <w:webHidden/>
              </w:rPr>
              <w:fldChar w:fldCharType="begin"/>
            </w:r>
            <w:r w:rsidR="00013FC3">
              <w:rPr>
                <w:noProof/>
                <w:webHidden/>
              </w:rPr>
              <w:instrText xml:space="preserve"> PAGEREF _Toc387906301 \h </w:instrText>
            </w:r>
            <w:r w:rsidR="00013FC3">
              <w:rPr>
                <w:noProof/>
                <w:webHidden/>
              </w:rPr>
            </w:r>
            <w:r w:rsidR="00013FC3">
              <w:rPr>
                <w:noProof/>
                <w:webHidden/>
              </w:rPr>
              <w:fldChar w:fldCharType="separate"/>
            </w:r>
            <w:r w:rsidR="00013FC3">
              <w:rPr>
                <w:noProof/>
                <w:webHidden/>
              </w:rPr>
              <w:t>3</w:t>
            </w:r>
            <w:r w:rsidR="00013FC3">
              <w:rPr>
                <w:noProof/>
                <w:webHidden/>
              </w:rPr>
              <w:fldChar w:fldCharType="end"/>
            </w:r>
          </w:hyperlink>
        </w:p>
        <w:p w14:paraId="4334C691"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2" w:history="1">
            <w:r w:rsidRPr="006E0C70">
              <w:rPr>
                <w:rStyle w:val="Hyperlnk"/>
                <w:noProof/>
              </w:rPr>
              <w:t>2.</w:t>
            </w:r>
            <w:r>
              <w:rPr>
                <w:rFonts w:asciiTheme="minorHAnsi" w:eastAsiaTheme="minorEastAsia" w:hAnsiTheme="minorHAnsi" w:cstheme="minorBidi"/>
                <w:noProof/>
                <w:lang w:eastAsia="sv-SE"/>
              </w:rPr>
              <w:tab/>
            </w:r>
            <w:r w:rsidRPr="006E0C70">
              <w:rPr>
                <w:rStyle w:val="Hyperlnk"/>
                <w:noProof/>
              </w:rPr>
              <w:t>Commission Delegated Regulation (EU) No …/.. of 21.2.2014 amending Annex III to Regulation (EU) No 305/2011 as regards on the model to be used for drawing up a declaration of performance on construction products</w:t>
            </w:r>
            <w:r>
              <w:rPr>
                <w:noProof/>
                <w:webHidden/>
              </w:rPr>
              <w:tab/>
            </w:r>
            <w:r>
              <w:rPr>
                <w:noProof/>
                <w:webHidden/>
              </w:rPr>
              <w:fldChar w:fldCharType="begin"/>
            </w:r>
            <w:r>
              <w:rPr>
                <w:noProof/>
                <w:webHidden/>
              </w:rPr>
              <w:instrText xml:space="preserve"> PAGEREF _Toc387906302 \h </w:instrText>
            </w:r>
            <w:r>
              <w:rPr>
                <w:noProof/>
                <w:webHidden/>
              </w:rPr>
            </w:r>
            <w:r>
              <w:rPr>
                <w:noProof/>
                <w:webHidden/>
              </w:rPr>
              <w:fldChar w:fldCharType="separate"/>
            </w:r>
            <w:r>
              <w:rPr>
                <w:noProof/>
                <w:webHidden/>
              </w:rPr>
              <w:t>3</w:t>
            </w:r>
            <w:r>
              <w:rPr>
                <w:noProof/>
                <w:webHidden/>
              </w:rPr>
              <w:fldChar w:fldCharType="end"/>
            </w:r>
          </w:hyperlink>
        </w:p>
        <w:p w14:paraId="5AB27F5E"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3" w:history="1">
            <w:r w:rsidRPr="006E0C70">
              <w:rPr>
                <w:rStyle w:val="Hyperlnk"/>
                <w:noProof/>
              </w:rPr>
              <w:t>3.</w:t>
            </w:r>
            <w:r>
              <w:rPr>
                <w:rFonts w:asciiTheme="minorHAnsi" w:eastAsiaTheme="minorEastAsia" w:hAnsiTheme="minorHAnsi" w:cstheme="minorBidi"/>
                <w:noProof/>
                <w:lang w:eastAsia="sv-SE"/>
              </w:rPr>
              <w:tab/>
            </w:r>
            <w:r w:rsidRPr="006E0C70">
              <w:rPr>
                <w:rStyle w:val="Hyperlnk"/>
                <w:noProof/>
              </w:rPr>
              <w:t>Proposal for a Council Decision on the conclusion of the Protocol setting out the fishing opportunities and the financial contribution provided for in the Fisheries Partnership Agreement between the European Union and the Democratic Republic of São Tomé and Príncipe</w:t>
            </w:r>
            <w:r>
              <w:rPr>
                <w:noProof/>
                <w:webHidden/>
              </w:rPr>
              <w:tab/>
            </w:r>
            <w:r>
              <w:rPr>
                <w:noProof/>
                <w:webHidden/>
              </w:rPr>
              <w:fldChar w:fldCharType="begin"/>
            </w:r>
            <w:r>
              <w:rPr>
                <w:noProof/>
                <w:webHidden/>
              </w:rPr>
              <w:instrText xml:space="preserve"> PAGEREF _Toc387906303 \h </w:instrText>
            </w:r>
            <w:r>
              <w:rPr>
                <w:noProof/>
                <w:webHidden/>
              </w:rPr>
            </w:r>
            <w:r>
              <w:rPr>
                <w:noProof/>
                <w:webHidden/>
              </w:rPr>
              <w:fldChar w:fldCharType="separate"/>
            </w:r>
            <w:r>
              <w:rPr>
                <w:noProof/>
                <w:webHidden/>
              </w:rPr>
              <w:t>4</w:t>
            </w:r>
            <w:r>
              <w:rPr>
                <w:noProof/>
                <w:webHidden/>
              </w:rPr>
              <w:fldChar w:fldCharType="end"/>
            </w:r>
          </w:hyperlink>
        </w:p>
        <w:p w14:paraId="0CCD190F"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4" w:history="1">
            <w:r w:rsidRPr="006E0C70">
              <w:rPr>
                <w:rStyle w:val="Hyperlnk"/>
                <w:noProof/>
              </w:rPr>
              <w:t>4.</w:t>
            </w:r>
            <w:r>
              <w:rPr>
                <w:rFonts w:asciiTheme="minorHAnsi" w:eastAsiaTheme="minorEastAsia" w:hAnsiTheme="minorHAnsi" w:cstheme="minorBidi"/>
                <w:noProof/>
                <w:lang w:eastAsia="sv-SE"/>
              </w:rPr>
              <w:tab/>
            </w:r>
            <w:r w:rsidRPr="006E0C70">
              <w:rPr>
                <w:rStyle w:val="Hyperlnk"/>
                <w:noProof/>
              </w:rPr>
              <w:t>Draft Council conclusions on "A new EU Forest Strategy: for forests and forest-based sector"</w:t>
            </w:r>
            <w:r>
              <w:rPr>
                <w:noProof/>
                <w:webHidden/>
              </w:rPr>
              <w:tab/>
            </w:r>
            <w:r>
              <w:rPr>
                <w:noProof/>
                <w:webHidden/>
              </w:rPr>
              <w:fldChar w:fldCharType="begin"/>
            </w:r>
            <w:r>
              <w:rPr>
                <w:noProof/>
                <w:webHidden/>
              </w:rPr>
              <w:instrText xml:space="preserve"> PAGEREF _Toc387906304 \h </w:instrText>
            </w:r>
            <w:r>
              <w:rPr>
                <w:noProof/>
                <w:webHidden/>
              </w:rPr>
            </w:r>
            <w:r>
              <w:rPr>
                <w:noProof/>
                <w:webHidden/>
              </w:rPr>
              <w:fldChar w:fldCharType="separate"/>
            </w:r>
            <w:r>
              <w:rPr>
                <w:noProof/>
                <w:webHidden/>
              </w:rPr>
              <w:t>4</w:t>
            </w:r>
            <w:r>
              <w:rPr>
                <w:noProof/>
                <w:webHidden/>
              </w:rPr>
              <w:fldChar w:fldCharType="end"/>
            </w:r>
          </w:hyperlink>
        </w:p>
        <w:p w14:paraId="33471B1C"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5" w:history="1">
            <w:r w:rsidRPr="006E0C70">
              <w:rPr>
                <w:rStyle w:val="Hyperlnk"/>
                <w:noProof/>
              </w:rPr>
              <w:t>5.</w:t>
            </w:r>
            <w:r>
              <w:rPr>
                <w:rFonts w:asciiTheme="minorHAnsi" w:eastAsiaTheme="minorEastAsia" w:hAnsiTheme="minorHAnsi" w:cstheme="minorBidi"/>
                <w:noProof/>
                <w:lang w:eastAsia="sv-SE"/>
              </w:rPr>
              <w:tab/>
            </w:r>
            <w:r w:rsidRPr="006E0C70">
              <w:rPr>
                <w:rStyle w:val="Hyperlnk"/>
                <w:noProof/>
              </w:rPr>
              <w:t>Proposal for a Council Decision on the position to be adopted, on behalf of the European Union, in the Indian Ocean Tuna Commission (IOTC)</w:t>
            </w:r>
            <w:r>
              <w:rPr>
                <w:noProof/>
                <w:webHidden/>
              </w:rPr>
              <w:tab/>
            </w:r>
            <w:r>
              <w:rPr>
                <w:noProof/>
                <w:webHidden/>
              </w:rPr>
              <w:fldChar w:fldCharType="begin"/>
            </w:r>
            <w:r>
              <w:rPr>
                <w:noProof/>
                <w:webHidden/>
              </w:rPr>
              <w:instrText xml:space="preserve"> PAGEREF _Toc387906305 \h </w:instrText>
            </w:r>
            <w:r>
              <w:rPr>
                <w:noProof/>
                <w:webHidden/>
              </w:rPr>
            </w:r>
            <w:r>
              <w:rPr>
                <w:noProof/>
                <w:webHidden/>
              </w:rPr>
              <w:fldChar w:fldCharType="separate"/>
            </w:r>
            <w:r>
              <w:rPr>
                <w:noProof/>
                <w:webHidden/>
              </w:rPr>
              <w:t>5</w:t>
            </w:r>
            <w:r>
              <w:rPr>
                <w:noProof/>
                <w:webHidden/>
              </w:rPr>
              <w:fldChar w:fldCharType="end"/>
            </w:r>
          </w:hyperlink>
        </w:p>
        <w:p w14:paraId="49E7BFA9"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6" w:history="1">
            <w:r w:rsidRPr="006E0C70">
              <w:rPr>
                <w:rStyle w:val="Hyperlnk"/>
                <w:noProof/>
              </w:rPr>
              <w:t>6.</w:t>
            </w:r>
            <w:r>
              <w:rPr>
                <w:rFonts w:asciiTheme="minorHAnsi" w:eastAsiaTheme="minorEastAsia" w:hAnsiTheme="minorHAnsi" w:cstheme="minorBidi"/>
                <w:noProof/>
                <w:lang w:eastAsia="sv-SE"/>
              </w:rPr>
              <w:tab/>
            </w:r>
            <w:r w:rsidRPr="006E0C70">
              <w:rPr>
                <w:rStyle w:val="Hyperlnk"/>
                <w:noProof/>
              </w:rPr>
              <w:t>Proposal for a Council Decision on the position to be adopted, on behalf of the European Union, in the General Fisheries Commission for the Mediterranean (GFCM)</w:t>
            </w:r>
            <w:r>
              <w:rPr>
                <w:noProof/>
                <w:webHidden/>
              </w:rPr>
              <w:tab/>
            </w:r>
            <w:r>
              <w:rPr>
                <w:noProof/>
                <w:webHidden/>
              </w:rPr>
              <w:fldChar w:fldCharType="begin"/>
            </w:r>
            <w:r>
              <w:rPr>
                <w:noProof/>
                <w:webHidden/>
              </w:rPr>
              <w:instrText xml:space="preserve"> PAGEREF _Toc387906306 \h </w:instrText>
            </w:r>
            <w:r>
              <w:rPr>
                <w:noProof/>
                <w:webHidden/>
              </w:rPr>
            </w:r>
            <w:r>
              <w:rPr>
                <w:noProof/>
                <w:webHidden/>
              </w:rPr>
              <w:fldChar w:fldCharType="separate"/>
            </w:r>
            <w:r>
              <w:rPr>
                <w:noProof/>
                <w:webHidden/>
              </w:rPr>
              <w:t>6</w:t>
            </w:r>
            <w:r>
              <w:rPr>
                <w:noProof/>
                <w:webHidden/>
              </w:rPr>
              <w:fldChar w:fldCharType="end"/>
            </w:r>
          </w:hyperlink>
        </w:p>
        <w:p w14:paraId="5AB0A2F7"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7" w:history="1">
            <w:r w:rsidRPr="006E0C70">
              <w:rPr>
                <w:rStyle w:val="Hyperlnk"/>
                <w:noProof/>
              </w:rPr>
              <w:t>7.</w:t>
            </w:r>
            <w:r>
              <w:rPr>
                <w:rFonts w:asciiTheme="minorHAnsi" w:eastAsiaTheme="minorEastAsia" w:hAnsiTheme="minorHAnsi" w:cstheme="minorBidi"/>
                <w:noProof/>
                <w:lang w:eastAsia="sv-SE"/>
              </w:rPr>
              <w:tab/>
            </w:r>
            <w:r w:rsidRPr="006E0C70">
              <w:rPr>
                <w:rStyle w:val="Hyperlnk"/>
                <w:noProof/>
              </w:rPr>
              <w:t>Proposal for a Council Decision on the signing, on behalf of the European Union, and provisional application of the Protocol setting out the fishing opportunities and the financial contribution provided for in the Fisheries Partnership Agreement between the European Union and the Democratic Republic of São Tomé and Príncipe</w:t>
            </w:r>
            <w:r>
              <w:rPr>
                <w:noProof/>
                <w:webHidden/>
              </w:rPr>
              <w:tab/>
            </w:r>
            <w:r>
              <w:rPr>
                <w:noProof/>
                <w:webHidden/>
              </w:rPr>
              <w:fldChar w:fldCharType="begin"/>
            </w:r>
            <w:r>
              <w:rPr>
                <w:noProof/>
                <w:webHidden/>
              </w:rPr>
              <w:instrText xml:space="preserve"> PAGEREF _Toc387906307 \h </w:instrText>
            </w:r>
            <w:r>
              <w:rPr>
                <w:noProof/>
                <w:webHidden/>
              </w:rPr>
            </w:r>
            <w:r>
              <w:rPr>
                <w:noProof/>
                <w:webHidden/>
              </w:rPr>
              <w:fldChar w:fldCharType="separate"/>
            </w:r>
            <w:r>
              <w:rPr>
                <w:noProof/>
                <w:webHidden/>
              </w:rPr>
              <w:t>7</w:t>
            </w:r>
            <w:r>
              <w:rPr>
                <w:noProof/>
                <w:webHidden/>
              </w:rPr>
              <w:fldChar w:fldCharType="end"/>
            </w:r>
          </w:hyperlink>
        </w:p>
        <w:p w14:paraId="4568BF23"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8" w:history="1">
            <w:r w:rsidRPr="006E0C70">
              <w:rPr>
                <w:rStyle w:val="Hyperlnk"/>
                <w:noProof/>
              </w:rPr>
              <w:t>8.</w:t>
            </w:r>
            <w:r>
              <w:rPr>
                <w:rFonts w:asciiTheme="minorHAnsi" w:eastAsiaTheme="minorEastAsia" w:hAnsiTheme="minorHAnsi" w:cstheme="minorBidi"/>
                <w:noProof/>
                <w:lang w:eastAsia="sv-SE"/>
              </w:rPr>
              <w:tab/>
            </w:r>
            <w:r w:rsidRPr="006E0C70">
              <w:rPr>
                <w:rStyle w:val="Hyperlnk"/>
                <w:noProof/>
              </w:rPr>
              <w:t>Proposal for a Council Regulation on the allocation of fishing opportunities under the Protocol setting out the fishing opportunities and the financial contribution provided for in the Fisheries Partnership Agreement between the European Union and the Republic of São Tomé and Príncipe</w:t>
            </w:r>
            <w:r>
              <w:rPr>
                <w:noProof/>
                <w:webHidden/>
              </w:rPr>
              <w:tab/>
            </w:r>
            <w:r>
              <w:rPr>
                <w:noProof/>
                <w:webHidden/>
              </w:rPr>
              <w:fldChar w:fldCharType="begin"/>
            </w:r>
            <w:r>
              <w:rPr>
                <w:noProof/>
                <w:webHidden/>
              </w:rPr>
              <w:instrText xml:space="preserve"> PAGEREF _Toc387906308 \h </w:instrText>
            </w:r>
            <w:r>
              <w:rPr>
                <w:noProof/>
                <w:webHidden/>
              </w:rPr>
            </w:r>
            <w:r>
              <w:rPr>
                <w:noProof/>
                <w:webHidden/>
              </w:rPr>
              <w:fldChar w:fldCharType="separate"/>
            </w:r>
            <w:r>
              <w:rPr>
                <w:noProof/>
                <w:webHidden/>
              </w:rPr>
              <w:t>8</w:t>
            </w:r>
            <w:r>
              <w:rPr>
                <w:noProof/>
                <w:webHidden/>
              </w:rPr>
              <w:fldChar w:fldCharType="end"/>
            </w:r>
          </w:hyperlink>
        </w:p>
        <w:p w14:paraId="5E7980A6" w14:textId="77777777" w:rsidR="00013FC3" w:rsidRDefault="00013FC3">
          <w:pPr>
            <w:pStyle w:val="Innehll1"/>
            <w:tabs>
              <w:tab w:val="left" w:pos="440"/>
              <w:tab w:val="right" w:leader="dot" w:pos="9062"/>
            </w:tabs>
            <w:rPr>
              <w:rFonts w:asciiTheme="minorHAnsi" w:eastAsiaTheme="minorEastAsia" w:hAnsiTheme="minorHAnsi" w:cstheme="minorBidi"/>
              <w:noProof/>
              <w:lang w:eastAsia="sv-SE"/>
            </w:rPr>
          </w:pPr>
          <w:hyperlink w:anchor="_Toc387906309" w:history="1">
            <w:r w:rsidRPr="006E0C70">
              <w:rPr>
                <w:rStyle w:val="Hyperlnk"/>
                <w:noProof/>
              </w:rPr>
              <w:t>9.</w:t>
            </w:r>
            <w:r>
              <w:rPr>
                <w:rFonts w:asciiTheme="minorHAnsi" w:eastAsiaTheme="minorEastAsia" w:hAnsiTheme="minorHAnsi" w:cstheme="minorBidi"/>
                <w:noProof/>
                <w:lang w:eastAsia="sv-SE"/>
              </w:rPr>
              <w:tab/>
            </w:r>
            <w:r w:rsidRPr="006E0C70">
              <w:rPr>
                <w:rStyle w:val="Hyperlnk"/>
                <w:noProof/>
              </w:rPr>
              <w:t>Draft Council conclusions on "EU Customs Union's Governance Reform"</w:t>
            </w:r>
            <w:r>
              <w:rPr>
                <w:noProof/>
                <w:webHidden/>
              </w:rPr>
              <w:tab/>
            </w:r>
            <w:r>
              <w:rPr>
                <w:noProof/>
                <w:webHidden/>
              </w:rPr>
              <w:fldChar w:fldCharType="begin"/>
            </w:r>
            <w:r>
              <w:rPr>
                <w:noProof/>
                <w:webHidden/>
              </w:rPr>
              <w:instrText xml:space="preserve"> PAGEREF _Toc387906309 \h </w:instrText>
            </w:r>
            <w:r>
              <w:rPr>
                <w:noProof/>
                <w:webHidden/>
              </w:rPr>
            </w:r>
            <w:r>
              <w:rPr>
                <w:noProof/>
                <w:webHidden/>
              </w:rPr>
              <w:fldChar w:fldCharType="separate"/>
            </w:r>
            <w:r>
              <w:rPr>
                <w:noProof/>
                <w:webHidden/>
              </w:rPr>
              <w:t>8</w:t>
            </w:r>
            <w:r>
              <w:rPr>
                <w:noProof/>
                <w:webHidden/>
              </w:rPr>
              <w:fldChar w:fldCharType="end"/>
            </w:r>
          </w:hyperlink>
        </w:p>
        <w:p w14:paraId="76493F76" w14:textId="77777777" w:rsidR="00013FC3" w:rsidRDefault="00013FC3">
          <w:pPr>
            <w:pStyle w:val="Innehll1"/>
            <w:tabs>
              <w:tab w:val="left" w:pos="660"/>
              <w:tab w:val="right" w:leader="dot" w:pos="9062"/>
            </w:tabs>
            <w:rPr>
              <w:rFonts w:asciiTheme="minorHAnsi" w:eastAsiaTheme="minorEastAsia" w:hAnsiTheme="minorHAnsi" w:cstheme="minorBidi"/>
              <w:noProof/>
              <w:lang w:eastAsia="sv-SE"/>
            </w:rPr>
          </w:pPr>
          <w:hyperlink w:anchor="_Toc387906310" w:history="1">
            <w:r w:rsidRPr="006E0C70">
              <w:rPr>
                <w:rStyle w:val="Hyperlnk"/>
                <w:noProof/>
              </w:rPr>
              <w:t>10.</w:t>
            </w:r>
            <w:r>
              <w:rPr>
                <w:rFonts w:asciiTheme="minorHAnsi" w:eastAsiaTheme="minorEastAsia" w:hAnsiTheme="minorHAnsi" w:cstheme="minorBidi"/>
                <w:noProof/>
                <w:lang w:eastAsia="sv-SE"/>
              </w:rPr>
              <w:tab/>
            </w:r>
            <w:r w:rsidRPr="006E0C70">
              <w:rPr>
                <w:rStyle w:val="Hyperlnk"/>
                <w:noProof/>
              </w:rPr>
              <w:t>Council Decision on the conclusion of the Agreement on certain aspects of air services between the European Union and the Government of the Democratic Socialist Republic of Sri Lanka</w:t>
            </w:r>
            <w:r>
              <w:rPr>
                <w:noProof/>
                <w:webHidden/>
              </w:rPr>
              <w:tab/>
            </w:r>
            <w:r>
              <w:rPr>
                <w:noProof/>
                <w:webHidden/>
              </w:rPr>
              <w:fldChar w:fldCharType="begin"/>
            </w:r>
            <w:r>
              <w:rPr>
                <w:noProof/>
                <w:webHidden/>
              </w:rPr>
              <w:instrText xml:space="preserve"> PAGEREF _Toc387906310 \h </w:instrText>
            </w:r>
            <w:r>
              <w:rPr>
                <w:noProof/>
                <w:webHidden/>
              </w:rPr>
            </w:r>
            <w:r>
              <w:rPr>
                <w:noProof/>
                <w:webHidden/>
              </w:rPr>
              <w:fldChar w:fldCharType="separate"/>
            </w:r>
            <w:r>
              <w:rPr>
                <w:noProof/>
                <w:webHidden/>
              </w:rPr>
              <w:t>9</w:t>
            </w:r>
            <w:r>
              <w:rPr>
                <w:noProof/>
                <w:webHidden/>
              </w:rPr>
              <w:fldChar w:fldCharType="end"/>
            </w:r>
          </w:hyperlink>
        </w:p>
        <w:p w14:paraId="731485EE" w14:textId="77777777" w:rsidR="00013FC3" w:rsidRDefault="00013FC3">
          <w:pPr>
            <w:pStyle w:val="Innehll1"/>
            <w:tabs>
              <w:tab w:val="left" w:pos="660"/>
              <w:tab w:val="right" w:leader="dot" w:pos="9062"/>
            </w:tabs>
            <w:rPr>
              <w:rFonts w:asciiTheme="minorHAnsi" w:eastAsiaTheme="minorEastAsia" w:hAnsiTheme="minorHAnsi" w:cstheme="minorBidi"/>
              <w:noProof/>
              <w:lang w:eastAsia="sv-SE"/>
            </w:rPr>
          </w:pPr>
          <w:hyperlink w:anchor="_Toc387906311" w:history="1">
            <w:r w:rsidRPr="006E0C70">
              <w:rPr>
                <w:rStyle w:val="Hyperlnk"/>
                <w:noProof/>
              </w:rPr>
              <w:t>11.</w:t>
            </w:r>
            <w:r>
              <w:rPr>
                <w:rFonts w:asciiTheme="minorHAnsi" w:eastAsiaTheme="minorEastAsia" w:hAnsiTheme="minorHAnsi" w:cstheme="minorBidi"/>
                <w:noProof/>
                <w:lang w:eastAsia="sv-SE"/>
              </w:rPr>
              <w:tab/>
            </w:r>
            <w:r w:rsidRPr="006E0C70">
              <w:rPr>
                <w:rStyle w:val="Hyperlnk"/>
                <w:noProof/>
              </w:rPr>
              <w:t>Council Decision on the conclusion of the Agreement between the European Union and the European Organisation for the Safety of Air Navigation providing a general framework for enhanced cooperation</w:t>
            </w:r>
            <w:r>
              <w:rPr>
                <w:noProof/>
                <w:webHidden/>
              </w:rPr>
              <w:tab/>
            </w:r>
            <w:r>
              <w:rPr>
                <w:noProof/>
                <w:webHidden/>
              </w:rPr>
              <w:fldChar w:fldCharType="begin"/>
            </w:r>
            <w:r>
              <w:rPr>
                <w:noProof/>
                <w:webHidden/>
              </w:rPr>
              <w:instrText xml:space="preserve"> PAGEREF _Toc387906311 \h </w:instrText>
            </w:r>
            <w:r>
              <w:rPr>
                <w:noProof/>
                <w:webHidden/>
              </w:rPr>
            </w:r>
            <w:r>
              <w:rPr>
                <w:noProof/>
                <w:webHidden/>
              </w:rPr>
              <w:fldChar w:fldCharType="separate"/>
            </w:r>
            <w:r>
              <w:rPr>
                <w:noProof/>
                <w:webHidden/>
              </w:rPr>
              <w:t>9</w:t>
            </w:r>
            <w:r>
              <w:rPr>
                <w:noProof/>
                <w:webHidden/>
              </w:rPr>
              <w:fldChar w:fldCharType="end"/>
            </w:r>
          </w:hyperlink>
        </w:p>
        <w:p w14:paraId="7562E33C" w14:textId="77777777" w:rsidR="00013FC3" w:rsidRDefault="00013FC3">
          <w:pPr>
            <w:pStyle w:val="Innehll1"/>
            <w:tabs>
              <w:tab w:val="left" w:pos="660"/>
              <w:tab w:val="right" w:leader="dot" w:pos="9062"/>
            </w:tabs>
            <w:rPr>
              <w:rFonts w:asciiTheme="minorHAnsi" w:eastAsiaTheme="minorEastAsia" w:hAnsiTheme="minorHAnsi" w:cstheme="minorBidi"/>
              <w:noProof/>
              <w:lang w:eastAsia="sv-SE"/>
            </w:rPr>
          </w:pPr>
          <w:hyperlink w:anchor="_Toc387906312" w:history="1">
            <w:r w:rsidRPr="006E0C70">
              <w:rPr>
                <w:rStyle w:val="Hyperlnk"/>
                <w:noProof/>
              </w:rPr>
              <w:t>12.</w:t>
            </w:r>
            <w:r>
              <w:rPr>
                <w:rFonts w:asciiTheme="minorHAnsi" w:eastAsiaTheme="minorEastAsia" w:hAnsiTheme="minorHAnsi" w:cstheme="minorBidi"/>
                <w:noProof/>
                <w:lang w:eastAsia="sv-SE"/>
              </w:rPr>
              <w:tab/>
            </w:r>
            <w:r w:rsidRPr="006E0C70">
              <w:rPr>
                <w:rStyle w:val="Hyperlnk"/>
                <w:noProof/>
              </w:rPr>
              <w:t>Case before the Court of Justice of the European Union Case C-113/14 (Federal Republic of Germany v. European Parliament and Council of the European Union)</w:t>
            </w:r>
            <w:r>
              <w:rPr>
                <w:noProof/>
                <w:webHidden/>
              </w:rPr>
              <w:tab/>
            </w:r>
            <w:r>
              <w:rPr>
                <w:noProof/>
                <w:webHidden/>
              </w:rPr>
              <w:fldChar w:fldCharType="begin"/>
            </w:r>
            <w:r>
              <w:rPr>
                <w:noProof/>
                <w:webHidden/>
              </w:rPr>
              <w:instrText xml:space="preserve"> PAGEREF _Toc387906312 \h </w:instrText>
            </w:r>
            <w:r>
              <w:rPr>
                <w:noProof/>
                <w:webHidden/>
              </w:rPr>
            </w:r>
            <w:r>
              <w:rPr>
                <w:noProof/>
                <w:webHidden/>
              </w:rPr>
              <w:fldChar w:fldCharType="separate"/>
            </w:r>
            <w:r>
              <w:rPr>
                <w:noProof/>
                <w:webHidden/>
              </w:rPr>
              <w:t>10</w:t>
            </w:r>
            <w:r>
              <w:rPr>
                <w:noProof/>
                <w:webHidden/>
              </w:rPr>
              <w:fldChar w:fldCharType="end"/>
            </w:r>
          </w:hyperlink>
        </w:p>
        <w:p w14:paraId="7DDF8C92" w14:textId="77777777" w:rsidR="00D957FB" w:rsidRDefault="00446022">
          <w:r>
            <w:rPr>
              <w:b/>
              <w:bCs/>
              <w:noProof/>
            </w:rPr>
            <w:fldChar w:fldCharType="end"/>
          </w:r>
        </w:p>
        <w:bookmarkStart w:id="0" w:name="_GoBack" w:displacedByCustomXml="next"/>
        <w:bookmarkEnd w:id="0" w:displacedByCustomXml="next"/>
      </w:sdtContent>
    </w:sdt>
    <w:p w14:paraId="7DDF8C93" w14:textId="77777777" w:rsidR="00D957FB" w:rsidRDefault="00446022">
      <w:pPr>
        <w:ind w:left="0"/>
      </w:pPr>
      <w:r>
        <w:br w:type="page"/>
      </w:r>
    </w:p>
    <w:p w14:paraId="7DDF8C94" w14:textId="77777777" w:rsidR="00643D86" w:rsidRDefault="000D2C88" w:rsidP="00643D86">
      <w:pPr>
        <w:pStyle w:val="Rubrik1"/>
        <w:numPr>
          <w:ilvl w:val="0"/>
          <w:numId w:val="0"/>
        </w:numPr>
      </w:pPr>
      <w:bookmarkStart w:id="1" w:name="_Toc364854645"/>
    </w:p>
    <w:p w14:paraId="33DF99D9" w14:textId="41FFAD83" w:rsidR="00077140" w:rsidRPr="00077140" w:rsidRDefault="00446022" w:rsidP="00077140">
      <w:pPr>
        <w:pStyle w:val="Rubrik1"/>
      </w:pPr>
      <w:bookmarkStart w:id="2" w:name="_Toc387906301"/>
      <w:r>
        <w:rPr>
          <w:noProof/>
        </w:rPr>
        <w:t>Replies</w:t>
      </w:r>
      <w:r>
        <w:t xml:space="preserve"> </w:t>
      </w:r>
      <w:proofErr w:type="spellStart"/>
      <w:r>
        <w:t>to</w:t>
      </w:r>
      <w:proofErr w:type="spellEnd"/>
      <w:r>
        <w:t xml:space="preserve"> written </w:t>
      </w:r>
      <w:proofErr w:type="spellStart"/>
      <w:r>
        <w:t>questions</w:t>
      </w:r>
      <w:proofErr w:type="spellEnd"/>
      <w:r>
        <w:t xml:space="preserve"> </w:t>
      </w:r>
      <w:proofErr w:type="spellStart"/>
      <w:r>
        <w:t>put</w:t>
      </w:r>
      <w:proofErr w:type="spellEnd"/>
      <w:r>
        <w:t xml:space="preserve"> </w:t>
      </w:r>
      <w:proofErr w:type="spellStart"/>
      <w:r>
        <w:t>to</w:t>
      </w:r>
      <w:proofErr w:type="spellEnd"/>
      <w:r>
        <w:t xml:space="preserve"> the Council by </w:t>
      </w:r>
      <w:proofErr w:type="spellStart"/>
      <w:r>
        <w:t>Members</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bookmarkEnd w:id="2"/>
      <w:proofErr w:type="spellEnd"/>
      <w:r>
        <w:t xml:space="preserve"> </w:t>
      </w:r>
    </w:p>
    <w:p w14:paraId="3A5EC522" w14:textId="200A589C" w:rsidR="00077140" w:rsidRPr="00077140" w:rsidRDefault="00077140" w:rsidP="00077140">
      <w:pPr>
        <w:spacing w:after="0"/>
      </w:pPr>
      <w:r w:rsidRPr="00077140">
        <w:rPr>
          <w:rStyle w:val="ng-binding"/>
        </w:rPr>
        <w:t xml:space="preserve">a)E-003795/2014 - Gaston Franco (PPE) </w:t>
      </w:r>
      <w:proofErr w:type="spellStart"/>
      <w:r w:rsidRPr="00077140">
        <w:rPr>
          <w:rStyle w:val="ng-binding"/>
        </w:rPr>
        <w:t>Strengthening</w:t>
      </w:r>
      <w:proofErr w:type="spellEnd"/>
      <w:r w:rsidRPr="00077140">
        <w:rPr>
          <w:rStyle w:val="ng-binding"/>
        </w:rPr>
        <w:t xml:space="preserve"> </w:t>
      </w:r>
      <w:proofErr w:type="spellStart"/>
      <w:r w:rsidRPr="00077140">
        <w:rPr>
          <w:rStyle w:val="ng-binding"/>
        </w:rPr>
        <w:t>of</w:t>
      </w:r>
      <w:proofErr w:type="spellEnd"/>
      <w:r w:rsidRPr="00077140">
        <w:rPr>
          <w:rStyle w:val="ng-binding"/>
        </w:rPr>
        <w:t xml:space="preserve"> </w:t>
      </w:r>
      <w:proofErr w:type="spellStart"/>
      <w:r w:rsidRPr="00077140">
        <w:rPr>
          <w:rStyle w:val="ng-binding"/>
        </w:rPr>
        <w:t>nuclear</w:t>
      </w:r>
      <w:proofErr w:type="spellEnd"/>
      <w:r w:rsidRPr="00077140">
        <w:rPr>
          <w:rStyle w:val="ng-binding"/>
        </w:rPr>
        <w:t xml:space="preserve"> </w:t>
      </w:r>
      <w:proofErr w:type="spellStart"/>
      <w:r w:rsidRPr="00077140">
        <w:rPr>
          <w:rStyle w:val="ng-binding"/>
        </w:rPr>
        <w:t>safety</w:t>
      </w:r>
      <w:proofErr w:type="spellEnd"/>
      <w:r w:rsidRPr="00077140">
        <w:br/>
      </w:r>
      <w:r w:rsidRPr="00077140">
        <w:rPr>
          <w:rStyle w:val="ng-binding"/>
        </w:rPr>
        <w:t xml:space="preserve">b)P-003939/2014 - Silvia-Adriana </w:t>
      </w:r>
      <w:proofErr w:type="spellStart"/>
      <w:r w:rsidRPr="00077140">
        <w:rPr>
          <w:rStyle w:val="ng-binding"/>
        </w:rPr>
        <w:t>Ţicău</w:t>
      </w:r>
      <w:proofErr w:type="spellEnd"/>
      <w:r w:rsidRPr="00077140">
        <w:rPr>
          <w:rStyle w:val="ng-binding"/>
        </w:rPr>
        <w:t xml:space="preserve"> (</w:t>
      </w:r>
      <w:proofErr w:type="gramStart"/>
      <w:r w:rsidRPr="00077140">
        <w:rPr>
          <w:rStyle w:val="ng-binding"/>
        </w:rPr>
        <w:t>S&amp;D</w:t>
      </w:r>
      <w:proofErr w:type="gramEnd"/>
      <w:r w:rsidRPr="00077140">
        <w:rPr>
          <w:rStyle w:val="ng-binding"/>
        </w:rPr>
        <w:t xml:space="preserve">) Creating </w:t>
      </w:r>
      <w:proofErr w:type="spellStart"/>
      <w:r w:rsidRPr="00077140">
        <w:rPr>
          <w:rStyle w:val="ng-binding"/>
        </w:rPr>
        <w:t>jobs</w:t>
      </w:r>
      <w:proofErr w:type="spellEnd"/>
      <w:r w:rsidRPr="00077140">
        <w:rPr>
          <w:rStyle w:val="ng-binding"/>
        </w:rPr>
        <w:t xml:space="preserve"> for </w:t>
      </w:r>
      <w:proofErr w:type="spellStart"/>
      <w:r w:rsidRPr="00077140">
        <w:rPr>
          <w:rStyle w:val="ng-binding"/>
        </w:rPr>
        <w:t>young</w:t>
      </w:r>
      <w:proofErr w:type="spellEnd"/>
      <w:r w:rsidRPr="00077140">
        <w:rPr>
          <w:rStyle w:val="ng-binding"/>
        </w:rPr>
        <w:t xml:space="preserve"> </w:t>
      </w:r>
      <w:proofErr w:type="spellStart"/>
      <w:r w:rsidRPr="00077140">
        <w:rPr>
          <w:rStyle w:val="ng-binding"/>
        </w:rPr>
        <w:t>people</w:t>
      </w:r>
      <w:proofErr w:type="spellEnd"/>
      <w:r w:rsidRPr="00077140">
        <w:rPr>
          <w:rStyle w:val="ng-binding"/>
        </w:rPr>
        <w:t xml:space="preserve"> </w:t>
      </w:r>
      <w:proofErr w:type="spellStart"/>
      <w:r w:rsidRPr="00077140">
        <w:rPr>
          <w:rStyle w:val="ng-binding"/>
        </w:rPr>
        <w:t>through</w:t>
      </w:r>
      <w:proofErr w:type="spellEnd"/>
      <w:r w:rsidRPr="00077140">
        <w:rPr>
          <w:rStyle w:val="ng-binding"/>
        </w:rPr>
        <w:t xml:space="preserve"> investment in research and innovation</w:t>
      </w:r>
      <w:r>
        <w:t>.</w:t>
      </w:r>
    </w:p>
    <w:p w14:paraId="7DDF8C96" w14:textId="77777777" w:rsidR="00643D86" w:rsidRDefault="00446022" w:rsidP="00643D86">
      <w:pPr>
        <w:rPr>
          <w:lang w:val="en-US"/>
        </w:rPr>
      </w:pPr>
      <w:r>
        <w:rPr>
          <w:noProof/>
          <w:lang w:val="en-US"/>
        </w:rPr>
        <w:t>9086</w:t>
      </w:r>
      <w:r>
        <w:rPr>
          <w:lang w:val="en-US"/>
        </w:rPr>
        <w:t>/14 PE-QE 144 9091/14 PE-QE 145</w:t>
      </w:r>
    </w:p>
    <w:p w14:paraId="7DDF8C99" w14:textId="274C4DCD" w:rsidR="00643D86" w:rsidRPr="00643D86" w:rsidRDefault="00446022" w:rsidP="00077140">
      <w:r>
        <w:rPr>
          <w:b/>
        </w:rPr>
        <w:t>Ansvarigt statsråd</w:t>
      </w:r>
      <w:r>
        <w:rPr>
          <w:b/>
        </w:rPr>
        <w:br/>
      </w:r>
      <w:r>
        <w:rPr>
          <w:noProof/>
        </w:rPr>
        <w:t>Birgitta</w:t>
      </w:r>
      <w:r>
        <w:t xml:space="preserve"> Ohlsson</w:t>
      </w:r>
    </w:p>
    <w:p w14:paraId="7DDF8C9A" w14:textId="77777777" w:rsidR="00643D86" w:rsidRDefault="00446022" w:rsidP="00643D86">
      <w:r w:rsidRPr="00B44CE2">
        <w:rPr>
          <w:b/>
        </w:rPr>
        <w:t>Annotering</w:t>
      </w:r>
      <w:r>
        <w:rPr>
          <w:b/>
        </w:rPr>
        <w:br/>
      </w:r>
      <w:r>
        <w:t>Föranleder ingen annotering.</w:t>
      </w:r>
    </w:p>
    <w:p w14:paraId="7DDF8C9B" w14:textId="77777777" w:rsidR="00643D86" w:rsidRDefault="00446022" w:rsidP="00643D86">
      <w:pPr>
        <w:pStyle w:val="Rubrik1"/>
      </w:pPr>
      <w:bookmarkStart w:id="3" w:name="_Toc387906302"/>
      <w:r>
        <w:rPr>
          <w:noProof/>
        </w:rPr>
        <w:t>Commission</w:t>
      </w:r>
      <w:r>
        <w:t xml:space="preserve"> Delegated Regulation (EU) No …/</w:t>
      </w:r>
      <w:proofErr w:type="gramStart"/>
      <w:r>
        <w:t>..</w:t>
      </w:r>
      <w:proofErr w:type="gramEnd"/>
      <w:r>
        <w:t xml:space="preserve"> </w:t>
      </w:r>
      <w:proofErr w:type="spellStart"/>
      <w:r>
        <w:t>of</w:t>
      </w:r>
      <w:proofErr w:type="spellEnd"/>
      <w:r>
        <w:t xml:space="preserve"> 21.2.2014 </w:t>
      </w:r>
      <w:proofErr w:type="spellStart"/>
      <w:r>
        <w:t>amending</w:t>
      </w:r>
      <w:proofErr w:type="spellEnd"/>
      <w:r>
        <w:t xml:space="preserve"> Annex III </w:t>
      </w:r>
      <w:proofErr w:type="spellStart"/>
      <w:r>
        <w:t>to</w:t>
      </w:r>
      <w:proofErr w:type="spellEnd"/>
      <w:r>
        <w:t xml:space="preserve"> Regulation (EU) No 305/2011 as </w:t>
      </w:r>
      <w:proofErr w:type="spellStart"/>
      <w:r>
        <w:t>regards</w:t>
      </w:r>
      <w:proofErr w:type="spellEnd"/>
      <w:r>
        <w:t xml:space="preserve"> on the </w:t>
      </w:r>
      <w:proofErr w:type="spellStart"/>
      <w:r>
        <w:t>model</w:t>
      </w:r>
      <w:proofErr w:type="spellEnd"/>
      <w:r>
        <w:t xml:space="preserve"> </w:t>
      </w:r>
      <w:proofErr w:type="spellStart"/>
      <w:r>
        <w:t>to</w:t>
      </w:r>
      <w:proofErr w:type="spellEnd"/>
      <w:r>
        <w:t xml:space="preserve"> be </w:t>
      </w:r>
      <w:proofErr w:type="spellStart"/>
      <w:r>
        <w:t>used</w:t>
      </w:r>
      <w:proofErr w:type="spellEnd"/>
      <w:r>
        <w:t xml:space="preserve"> for </w:t>
      </w:r>
      <w:proofErr w:type="spellStart"/>
      <w:r>
        <w:t>drawing</w:t>
      </w:r>
      <w:proofErr w:type="spellEnd"/>
      <w:r>
        <w:t xml:space="preserve"> </w:t>
      </w:r>
      <w:proofErr w:type="spellStart"/>
      <w:r>
        <w:t>up</w:t>
      </w:r>
      <w:proofErr w:type="spellEnd"/>
      <w:r>
        <w:t xml:space="preserve"> a </w:t>
      </w:r>
      <w:proofErr w:type="spellStart"/>
      <w:r>
        <w:t>declaration</w:t>
      </w:r>
      <w:proofErr w:type="spellEnd"/>
      <w:r>
        <w:t xml:space="preserve"> </w:t>
      </w:r>
      <w:proofErr w:type="spellStart"/>
      <w:r>
        <w:t>of</w:t>
      </w:r>
      <w:proofErr w:type="spellEnd"/>
      <w:r>
        <w:t xml:space="preserve"> </w:t>
      </w:r>
      <w:proofErr w:type="spellStart"/>
      <w:r>
        <w:t>performance</w:t>
      </w:r>
      <w:proofErr w:type="spellEnd"/>
      <w:r>
        <w:t xml:space="preserve"> on </w:t>
      </w:r>
      <w:proofErr w:type="spellStart"/>
      <w:r>
        <w:t>construction</w:t>
      </w:r>
      <w:proofErr w:type="spellEnd"/>
      <w:r>
        <w:t xml:space="preserve"> </w:t>
      </w:r>
      <w:proofErr w:type="spellStart"/>
      <w:r>
        <w:t>products</w:t>
      </w:r>
      <w:bookmarkEnd w:id="3"/>
      <w:proofErr w:type="spellEnd"/>
    </w:p>
    <w:p w14:paraId="7DDF8C9C" w14:textId="4E7CD9E5" w:rsidR="00643D86" w:rsidRDefault="00446022" w:rsidP="00643D86">
      <w:pPr>
        <w:rPr>
          <w:lang w:val="en-US"/>
        </w:rPr>
      </w:pPr>
      <w:r>
        <w:rPr>
          <w:noProof/>
          <w:lang w:val="en-US"/>
        </w:rPr>
        <w:t>6971</w:t>
      </w:r>
      <w:r>
        <w:rPr>
          <w:lang w:val="en-US"/>
        </w:rPr>
        <w:t>/14 MI 215 ENT 65 COMPET 139 DELACT 42 + ADD 1</w:t>
      </w:r>
      <w:r w:rsidR="0046119C">
        <w:rPr>
          <w:lang w:val="en-US"/>
        </w:rPr>
        <w:t xml:space="preserve"> </w:t>
      </w:r>
      <w:r>
        <w:rPr>
          <w:lang w:val="en-US"/>
        </w:rPr>
        <w:t>9582/14 MI 410 ENT 118 COMPET 263 DELACT 122</w:t>
      </w:r>
    </w:p>
    <w:p w14:paraId="7DDF8CA0" w14:textId="2EA36C42" w:rsidR="00643D86" w:rsidRDefault="00446022" w:rsidP="00077140">
      <w:r>
        <w:rPr>
          <w:b/>
        </w:rPr>
        <w:t>Ansvarigt statsråd</w:t>
      </w:r>
      <w:r>
        <w:rPr>
          <w:b/>
        </w:rPr>
        <w:br/>
      </w:r>
      <w:r>
        <w:rPr>
          <w:noProof/>
        </w:rPr>
        <w:t>Stefan</w:t>
      </w:r>
      <w:r>
        <w:t xml:space="preserve"> Attefall</w:t>
      </w:r>
    </w:p>
    <w:p w14:paraId="7DDF8CA1" w14:textId="380EEE4E" w:rsidR="00E90366" w:rsidRDefault="00446022" w:rsidP="0046119C">
      <w:pPr>
        <w:spacing w:after="100" w:afterAutospacing="1"/>
      </w:pPr>
      <w:r>
        <w:rPr>
          <w:b/>
          <w:bCs/>
        </w:rPr>
        <w:t xml:space="preserve">Avsikt med behandlingen i rådet: </w:t>
      </w:r>
      <w:r>
        <w:t xml:space="preserve">Rådet föreslås anta delegerad akt. </w:t>
      </w:r>
    </w:p>
    <w:p w14:paraId="7DDF8CA2" w14:textId="660E7BDB" w:rsidR="00E90366" w:rsidRDefault="00446022">
      <w:pPr>
        <w:spacing w:after="280" w:afterAutospacing="1"/>
      </w:pPr>
      <w:r>
        <w:rPr>
          <w:b/>
          <w:bCs/>
        </w:rPr>
        <w:t xml:space="preserve">Hur regeringen ställer sig till den blivande a-punkten: </w:t>
      </w:r>
      <w:r>
        <w:t>Regeringen avser rösta ja till att rådet antar den delegerade akten.</w:t>
      </w:r>
    </w:p>
    <w:p w14:paraId="7DDF8CA3" w14:textId="46D01AF2" w:rsidR="00E90366" w:rsidRDefault="00446022">
      <w:pPr>
        <w:spacing w:after="280" w:afterAutospacing="1"/>
      </w:pPr>
      <w:r>
        <w:rPr>
          <w:b/>
          <w:bCs/>
        </w:rPr>
        <w:t>Bakgrund:</w:t>
      </w:r>
      <w:r>
        <w:t xml:space="preserve"> </w:t>
      </w:r>
      <w:r w:rsidR="0046119C">
        <w:t>K</w:t>
      </w:r>
      <w:r>
        <w:t>ommissionen har föreslagit en anpassning av förlagan till prestandadeklaration av tre skäl:</w:t>
      </w:r>
      <w:r>
        <w:br/>
        <w:t xml:space="preserve">• att medge den flexibilitet som krävs för olika typer av byggprodukter och tillverkare </w:t>
      </w:r>
      <w:r>
        <w:br/>
        <w:t xml:space="preserve">• att förenkla prestandadeklarationen samt </w:t>
      </w:r>
      <w:r>
        <w:br/>
        <w:t xml:space="preserve">• att ge tillverkarna kompletterande anvisningar som stöd för utarbetandet av prestandadeklarationen i enlighet med tillämplig lagstiftning. </w:t>
      </w:r>
    </w:p>
    <w:p w14:paraId="7DDF8CA4" w14:textId="38A67D79" w:rsidR="00E90366" w:rsidRDefault="00446022">
      <w:pPr>
        <w:spacing w:after="280" w:afterAutospacing="1"/>
      </w:pPr>
      <w:r>
        <w:t>Genom at</w:t>
      </w:r>
      <w:r w:rsidR="0046119C">
        <w:t>t</w:t>
      </w:r>
      <w:r>
        <w:t xml:space="preserve"> följa anvisningarna garanteras en enhetlig och korrekt tillämpning av bilaga III. Förslaget innebär förenklingar och förtydliganden, vilket också gör prestandadeklarationerna kortare, mer användarvänliga och mer begripliga. Det gynnar även andra berörda aktörer, underlättar en konsolidering av den inre marknaden för byggprodukterna och har därmed också en positiv inverkan på konkurrenskraften inom den europeiska byggindustrin som helhet. </w:t>
      </w:r>
    </w:p>
    <w:p w14:paraId="7DDF8CA5" w14:textId="77777777" w:rsidR="00E90366" w:rsidRDefault="00446022">
      <w:pPr>
        <w:spacing w:after="280" w:afterAutospacing="1"/>
      </w:pPr>
      <w:r>
        <w:t>SE har inget att invända mot ändringarna i bilaga III.</w:t>
      </w:r>
    </w:p>
    <w:p w14:paraId="7DDF8CA6" w14:textId="77777777" w:rsidR="00FB32B9" w:rsidRDefault="000D2C88">
      <w:pPr>
        <w:spacing w:after="280" w:afterAutospacing="1"/>
        <w:rPr>
          <w:noProof/>
        </w:rPr>
      </w:pPr>
    </w:p>
    <w:p w14:paraId="7DDF8CA7" w14:textId="77777777" w:rsidR="00643D86" w:rsidRDefault="00446022" w:rsidP="00643D86">
      <w:pPr>
        <w:pStyle w:val="Rubrik1"/>
      </w:pPr>
      <w:bookmarkStart w:id="4" w:name="_Toc387906303"/>
      <w:r>
        <w:rPr>
          <w:noProof/>
        </w:rPr>
        <w:lastRenderedPageBreak/>
        <w:t>Proposal</w:t>
      </w:r>
      <w:r>
        <w:t xml:space="preserve"> for a Council Decision on the </w:t>
      </w:r>
      <w:proofErr w:type="spellStart"/>
      <w:r>
        <w:t>conclusion</w:t>
      </w:r>
      <w:proofErr w:type="spellEnd"/>
      <w:r>
        <w:t xml:space="preserve"> </w:t>
      </w:r>
      <w:proofErr w:type="spellStart"/>
      <w:r>
        <w:t>of</w:t>
      </w:r>
      <w:proofErr w:type="spellEnd"/>
      <w:r>
        <w:t xml:space="preserve"> the </w:t>
      </w:r>
      <w:proofErr w:type="spellStart"/>
      <w:r>
        <w:t>Protocol</w:t>
      </w:r>
      <w:proofErr w:type="spellEnd"/>
      <w:r>
        <w:t xml:space="preserve"> </w:t>
      </w:r>
      <w:proofErr w:type="spellStart"/>
      <w:r>
        <w:t>setting</w:t>
      </w:r>
      <w:proofErr w:type="spellEnd"/>
      <w:r>
        <w:t xml:space="preserve"> </w:t>
      </w:r>
      <w:proofErr w:type="spellStart"/>
      <w:r>
        <w:t>out</w:t>
      </w:r>
      <w:proofErr w:type="spellEnd"/>
      <w:r>
        <w:t xml:space="preserve"> the </w:t>
      </w:r>
      <w:proofErr w:type="spellStart"/>
      <w:r>
        <w:t>fishing</w:t>
      </w:r>
      <w:proofErr w:type="spellEnd"/>
      <w:r>
        <w:t xml:space="preserve"> </w:t>
      </w:r>
      <w:proofErr w:type="spellStart"/>
      <w:r>
        <w:t>opportunities</w:t>
      </w:r>
      <w:proofErr w:type="spellEnd"/>
      <w:r>
        <w:t xml:space="preserve"> and the </w:t>
      </w:r>
      <w:proofErr w:type="spellStart"/>
      <w:r>
        <w:t>financial</w:t>
      </w:r>
      <w:proofErr w:type="spellEnd"/>
      <w:r>
        <w:t xml:space="preserve"> </w:t>
      </w:r>
      <w:proofErr w:type="spellStart"/>
      <w:r>
        <w:t>contribution</w:t>
      </w:r>
      <w:proofErr w:type="spellEnd"/>
      <w:r>
        <w:t xml:space="preserve"> provided for in the </w:t>
      </w:r>
      <w:proofErr w:type="spellStart"/>
      <w:r>
        <w:t>Fisheries</w:t>
      </w:r>
      <w:proofErr w:type="spellEnd"/>
      <w:r>
        <w:t xml:space="preserve"> Partnership </w:t>
      </w:r>
      <w:proofErr w:type="spellStart"/>
      <w:r>
        <w:t>Agreement</w:t>
      </w:r>
      <w:proofErr w:type="spellEnd"/>
      <w:r>
        <w:t xml:space="preserve"> </w:t>
      </w:r>
      <w:proofErr w:type="spellStart"/>
      <w:r>
        <w:t>between</w:t>
      </w:r>
      <w:proofErr w:type="spellEnd"/>
      <w:r>
        <w:t xml:space="preserve"> the </w:t>
      </w:r>
      <w:proofErr w:type="spellStart"/>
      <w:r>
        <w:t>European</w:t>
      </w:r>
      <w:proofErr w:type="spellEnd"/>
      <w:r>
        <w:t xml:space="preserve"> Union and the </w:t>
      </w:r>
      <w:proofErr w:type="spellStart"/>
      <w:r>
        <w:t>Democratic</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São</w:t>
      </w:r>
      <w:proofErr w:type="spellEnd"/>
      <w:r>
        <w:t xml:space="preserve"> Tomé and Príncipe</w:t>
      </w:r>
      <w:bookmarkEnd w:id="4"/>
    </w:p>
    <w:p w14:paraId="7DDF8CA8" w14:textId="37382CCB" w:rsidR="00643D86" w:rsidRDefault="00446022" w:rsidP="00643D86">
      <w:pPr>
        <w:rPr>
          <w:lang w:val="en-US"/>
        </w:rPr>
      </w:pPr>
      <w:r>
        <w:rPr>
          <w:noProof/>
          <w:lang w:val="en-US"/>
        </w:rPr>
        <w:t>8585</w:t>
      </w:r>
      <w:r>
        <w:rPr>
          <w:lang w:val="en-US"/>
        </w:rPr>
        <w:t>/14 PECHE 186</w:t>
      </w:r>
      <w:r w:rsidR="0046119C">
        <w:rPr>
          <w:lang w:val="en-US"/>
        </w:rPr>
        <w:t xml:space="preserve"> </w:t>
      </w:r>
      <w:r>
        <w:rPr>
          <w:lang w:val="en-US"/>
        </w:rPr>
        <w:t>9670/14 PECHE 239</w:t>
      </w:r>
    </w:p>
    <w:p w14:paraId="036D4ADF" w14:textId="77777777" w:rsidR="0046119C" w:rsidRDefault="00446022" w:rsidP="0046119C">
      <w:r>
        <w:rPr>
          <w:b/>
        </w:rPr>
        <w:t>Ansvarigt statsråd</w:t>
      </w:r>
      <w:r>
        <w:rPr>
          <w:b/>
        </w:rPr>
        <w:br/>
      </w:r>
      <w:r>
        <w:rPr>
          <w:noProof/>
        </w:rPr>
        <w:t>Eskil</w:t>
      </w:r>
      <w:r>
        <w:t xml:space="preserve"> Erlandsson</w:t>
      </w:r>
    </w:p>
    <w:p w14:paraId="7DDF8CAC" w14:textId="6A60C619" w:rsidR="00643D86" w:rsidRDefault="00446022" w:rsidP="0046119C">
      <w:r>
        <w:rPr>
          <w:b/>
          <w:bCs/>
        </w:rPr>
        <w:t>Avsikt med behandlingen i rådet:</w:t>
      </w:r>
      <w:r>
        <w:t xml:space="preserve"> Rådet förväntas besluta att ändra den rättsliga grunden för förslaget till beslut om ingående av det nya protokollet till artikel 43 jämförd med artikel </w:t>
      </w:r>
      <w:proofErr w:type="gramStart"/>
      <w:r>
        <w:t>218.6</w:t>
      </w:r>
      <w:proofErr w:type="gramEnd"/>
      <w:r>
        <w:t xml:space="preserve"> a och 218.7 och besluta att översända detta utkast till beslut om ingående av protokollet till Europaparlamentet för godkännande, efter det att protokollet har undertecknats av parterna. </w:t>
      </w:r>
    </w:p>
    <w:p w14:paraId="7DDF8CAD" w14:textId="77777777" w:rsidR="00E90366" w:rsidRDefault="00446022">
      <w:pPr>
        <w:spacing w:after="280" w:afterAutospacing="1"/>
      </w:pPr>
      <w:r>
        <w:rPr>
          <w:b/>
          <w:bCs/>
        </w:rPr>
        <w:t>Hur regeringen ställer sig till den blivande A-punkten:</w:t>
      </w:r>
      <w:r>
        <w:t xml:space="preserve"> Regeringen avser rösta ja till ändring av den rättsliga grunden samt begäran om Europaparlamentets godkännande om ingående av protokollet. </w:t>
      </w:r>
    </w:p>
    <w:p w14:paraId="7DDF8CAE" w14:textId="77777777" w:rsidR="00E90366" w:rsidRDefault="00446022">
      <w:pPr>
        <w:spacing w:after="280" w:afterAutospacing="1"/>
      </w:pPr>
      <w:r>
        <w:rPr>
          <w:b/>
          <w:bCs/>
        </w:rPr>
        <w:t xml:space="preserve">Bakgrund: </w:t>
      </w:r>
      <w:r>
        <w:t>Europeiska kommissionen överlämnade i april 2014 förslaget till rådet. Det gällande protokollet löper ut den 12 maj 2014. Det nya protokollet täcker en period på fyra år räknat från den dag då protokollet börjar tillämpas provisoriskt, dvs. den dag då det nya protokollet undertecknas, vilket sker genom ett separat beslut.</w:t>
      </w:r>
    </w:p>
    <w:p w14:paraId="7DDF8CB1" w14:textId="32D34855" w:rsidR="00FB32B9" w:rsidRDefault="00446022" w:rsidP="0046119C">
      <w:pPr>
        <w:spacing w:after="100" w:afterAutospacing="1"/>
        <w:rPr>
          <w:noProof/>
        </w:rPr>
      </w:pPr>
      <w:r>
        <w:t>Sedan cirka ett år tillbaka anser rådet att när partnerskapsavtal om fiske och/eller tillhörande protokoll med ett tredjeland även innehåller åtgärder om fastställande och fördelning av fiskemöjligheter, bör den materiella rättsliga grunden för både beslutet om undertecknande och beslutet om ingående vara artikel 43 i EUF-fördraget i sin helhet (och därför omfatta både artikel 43.2 och 43.3 i EUF-fördraget). Kommissionen instämmer i rådets val av rättslig grund när det gäller beslutet om undertecknande/provisorisk tillämpning, men insisterar på att artikel 43.2 i EUF-fördraget måste användas för antagande av beslutet om ingående.</w:t>
      </w:r>
    </w:p>
    <w:p w14:paraId="7DDF8CB2" w14:textId="77777777" w:rsidR="00643D86" w:rsidRDefault="00446022" w:rsidP="00643D86">
      <w:pPr>
        <w:pStyle w:val="Rubrik1"/>
      </w:pPr>
      <w:bookmarkStart w:id="5" w:name="_Toc387906304"/>
      <w:r>
        <w:rPr>
          <w:noProof/>
        </w:rPr>
        <w:t>Draft</w:t>
      </w:r>
      <w:r>
        <w:t xml:space="preserve"> Council </w:t>
      </w:r>
      <w:proofErr w:type="spellStart"/>
      <w:r>
        <w:t>conclusions</w:t>
      </w:r>
      <w:proofErr w:type="spellEnd"/>
      <w:r>
        <w:t xml:space="preserve"> on "A new EU Forest </w:t>
      </w:r>
      <w:proofErr w:type="spellStart"/>
      <w:r>
        <w:t>Strategy</w:t>
      </w:r>
      <w:proofErr w:type="spellEnd"/>
      <w:r>
        <w:t xml:space="preserve">: for </w:t>
      </w:r>
      <w:proofErr w:type="spellStart"/>
      <w:r>
        <w:t>forests</w:t>
      </w:r>
      <w:proofErr w:type="spellEnd"/>
      <w:r>
        <w:t xml:space="preserve"> and </w:t>
      </w:r>
      <w:proofErr w:type="spellStart"/>
      <w:r>
        <w:t>forest-based</w:t>
      </w:r>
      <w:proofErr w:type="spellEnd"/>
      <w:r>
        <w:t xml:space="preserve"> </w:t>
      </w:r>
      <w:proofErr w:type="spellStart"/>
      <w:r>
        <w:t>sector</w:t>
      </w:r>
      <w:proofErr w:type="spellEnd"/>
      <w:r>
        <w:t>"</w:t>
      </w:r>
      <w:bookmarkEnd w:id="5"/>
    </w:p>
    <w:p w14:paraId="7DDF8CB3" w14:textId="77777777" w:rsidR="00643D86" w:rsidRDefault="00446022" w:rsidP="00643D86">
      <w:pPr>
        <w:rPr>
          <w:lang w:val="en-US"/>
        </w:rPr>
      </w:pPr>
      <w:r>
        <w:rPr>
          <w:noProof/>
          <w:lang w:val="en-US"/>
        </w:rPr>
        <w:t>9445</w:t>
      </w:r>
      <w:r>
        <w:rPr>
          <w:lang w:val="en-US"/>
        </w:rPr>
        <w:t>/14 FORETS 50 ENV 430 RELEX 376 PROBA 24</w:t>
      </w:r>
    </w:p>
    <w:p w14:paraId="7DDF8CB4" w14:textId="77777777" w:rsidR="00643D86" w:rsidRDefault="00446022" w:rsidP="00643D86">
      <w:r>
        <w:rPr>
          <w:b/>
        </w:rPr>
        <w:t>Ansvarigt statsråd</w:t>
      </w:r>
      <w:r>
        <w:rPr>
          <w:b/>
        </w:rPr>
        <w:br/>
      </w:r>
      <w:r>
        <w:rPr>
          <w:noProof/>
        </w:rPr>
        <w:t>Eskil</w:t>
      </w:r>
      <w:r>
        <w:t xml:space="preserve"> Erlandsson</w:t>
      </w:r>
    </w:p>
    <w:p w14:paraId="7DDF8CB5" w14:textId="77777777" w:rsidR="00643D86" w:rsidRPr="00643D86" w:rsidRDefault="00446022" w:rsidP="00643D86">
      <w:r w:rsidRPr="00643D86">
        <w:rPr>
          <w:b/>
        </w:rPr>
        <w:t>Tidigare behandling i riksdagen</w:t>
      </w:r>
      <w:r>
        <w:rPr>
          <w:b/>
        </w:rPr>
        <w:br/>
      </w:r>
      <w:r>
        <w:rPr>
          <w:noProof/>
        </w:rPr>
        <w:t>2013-09-19</w:t>
      </w:r>
    </w:p>
    <w:p w14:paraId="4421E433" w14:textId="77777777" w:rsidR="0046119C" w:rsidRDefault="00446022" w:rsidP="0046119C">
      <w:r w:rsidRPr="00643D86">
        <w:rPr>
          <w:b/>
        </w:rPr>
        <w:t>Tidigare behandling vid rådsmöte</w:t>
      </w:r>
      <w:r>
        <w:rPr>
          <w:b/>
        </w:rPr>
        <w:br/>
      </w:r>
      <w:r>
        <w:rPr>
          <w:noProof/>
        </w:rPr>
        <w:t>2013-09-23</w:t>
      </w:r>
    </w:p>
    <w:p w14:paraId="7DDF8CB7" w14:textId="1B843995" w:rsidR="00643D86" w:rsidRDefault="00446022" w:rsidP="0046119C">
      <w:r>
        <w:rPr>
          <w:b/>
          <w:bCs/>
        </w:rPr>
        <w:t>Avsikt med behandlingen i rådet:</w:t>
      </w:r>
      <w:r>
        <w:t xml:space="preserve"> Rådet föreslås anta rådsslutsatser om ”En ny EU-skogsstrategi för skogarna och den skogsbaserade sektorn”. </w:t>
      </w:r>
    </w:p>
    <w:p w14:paraId="7DDF8CB8" w14:textId="77777777" w:rsidR="00E90366" w:rsidRDefault="00446022">
      <w:pPr>
        <w:spacing w:after="280" w:afterAutospacing="1"/>
      </w:pPr>
      <w:r>
        <w:rPr>
          <w:b/>
          <w:bCs/>
        </w:rPr>
        <w:lastRenderedPageBreak/>
        <w:t xml:space="preserve">Hur regeringen ställer sig till den blivande A-punkten: </w:t>
      </w:r>
      <w:r>
        <w:t xml:space="preserve">Regeringen avser rösta ja till att rådet antar rådsslutsatser om ”En ny EU-skogsstrategi för skogarna och den skogsbaserade sektorn” enligt dokument 9445/14. </w:t>
      </w:r>
    </w:p>
    <w:p w14:paraId="7DDF8CB9" w14:textId="77777777" w:rsidR="00E90366" w:rsidRDefault="00446022">
      <w:pPr>
        <w:spacing w:after="280" w:afterAutospacing="1"/>
      </w:pPr>
      <w:r>
        <w:rPr>
          <w:b/>
          <w:bCs/>
        </w:rPr>
        <w:t>Bakgrund: </w:t>
      </w:r>
      <w:r>
        <w:t xml:space="preserve">I september 2013 presenterade kommissionen sitt meddelande ”En ny EU-skogsstrategi för skogarna och den skogsbaserade sektorn” (KOM(2013)659). Skogsstrategin och efterföljande genomförandeinstrument är tänkta att utgöra en plattform för ökad samstämmighet i utformningen av unionens policy- och lagstiftningsarbete. Rådsslutsatserna om EU:s nya skogsstrategi förmedlar rådets syn på det övergripande ramverket för en förbättrad samordning av politik som har betydelse för skog, skogbruk och skognäring. Dessutom ges konkret politisk vägledning till kommissionen i fråga om hur strategin och de strategiska inriktningar som föreslagits ska genomföras. </w:t>
      </w:r>
    </w:p>
    <w:p w14:paraId="7DDF8CBA" w14:textId="77777777" w:rsidR="00E90366" w:rsidRDefault="00446022">
      <w:pPr>
        <w:spacing w:after="280" w:afterAutospacing="1"/>
      </w:pPr>
      <w:r>
        <w:t>Rådsslutsatserna välkomnar den helhetssyn på skogen och dess värdekedjor som underbygger EU:s nya skogsstrategi och stöder generellt kommissionens meddelande. I synnerhet strategins vägledande principer om hållbart skogsbruk och multifunktionalitet, resurseffektivitet och ansvar för de globala skogarna omfamnas av rådet. Samtidigt påpekar rådet att det finns ett behov att ytterligare diskutera och förtydliga de strategiska inriktningarna som föreslagits under de åtta prioriterade områdena.</w:t>
      </w:r>
    </w:p>
    <w:p w14:paraId="7DDF8CBC" w14:textId="26C4E54D" w:rsidR="00FB32B9" w:rsidRDefault="00446022" w:rsidP="0046119C">
      <w:pPr>
        <w:spacing w:after="100" w:afterAutospacing="1"/>
        <w:rPr>
          <w:noProof/>
        </w:rPr>
      </w:pPr>
      <w:r>
        <w:t>Regeringen har fått gehör för samtliga prioriterade frågor och även en stor andel av övriga synpunkter i förhandlingarna. Till de viktigaste punkterna hör:</w:t>
      </w:r>
      <w:r>
        <w:br/>
        <w:t>- Medlemsstateranas ansvar för skogbruk lyfts fram särskilt, utöver att det poängteras att EU:s fördrag inte innehåller någon referens till stöd för en gemensam skogspolitik och att alla skogsrelaterade EU-initiativ måste respektera subsidiaritetsprincipen och medlemsstaternas kompetens på området. På två central punkter slår rådet fast att de olika förutsättningarna och behov som råder i EU:s medlemsstater ska beaktas.</w:t>
      </w:r>
      <w:r>
        <w:br/>
      </w:r>
      <w:proofErr w:type="gramStart"/>
      <w:r>
        <w:t>-</w:t>
      </w:r>
      <w:proofErr w:type="gramEnd"/>
      <w:r>
        <w:t xml:space="preserve"> Rådet betonar att kriterier för hållbart skogsbruk (SFM) redan existerar och att FOREST EUROPE-kriterierna ska utnyttjas fullt ut för tillämpning i olika policysammanhang. Utöver att kommissionen ska beakta vad som redan finns på plats, inklusive befintlig lagstiftning och marknadsbaserade instrument som certifiering, påpekar rådet att rör sig om vidare analyser, tillämpning och, endast om det konstateras vara nödvändigt, anpassning av SFM-kriterierna och indikatorerna.</w:t>
      </w:r>
      <w:r>
        <w:br/>
      </w:r>
      <w:proofErr w:type="gramStart"/>
      <w:r>
        <w:t>-</w:t>
      </w:r>
      <w:proofErr w:type="gramEnd"/>
      <w:r>
        <w:t xml:space="preserve"> Skogsbruksplanernas syfte och sammanhang i medlemsstaternas skogspolitik, och därmed även i hur de kan användas på EU-nivå, förklaras.</w:t>
      </w:r>
      <w:r>
        <w:br/>
      </w:r>
      <w:proofErr w:type="gramStart"/>
      <w:r>
        <w:t>-</w:t>
      </w:r>
      <w:proofErr w:type="gramEnd"/>
      <w:r>
        <w:t xml:space="preserve"> Kommissionen har fått i uppdrag att i ett samrådsförfarande till 2015 ta fram en flerårig genomförandeplan.</w:t>
      </w:r>
    </w:p>
    <w:p w14:paraId="7DDF8CBD" w14:textId="77777777" w:rsidR="00643D86" w:rsidRDefault="00446022" w:rsidP="00643D86">
      <w:pPr>
        <w:pStyle w:val="Rubrik1"/>
      </w:pPr>
      <w:bookmarkStart w:id="6" w:name="_Toc387906305"/>
      <w:r>
        <w:rPr>
          <w:noProof/>
        </w:rPr>
        <w:t>Proposal</w:t>
      </w:r>
      <w:r>
        <w:t xml:space="preserve"> for a Council Decision on the position </w:t>
      </w:r>
      <w:proofErr w:type="spellStart"/>
      <w:r>
        <w:t>to</w:t>
      </w:r>
      <w:proofErr w:type="spellEnd"/>
      <w:r>
        <w:t xml:space="preserve"> be </w:t>
      </w:r>
      <w:proofErr w:type="spellStart"/>
      <w:r>
        <w:t>adopted</w:t>
      </w:r>
      <w:proofErr w:type="spellEnd"/>
      <w:r>
        <w:t xml:space="preserve">, on </w:t>
      </w:r>
      <w:proofErr w:type="spellStart"/>
      <w:r>
        <w:t>behalf</w:t>
      </w:r>
      <w:proofErr w:type="spellEnd"/>
      <w:r>
        <w:t xml:space="preserve"> </w:t>
      </w:r>
      <w:proofErr w:type="spellStart"/>
      <w:r>
        <w:t>of</w:t>
      </w:r>
      <w:proofErr w:type="spellEnd"/>
      <w:r>
        <w:t xml:space="preserve"> the </w:t>
      </w:r>
      <w:proofErr w:type="spellStart"/>
      <w:r>
        <w:t>European</w:t>
      </w:r>
      <w:proofErr w:type="spellEnd"/>
      <w:r>
        <w:t xml:space="preserve"> Union, in the Indian Ocean Tuna Commission (IOTC)</w:t>
      </w:r>
      <w:bookmarkEnd w:id="6"/>
    </w:p>
    <w:p w14:paraId="7DDF8CBE" w14:textId="2EE7D39F" w:rsidR="00643D86" w:rsidRDefault="00446022" w:rsidP="00643D86">
      <w:pPr>
        <w:rPr>
          <w:lang w:val="en-US"/>
        </w:rPr>
      </w:pPr>
      <w:r>
        <w:rPr>
          <w:noProof/>
          <w:lang w:val="en-US"/>
        </w:rPr>
        <w:t>9398</w:t>
      </w:r>
      <w:r>
        <w:rPr>
          <w:lang w:val="en-US"/>
        </w:rPr>
        <w:t>/1/14 PECHE 221 REV 1</w:t>
      </w:r>
      <w:r w:rsidR="0046119C">
        <w:rPr>
          <w:lang w:val="en-US"/>
        </w:rPr>
        <w:t xml:space="preserve"> </w:t>
      </w:r>
      <w:r>
        <w:rPr>
          <w:lang w:val="en-US"/>
        </w:rPr>
        <w:t>9405/1/14 PECHE 222 REV 1</w:t>
      </w:r>
    </w:p>
    <w:p w14:paraId="7DDF8CBF" w14:textId="77777777" w:rsidR="00643D86" w:rsidRDefault="00446022" w:rsidP="00643D86">
      <w:r>
        <w:rPr>
          <w:b/>
        </w:rPr>
        <w:t>Ansvarigt statsråd</w:t>
      </w:r>
      <w:r>
        <w:rPr>
          <w:b/>
        </w:rPr>
        <w:br/>
      </w:r>
      <w:r>
        <w:rPr>
          <w:noProof/>
        </w:rPr>
        <w:t>Eskil</w:t>
      </w:r>
      <w:r>
        <w:t xml:space="preserve"> Erlandsson</w:t>
      </w:r>
    </w:p>
    <w:p w14:paraId="7DDF8CC1" w14:textId="77777777" w:rsidR="00643D86" w:rsidRPr="00643D86" w:rsidRDefault="00446022" w:rsidP="00643D86">
      <w:r w:rsidRPr="00643D86">
        <w:rPr>
          <w:b/>
        </w:rPr>
        <w:t>Tidigare behandling vid rådsmöte</w:t>
      </w:r>
      <w:r>
        <w:rPr>
          <w:b/>
        </w:rPr>
        <w:br/>
      </w:r>
      <w:r>
        <w:rPr>
          <w:noProof/>
        </w:rPr>
        <w:t>2014-05-07</w:t>
      </w:r>
    </w:p>
    <w:p w14:paraId="7DDF8CC3" w14:textId="64C9DC67" w:rsidR="00E90366" w:rsidRDefault="00446022" w:rsidP="0046119C">
      <w:pPr>
        <w:spacing w:after="100" w:afterAutospacing="1"/>
      </w:pPr>
      <w:r w:rsidRPr="0046119C">
        <w:rPr>
          <w:b/>
        </w:rPr>
        <w:lastRenderedPageBreak/>
        <w:t>Avsikt med behandlingen i rådet:</w:t>
      </w:r>
      <w:r>
        <w:t xml:space="preserve"> Rådet föreslås godkänna lagakten.</w:t>
      </w:r>
    </w:p>
    <w:p w14:paraId="7DDF8CC4" w14:textId="4AB8A823" w:rsidR="00E90366" w:rsidRDefault="00446022">
      <w:pPr>
        <w:spacing w:after="280" w:afterAutospacing="1"/>
      </w:pPr>
      <w:r w:rsidRPr="0046119C">
        <w:rPr>
          <w:b/>
        </w:rPr>
        <w:t xml:space="preserve">Hur regeringen ställer sig till den blivande a-punkten: </w:t>
      </w:r>
      <w:r>
        <w:t>Regeringen stödjer förslaget.</w:t>
      </w:r>
    </w:p>
    <w:p w14:paraId="7DDF8CC5" w14:textId="75495073" w:rsidR="00E90366" w:rsidRDefault="00446022">
      <w:pPr>
        <w:spacing w:after="280" w:afterAutospacing="1"/>
      </w:pPr>
      <w:r w:rsidRPr="0046119C">
        <w:rPr>
          <w:b/>
        </w:rPr>
        <w:t>Bakgrund:</w:t>
      </w:r>
      <w:r>
        <w:t xml:space="preserve"> Enligt artikel </w:t>
      </w:r>
      <w:proofErr w:type="gramStart"/>
      <w:r>
        <w:t>218.9</w:t>
      </w:r>
      <w:proofErr w:type="gramEnd"/>
      <w:r>
        <w:t xml:space="preserve"> i fördraget om Europeiska unionens funktonssätt ska den ståndpunkt som ska antas på unionens vägnar i de regionala fiskeriförvaltningsorganisationerna, om de uppmanas att anta rättsakter som har rättslig verkan, med undantag för rättsakter som kompletterar eller ändrar deras institutionella ramar, antas genom rådets beslut på förslag av kommissionen. </w:t>
      </w:r>
    </w:p>
    <w:p w14:paraId="7DDF8CC6" w14:textId="77777777" w:rsidR="00E90366" w:rsidRDefault="00446022">
      <w:pPr>
        <w:spacing w:after="280" w:afterAutospacing="1"/>
      </w:pPr>
      <w:r>
        <w:t>En sådan ståndpunkt inom de regionala fiskeriförvaltnings-organisationerna fastställs för närvarande enligt en tvåstegsmetod. De vägledande principerna och riktlinjerna för unionens ståndpunkt fastställs för flera år i ett rådsbeslut och justeras därefter inför varje årsmöte genom kommissionens non-papper som diskuteras i rådets arbetsgrupp. Sådana vägledande principer och riktlinjer har tidigare antagits och gällt från 2009 för de aktuella regionala fiskeriorganisationerna, men dessa behöver nu förnyas och ska omfatta perioden 2014-2019.</w:t>
      </w:r>
    </w:p>
    <w:p w14:paraId="7DDF8CCA" w14:textId="51C7BEC0" w:rsidR="00FB32B9" w:rsidRDefault="00446022">
      <w:pPr>
        <w:spacing w:after="280" w:afterAutospacing="1"/>
        <w:rPr>
          <w:noProof/>
        </w:rPr>
      </w:pPr>
      <w:r>
        <w:t xml:space="preserve">Revideringen ska ta hänsyn till de förändringar som beslutats genom den nya gemensamma fiskeripolitiken samt följa rådets slutsatser från 2012 om fiskeripolitikens internationella dimension, samt att de ska anpassas efter de individuella förutsättningarna i de olika regionala fiskeriförvaltningsorganisationerna. </w:t>
      </w:r>
    </w:p>
    <w:p w14:paraId="7DDF8CCB" w14:textId="77777777" w:rsidR="00643D86" w:rsidRDefault="00446022" w:rsidP="00643D86">
      <w:pPr>
        <w:pStyle w:val="Rubrik1"/>
      </w:pPr>
      <w:bookmarkStart w:id="7" w:name="_Toc387906306"/>
      <w:r>
        <w:rPr>
          <w:noProof/>
        </w:rPr>
        <w:t>Proposal</w:t>
      </w:r>
      <w:r>
        <w:t xml:space="preserve"> for a Council Decision on the position </w:t>
      </w:r>
      <w:proofErr w:type="spellStart"/>
      <w:r>
        <w:t>to</w:t>
      </w:r>
      <w:proofErr w:type="spellEnd"/>
      <w:r>
        <w:t xml:space="preserve"> be </w:t>
      </w:r>
      <w:proofErr w:type="spellStart"/>
      <w:r>
        <w:t>adopted</w:t>
      </w:r>
      <w:proofErr w:type="spellEnd"/>
      <w:r>
        <w:t xml:space="preserve">, on </w:t>
      </w:r>
      <w:proofErr w:type="spellStart"/>
      <w:r>
        <w:t>behalf</w:t>
      </w:r>
      <w:proofErr w:type="spellEnd"/>
      <w:r>
        <w:t xml:space="preserve"> </w:t>
      </w:r>
      <w:proofErr w:type="spellStart"/>
      <w:r>
        <w:t>of</w:t>
      </w:r>
      <w:proofErr w:type="spellEnd"/>
      <w:r>
        <w:t xml:space="preserve"> the </w:t>
      </w:r>
      <w:proofErr w:type="spellStart"/>
      <w:r>
        <w:t>European</w:t>
      </w:r>
      <w:proofErr w:type="spellEnd"/>
      <w:r>
        <w:t xml:space="preserve"> Union, in the General </w:t>
      </w:r>
      <w:proofErr w:type="spellStart"/>
      <w:r>
        <w:t>Fisheries</w:t>
      </w:r>
      <w:proofErr w:type="spellEnd"/>
      <w:r>
        <w:t xml:space="preserve"> Commission for the </w:t>
      </w:r>
      <w:proofErr w:type="spellStart"/>
      <w:r>
        <w:t>Mediterranean</w:t>
      </w:r>
      <w:proofErr w:type="spellEnd"/>
      <w:r>
        <w:t xml:space="preserve"> (GFCM)</w:t>
      </w:r>
      <w:bookmarkEnd w:id="7"/>
    </w:p>
    <w:p w14:paraId="7DDF8CCC" w14:textId="77777777" w:rsidR="00643D86" w:rsidRDefault="00446022" w:rsidP="00643D86">
      <w:pPr>
        <w:rPr>
          <w:lang w:val="en-US"/>
        </w:rPr>
      </w:pPr>
      <w:r>
        <w:rPr>
          <w:noProof/>
          <w:lang w:val="en-US"/>
        </w:rPr>
        <w:t>9095</w:t>
      </w:r>
      <w:r>
        <w:rPr>
          <w:lang w:val="en-US"/>
        </w:rPr>
        <w:t>/1/14 PECHE 207 REV 1+ ADD1 9389/1/14 PECHE 218 REV 1</w:t>
      </w:r>
    </w:p>
    <w:p w14:paraId="7DDF8CCD" w14:textId="77777777" w:rsidR="00643D86" w:rsidRDefault="00446022" w:rsidP="00643D86">
      <w:r>
        <w:rPr>
          <w:b/>
        </w:rPr>
        <w:t>Ansvarigt statsråd</w:t>
      </w:r>
      <w:r>
        <w:rPr>
          <w:b/>
        </w:rPr>
        <w:br/>
      </w:r>
      <w:r>
        <w:rPr>
          <w:noProof/>
        </w:rPr>
        <w:t>Eskil</w:t>
      </w:r>
      <w:r>
        <w:t xml:space="preserve"> Erlandsson</w:t>
      </w:r>
    </w:p>
    <w:p w14:paraId="207CDD25" w14:textId="77777777" w:rsidR="0046119C" w:rsidRDefault="00446022" w:rsidP="0046119C">
      <w:r w:rsidRPr="00643D86">
        <w:rPr>
          <w:b/>
        </w:rPr>
        <w:t>Tidigare behandling vid rådsmöte</w:t>
      </w:r>
      <w:r>
        <w:rPr>
          <w:b/>
        </w:rPr>
        <w:br/>
      </w:r>
      <w:r>
        <w:rPr>
          <w:noProof/>
        </w:rPr>
        <w:t>2014-05-07</w:t>
      </w:r>
    </w:p>
    <w:p w14:paraId="7DDF8CD1" w14:textId="5AA3DAC8" w:rsidR="00E90366" w:rsidRDefault="00446022" w:rsidP="0046119C">
      <w:r w:rsidRPr="0046119C">
        <w:rPr>
          <w:b/>
        </w:rPr>
        <w:t>Avsikt med behandlingen i rådet:</w:t>
      </w:r>
      <w:r w:rsidR="0046119C">
        <w:t xml:space="preserve"> </w:t>
      </w:r>
      <w:r>
        <w:t>Rådet föreslås godkänna lagakten.</w:t>
      </w:r>
    </w:p>
    <w:p w14:paraId="7DDF8CD2" w14:textId="5B0D23D0" w:rsidR="00E90366" w:rsidRDefault="00446022">
      <w:pPr>
        <w:spacing w:after="280" w:afterAutospacing="1"/>
      </w:pPr>
      <w:r w:rsidRPr="0046119C">
        <w:rPr>
          <w:b/>
        </w:rPr>
        <w:t xml:space="preserve">Hur regeringen ställer sig till den blivande a-punkten: </w:t>
      </w:r>
      <w:r>
        <w:t>Regeringen stödjer förslaget.</w:t>
      </w:r>
    </w:p>
    <w:p w14:paraId="7DDF8CD3" w14:textId="3C01A179" w:rsidR="00E90366" w:rsidRDefault="0046119C">
      <w:pPr>
        <w:spacing w:after="280" w:afterAutospacing="1"/>
      </w:pPr>
      <w:r w:rsidRPr="0046119C">
        <w:rPr>
          <w:b/>
        </w:rPr>
        <w:t>Bakgrund:</w:t>
      </w:r>
      <w:r>
        <w:t> Enligt</w:t>
      </w:r>
      <w:r w:rsidR="00446022">
        <w:t xml:space="preserve"> artikel </w:t>
      </w:r>
      <w:proofErr w:type="gramStart"/>
      <w:r w:rsidR="00446022">
        <w:t>218.9</w:t>
      </w:r>
      <w:proofErr w:type="gramEnd"/>
      <w:r w:rsidR="00446022">
        <w:t xml:space="preserve"> i fördraget om Europeiska unionens funktonssätt ska den ståndpunkt som ska antas på unionens vägnar i de regionala fiskeriförvaltningsorganisationerna, om de uppmanas att anta rättsakter som har rättslig verkan, med undantag för rättsakter som kompletterar eller ändrar deras institutionella ramar, antas genom rådets beslut på förslag av kommissionen. </w:t>
      </w:r>
    </w:p>
    <w:p w14:paraId="7DDF8CD4" w14:textId="77777777" w:rsidR="00E90366" w:rsidRDefault="00446022">
      <w:pPr>
        <w:spacing w:after="280" w:afterAutospacing="1"/>
      </w:pPr>
      <w:r>
        <w:t>En sådan ståndpunkt inom de regionala fiskeriförvaltnings-organisationerna fastställs för närvarande enligt en tvåstegsmetod. De vägledande principerna och riktlinjerna för unionens ståndpunkt fastställs för flera år i ett rådsbeslut och justeras därefter inför varje årsmöte genom kommissionens non-papper som diskuteras i rådets arbetsgrupp. Sådana vägledande principer och riktlinjer har tidigare antagits och gällt från 2009 för de aktuella regionala fiskeriorganisationerna, men dessa behöver nu förnyas och ska omfatta perioden 2014-2019.</w:t>
      </w:r>
    </w:p>
    <w:p w14:paraId="7DDF8CD6" w14:textId="54F16181" w:rsidR="00FB32B9" w:rsidRDefault="00446022">
      <w:pPr>
        <w:spacing w:after="280" w:afterAutospacing="1"/>
        <w:rPr>
          <w:noProof/>
        </w:rPr>
      </w:pPr>
      <w:r>
        <w:lastRenderedPageBreak/>
        <w:t>Revideringen ska ta hänsyn till de förändringar som beslutats genom den nya gemensamma fiskeripolitiken samt följa rådets slutsatser från 2012 om fiskeripolitikens internationella dimension, samt att de ska anpassas efter de individuella förutsättningarna i de olika regionala fiskeriförvaltningsorganisationerna</w:t>
      </w:r>
      <w:r w:rsidR="0046119C">
        <w:t>.</w:t>
      </w:r>
    </w:p>
    <w:p w14:paraId="7DDF8CD7" w14:textId="77777777" w:rsidR="00643D86" w:rsidRDefault="00446022" w:rsidP="00643D86">
      <w:pPr>
        <w:pStyle w:val="Rubrik1"/>
      </w:pPr>
      <w:bookmarkStart w:id="8" w:name="_Toc387906307"/>
      <w:r>
        <w:rPr>
          <w:noProof/>
        </w:rPr>
        <w:t>Proposal</w:t>
      </w:r>
      <w:r>
        <w:t xml:space="preserve"> for a Council Decision on the </w:t>
      </w:r>
      <w:proofErr w:type="spellStart"/>
      <w:r>
        <w:t>signing</w:t>
      </w:r>
      <w:proofErr w:type="spellEnd"/>
      <w:r>
        <w:t xml:space="preserve">, on </w:t>
      </w:r>
      <w:proofErr w:type="spellStart"/>
      <w:r>
        <w:t>behalf</w:t>
      </w:r>
      <w:proofErr w:type="spellEnd"/>
      <w:r>
        <w:t xml:space="preserve"> </w:t>
      </w:r>
      <w:proofErr w:type="spellStart"/>
      <w:r>
        <w:t>of</w:t>
      </w:r>
      <w:proofErr w:type="spellEnd"/>
      <w:r>
        <w:t xml:space="preserve"> the </w:t>
      </w:r>
      <w:proofErr w:type="spellStart"/>
      <w:r>
        <w:t>European</w:t>
      </w:r>
      <w:proofErr w:type="spellEnd"/>
      <w:r>
        <w:t xml:space="preserve"> Union, and </w:t>
      </w:r>
      <w:proofErr w:type="spellStart"/>
      <w:r>
        <w:t>provisional</w:t>
      </w:r>
      <w:proofErr w:type="spellEnd"/>
      <w:r>
        <w:t xml:space="preserve"> </w:t>
      </w:r>
      <w:proofErr w:type="spellStart"/>
      <w:r>
        <w:t>application</w:t>
      </w:r>
      <w:proofErr w:type="spellEnd"/>
      <w:r>
        <w:t xml:space="preserve"> </w:t>
      </w:r>
      <w:proofErr w:type="spellStart"/>
      <w:r>
        <w:t>of</w:t>
      </w:r>
      <w:proofErr w:type="spellEnd"/>
      <w:r>
        <w:t xml:space="preserve"> the </w:t>
      </w:r>
      <w:proofErr w:type="spellStart"/>
      <w:r>
        <w:t>Protocol</w:t>
      </w:r>
      <w:proofErr w:type="spellEnd"/>
      <w:r>
        <w:t xml:space="preserve"> </w:t>
      </w:r>
      <w:proofErr w:type="spellStart"/>
      <w:r>
        <w:t>setting</w:t>
      </w:r>
      <w:proofErr w:type="spellEnd"/>
      <w:r>
        <w:t xml:space="preserve"> </w:t>
      </w:r>
      <w:proofErr w:type="spellStart"/>
      <w:r>
        <w:t>out</w:t>
      </w:r>
      <w:proofErr w:type="spellEnd"/>
      <w:r>
        <w:t xml:space="preserve"> the </w:t>
      </w:r>
      <w:proofErr w:type="spellStart"/>
      <w:r>
        <w:t>fishing</w:t>
      </w:r>
      <w:proofErr w:type="spellEnd"/>
      <w:r>
        <w:t xml:space="preserve"> </w:t>
      </w:r>
      <w:proofErr w:type="spellStart"/>
      <w:r>
        <w:t>opportunities</w:t>
      </w:r>
      <w:proofErr w:type="spellEnd"/>
      <w:r>
        <w:t xml:space="preserve"> and the </w:t>
      </w:r>
      <w:proofErr w:type="spellStart"/>
      <w:r>
        <w:t>financial</w:t>
      </w:r>
      <w:proofErr w:type="spellEnd"/>
      <w:r>
        <w:t xml:space="preserve"> </w:t>
      </w:r>
      <w:proofErr w:type="spellStart"/>
      <w:r>
        <w:t>contribution</w:t>
      </w:r>
      <w:proofErr w:type="spellEnd"/>
      <w:r>
        <w:t xml:space="preserve"> provided for in the </w:t>
      </w:r>
      <w:proofErr w:type="spellStart"/>
      <w:r>
        <w:t>Fisheries</w:t>
      </w:r>
      <w:proofErr w:type="spellEnd"/>
      <w:r>
        <w:t xml:space="preserve"> Partnership </w:t>
      </w:r>
      <w:proofErr w:type="spellStart"/>
      <w:r>
        <w:t>Agreement</w:t>
      </w:r>
      <w:proofErr w:type="spellEnd"/>
      <w:r>
        <w:t xml:space="preserve"> </w:t>
      </w:r>
      <w:proofErr w:type="spellStart"/>
      <w:r>
        <w:t>between</w:t>
      </w:r>
      <w:proofErr w:type="spellEnd"/>
      <w:r>
        <w:t xml:space="preserve"> the </w:t>
      </w:r>
      <w:proofErr w:type="spellStart"/>
      <w:r>
        <w:t>European</w:t>
      </w:r>
      <w:proofErr w:type="spellEnd"/>
      <w:r>
        <w:t xml:space="preserve"> Union and the </w:t>
      </w:r>
      <w:proofErr w:type="spellStart"/>
      <w:r>
        <w:t>Democratic</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São</w:t>
      </w:r>
      <w:proofErr w:type="spellEnd"/>
      <w:r>
        <w:t xml:space="preserve"> Tomé and Príncipe</w:t>
      </w:r>
      <w:bookmarkEnd w:id="8"/>
    </w:p>
    <w:p w14:paraId="7DDF8CD8" w14:textId="2FAC9971" w:rsidR="00643D86" w:rsidRDefault="00446022" w:rsidP="00643D86">
      <w:pPr>
        <w:rPr>
          <w:lang w:val="en-US"/>
        </w:rPr>
      </w:pPr>
      <w:r>
        <w:rPr>
          <w:noProof/>
          <w:lang w:val="en-US"/>
        </w:rPr>
        <w:t>8583</w:t>
      </w:r>
      <w:r>
        <w:rPr>
          <w:lang w:val="en-US"/>
        </w:rPr>
        <w:t>/14 PECHE 185</w:t>
      </w:r>
      <w:r w:rsidR="0046119C">
        <w:rPr>
          <w:lang w:val="en-US"/>
        </w:rPr>
        <w:t xml:space="preserve"> </w:t>
      </w:r>
      <w:r>
        <w:rPr>
          <w:lang w:val="en-US"/>
        </w:rPr>
        <w:t>8554/14 PECHE 180</w:t>
      </w:r>
      <w:r w:rsidR="0046119C">
        <w:rPr>
          <w:lang w:val="en-US"/>
        </w:rPr>
        <w:t xml:space="preserve"> </w:t>
      </w:r>
      <w:r>
        <w:rPr>
          <w:lang w:val="en-US"/>
        </w:rPr>
        <w:t>9670/14 PECHE 239</w:t>
      </w:r>
    </w:p>
    <w:p w14:paraId="5E5642F9" w14:textId="77777777" w:rsidR="0046119C" w:rsidRDefault="00446022" w:rsidP="0046119C">
      <w:r>
        <w:rPr>
          <w:b/>
        </w:rPr>
        <w:t>Ansvarigt statsråd</w:t>
      </w:r>
      <w:r w:rsidR="0046119C">
        <w:rPr>
          <w:b/>
        </w:rPr>
        <w:t>:</w:t>
      </w:r>
      <w:r>
        <w:rPr>
          <w:b/>
        </w:rPr>
        <w:br/>
      </w:r>
      <w:r>
        <w:rPr>
          <w:noProof/>
        </w:rPr>
        <w:t>Eskil</w:t>
      </w:r>
      <w:r>
        <w:t xml:space="preserve"> Erlandsson</w:t>
      </w:r>
    </w:p>
    <w:p w14:paraId="7DDF8CDC" w14:textId="6FA1EB04" w:rsidR="00643D86" w:rsidRDefault="00446022" w:rsidP="0046119C">
      <w:r>
        <w:rPr>
          <w:b/>
          <w:bCs/>
        </w:rPr>
        <w:t>Avsikt med behandlingen i rådet:</w:t>
      </w:r>
      <w:r>
        <w:t xml:space="preserve"> Rådet förväntas besluta om undertecknande på Europeiska unionens vägnar och provisorisk tillämpning av protokollet. </w:t>
      </w:r>
    </w:p>
    <w:p w14:paraId="7DDF8CDD" w14:textId="77777777" w:rsidR="00E90366" w:rsidRDefault="00446022">
      <w:pPr>
        <w:spacing w:after="280" w:afterAutospacing="1"/>
      </w:pPr>
      <w:r>
        <w:rPr>
          <w:b/>
          <w:bCs/>
        </w:rPr>
        <w:t>Hur regeringen ställer sig till den blivande A-punkten: </w:t>
      </w:r>
      <w:r>
        <w:t xml:space="preserve">Regeringen avser rösta ja till undertecknande och provisorisk tillämpning av protokollet.  </w:t>
      </w:r>
    </w:p>
    <w:p w14:paraId="7DDF8CDE" w14:textId="77777777" w:rsidR="00E90366" w:rsidRDefault="00446022">
      <w:pPr>
        <w:spacing w:after="280" w:afterAutospacing="1"/>
      </w:pPr>
      <w:r>
        <w:rPr>
          <w:b/>
          <w:bCs/>
        </w:rPr>
        <w:t xml:space="preserve">Bakgrund: </w:t>
      </w:r>
      <w:r>
        <w:t>Europeiska kommissionen överlämnade i april 2014 förslaget till rådet. Det gällande protokollet löper ut den 12 maj 2014. Det nya protokollet täcker en period på fyra år räknat från den dag då protokollet börjar tillämpas provisoriskt.</w:t>
      </w:r>
    </w:p>
    <w:p w14:paraId="7DDF8CDF" w14:textId="77777777" w:rsidR="00E90366" w:rsidRDefault="00446022">
      <w:pPr>
        <w:spacing w:after="280" w:afterAutospacing="1"/>
      </w:pPr>
      <w:r>
        <w:t xml:space="preserve">Protokollets främsta syfte är att erbjuda fiskemöjligheter för Europeiska unionens fartyg i </w:t>
      </w:r>
      <w:proofErr w:type="spellStart"/>
      <w:r>
        <w:t>São</w:t>
      </w:r>
      <w:proofErr w:type="spellEnd"/>
      <w:r>
        <w:t xml:space="preserve"> Tomé och Príncipes vatten inom ramen för tillgängliga resurser, med beaktande av bästa tillgängliga vetenskapliga råd och rekommendationer utfärdade av Internationella kommissionen för bevarande av tonfisk i Atlanten (</w:t>
      </w:r>
      <w:proofErr w:type="spellStart"/>
      <w:r>
        <w:t>Iccat</w:t>
      </w:r>
      <w:proofErr w:type="spellEnd"/>
      <w:r>
        <w:t xml:space="preserve">). Protokollet innefattar fiskemöjligheter för 28 ringnotsfartyg och 6 långrevsfartyg fördelat mellan Spanien, Frankrike och Portugal. </w:t>
      </w:r>
    </w:p>
    <w:p w14:paraId="7DDF8CE1" w14:textId="2C2840F6" w:rsidR="00FB32B9" w:rsidRDefault="00446022">
      <w:pPr>
        <w:spacing w:after="280" w:afterAutospacing="1"/>
        <w:rPr>
          <w:noProof/>
        </w:rPr>
      </w:pPr>
      <w:r>
        <w:t xml:space="preserve">Den årliga ekonomiska ersättningen på totalt 710 000 euro för de första tre åren och 675 000 euro för </w:t>
      </w:r>
      <w:proofErr w:type="gramStart"/>
      <w:r>
        <w:t>de</w:t>
      </w:r>
      <w:proofErr w:type="gramEnd"/>
      <w:r>
        <w:t xml:space="preserve"> fjärde </w:t>
      </w:r>
      <w:proofErr w:type="gramStart"/>
      <w:r>
        <w:t>året</w:t>
      </w:r>
      <w:proofErr w:type="gramEnd"/>
      <w:r>
        <w:t xml:space="preserve"> är uppdelade i: (a) ett belopp på 385 000 euro för tre år och 350 000 euro för det fjärde året för tillträdet till </w:t>
      </w:r>
      <w:proofErr w:type="spellStart"/>
      <w:r>
        <w:t>São</w:t>
      </w:r>
      <w:proofErr w:type="spellEnd"/>
      <w:r>
        <w:t xml:space="preserve"> Tomé och Príncipes fiskezon och en referensfångstmängd på 7 000 ton, och (b) stöd till utvecklingen av en </w:t>
      </w:r>
      <w:proofErr w:type="spellStart"/>
      <w:r>
        <w:t>sektorspolitik</w:t>
      </w:r>
      <w:proofErr w:type="spellEnd"/>
      <w:r>
        <w:t xml:space="preserve"> för fisket i </w:t>
      </w:r>
      <w:proofErr w:type="spellStart"/>
      <w:r>
        <w:t>São</w:t>
      </w:r>
      <w:proofErr w:type="spellEnd"/>
      <w:r>
        <w:t xml:space="preserve"> Tomé och Príncipe på 325 000 euro. Stödet bidrar till Demokratiska republiken </w:t>
      </w:r>
      <w:proofErr w:type="spellStart"/>
      <w:r>
        <w:t>São</w:t>
      </w:r>
      <w:proofErr w:type="spellEnd"/>
      <w:r>
        <w:t xml:space="preserve"> Tomé och Príncipes behov när det gäller stöd till småskaligt fiske och bekämpande av olagligt fiske. </w:t>
      </w:r>
    </w:p>
    <w:p w14:paraId="4B1B49DA" w14:textId="77777777" w:rsidR="0046119C" w:rsidRDefault="0046119C">
      <w:pPr>
        <w:ind w:left="0"/>
        <w:rPr>
          <w:b/>
          <w:bCs/>
          <w:noProof/>
          <w:szCs w:val="28"/>
        </w:rPr>
      </w:pPr>
      <w:r>
        <w:rPr>
          <w:noProof/>
        </w:rPr>
        <w:br w:type="page"/>
      </w:r>
    </w:p>
    <w:p w14:paraId="7DDF8CE2" w14:textId="3F84220E" w:rsidR="00643D86" w:rsidRDefault="00446022" w:rsidP="00643D86">
      <w:pPr>
        <w:pStyle w:val="Rubrik1"/>
      </w:pPr>
      <w:bookmarkStart w:id="9" w:name="_Toc387906308"/>
      <w:r>
        <w:rPr>
          <w:noProof/>
        </w:rPr>
        <w:lastRenderedPageBreak/>
        <w:t>Proposal</w:t>
      </w:r>
      <w:r>
        <w:t xml:space="preserve"> for a Council Regulation on the </w:t>
      </w:r>
      <w:proofErr w:type="spellStart"/>
      <w:r>
        <w:t>allocation</w:t>
      </w:r>
      <w:proofErr w:type="spellEnd"/>
      <w:r>
        <w:t xml:space="preserve"> </w:t>
      </w:r>
      <w:proofErr w:type="spellStart"/>
      <w:r>
        <w:t>of</w:t>
      </w:r>
      <w:proofErr w:type="spellEnd"/>
      <w:r>
        <w:t xml:space="preserve"> </w:t>
      </w:r>
      <w:proofErr w:type="spellStart"/>
      <w:r>
        <w:t>fishing</w:t>
      </w:r>
      <w:proofErr w:type="spellEnd"/>
      <w:r>
        <w:t xml:space="preserve"> </w:t>
      </w:r>
      <w:proofErr w:type="spellStart"/>
      <w:r>
        <w:t>opportunities</w:t>
      </w:r>
      <w:proofErr w:type="spellEnd"/>
      <w:r>
        <w:t xml:space="preserve"> under the </w:t>
      </w:r>
      <w:proofErr w:type="spellStart"/>
      <w:r>
        <w:t>Protocol</w:t>
      </w:r>
      <w:proofErr w:type="spellEnd"/>
      <w:r>
        <w:t xml:space="preserve"> </w:t>
      </w:r>
      <w:proofErr w:type="spellStart"/>
      <w:r>
        <w:t>setting</w:t>
      </w:r>
      <w:proofErr w:type="spellEnd"/>
      <w:r>
        <w:t xml:space="preserve"> </w:t>
      </w:r>
      <w:proofErr w:type="spellStart"/>
      <w:r>
        <w:t>out</w:t>
      </w:r>
      <w:proofErr w:type="spellEnd"/>
      <w:r>
        <w:t xml:space="preserve"> the </w:t>
      </w:r>
      <w:proofErr w:type="spellStart"/>
      <w:r>
        <w:t>fishing</w:t>
      </w:r>
      <w:proofErr w:type="spellEnd"/>
      <w:r>
        <w:t xml:space="preserve"> </w:t>
      </w:r>
      <w:proofErr w:type="spellStart"/>
      <w:r>
        <w:t>opportunities</w:t>
      </w:r>
      <w:proofErr w:type="spellEnd"/>
      <w:r>
        <w:t xml:space="preserve"> and the </w:t>
      </w:r>
      <w:proofErr w:type="spellStart"/>
      <w:r>
        <w:t>financial</w:t>
      </w:r>
      <w:proofErr w:type="spellEnd"/>
      <w:r>
        <w:t xml:space="preserve"> </w:t>
      </w:r>
      <w:proofErr w:type="spellStart"/>
      <w:r>
        <w:t>contribution</w:t>
      </w:r>
      <w:proofErr w:type="spellEnd"/>
      <w:r>
        <w:t xml:space="preserve"> provided for in the </w:t>
      </w:r>
      <w:proofErr w:type="spellStart"/>
      <w:r>
        <w:t>Fisheries</w:t>
      </w:r>
      <w:proofErr w:type="spellEnd"/>
      <w:r>
        <w:t xml:space="preserve"> Partnership </w:t>
      </w:r>
      <w:proofErr w:type="spellStart"/>
      <w:r>
        <w:t>Agreement</w:t>
      </w:r>
      <w:proofErr w:type="spellEnd"/>
      <w:r>
        <w:t xml:space="preserve"> </w:t>
      </w:r>
      <w:proofErr w:type="spellStart"/>
      <w:r>
        <w:t>between</w:t>
      </w:r>
      <w:proofErr w:type="spellEnd"/>
      <w:r>
        <w:t xml:space="preserve"> the </w:t>
      </w:r>
      <w:proofErr w:type="spellStart"/>
      <w:r>
        <w:t>European</w:t>
      </w:r>
      <w:proofErr w:type="spellEnd"/>
      <w:r>
        <w:t xml:space="preserve"> Union and the </w:t>
      </w:r>
      <w:proofErr w:type="spellStart"/>
      <w:r>
        <w:t>Republic</w:t>
      </w:r>
      <w:proofErr w:type="spellEnd"/>
      <w:r>
        <w:t xml:space="preserve"> </w:t>
      </w:r>
      <w:proofErr w:type="spellStart"/>
      <w:r>
        <w:t>of</w:t>
      </w:r>
      <w:proofErr w:type="spellEnd"/>
      <w:r>
        <w:t xml:space="preserve"> </w:t>
      </w:r>
      <w:proofErr w:type="spellStart"/>
      <w:r>
        <w:t>São</w:t>
      </w:r>
      <w:proofErr w:type="spellEnd"/>
      <w:r>
        <w:t xml:space="preserve"> Tomé and Príncipe</w:t>
      </w:r>
      <w:bookmarkEnd w:id="9"/>
    </w:p>
    <w:p w14:paraId="7DDF8CE3" w14:textId="12FF8305" w:rsidR="00643D86" w:rsidRDefault="00446022" w:rsidP="00643D86">
      <w:pPr>
        <w:rPr>
          <w:lang w:val="en-US"/>
        </w:rPr>
      </w:pPr>
      <w:r>
        <w:rPr>
          <w:noProof/>
          <w:lang w:val="en-US"/>
        </w:rPr>
        <w:t>8589</w:t>
      </w:r>
      <w:r>
        <w:rPr>
          <w:lang w:val="en-US"/>
        </w:rPr>
        <w:t>/14 PECHE 187</w:t>
      </w:r>
      <w:r w:rsidR="0046119C">
        <w:rPr>
          <w:lang w:val="en-US"/>
        </w:rPr>
        <w:t xml:space="preserve"> </w:t>
      </w:r>
      <w:r>
        <w:rPr>
          <w:lang w:val="en-US"/>
        </w:rPr>
        <w:t>9670/14 PECHE 239</w:t>
      </w:r>
    </w:p>
    <w:p w14:paraId="645AA7A5" w14:textId="77777777" w:rsidR="0046119C" w:rsidRDefault="00446022" w:rsidP="0046119C">
      <w:r>
        <w:rPr>
          <w:b/>
        </w:rPr>
        <w:t>Ansvarigt statsråd</w:t>
      </w:r>
      <w:r>
        <w:rPr>
          <w:b/>
        </w:rPr>
        <w:br/>
      </w:r>
      <w:r>
        <w:rPr>
          <w:noProof/>
        </w:rPr>
        <w:t>Eskil</w:t>
      </w:r>
      <w:r>
        <w:t xml:space="preserve"> Erlandsson</w:t>
      </w:r>
    </w:p>
    <w:p w14:paraId="7DDF8CE7" w14:textId="60C4662B" w:rsidR="00643D86" w:rsidRDefault="00446022" w:rsidP="0046119C">
      <w:r>
        <w:rPr>
          <w:b/>
          <w:bCs/>
        </w:rPr>
        <w:t xml:space="preserve">Avsikt med behandlingen i rådet: </w:t>
      </w:r>
      <w:r>
        <w:t xml:space="preserve">Rådet förväntas anta förordningen om fördelningen av fiskemöjligheterna enligt protokollet mellan Europeiska unionen och Demokratiska republiken </w:t>
      </w:r>
      <w:proofErr w:type="spellStart"/>
      <w:r>
        <w:t>São</w:t>
      </w:r>
      <w:proofErr w:type="spellEnd"/>
      <w:r>
        <w:t xml:space="preserve"> Tomé och Príncipe.  </w:t>
      </w:r>
    </w:p>
    <w:p w14:paraId="7DDF8CE8" w14:textId="77777777" w:rsidR="00E90366" w:rsidRDefault="00446022">
      <w:pPr>
        <w:spacing w:after="280" w:afterAutospacing="1"/>
      </w:pPr>
      <w:r>
        <w:rPr>
          <w:b/>
          <w:bCs/>
        </w:rPr>
        <w:t>Hur regeringen ställer sig till den blivande A-punkten:</w:t>
      </w:r>
      <w:r>
        <w:t xml:space="preserve"> Regeringen avser rösta ja till förslaget. </w:t>
      </w:r>
    </w:p>
    <w:p w14:paraId="7DDF8CE9" w14:textId="77777777" w:rsidR="00E90366" w:rsidRDefault="00446022">
      <w:pPr>
        <w:spacing w:after="280" w:afterAutospacing="1"/>
      </w:pPr>
      <w:r>
        <w:rPr>
          <w:b/>
          <w:bCs/>
        </w:rPr>
        <w:t xml:space="preserve">Bakgrund: </w:t>
      </w:r>
      <w:r>
        <w:t xml:space="preserve">Europeiska kommissionen överlämnade förslaget till rådet i april 2014. Förslaget utgör uppföljning till förhandlingarna inför ett nytt protokoll till partnerskapsavtalet med </w:t>
      </w:r>
      <w:proofErr w:type="spellStart"/>
      <w:r>
        <w:t>São</w:t>
      </w:r>
      <w:proofErr w:type="spellEnd"/>
      <w:r>
        <w:t xml:space="preserve"> Tomé och Príncipe om fiske. Det gällande protokollet löper ut den 12 maj 2014. Det nya protokollet täcker en period på fyra år räknat från den dag då det nya protokollet undertecknas, vilket sker genom ett separat beslut. </w:t>
      </w:r>
    </w:p>
    <w:p w14:paraId="7DDF8CEB" w14:textId="72DA4A45" w:rsidR="00FB32B9" w:rsidRDefault="00446022">
      <w:pPr>
        <w:spacing w:after="280" w:afterAutospacing="1"/>
        <w:rPr>
          <w:noProof/>
        </w:rPr>
      </w:pPr>
      <w:r>
        <w:t xml:space="preserve">Protokollets främsta syfte är att erbjuda fiskemöjligheter för Europeiska unionens fartyg i </w:t>
      </w:r>
      <w:proofErr w:type="spellStart"/>
      <w:r>
        <w:t>São</w:t>
      </w:r>
      <w:proofErr w:type="spellEnd"/>
      <w:r>
        <w:t xml:space="preserve"> Tomé och Príncipes vatten inom ramen för tillgängliga resurser, med beaktande av bästa tillgängliga vetenskapliga råd och rekommendationer utfärdade av Internationella kommissionen för bevarande av tonfisk i Atlanten (</w:t>
      </w:r>
      <w:proofErr w:type="spellStart"/>
      <w:r>
        <w:t>Iccat</w:t>
      </w:r>
      <w:proofErr w:type="spellEnd"/>
      <w:r>
        <w:t xml:space="preserve">). Protokollet innefattar fiskemöjligheter för 28 ringnotsfartyg och 6 långrevsfartyg fördelat mellan Spanien, Frankrike och Portugal. </w:t>
      </w:r>
    </w:p>
    <w:p w14:paraId="7DDF8CEC" w14:textId="77777777" w:rsidR="00643D86" w:rsidRDefault="00446022" w:rsidP="00643D86">
      <w:pPr>
        <w:pStyle w:val="Rubrik1"/>
      </w:pPr>
      <w:bookmarkStart w:id="10" w:name="_Toc387906309"/>
      <w:r>
        <w:rPr>
          <w:noProof/>
        </w:rPr>
        <w:t>Draft</w:t>
      </w:r>
      <w:r>
        <w:t xml:space="preserve"> Council </w:t>
      </w:r>
      <w:proofErr w:type="spellStart"/>
      <w:r>
        <w:t>conclusions</w:t>
      </w:r>
      <w:proofErr w:type="spellEnd"/>
      <w:r>
        <w:t xml:space="preserve"> on "EU </w:t>
      </w:r>
      <w:proofErr w:type="spellStart"/>
      <w:r>
        <w:t>Customs</w:t>
      </w:r>
      <w:proofErr w:type="spellEnd"/>
      <w:r>
        <w:t xml:space="preserve"> </w:t>
      </w:r>
      <w:proofErr w:type="spellStart"/>
      <w:r>
        <w:t>Union's</w:t>
      </w:r>
      <w:proofErr w:type="spellEnd"/>
      <w:r>
        <w:t xml:space="preserve"> </w:t>
      </w:r>
      <w:proofErr w:type="spellStart"/>
      <w:r>
        <w:t>Governance</w:t>
      </w:r>
      <w:proofErr w:type="spellEnd"/>
      <w:r>
        <w:t xml:space="preserve"> Reform"</w:t>
      </w:r>
      <w:bookmarkEnd w:id="10"/>
    </w:p>
    <w:p w14:paraId="7DDF8CED" w14:textId="77777777" w:rsidR="00643D86" w:rsidRDefault="00446022" w:rsidP="00643D86">
      <w:pPr>
        <w:rPr>
          <w:lang w:val="en-US"/>
        </w:rPr>
      </w:pPr>
      <w:r>
        <w:rPr>
          <w:noProof/>
          <w:lang w:val="en-US"/>
        </w:rPr>
        <w:t>9559</w:t>
      </w:r>
      <w:r>
        <w:rPr>
          <w:lang w:val="en-US"/>
        </w:rPr>
        <w:t>/14 UD 133</w:t>
      </w:r>
    </w:p>
    <w:p w14:paraId="46A608D1" w14:textId="77777777" w:rsidR="0046119C" w:rsidRDefault="00446022" w:rsidP="0046119C">
      <w:r>
        <w:rPr>
          <w:b/>
        </w:rPr>
        <w:t>Ansvarigt statsråd</w:t>
      </w:r>
      <w:r>
        <w:rPr>
          <w:b/>
        </w:rPr>
        <w:br/>
      </w:r>
      <w:r>
        <w:rPr>
          <w:noProof/>
        </w:rPr>
        <w:t>Anders</w:t>
      </w:r>
      <w:r>
        <w:t xml:space="preserve"> Borg</w:t>
      </w:r>
    </w:p>
    <w:p w14:paraId="7DDF8CF2" w14:textId="2BAE8E33" w:rsidR="00E90366" w:rsidRDefault="00446022" w:rsidP="0046119C">
      <w:r>
        <w:rPr>
          <w:b/>
          <w:bCs/>
        </w:rPr>
        <w:t>Avsikt med behandlingen i rådet:</w:t>
      </w:r>
      <w:r>
        <w:t xml:space="preserve"> Rådet ska anta rådsslutsatser. </w:t>
      </w:r>
    </w:p>
    <w:p w14:paraId="7DDF8CF4" w14:textId="5BEA7AD8" w:rsidR="00E90366" w:rsidRDefault="00446022" w:rsidP="0046119C">
      <w:pPr>
        <w:spacing w:after="280" w:afterAutospacing="1"/>
      </w:pPr>
      <w:r>
        <w:rPr>
          <w:b/>
          <w:bCs/>
        </w:rPr>
        <w:t>Hur regeringen ställer sig till den blivande A-punkten:</w:t>
      </w:r>
      <w:r>
        <w:t xml:space="preserve"> Regeringen kan ställa sig bakom rådsslutsatserna. </w:t>
      </w:r>
    </w:p>
    <w:p w14:paraId="7DDF8CF6" w14:textId="051A03D6" w:rsidR="00E90366" w:rsidRDefault="00446022" w:rsidP="0046119C">
      <w:pPr>
        <w:spacing w:after="280" w:afterAutospacing="1"/>
      </w:pPr>
      <w:r>
        <w:rPr>
          <w:b/>
          <w:bCs/>
        </w:rPr>
        <w:t>Bakgrund:</w:t>
      </w:r>
      <w:r w:rsidR="0046119C">
        <w:t xml:space="preserve"> </w:t>
      </w:r>
      <w:r>
        <w:t xml:space="preserve">Kommissionen lämnade den 21 december 2012 ett meddelande rörande tullunionens tillstånd. Detta meddelande presenterades i rådsarbetsgruppen för tullunionen den 6 februari 2013. Därefter har diskussioner förts i olika forum om reformering av styrningen och förslag till rådsslutssatser har behandlats i tullunionsgruppen. </w:t>
      </w:r>
    </w:p>
    <w:p w14:paraId="7DDF8CF7" w14:textId="77777777" w:rsidR="00E90366" w:rsidRDefault="00446022">
      <w:pPr>
        <w:spacing w:after="280" w:afterAutospacing="1"/>
      </w:pPr>
      <w:r>
        <w:t>Förslaget till rådsslutsatser slår fast att reformeringen av tullunionen syftar till en tydligare styrning och att de befintliga strukturerna i huvudsak fungerar väl men kan förbättras. Vidare ska en studie genomföras för att undersöka om fokus på tullfrågor kan förstärkas inom rådsstrukturen.</w:t>
      </w:r>
    </w:p>
    <w:p w14:paraId="7DDF8CF9" w14:textId="4D2CE1C1" w:rsidR="00FB32B9" w:rsidRDefault="00446022">
      <w:pPr>
        <w:spacing w:after="280" w:afterAutospacing="1"/>
        <w:rPr>
          <w:noProof/>
        </w:rPr>
      </w:pPr>
      <w:r>
        <w:lastRenderedPageBreak/>
        <w:t xml:space="preserve">Bedömningen är att det råder en god balans mellan behov av kontroll, regelförenklingar för näringslivet och insikt om det ekonomiska läget hos medlemsstaterna och i unionen. </w:t>
      </w:r>
    </w:p>
    <w:p w14:paraId="7DDF8CFA" w14:textId="77777777" w:rsidR="00643D86" w:rsidRDefault="00446022" w:rsidP="00643D86">
      <w:pPr>
        <w:pStyle w:val="Rubrik1"/>
      </w:pPr>
      <w:bookmarkStart w:id="11" w:name="_Toc387906310"/>
      <w:r>
        <w:rPr>
          <w:noProof/>
        </w:rPr>
        <w:t>Council</w:t>
      </w:r>
      <w:r>
        <w:t xml:space="preserve"> Decision on the </w:t>
      </w:r>
      <w:proofErr w:type="spellStart"/>
      <w:r>
        <w:t>conclusion</w:t>
      </w:r>
      <w:proofErr w:type="spellEnd"/>
      <w:r>
        <w:t xml:space="preserve"> </w:t>
      </w:r>
      <w:proofErr w:type="spellStart"/>
      <w:r>
        <w:t>of</w:t>
      </w:r>
      <w:proofErr w:type="spellEnd"/>
      <w:r>
        <w:t xml:space="preserve"> the </w:t>
      </w:r>
      <w:proofErr w:type="spellStart"/>
      <w:r>
        <w:t>Agreement</w:t>
      </w:r>
      <w:proofErr w:type="spellEnd"/>
      <w:r>
        <w:t xml:space="preserve"> on </w:t>
      </w:r>
      <w:proofErr w:type="spellStart"/>
      <w:r>
        <w:t>certain</w:t>
      </w:r>
      <w:proofErr w:type="spellEnd"/>
      <w:r>
        <w:t xml:space="preserve"> </w:t>
      </w:r>
      <w:proofErr w:type="spellStart"/>
      <w:r>
        <w:t>aspects</w:t>
      </w:r>
      <w:proofErr w:type="spellEnd"/>
      <w:r>
        <w:t xml:space="preserve"> </w:t>
      </w:r>
      <w:proofErr w:type="spellStart"/>
      <w:r>
        <w:t>of</w:t>
      </w:r>
      <w:proofErr w:type="spellEnd"/>
      <w:r>
        <w:t xml:space="preserve"> air services </w:t>
      </w:r>
      <w:proofErr w:type="spellStart"/>
      <w:r>
        <w:t>between</w:t>
      </w:r>
      <w:proofErr w:type="spellEnd"/>
      <w:r>
        <w:t xml:space="preserve"> the </w:t>
      </w:r>
      <w:proofErr w:type="spellStart"/>
      <w:r>
        <w:t>European</w:t>
      </w:r>
      <w:proofErr w:type="spellEnd"/>
      <w:r>
        <w:t xml:space="preserve"> Union and the </w:t>
      </w:r>
      <w:proofErr w:type="spellStart"/>
      <w:r>
        <w:t>Government</w:t>
      </w:r>
      <w:proofErr w:type="spellEnd"/>
      <w:r>
        <w:t xml:space="preserve"> </w:t>
      </w:r>
      <w:proofErr w:type="spellStart"/>
      <w:r>
        <w:t>of</w:t>
      </w:r>
      <w:proofErr w:type="spellEnd"/>
      <w:r>
        <w:t xml:space="preserve"> the </w:t>
      </w:r>
      <w:proofErr w:type="spellStart"/>
      <w:r>
        <w:t>Democratic</w:t>
      </w:r>
      <w:proofErr w:type="spellEnd"/>
      <w:r>
        <w:t xml:space="preserve"> Socialist </w:t>
      </w:r>
      <w:proofErr w:type="spellStart"/>
      <w:r>
        <w:t>Republic</w:t>
      </w:r>
      <w:proofErr w:type="spellEnd"/>
      <w:r>
        <w:t xml:space="preserve"> </w:t>
      </w:r>
      <w:proofErr w:type="spellStart"/>
      <w:r>
        <w:t>of</w:t>
      </w:r>
      <w:proofErr w:type="spellEnd"/>
      <w:r>
        <w:t xml:space="preserve"> Sri Lanka</w:t>
      </w:r>
      <w:bookmarkEnd w:id="11"/>
    </w:p>
    <w:p w14:paraId="7DDF8CFB" w14:textId="77777777" w:rsidR="00643D86" w:rsidRDefault="00446022" w:rsidP="00643D86">
      <w:pPr>
        <w:rPr>
          <w:lang w:val="en-US"/>
        </w:rPr>
      </w:pPr>
      <w:r>
        <w:rPr>
          <w:noProof/>
          <w:lang w:val="en-US"/>
        </w:rPr>
        <w:t>6077</w:t>
      </w:r>
      <w:r>
        <w:rPr>
          <w:lang w:val="en-US"/>
        </w:rPr>
        <w:t xml:space="preserve">/14 AVIATION 30 RELEX 84 ASIE 13 5443/14 AVIATION 41 </w:t>
      </w:r>
    </w:p>
    <w:p w14:paraId="7DDF8CFF" w14:textId="722869FA" w:rsidR="00643D86" w:rsidRDefault="00446022" w:rsidP="0046119C">
      <w:r>
        <w:rPr>
          <w:b/>
        </w:rPr>
        <w:t>Ansvarigt statsråd</w:t>
      </w:r>
      <w:r>
        <w:rPr>
          <w:b/>
        </w:rPr>
        <w:br/>
      </w:r>
      <w:r>
        <w:rPr>
          <w:noProof/>
        </w:rPr>
        <w:t>Catharina</w:t>
      </w:r>
      <w:r>
        <w:t xml:space="preserve"> Elmsäter-Svärd</w:t>
      </w:r>
    </w:p>
    <w:p w14:paraId="7DDF8D01" w14:textId="2D9C1A63" w:rsidR="00E90366" w:rsidRDefault="00446022" w:rsidP="0046119C">
      <w:pPr>
        <w:spacing w:after="280" w:afterAutospacing="1"/>
      </w:pPr>
      <w:r>
        <w:rPr>
          <w:b/>
          <w:bCs/>
        </w:rPr>
        <w:t>Avsikt med behandlingen i rådet:</w:t>
      </w:r>
      <w:r>
        <w:t xml:space="preserve"> Antagande av den kroatiska språkversionen. </w:t>
      </w:r>
    </w:p>
    <w:p w14:paraId="7DDF8D03" w14:textId="0BE46001" w:rsidR="00E90366" w:rsidRDefault="00446022" w:rsidP="0046119C">
      <w:pPr>
        <w:spacing w:after="280" w:afterAutospacing="1"/>
      </w:pPr>
      <w:r>
        <w:rPr>
          <w:b/>
          <w:bCs/>
        </w:rPr>
        <w:t>Hur regeringen ställer sig till den blivande A-punkten:</w:t>
      </w:r>
      <w:r>
        <w:t xml:space="preserve"> Regeringen avser rösta ja till att rådet godkänner den kroatiska språkversionen. </w:t>
      </w:r>
    </w:p>
    <w:p w14:paraId="7DDF8D06" w14:textId="6040E9F3" w:rsidR="00FB32B9" w:rsidRDefault="00446022">
      <w:pPr>
        <w:spacing w:after="280" w:afterAutospacing="1"/>
        <w:rPr>
          <w:noProof/>
        </w:rPr>
      </w:pPr>
      <w:r>
        <w:rPr>
          <w:b/>
          <w:bCs/>
        </w:rPr>
        <w:t xml:space="preserve">Bakgrund: </w:t>
      </w:r>
      <w:r>
        <w:t xml:space="preserve">1. Det </w:t>
      </w:r>
      <w:proofErr w:type="gramStart"/>
      <w:r>
        <w:t>ovannämnda</w:t>
      </w:r>
      <w:proofErr w:type="gramEnd"/>
      <w:r>
        <w:t xml:space="preserve"> avtalet är ett resultat av kommissionens förhandlingsaktiviteter under det s.k. horisontella mandatet, enligt vilket kommissionen får förhandla med varje tredje land i syfte att bringa medlemsstaternas bilaterala luftfartsavtal med berört tredje land i överensstämmelse med unionsrätten. </w:t>
      </w:r>
      <w:r>
        <w:br/>
        <w:t>2. Rådet fattade beslut om undertecknande och provisorisk tillämpning av avtalet den 10 maj 2012 och avtalet undertecknades den 27 september samma år. Den 15 juli 2013 antog rådet ett beslut om ingående av avtalet.</w:t>
      </w:r>
      <w:r>
        <w:br/>
        <w:t>3. Den kroatiska språkversionen av beslutet, vilken inte framställdes före antagandet av beslut om ingående av avtal, finns nu tillgängligt.</w:t>
      </w:r>
      <w:r>
        <w:br/>
        <w:t>4. Rådets beslut nu innebär att den kroatiska språkversionen godkänns.</w:t>
      </w:r>
    </w:p>
    <w:p w14:paraId="7DDF8D07" w14:textId="77777777" w:rsidR="00643D86" w:rsidRDefault="00446022" w:rsidP="00643D86">
      <w:pPr>
        <w:pStyle w:val="Rubrik1"/>
      </w:pPr>
      <w:bookmarkStart w:id="12" w:name="_Toc387906311"/>
      <w:r>
        <w:rPr>
          <w:noProof/>
        </w:rPr>
        <w:t>Council</w:t>
      </w:r>
      <w:r>
        <w:t xml:space="preserve"> Decision on the </w:t>
      </w:r>
      <w:proofErr w:type="spellStart"/>
      <w:r>
        <w:t>conclusion</w:t>
      </w:r>
      <w:proofErr w:type="spellEnd"/>
      <w:r>
        <w:t xml:space="preserve"> </w:t>
      </w:r>
      <w:proofErr w:type="spellStart"/>
      <w:r>
        <w:t>of</w:t>
      </w:r>
      <w:proofErr w:type="spellEnd"/>
      <w:r>
        <w:t xml:space="preserve"> the </w:t>
      </w:r>
      <w:proofErr w:type="spellStart"/>
      <w:r>
        <w:t>Agreement</w:t>
      </w:r>
      <w:proofErr w:type="spellEnd"/>
      <w:r>
        <w:t xml:space="preserve"> </w:t>
      </w:r>
      <w:proofErr w:type="spellStart"/>
      <w:r>
        <w:t>between</w:t>
      </w:r>
      <w:proofErr w:type="spellEnd"/>
      <w:r>
        <w:t xml:space="preserve"> the </w:t>
      </w:r>
      <w:proofErr w:type="spellStart"/>
      <w:r>
        <w:t>European</w:t>
      </w:r>
      <w:proofErr w:type="spellEnd"/>
      <w:r>
        <w:t xml:space="preserve"> Union and the </w:t>
      </w:r>
      <w:proofErr w:type="spellStart"/>
      <w:r>
        <w:t>European</w:t>
      </w:r>
      <w:proofErr w:type="spellEnd"/>
      <w:r>
        <w:t xml:space="preserve"> Organisation for the </w:t>
      </w:r>
      <w:proofErr w:type="spellStart"/>
      <w:r>
        <w:t>Safety</w:t>
      </w:r>
      <w:proofErr w:type="spellEnd"/>
      <w:r>
        <w:t xml:space="preserve"> </w:t>
      </w:r>
      <w:proofErr w:type="spellStart"/>
      <w:r>
        <w:t>of</w:t>
      </w:r>
      <w:proofErr w:type="spellEnd"/>
      <w:r>
        <w:t xml:space="preserve"> Air Navigation </w:t>
      </w:r>
      <w:proofErr w:type="spellStart"/>
      <w:r>
        <w:t>providing</w:t>
      </w:r>
      <w:proofErr w:type="spellEnd"/>
      <w:r>
        <w:t xml:space="preserve"> a general </w:t>
      </w:r>
      <w:proofErr w:type="spellStart"/>
      <w:r>
        <w:t>framework</w:t>
      </w:r>
      <w:proofErr w:type="spellEnd"/>
      <w:r>
        <w:t xml:space="preserve"> for </w:t>
      </w:r>
      <w:proofErr w:type="spellStart"/>
      <w:r>
        <w:t>enhanced</w:t>
      </w:r>
      <w:proofErr w:type="spellEnd"/>
      <w:r>
        <w:t xml:space="preserve"> </w:t>
      </w:r>
      <w:proofErr w:type="spellStart"/>
      <w:r>
        <w:t>cooperation</w:t>
      </w:r>
      <w:bookmarkEnd w:id="12"/>
      <w:proofErr w:type="spellEnd"/>
    </w:p>
    <w:p w14:paraId="7DDF8D08" w14:textId="32738A79" w:rsidR="00643D86" w:rsidRDefault="00446022" w:rsidP="00643D86">
      <w:pPr>
        <w:rPr>
          <w:lang w:val="en-US"/>
        </w:rPr>
      </w:pPr>
      <w:r>
        <w:rPr>
          <w:noProof/>
          <w:lang w:val="en-US"/>
        </w:rPr>
        <w:t>6080</w:t>
      </w:r>
      <w:r>
        <w:rPr>
          <w:lang w:val="en-US"/>
        </w:rPr>
        <w:t>/14 AVIATION 31</w:t>
      </w:r>
      <w:r w:rsidR="0046119C">
        <w:rPr>
          <w:lang w:val="en-US"/>
        </w:rPr>
        <w:t xml:space="preserve"> </w:t>
      </w:r>
      <w:r>
        <w:rPr>
          <w:lang w:val="en-US"/>
        </w:rPr>
        <w:t>5444/14 AVIATION 41</w:t>
      </w:r>
    </w:p>
    <w:p w14:paraId="7DDF8D09" w14:textId="77777777" w:rsidR="00643D86" w:rsidRDefault="00446022" w:rsidP="00643D86">
      <w:r>
        <w:rPr>
          <w:b/>
        </w:rPr>
        <w:t>Ansvarigt statsråd</w:t>
      </w:r>
      <w:r>
        <w:rPr>
          <w:b/>
        </w:rPr>
        <w:br/>
      </w:r>
      <w:r>
        <w:rPr>
          <w:noProof/>
        </w:rPr>
        <w:t>Catharina</w:t>
      </w:r>
      <w:r>
        <w:t xml:space="preserve"> Elmsäter-Svärd</w:t>
      </w:r>
    </w:p>
    <w:p w14:paraId="7DDF8D0A" w14:textId="77777777" w:rsidR="00643D86" w:rsidRPr="00643D86" w:rsidRDefault="00446022" w:rsidP="00643D86">
      <w:r w:rsidRPr="00643D86">
        <w:rPr>
          <w:b/>
        </w:rPr>
        <w:t>Tidigare behandling i riksdagen</w:t>
      </w:r>
      <w:r>
        <w:rPr>
          <w:b/>
        </w:rPr>
        <w:br/>
      </w:r>
      <w:r>
        <w:rPr>
          <w:noProof/>
        </w:rPr>
        <w:t>2013-02-08</w:t>
      </w:r>
    </w:p>
    <w:p w14:paraId="7DDF8D0C" w14:textId="7F301C35" w:rsidR="00643D86" w:rsidRDefault="00446022" w:rsidP="0046119C">
      <w:r w:rsidRPr="00643D86">
        <w:rPr>
          <w:b/>
        </w:rPr>
        <w:t>Tidigare behandling vid rådsmöte</w:t>
      </w:r>
      <w:r>
        <w:rPr>
          <w:b/>
        </w:rPr>
        <w:br/>
      </w:r>
      <w:r>
        <w:rPr>
          <w:noProof/>
        </w:rPr>
        <w:t>2013-02-12</w:t>
      </w:r>
    </w:p>
    <w:p w14:paraId="7DDF8D0E" w14:textId="4948F9D1" w:rsidR="00E90366" w:rsidRDefault="00446022">
      <w:pPr>
        <w:spacing w:after="280" w:afterAutospacing="1"/>
      </w:pPr>
      <w:r>
        <w:rPr>
          <w:b/>
          <w:bCs/>
        </w:rPr>
        <w:t xml:space="preserve">Avsikt med behandlingen i rådet: </w:t>
      </w:r>
      <w:r>
        <w:t>Att besluta en kroatisk språkversion av befintligt avtal. </w:t>
      </w:r>
    </w:p>
    <w:p w14:paraId="7DDF8D10" w14:textId="0EBCECD6" w:rsidR="00E90366" w:rsidRDefault="00446022">
      <w:pPr>
        <w:spacing w:after="280" w:afterAutospacing="1"/>
      </w:pPr>
      <w:r>
        <w:rPr>
          <w:b/>
          <w:bCs/>
        </w:rPr>
        <w:t>Hur regeringen ställer sig till den blivande A-punkten:</w:t>
      </w:r>
      <w:r>
        <w:t xml:space="preserve"> Regeringen avser att rösta ja till förslaget. </w:t>
      </w:r>
    </w:p>
    <w:p w14:paraId="7DDF8D13" w14:textId="702DBEE9" w:rsidR="00FB32B9" w:rsidRDefault="00446022">
      <w:pPr>
        <w:spacing w:after="280" w:afterAutospacing="1"/>
        <w:rPr>
          <w:noProof/>
        </w:rPr>
      </w:pPr>
      <w:r>
        <w:rPr>
          <w:b/>
          <w:bCs/>
        </w:rPr>
        <w:t>Bakgrund:</w:t>
      </w:r>
      <w:r w:rsidR="0046119C">
        <w:rPr>
          <w:b/>
          <w:bCs/>
        </w:rPr>
        <w:t xml:space="preserve"> </w:t>
      </w:r>
      <w:r>
        <w:t xml:space="preserve">Ett avtal om fördjupat samarbete finns sedan 2013 upprättat mellan EU och EUROCONTROL. Avtalet rör främst utvecklingsarbete kring flygtrafikledning. Någon </w:t>
      </w:r>
      <w:r>
        <w:lastRenderedPageBreak/>
        <w:t xml:space="preserve">kroatisk språkversion fanns inte av avtalet när det upprättades. En sådan har emellertid upprättats nu. </w:t>
      </w:r>
    </w:p>
    <w:p w14:paraId="7DDF8D15" w14:textId="2F9048EE" w:rsidR="00643D86" w:rsidRPr="00664119" w:rsidRDefault="00446022" w:rsidP="00446022">
      <w:pPr>
        <w:pStyle w:val="Rubrik1"/>
      </w:pPr>
      <w:bookmarkStart w:id="13" w:name="_Toc387906312"/>
      <w:r w:rsidRPr="00664119">
        <w:rPr>
          <w:noProof/>
        </w:rPr>
        <w:t>Case</w:t>
      </w:r>
      <w:r w:rsidRPr="00664119">
        <w:t xml:space="preserve"> </w:t>
      </w:r>
      <w:proofErr w:type="spellStart"/>
      <w:r w:rsidRPr="00664119">
        <w:t>before</w:t>
      </w:r>
      <w:proofErr w:type="spellEnd"/>
      <w:r w:rsidRPr="00664119">
        <w:t xml:space="preserve"> the Court </w:t>
      </w:r>
      <w:proofErr w:type="spellStart"/>
      <w:r w:rsidRPr="00664119">
        <w:t>of</w:t>
      </w:r>
      <w:proofErr w:type="spellEnd"/>
      <w:r w:rsidRPr="00664119">
        <w:t xml:space="preserve"> </w:t>
      </w:r>
      <w:proofErr w:type="spellStart"/>
      <w:r w:rsidRPr="00664119">
        <w:t>Justice</w:t>
      </w:r>
      <w:proofErr w:type="spellEnd"/>
      <w:r w:rsidRPr="00664119">
        <w:t xml:space="preserve"> </w:t>
      </w:r>
      <w:proofErr w:type="spellStart"/>
      <w:r w:rsidRPr="00664119">
        <w:t>of</w:t>
      </w:r>
      <w:proofErr w:type="spellEnd"/>
      <w:r w:rsidRPr="00664119">
        <w:t xml:space="preserve"> the </w:t>
      </w:r>
      <w:proofErr w:type="spellStart"/>
      <w:r w:rsidRPr="00664119">
        <w:t>European</w:t>
      </w:r>
      <w:proofErr w:type="spellEnd"/>
      <w:r w:rsidRPr="00664119">
        <w:t xml:space="preserve"> Union</w:t>
      </w:r>
      <w:r w:rsidR="0046119C" w:rsidRPr="00664119">
        <w:t xml:space="preserve"> </w:t>
      </w:r>
      <w:r w:rsidRPr="00664119">
        <w:t xml:space="preserve">Case C-113/14 (Federal </w:t>
      </w:r>
      <w:proofErr w:type="spellStart"/>
      <w:r w:rsidRPr="00664119">
        <w:t>Republic</w:t>
      </w:r>
      <w:proofErr w:type="spellEnd"/>
      <w:r w:rsidRPr="00664119">
        <w:t xml:space="preserve"> </w:t>
      </w:r>
      <w:proofErr w:type="spellStart"/>
      <w:r w:rsidRPr="00664119">
        <w:t>of</w:t>
      </w:r>
      <w:proofErr w:type="spellEnd"/>
      <w:r w:rsidRPr="00664119">
        <w:t xml:space="preserve"> </w:t>
      </w:r>
      <w:proofErr w:type="spellStart"/>
      <w:r w:rsidRPr="00664119">
        <w:t>Germany</w:t>
      </w:r>
      <w:proofErr w:type="spellEnd"/>
      <w:r w:rsidRPr="00664119">
        <w:t xml:space="preserve"> v. </w:t>
      </w:r>
      <w:proofErr w:type="spellStart"/>
      <w:r w:rsidRPr="00664119">
        <w:t>European</w:t>
      </w:r>
      <w:proofErr w:type="spellEnd"/>
      <w:r w:rsidRPr="00664119">
        <w:t xml:space="preserve"> </w:t>
      </w:r>
      <w:proofErr w:type="spellStart"/>
      <w:r w:rsidRPr="00664119">
        <w:t>Parliament</w:t>
      </w:r>
      <w:proofErr w:type="spellEnd"/>
      <w:r w:rsidRPr="00664119">
        <w:t xml:space="preserve"> and Council </w:t>
      </w:r>
      <w:proofErr w:type="spellStart"/>
      <w:r w:rsidRPr="00664119">
        <w:t>of</w:t>
      </w:r>
      <w:proofErr w:type="spellEnd"/>
      <w:r w:rsidRPr="00664119">
        <w:t xml:space="preserve"> the </w:t>
      </w:r>
      <w:proofErr w:type="spellStart"/>
      <w:r w:rsidRPr="00664119">
        <w:t>European</w:t>
      </w:r>
      <w:proofErr w:type="spellEnd"/>
      <w:r w:rsidRPr="00664119">
        <w:t xml:space="preserve"> Union)</w:t>
      </w:r>
      <w:bookmarkEnd w:id="13"/>
    </w:p>
    <w:p w14:paraId="7DDF8D16" w14:textId="77777777" w:rsidR="00643D86" w:rsidRPr="00664119" w:rsidRDefault="00446022" w:rsidP="00643D86">
      <w:pPr>
        <w:rPr>
          <w:lang w:val="en-US"/>
        </w:rPr>
      </w:pPr>
      <w:r w:rsidRPr="00664119">
        <w:rPr>
          <w:noProof/>
          <w:lang w:val="en-US"/>
        </w:rPr>
        <w:t>9782</w:t>
      </w:r>
      <w:r w:rsidRPr="00664119">
        <w:rPr>
          <w:lang w:val="en-US"/>
        </w:rPr>
        <w:t>/14 JUR 294 AGRI 357 AGRIFIN 76 AGRIORG 83 CODEC 1277</w:t>
      </w:r>
    </w:p>
    <w:p w14:paraId="7DDF8D17" w14:textId="77777777" w:rsidR="00643D86" w:rsidRPr="00664119" w:rsidRDefault="00446022" w:rsidP="00643D86">
      <w:r w:rsidRPr="00664119">
        <w:rPr>
          <w:b/>
        </w:rPr>
        <w:t>Ansvarigt statsråd</w:t>
      </w:r>
      <w:r w:rsidRPr="00664119">
        <w:rPr>
          <w:b/>
        </w:rPr>
        <w:br/>
      </w:r>
      <w:r w:rsidRPr="00664119">
        <w:rPr>
          <w:noProof/>
        </w:rPr>
        <w:t>Eskil</w:t>
      </w:r>
      <w:r w:rsidRPr="00664119">
        <w:t xml:space="preserve"> Erlandsson</w:t>
      </w:r>
    </w:p>
    <w:p w14:paraId="3F6FB503" w14:textId="00039C77" w:rsidR="00664119" w:rsidRPr="00664119" w:rsidRDefault="00664119" w:rsidP="00664119">
      <w:pPr>
        <w:pStyle w:val="Normalwebb"/>
        <w:shd w:val="clear" w:color="auto" w:fill="FFFFFF"/>
        <w:ind w:left="714"/>
        <w:textAlignment w:val="top"/>
        <w:rPr>
          <w:rFonts w:eastAsia="Calibri"/>
          <w:noProof/>
          <w:sz w:val="22"/>
          <w:szCs w:val="22"/>
          <w:lang w:val="en-US" w:eastAsia="en-US"/>
        </w:rPr>
      </w:pPr>
      <w:r w:rsidRPr="00664119">
        <w:rPr>
          <w:rFonts w:eastAsia="Calibri"/>
          <w:b/>
          <w:noProof/>
          <w:sz w:val="22"/>
          <w:szCs w:val="22"/>
          <w:lang w:val="en-US" w:eastAsia="en-US"/>
        </w:rPr>
        <w:t>Avsikt med behandlingen i rådet:</w:t>
      </w:r>
      <w:r w:rsidRPr="00664119">
        <w:rPr>
          <w:rFonts w:eastAsia="Calibri"/>
          <w:noProof/>
          <w:sz w:val="22"/>
          <w:szCs w:val="22"/>
          <w:lang w:val="en-US" w:eastAsia="en-US"/>
        </w:rPr>
        <w:t xml:space="preserve"> Frågan tas för information och genom att ta not bekräftar medlemsstaterna att de stödjer RRT:s förslag.</w:t>
      </w:r>
    </w:p>
    <w:p w14:paraId="3B8011AD" w14:textId="77777777" w:rsidR="00664119" w:rsidRPr="00664119" w:rsidRDefault="00664119" w:rsidP="00664119">
      <w:pPr>
        <w:pStyle w:val="Normalwebb"/>
        <w:shd w:val="clear" w:color="auto" w:fill="FFFFFF"/>
        <w:ind w:left="714"/>
        <w:textAlignment w:val="top"/>
        <w:rPr>
          <w:rFonts w:eastAsia="Calibri"/>
          <w:noProof/>
          <w:sz w:val="22"/>
          <w:szCs w:val="22"/>
          <w:lang w:val="en-US" w:eastAsia="en-US"/>
        </w:rPr>
      </w:pPr>
      <w:r w:rsidRPr="00664119">
        <w:rPr>
          <w:rFonts w:eastAsia="Calibri"/>
          <w:b/>
          <w:noProof/>
          <w:sz w:val="22"/>
          <w:szCs w:val="22"/>
          <w:lang w:val="en-US" w:eastAsia="en-US"/>
        </w:rPr>
        <w:t>Hur regeringen ställer sig till den blivande A-punkten:</w:t>
      </w:r>
      <w:r w:rsidRPr="00664119">
        <w:rPr>
          <w:rFonts w:eastAsia="Calibri"/>
          <w:noProof/>
          <w:sz w:val="22"/>
          <w:szCs w:val="22"/>
          <w:lang w:val="en-US" w:eastAsia="en-US"/>
        </w:rPr>
        <w:t xml:space="preserve"> Regeringen tar not och har inget att erinra.</w:t>
      </w:r>
    </w:p>
    <w:p w14:paraId="3B32EEAB" w14:textId="77777777" w:rsidR="00664119" w:rsidRPr="00664119" w:rsidRDefault="00664119" w:rsidP="00664119">
      <w:pPr>
        <w:pStyle w:val="Normalwebb"/>
        <w:shd w:val="clear" w:color="auto" w:fill="FFFFFF"/>
        <w:ind w:left="714"/>
        <w:textAlignment w:val="top"/>
        <w:rPr>
          <w:rFonts w:eastAsia="Calibri"/>
          <w:noProof/>
          <w:sz w:val="22"/>
          <w:szCs w:val="22"/>
          <w:lang w:val="en-US" w:eastAsia="en-US"/>
        </w:rPr>
      </w:pPr>
      <w:r w:rsidRPr="00664119">
        <w:rPr>
          <w:rFonts w:eastAsia="Calibri"/>
          <w:b/>
          <w:noProof/>
          <w:sz w:val="22"/>
          <w:szCs w:val="22"/>
          <w:lang w:val="en-US" w:eastAsia="en-US"/>
        </w:rPr>
        <w:t>Bakgrund:</w:t>
      </w:r>
      <w:r w:rsidRPr="00664119">
        <w:rPr>
          <w:rFonts w:eastAsia="Calibri"/>
          <w:noProof/>
          <w:sz w:val="22"/>
          <w:szCs w:val="22"/>
          <w:lang w:val="en-US" w:eastAsia="en-US"/>
        </w:rPr>
        <w:t xml:space="preserve"> Sverige röstade ja till förordning 1308/2013 om den enda marknadsordningen som var en del av den stora uppgörelsen om EU:s jordbrukspolitik förra året. Förordningen antogs i enlighet med det ordinarie lagstiftningsförfarndet med artikel 43.2 i EUF-fördraget som rättslig grund. Tyskland som avstod från att rösta, har begärt ogiltigförklaring av den rättsliga grunden för artikel 7 i förordningen, eftersom de anser att den rör fastställande av referenspriser och därför borde beslutats av rådet med artikel 43.3 i EUF-fördraget som rättslig grund. Regeringen har alltid delat Tysklands åsikt om den rättsliga grunden för referenspriserna, men ansåg sig tvungen att kompromissa för att medverka till en uppgörelse 2013. Rådet är en av motparterna till Tyskland i detta mål. RRT:s rekommendation är att rådet inte yrkar på att talan ogillas utan överlämnar bedömningen till EU-domstolen.</w:t>
      </w:r>
    </w:p>
    <w:p w14:paraId="7DDF8D1A" w14:textId="77777777" w:rsidR="00643D86" w:rsidRDefault="000D2C88" w:rsidP="00643D86"/>
    <w:bookmarkEnd w:id="1"/>
    <w:p w14:paraId="7DDF8D1B" w14:textId="77777777" w:rsidR="00643D86" w:rsidRPr="00643D86" w:rsidRDefault="000D2C88"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F8D2D" w14:textId="77777777" w:rsidR="00215AE4" w:rsidRDefault="00446022">
      <w:pPr>
        <w:spacing w:after="0" w:line="240" w:lineRule="auto"/>
      </w:pPr>
      <w:r>
        <w:separator/>
      </w:r>
    </w:p>
  </w:endnote>
  <w:endnote w:type="continuationSeparator" w:id="0">
    <w:p w14:paraId="7DDF8D2F" w14:textId="77777777" w:rsidR="00215AE4" w:rsidRDefault="0044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F8D29" w14:textId="77777777" w:rsidR="00215AE4" w:rsidRDefault="00446022">
      <w:pPr>
        <w:spacing w:after="0" w:line="240" w:lineRule="auto"/>
      </w:pPr>
      <w:r>
        <w:separator/>
      </w:r>
    </w:p>
  </w:footnote>
  <w:footnote w:type="continuationSeparator" w:id="0">
    <w:p w14:paraId="7DDF8D2B" w14:textId="77777777" w:rsidR="00215AE4" w:rsidRDefault="00446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692684"/>
      <w:docPartObj>
        <w:docPartGallery w:val="Page Numbers (Top of Page)"/>
        <w:docPartUnique/>
      </w:docPartObj>
    </w:sdtPr>
    <w:sdtEndPr/>
    <w:sdtContent>
      <w:p w14:paraId="7F53AE99" w14:textId="5C22C3B3" w:rsidR="00446022" w:rsidRDefault="00446022">
        <w:pPr>
          <w:pStyle w:val="Sidhuvud"/>
          <w:jc w:val="right"/>
        </w:pPr>
        <w:r>
          <w:fldChar w:fldCharType="begin"/>
        </w:r>
        <w:r>
          <w:instrText>PAGE   \* MERGEFORMAT</w:instrText>
        </w:r>
        <w:r>
          <w:fldChar w:fldCharType="separate"/>
        </w:r>
        <w:r w:rsidR="00013FC3">
          <w:rPr>
            <w:noProof/>
          </w:rPr>
          <w:t>2</w:t>
        </w:r>
        <w:r>
          <w:fldChar w:fldCharType="end"/>
        </w:r>
      </w:p>
    </w:sdtContent>
  </w:sdt>
  <w:p w14:paraId="7DDF8D1D" w14:textId="77777777" w:rsidR="006F1C0D" w:rsidRDefault="000D2C8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90366" w14:paraId="7DDF8D23" w14:textId="77777777" w:rsidTr="006E71D7">
      <w:tc>
        <w:tcPr>
          <w:tcW w:w="4606" w:type="dxa"/>
        </w:tcPr>
        <w:p w14:paraId="7DDF8D1E" w14:textId="77777777" w:rsidR="006E71D7" w:rsidRDefault="00446022" w:rsidP="00752770">
          <w:pPr>
            <w:pStyle w:val="Sidhuvud"/>
            <w:ind w:left="0"/>
          </w:pPr>
          <w:r>
            <w:rPr>
              <w:noProof/>
              <w:lang w:eastAsia="sv-SE"/>
            </w:rPr>
            <w:drawing>
              <wp:inline distT="0" distB="0" distL="0" distR="0" wp14:anchorId="7DDF8D29" wp14:editId="7DDF8D2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DDF8D1F" w14:textId="77777777" w:rsidR="00FB32B9" w:rsidRDefault="000D2C88" w:rsidP="00FB32B9">
          <w:pPr>
            <w:ind w:right="916"/>
            <w:rPr>
              <w:rFonts w:ascii="TradeGothic" w:hAnsi="TradeGothic"/>
              <w:b/>
            </w:rPr>
          </w:pPr>
        </w:p>
        <w:p w14:paraId="7DDF8D20" w14:textId="77777777" w:rsidR="00FB32B9" w:rsidRDefault="00446022" w:rsidP="00FB32B9">
          <w:pPr>
            <w:ind w:right="916"/>
          </w:pPr>
          <w:r>
            <w:rPr>
              <w:rFonts w:ascii="TradeGothic" w:hAnsi="TradeGothic"/>
              <w:b/>
            </w:rPr>
            <w:t>Promemoria</w:t>
          </w:r>
        </w:p>
        <w:p w14:paraId="7DDF8D21" w14:textId="77777777" w:rsidR="00FB32B9" w:rsidRDefault="000D2C88" w:rsidP="00FB32B9">
          <w:pPr>
            <w:jc w:val="right"/>
          </w:pPr>
        </w:p>
        <w:p w14:paraId="7DDF8D22" w14:textId="629C68B9" w:rsidR="006E71D7" w:rsidRDefault="00013FC3" w:rsidP="00FB32B9">
          <w:pPr>
            <w:ind w:right="916"/>
          </w:pPr>
          <w:r>
            <w:rPr>
              <w:rFonts w:ascii="TradeGothic" w:hAnsi="TradeGothic"/>
              <w:b/>
              <w:noProof/>
            </w:rPr>
            <w:t>2014-05-15</w:t>
          </w:r>
          <w:r w:rsidR="00446022" w:rsidRPr="00934953">
            <w:t xml:space="preserve"> </w:t>
          </w:r>
        </w:p>
      </w:tc>
    </w:tr>
  </w:tbl>
  <w:p w14:paraId="7DDF8D24" w14:textId="77777777" w:rsidR="00FB32B9" w:rsidRDefault="000D2C88" w:rsidP="00FB32B9">
    <w:pPr>
      <w:pStyle w:val="Avsndare"/>
      <w:framePr w:w="0" w:hRule="auto" w:hSpace="0" w:wrap="auto" w:vAnchor="margin" w:hAnchor="text" w:xAlign="left" w:yAlign="inline"/>
      <w:rPr>
        <w:b/>
        <w:i w:val="0"/>
        <w:sz w:val="22"/>
      </w:rPr>
    </w:pPr>
  </w:p>
  <w:p w14:paraId="7DDF8D25" w14:textId="77777777" w:rsidR="00FB32B9" w:rsidRDefault="00446022" w:rsidP="00FB32B9">
    <w:pPr>
      <w:pStyle w:val="Avsndare"/>
      <w:framePr w:w="0" w:hRule="auto" w:hSpace="0" w:wrap="auto" w:vAnchor="margin" w:hAnchor="text" w:xAlign="left" w:yAlign="inline"/>
      <w:rPr>
        <w:b/>
        <w:i w:val="0"/>
        <w:sz w:val="22"/>
      </w:rPr>
    </w:pPr>
    <w:r>
      <w:rPr>
        <w:b/>
        <w:i w:val="0"/>
        <w:sz w:val="22"/>
      </w:rPr>
      <w:t>Statsrådsberedningen</w:t>
    </w:r>
  </w:p>
  <w:p w14:paraId="7DDF8D26" w14:textId="77777777" w:rsidR="00FB32B9" w:rsidRDefault="000D2C88" w:rsidP="00FB32B9">
    <w:pPr>
      <w:pStyle w:val="Avsndare"/>
      <w:framePr w:w="0" w:hRule="auto" w:hSpace="0" w:wrap="auto" w:vAnchor="margin" w:hAnchor="text" w:xAlign="left" w:yAlign="inline"/>
    </w:pPr>
  </w:p>
  <w:p w14:paraId="7DDF8D27" w14:textId="77777777" w:rsidR="00FB32B9" w:rsidRDefault="00446022" w:rsidP="00FB32B9">
    <w:pPr>
      <w:pStyle w:val="Avsndare"/>
      <w:framePr w:w="0" w:hRule="auto" w:hSpace="0" w:wrap="auto" w:vAnchor="margin" w:hAnchor="text" w:xAlign="left" w:yAlign="inline"/>
    </w:pPr>
    <w:r>
      <w:t>EU-kansliet</w:t>
    </w:r>
  </w:p>
  <w:p w14:paraId="7DDF8D28" w14:textId="77777777" w:rsidR="0012376B" w:rsidRDefault="000D2C8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DF4E48C2">
      <w:start w:val="1"/>
      <w:numFmt w:val="decimal"/>
      <w:pStyle w:val="Rubrik1"/>
      <w:lvlText w:val="%1."/>
      <w:lvlJc w:val="left"/>
      <w:pPr>
        <w:ind w:left="720" w:hanging="360"/>
      </w:pPr>
    </w:lvl>
    <w:lvl w:ilvl="1" w:tplc="A0FC5F1A" w:tentative="1">
      <w:start w:val="1"/>
      <w:numFmt w:val="lowerLetter"/>
      <w:lvlText w:val="%2."/>
      <w:lvlJc w:val="left"/>
      <w:pPr>
        <w:ind w:left="1440" w:hanging="360"/>
      </w:pPr>
    </w:lvl>
    <w:lvl w:ilvl="2" w:tplc="C778C704" w:tentative="1">
      <w:start w:val="1"/>
      <w:numFmt w:val="lowerRoman"/>
      <w:lvlText w:val="%3."/>
      <w:lvlJc w:val="right"/>
      <w:pPr>
        <w:ind w:left="2160" w:hanging="180"/>
      </w:pPr>
    </w:lvl>
    <w:lvl w:ilvl="3" w:tplc="9B3CF21A" w:tentative="1">
      <w:start w:val="1"/>
      <w:numFmt w:val="decimal"/>
      <w:lvlText w:val="%4."/>
      <w:lvlJc w:val="left"/>
      <w:pPr>
        <w:ind w:left="2880" w:hanging="360"/>
      </w:pPr>
    </w:lvl>
    <w:lvl w:ilvl="4" w:tplc="78085504" w:tentative="1">
      <w:start w:val="1"/>
      <w:numFmt w:val="lowerLetter"/>
      <w:lvlText w:val="%5."/>
      <w:lvlJc w:val="left"/>
      <w:pPr>
        <w:ind w:left="3600" w:hanging="360"/>
      </w:pPr>
    </w:lvl>
    <w:lvl w:ilvl="5" w:tplc="FC562DEE" w:tentative="1">
      <w:start w:val="1"/>
      <w:numFmt w:val="lowerRoman"/>
      <w:lvlText w:val="%6."/>
      <w:lvlJc w:val="right"/>
      <w:pPr>
        <w:ind w:left="4320" w:hanging="180"/>
      </w:pPr>
    </w:lvl>
    <w:lvl w:ilvl="6" w:tplc="60BEAE3E" w:tentative="1">
      <w:start w:val="1"/>
      <w:numFmt w:val="decimal"/>
      <w:lvlText w:val="%7."/>
      <w:lvlJc w:val="left"/>
      <w:pPr>
        <w:ind w:left="5040" w:hanging="360"/>
      </w:pPr>
    </w:lvl>
    <w:lvl w:ilvl="7" w:tplc="F3B60DF6" w:tentative="1">
      <w:start w:val="1"/>
      <w:numFmt w:val="lowerLetter"/>
      <w:lvlText w:val="%8."/>
      <w:lvlJc w:val="left"/>
      <w:pPr>
        <w:ind w:left="5760" w:hanging="360"/>
      </w:pPr>
    </w:lvl>
    <w:lvl w:ilvl="8" w:tplc="0F86EE46" w:tentative="1">
      <w:start w:val="1"/>
      <w:numFmt w:val="lowerRoman"/>
      <w:lvlText w:val="%9."/>
      <w:lvlJc w:val="right"/>
      <w:pPr>
        <w:ind w:left="6480" w:hanging="180"/>
      </w:pPr>
    </w:lvl>
  </w:abstractNum>
  <w:abstractNum w:abstractNumId="1">
    <w:nsid w:val="73990993"/>
    <w:multiLevelType w:val="hybridMultilevel"/>
    <w:tmpl w:val="3BD822EE"/>
    <w:lvl w:ilvl="0" w:tplc="63205992">
      <w:start w:val="1"/>
      <w:numFmt w:val="decimal"/>
      <w:lvlText w:val="%1."/>
      <w:lvlJc w:val="left"/>
      <w:pPr>
        <w:ind w:left="360" w:hanging="360"/>
      </w:pPr>
      <w:rPr>
        <w:b w:val="0"/>
      </w:rPr>
    </w:lvl>
    <w:lvl w:ilvl="1" w:tplc="C5EEDD58" w:tentative="1">
      <w:start w:val="1"/>
      <w:numFmt w:val="lowerLetter"/>
      <w:lvlText w:val="%2."/>
      <w:lvlJc w:val="left"/>
      <w:pPr>
        <w:ind w:left="1080" w:hanging="360"/>
      </w:pPr>
    </w:lvl>
    <w:lvl w:ilvl="2" w:tplc="0B0E84D2" w:tentative="1">
      <w:start w:val="1"/>
      <w:numFmt w:val="lowerRoman"/>
      <w:lvlText w:val="%3."/>
      <w:lvlJc w:val="right"/>
      <w:pPr>
        <w:ind w:left="1800" w:hanging="180"/>
      </w:pPr>
    </w:lvl>
    <w:lvl w:ilvl="3" w:tplc="F9D630B8" w:tentative="1">
      <w:start w:val="1"/>
      <w:numFmt w:val="decimal"/>
      <w:lvlText w:val="%4."/>
      <w:lvlJc w:val="left"/>
      <w:pPr>
        <w:ind w:left="2520" w:hanging="360"/>
      </w:pPr>
    </w:lvl>
    <w:lvl w:ilvl="4" w:tplc="5128D01C" w:tentative="1">
      <w:start w:val="1"/>
      <w:numFmt w:val="lowerLetter"/>
      <w:lvlText w:val="%5."/>
      <w:lvlJc w:val="left"/>
      <w:pPr>
        <w:ind w:left="3240" w:hanging="360"/>
      </w:pPr>
    </w:lvl>
    <w:lvl w:ilvl="5" w:tplc="7B481668" w:tentative="1">
      <w:start w:val="1"/>
      <w:numFmt w:val="lowerRoman"/>
      <w:lvlText w:val="%6."/>
      <w:lvlJc w:val="right"/>
      <w:pPr>
        <w:ind w:left="3960" w:hanging="180"/>
      </w:pPr>
    </w:lvl>
    <w:lvl w:ilvl="6" w:tplc="0954245E" w:tentative="1">
      <w:start w:val="1"/>
      <w:numFmt w:val="decimal"/>
      <w:lvlText w:val="%7."/>
      <w:lvlJc w:val="left"/>
      <w:pPr>
        <w:ind w:left="4680" w:hanging="360"/>
      </w:pPr>
    </w:lvl>
    <w:lvl w:ilvl="7" w:tplc="A3FEBCAC" w:tentative="1">
      <w:start w:val="1"/>
      <w:numFmt w:val="lowerLetter"/>
      <w:lvlText w:val="%8."/>
      <w:lvlJc w:val="left"/>
      <w:pPr>
        <w:ind w:left="5400" w:hanging="360"/>
      </w:pPr>
    </w:lvl>
    <w:lvl w:ilvl="8" w:tplc="AEE2A42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66"/>
    <w:rsid w:val="00013FC3"/>
    <w:rsid w:val="00077140"/>
    <w:rsid w:val="000D2C88"/>
    <w:rsid w:val="00215AE4"/>
    <w:rsid w:val="00446022"/>
    <w:rsid w:val="0046119C"/>
    <w:rsid w:val="00664119"/>
    <w:rsid w:val="00E90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077140"/>
  </w:style>
  <w:style w:type="paragraph" w:styleId="Normalwebb">
    <w:name w:val="Normal (Web)"/>
    <w:basedOn w:val="Normal"/>
    <w:uiPriority w:val="99"/>
    <w:semiHidden/>
    <w:unhideWhenUsed/>
    <w:rsid w:val="00664119"/>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077140"/>
  </w:style>
  <w:style w:type="paragraph" w:styleId="Normalwebb">
    <w:name w:val="Normal (Web)"/>
    <w:basedOn w:val="Normal"/>
    <w:uiPriority w:val="99"/>
    <w:semiHidden/>
    <w:unhideWhenUsed/>
    <w:rsid w:val="00664119"/>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194159">
      <w:bodyDiv w:val="1"/>
      <w:marLeft w:val="0"/>
      <w:marRight w:val="0"/>
      <w:marTop w:val="0"/>
      <w:marBottom w:val="0"/>
      <w:divBdr>
        <w:top w:val="none" w:sz="0" w:space="0" w:color="auto"/>
        <w:left w:val="none" w:sz="0" w:space="0" w:color="auto"/>
        <w:bottom w:val="none" w:sz="0" w:space="0" w:color="auto"/>
        <w:right w:val="none" w:sz="0" w:space="0" w:color="auto"/>
      </w:divBdr>
      <w:divsChild>
        <w:div w:id="17314488">
          <w:marLeft w:val="0"/>
          <w:marRight w:val="0"/>
          <w:marTop w:val="0"/>
          <w:marBottom w:val="0"/>
          <w:divBdr>
            <w:top w:val="none" w:sz="0" w:space="0" w:color="auto"/>
            <w:left w:val="none" w:sz="0" w:space="0" w:color="auto"/>
            <w:bottom w:val="none" w:sz="0" w:space="0" w:color="auto"/>
            <w:right w:val="none" w:sz="0" w:space="0" w:color="auto"/>
          </w:divBdr>
          <w:divsChild>
            <w:div w:id="1793089266">
              <w:marLeft w:val="0"/>
              <w:marRight w:val="0"/>
              <w:marTop w:val="0"/>
              <w:marBottom w:val="0"/>
              <w:divBdr>
                <w:top w:val="none" w:sz="0" w:space="0" w:color="auto"/>
                <w:left w:val="none" w:sz="0" w:space="0" w:color="auto"/>
                <w:bottom w:val="none" w:sz="0" w:space="0" w:color="auto"/>
                <w:right w:val="none" w:sz="0" w:space="0" w:color="auto"/>
              </w:divBdr>
              <w:divsChild>
                <w:div w:id="1005212240">
                  <w:marLeft w:val="0"/>
                  <w:marRight w:val="0"/>
                  <w:marTop w:val="0"/>
                  <w:marBottom w:val="0"/>
                  <w:divBdr>
                    <w:top w:val="none" w:sz="0" w:space="0" w:color="auto"/>
                    <w:left w:val="none" w:sz="0" w:space="0" w:color="auto"/>
                    <w:bottom w:val="none" w:sz="0" w:space="0" w:color="auto"/>
                    <w:right w:val="none" w:sz="0" w:space="0" w:color="auto"/>
                  </w:divBdr>
                  <w:divsChild>
                    <w:div w:id="366563352">
                      <w:marLeft w:val="0"/>
                      <w:marRight w:val="0"/>
                      <w:marTop w:val="0"/>
                      <w:marBottom w:val="0"/>
                      <w:divBdr>
                        <w:top w:val="none" w:sz="0" w:space="0" w:color="auto"/>
                        <w:left w:val="none" w:sz="0" w:space="0" w:color="auto"/>
                        <w:bottom w:val="none" w:sz="0" w:space="0" w:color="auto"/>
                        <w:right w:val="none" w:sz="0" w:space="0" w:color="auto"/>
                      </w:divBdr>
                      <w:divsChild>
                        <w:div w:id="84115078">
                          <w:marLeft w:val="2325"/>
                          <w:marRight w:val="0"/>
                          <w:marTop w:val="0"/>
                          <w:marBottom w:val="0"/>
                          <w:divBdr>
                            <w:top w:val="none" w:sz="0" w:space="0" w:color="auto"/>
                            <w:left w:val="none" w:sz="0" w:space="0" w:color="auto"/>
                            <w:bottom w:val="none" w:sz="0" w:space="0" w:color="auto"/>
                            <w:right w:val="none" w:sz="0" w:space="0" w:color="auto"/>
                          </w:divBdr>
                          <w:divsChild>
                            <w:div w:id="1875188801">
                              <w:marLeft w:val="0"/>
                              <w:marRight w:val="0"/>
                              <w:marTop w:val="0"/>
                              <w:marBottom w:val="0"/>
                              <w:divBdr>
                                <w:top w:val="none" w:sz="0" w:space="0" w:color="auto"/>
                                <w:left w:val="none" w:sz="0" w:space="0" w:color="auto"/>
                                <w:bottom w:val="none" w:sz="0" w:space="0" w:color="auto"/>
                                <w:right w:val="none" w:sz="0" w:space="0" w:color="auto"/>
                              </w:divBdr>
                              <w:divsChild>
                                <w:div w:id="75136615">
                                  <w:marLeft w:val="0"/>
                                  <w:marRight w:val="0"/>
                                  <w:marTop w:val="0"/>
                                  <w:marBottom w:val="0"/>
                                  <w:divBdr>
                                    <w:top w:val="none" w:sz="0" w:space="0" w:color="auto"/>
                                    <w:left w:val="none" w:sz="0" w:space="0" w:color="auto"/>
                                    <w:bottom w:val="none" w:sz="0" w:space="0" w:color="auto"/>
                                    <w:right w:val="none" w:sz="0" w:space="0" w:color="auto"/>
                                  </w:divBdr>
                                  <w:divsChild>
                                    <w:div w:id="1404796109">
                                      <w:marLeft w:val="0"/>
                                      <w:marRight w:val="0"/>
                                      <w:marTop w:val="0"/>
                                      <w:marBottom w:val="0"/>
                                      <w:divBdr>
                                        <w:top w:val="none" w:sz="0" w:space="0" w:color="auto"/>
                                        <w:left w:val="none" w:sz="0" w:space="0" w:color="auto"/>
                                        <w:bottom w:val="none" w:sz="0" w:space="0" w:color="auto"/>
                                        <w:right w:val="none" w:sz="0" w:space="0" w:color="auto"/>
                                      </w:divBdr>
                                      <w:divsChild>
                                        <w:div w:id="95176474">
                                          <w:marLeft w:val="480"/>
                                          <w:marRight w:val="0"/>
                                          <w:marTop w:val="0"/>
                                          <w:marBottom w:val="0"/>
                                          <w:divBdr>
                                            <w:top w:val="none" w:sz="0" w:space="0" w:color="auto"/>
                                            <w:left w:val="none" w:sz="0" w:space="0" w:color="auto"/>
                                            <w:bottom w:val="none" w:sz="0" w:space="0" w:color="auto"/>
                                            <w:right w:val="none" w:sz="0" w:space="0" w:color="auto"/>
                                          </w:divBdr>
                                          <w:divsChild>
                                            <w:div w:id="1173109340">
                                              <w:marLeft w:val="0"/>
                                              <w:marRight w:val="0"/>
                                              <w:marTop w:val="0"/>
                                              <w:marBottom w:val="0"/>
                                              <w:divBdr>
                                                <w:top w:val="none" w:sz="0" w:space="0" w:color="auto"/>
                                                <w:left w:val="none" w:sz="0" w:space="0" w:color="auto"/>
                                                <w:bottom w:val="none" w:sz="0" w:space="0" w:color="auto"/>
                                                <w:right w:val="none" w:sz="0" w:space="0" w:color="auto"/>
                                              </w:divBdr>
                                              <w:divsChild>
                                                <w:div w:id="8650840">
                                                  <w:marLeft w:val="0"/>
                                                  <w:marRight w:val="0"/>
                                                  <w:marTop w:val="0"/>
                                                  <w:marBottom w:val="0"/>
                                                  <w:divBdr>
                                                    <w:top w:val="none" w:sz="0" w:space="0" w:color="auto"/>
                                                    <w:left w:val="none" w:sz="0" w:space="0" w:color="auto"/>
                                                    <w:bottom w:val="none" w:sz="0" w:space="0" w:color="auto"/>
                                                    <w:right w:val="none" w:sz="0" w:space="0" w:color="auto"/>
                                                  </w:divBdr>
                                                  <w:divsChild>
                                                    <w:div w:id="1965892413">
                                                      <w:marLeft w:val="0"/>
                                                      <w:marRight w:val="0"/>
                                                      <w:marTop w:val="0"/>
                                                      <w:marBottom w:val="0"/>
                                                      <w:divBdr>
                                                        <w:top w:val="none" w:sz="0" w:space="0" w:color="auto"/>
                                                        <w:left w:val="none" w:sz="0" w:space="0" w:color="auto"/>
                                                        <w:bottom w:val="none" w:sz="0" w:space="0" w:color="auto"/>
                                                        <w:right w:val="none" w:sz="0" w:space="0" w:color="auto"/>
                                                      </w:divBdr>
                                                      <w:divsChild>
                                                        <w:div w:id="962805654">
                                                          <w:marLeft w:val="0"/>
                                                          <w:marRight w:val="0"/>
                                                          <w:marTop w:val="0"/>
                                                          <w:marBottom w:val="0"/>
                                                          <w:divBdr>
                                                            <w:top w:val="none" w:sz="0" w:space="0" w:color="auto"/>
                                                            <w:left w:val="none" w:sz="0" w:space="0" w:color="auto"/>
                                                            <w:bottom w:val="none" w:sz="0" w:space="0" w:color="auto"/>
                                                            <w:right w:val="none" w:sz="0" w:space="0" w:color="auto"/>
                                                          </w:divBdr>
                                                          <w:divsChild>
                                                            <w:div w:id="1507093166">
                                                              <w:marLeft w:val="0"/>
                                                              <w:marRight w:val="0"/>
                                                              <w:marTop w:val="0"/>
                                                              <w:marBottom w:val="0"/>
                                                              <w:divBdr>
                                                                <w:top w:val="none" w:sz="0" w:space="0" w:color="auto"/>
                                                                <w:left w:val="none" w:sz="0" w:space="0" w:color="auto"/>
                                                                <w:bottom w:val="none" w:sz="0" w:space="0" w:color="auto"/>
                                                                <w:right w:val="none" w:sz="0" w:space="0" w:color="auto"/>
                                                              </w:divBdr>
                                                              <w:divsChild>
                                                                <w:div w:id="299920661">
                                                                  <w:marLeft w:val="0"/>
                                                                  <w:marRight w:val="0"/>
                                                                  <w:marTop w:val="0"/>
                                                                  <w:marBottom w:val="0"/>
                                                                  <w:divBdr>
                                                                    <w:top w:val="none" w:sz="0" w:space="0" w:color="auto"/>
                                                                    <w:left w:val="none" w:sz="0" w:space="0" w:color="auto"/>
                                                                    <w:bottom w:val="none" w:sz="0" w:space="0" w:color="auto"/>
                                                                    <w:right w:val="none" w:sz="0" w:space="0" w:color="auto"/>
                                                                  </w:divBdr>
                                                                  <w:divsChild>
                                                                    <w:div w:id="1547764807">
                                                                      <w:marLeft w:val="0"/>
                                                                      <w:marRight w:val="0"/>
                                                                      <w:marTop w:val="96"/>
                                                                      <w:marBottom w:val="0"/>
                                                                      <w:divBdr>
                                                                        <w:top w:val="none" w:sz="0" w:space="0" w:color="auto"/>
                                                                        <w:left w:val="none" w:sz="0" w:space="0" w:color="auto"/>
                                                                        <w:bottom w:val="none" w:sz="0" w:space="0" w:color="auto"/>
                                                                        <w:right w:val="none" w:sz="0" w:space="0" w:color="auto"/>
                                                                      </w:divBdr>
                                                                      <w:divsChild>
                                                                        <w:div w:id="58984337">
                                                                          <w:marLeft w:val="0"/>
                                                                          <w:marRight w:val="0"/>
                                                                          <w:marTop w:val="72"/>
                                                                          <w:marBottom w:val="0"/>
                                                                          <w:divBdr>
                                                                            <w:top w:val="none" w:sz="0" w:space="0" w:color="auto"/>
                                                                            <w:left w:val="none" w:sz="0" w:space="0" w:color="auto"/>
                                                                            <w:bottom w:val="none" w:sz="0" w:space="0" w:color="auto"/>
                                                                            <w:right w:val="none" w:sz="0" w:space="0" w:color="auto"/>
                                                                          </w:divBdr>
                                                                          <w:divsChild>
                                                                            <w:div w:id="1185705171">
                                                                              <w:marLeft w:val="0"/>
                                                                              <w:marRight w:val="0"/>
                                                                              <w:marTop w:val="0"/>
                                                                              <w:marBottom w:val="0"/>
                                                                              <w:divBdr>
                                                                                <w:top w:val="none" w:sz="0" w:space="0" w:color="auto"/>
                                                                                <w:left w:val="none" w:sz="0" w:space="0" w:color="auto"/>
                                                                                <w:bottom w:val="none" w:sz="0" w:space="0" w:color="auto"/>
                                                                                <w:right w:val="none" w:sz="0" w:space="0" w:color="auto"/>
                                                                              </w:divBdr>
                                                                              <w:divsChild>
                                                                                <w:div w:id="3984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JE6N4JFJXNNF-9-61882</_dlc_DocId>
    <_dlc_DocIdUrl xmlns="8b66ae41-1ec6-402e-b662-35d1932ca064">
      <Url>http://rkdhs-sb/enhet/EUKansli/_layouts/DocIdRedir.aspx?ID=JE6N4JFJXNNF-9-61882</Url>
      <Description>JE6N4JFJXNNF-9-61882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35AFB-456F-4E2B-8B70-57E441EBC85B}"/>
</file>

<file path=customXml/itemProps2.xml><?xml version="1.0" encoding="utf-8"?>
<ds:datastoreItem xmlns:ds="http://schemas.openxmlformats.org/officeDocument/2006/customXml" ds:itemID="{307A118A-7889-4085-BAD8-CBA1E4087E33}"/>
</file>

<file path=customXml/itemProps3.xml><?xml version="1.0" encoding="utf-8"?>
<ds:datastoreItem xmlns:ds="http://schemas.openxmlformats.org/officeDocument/2006/customXml" ds:itemID="{8E1434A3-FEF4-418F-9CDB-9ED0DAC30C39}"/>
</file>

<file path=customXml/itemProps4.xml><?xml version="1.0" encoding="utf-8"?>
<ds:datastoreItem xmlns:ds="http://schemas.openxmlformats.org/officeDocument/2006/customXml" ds:itemID="{B95C5F2D-20FF-4E95-B69E-85A3A2A66A5B}"/>
</file>

<file path=customXml/itemProps5.xml><?xml version="1.0" encoding="utf-8"?>
<ds:datastoreItem xmlns:ds="http://schemas.openxmlformats.org/officeDocument/2006/customXml" ds:itemID="{05D490E4-4300-4E20-B7BD-899EA1A9542D}"/>
</file>

<file path=customXml/itemProps6.xml><?xml version="1.0" encoding="utf-8"?>
<ds:datastoreItem xmlns:ds="http://schemas.openxmlformats.org/officeDocument/2006/customXml" ds:itemID="{445B5BB2-9101-4404-AC1E-AC5F9FADCD99}"/>
</file>

<file path=customXml/itemProps7.xml><?xml version="1.0" encoding="utf-8"?>
<ds:datastoreItem xmlns:ds="http://schemas.openxmlformats.org/officeDocument/2006/customXml" ds:itemID="{08AD462B-FD01-4F73-945B-C54F99698ECE}"/>
</file>

<file path=docProps/app.xml><?xml version="1.0" encoding="utf-8"?>
<Properties xmlns="http://schemas.openxmlformats.org/officeDocument/2006/extended-properties" xmlns:vt="http://schemas.openxmlformats.org/officeDocument/2006/docPropsVTypes">
  <Template>Normal</Template>
  <TotalTime>0</TotalTime>
  <Pages>10</Pages>
  <Words>3402</Words>
  <Characters>18032</Characters>
  <Application>Microsoft Office Word</Application>
  <DocSecurity>0</DocSecurity>
  <Lines>150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2014-05-15T06:37:00Z</cp:lastPrinted>
  <dcterms:created xsi:type="dcterms:W3CDTF">2014-05-15T06:40:00Z</dcterms:created>
  <dcterms:modified xsi:type="dcterms:W3CDTF">2014-05-15T06:40:00Z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2db24929-346b-472b-af01-b4525843ab88</vt:lpwstr>
  </property>
</Properties>
</file>