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70B" w:rsidRPr="001C570B" w:rsidRDefault="001C570B">
      <w:pPr>
        <w:pStyle w:val="Hemstlrubrik"/>
        <w:shd w:val="clear" w:color="000000" w:fill="auto"/>
      </w:pPr>
      <w:r w:rsidRPr="001C570B">
        <w:t>Förslag till riksdagsbeslut</w:t>
      </w:r>
    </w:p>
    <w:p w:rsidR="001C570B" w:rsidRPr="001C570B" w:rsidRDefault="001C570B">
      <w:pPr>
        <w:pStyle w:val="Hemstlatt"/>
        <w:shd w:val="clear" w:color="000000" w:fill="auto"/>
        <w:ind w:left="0"/>
      </w:pPr>
      <w:r w:rsidRPr="001C570B">
        <w:t>Riksdagen tillkännager för regeringen som sin mening vad som anförs i motionen om att se över förutsättningarna för att sänka myndigheternas lokalkostnader.</w:t>
      </w:r>
    </w:p>
    <w:p w:rsidR="001C570B" w:rsidRPr="001C570B" w:rsidRDefault="001C570B">
      <w:pPr>
        <w:pStyle w:val="Rubrik1"/>
        <w:shd w:val="clear" w:color="000000" w:fill="auto"/>
      </w:pPr>
      <w:r w:rsidRPr="001C570B">
        <w:t>Motivering</w:t>
      </w:r>
    </w:p>
    <w:p w:rsidR="001C570B" w:rsidRPr="001C570B" w:rsidRDefault="001C570B">
      <w:pPr>
        <w:shd w:val="clear" w:color="000000" w:fill="auto"/>
      </w:pPr>
      <w:r w:rsidRPr="001C570B">
        <w:t>Näst efter kostnader för personal utgör lokalkostnader den största utgiftspo</w:t>
      </w:r>
      <w:r w:rsidRPr="001C570B">
        <w:t>s</w:t>
      </w:r>
      <w:r w:rsidRPr="001C570B">
        <w:t>ten för offentlig verksamhet. Enbart anslagen för lokalhyror till statliga my</w:t>
      </w:r>
      <w:r w:rsidRPr="001C570B">
        <w:t>n</w:t>
      </w:r>
      <w:r w:rsidRPr="001C570B">
        <w:t>digheter och verk uppgår till mer än 15 miljarder kronor. Samtidigt har det politiska och mediala trycket på effektivisering av statliga verksamheter för att skapa ett bättre resursutnyttjande ökat i takt med de senaste årens kraftiga framväxt av nya myndigheter. Trots detta har lite gjorts för att verka för ett effektivare lokalanvändande från statsförvaltningens sida. Myndigheter red</w:t>
      </w:r>
      <w:r w:rsidRPr="001C570B">
        <w:t>o</w:t>
      </w:r>
      <w:r w:rsidRPr="001C570B">
        <w:t>visar inte nyckeltal för sitt lokalanvändand</w:t>
      </w:r>
      <w:r w:rsidRPr="001C570B">
        <w:t>e som betraktas som självklara inom den privata sektorn för att ständigt arbeta för att bringa ner lokalkostn</w:t>
      </w:r>
      <w:r w:rsidRPr="001C570B">
        <w:t>a</w:t>
      </w:r>
      <w:r w:rsidRPr="001C570B">
        <w:t>der. Likaså saknas incitament för myndigheter att effektivisera sitt brukande av lokaler ytterligare, trots att stora samhällsvinster finns att hämta. Mot ba</w:t>
      </w:r>
      <w:r w:rsidRPr="001C570B">
        <w:t>k</w:t>
      </w:r>
      <w:r w:rsidRPr="001C570B">
        <w:t>grund av detta bör åtgärder vidtas, vilket härmed argumenteras för nedan.</w:t>
      </w:r>
    </w:p>
    <w:p w:rsidR="001C570B" w:rsidRPr="001C570B" w:rsidRDefault="001C570B">
      <w:pPr>
        <w:pStyle w:val="Rubrik2"/>
        <w:shd w:val="clear" w:color="000000" w:fill="auto"/>
      </w:pPr>
      <w:r w:rsidRPr="001C570B">
        <w:t>Bristande incitament till ökad effektivitet</w:t>
      </w:r>
    </w:p>
    <w:p w:rsidR="001C570B" w:rsidRPr="001C570B" w:rsidRDefault="001C570B">
      <w:pPr>
        <w:shd w:val="clear" w:color="000000" w:fill="auto"/>
      </w:pPr>
      <w:r w:rsidRPr="001C570B">
        <w:t xml:space="preserve">I dagsläget ansvarar myndigheterna själva för att efter eget tycke välja lokaler för sin verksamhet inom den ort som regeringen beslutat att myndigheten ifråga skall bedriva sin verksamhet på. Tidigare ansvarade Byggnadsstyrelsen för hela statsförvaltningens lokalanvändning både avseende fördelning av statens egna lokaler och val av externa lokaler samt hyresförhandling med privata fastighetsägare för de respektive myndigheternas behov. Sedan 1993 </w:t>
      </w:r>
      <w:r w:rsidRPr="001C570B">
        <w:lastRenderedPageBreak/>
        <w:t>ingår dock lokalkostnader i myndigheternas statliga anslag, vilket medfört att egenansvaret ökat. Motivet till reformen var dels att synliggöra och effektiv</w:t>
      </w:r>
      <w:r w:rsidRPr="001C570B">
        <w:t>i</w:t>
      </w:r>
      <w:r w:rsidRPr="001C570B">
        <w:t>sera statsförvaltningen genom att låta myndigheter agera på fastighetsmar</w:t>
      </w:r>
      <w:r w:rsidRPr="001C570B">
        <w:t>k</w:t>
      </w:r>
      <w:r w:rsidRPr="001C570B">
        <w:t>naden efter samma premisser som privata hyresgäster, dels att eliminera en onödig cirkulation av pengar mellan statliga myndigheter.</w:t>
      </w:r>
    </w:p>
    <w:p w:rsidR="001C570B" w:rsidRPr="001C570B" w:rsidRDefault="001C570B">
      <w:pPr>
        <w:pStyle w:val="Normaltindrag"/>
        <w:shd w:val="clear" w:color="000000" w:fill="auto"/>
      </w:pPr>
      <w:r w:rsidRPr="001C570B">
        <w:t>Reformen 1993 öppnade för ett bättre uppmärksammande av statsförval</w:t>
      </w:r>
      <w:r w:rsidRPr="001C570B">
        <w:t>t</w:t>
      </w:r>
      <w:r w:rsidRPr="001C570B">
        <w:t>ningens lokalkostnader och ökade lokaleffektiviseringen genom att bromsa utökningen av lokalkostnaderna. De tidigare incitamenten till lokaleffektivis</w:t>
      </w:r>
      <w:r w:rsidRPr="001C570B">
        <w:t>e</w:t>
      </w:r>
      <w:r w:rsidRPr="001C570B">
        <w:t>ring var i praktiken obefintliga då den egna myndigheten inte beslutade om lokalbehovet utan ansökte hos Byggnadsstyrelsen. Sedan lokalkostnadsdelen började finansieras inom ramen för regeringens anslag har egenansvaret ökat.</w:t>
      </w:r>
    </w:p>
    <w:p w:rsidR="001C570B" w:rsidRPr="001C570B" w:rsidRDefault="001C570B">
      <w:pPr>
        <w:pStyle w:val="Normaltindrag"/>
        <w:shd w:val="clear" w:color="000000" w:fill="auto"/>
      </w:pPr>
      <w:r w:rsidRPr="001C570B">
        <w:t>Man kan även konstatera att reformen var otillräcklig i tillskapandet av i</w:t>
      </w:r>
      <w:r w:rsidRPr="001C570B">
        <w:t>n</w:t>
      </w:r>
      <w:r w:rsidRPr="001C570B">
        <w:t>citament till ett bättre lokalutnyttjande. Visserligen skapades tydliga begrän</w:t>
      </w:r>
      <w:r w:rsidRPr="001C570B">
        <w:t>s</w:t>
      </w:r>
      <w:r w:rsidRPr="001C570B">
        <w:t>ningar för myndigheter att öka sitt lokalbestånd på godtycklig grund, men reformen gav knappast anledning att göra ytterligare effektiviseringar. Efte</w:t>
      </w:r>
      <w:r w:rsidRPr="001C570B">
        <w:t>r</w:t>
      </w:r>
      <w:r w:rsidRPr="001C570B">
        <w:t>som Finansdepartementet beslutar om myndigheternas årliga anslag och gör detta på basis av det föregående budgetårets utfall och Ekonomistyrningsve</w:t>
      </w:r>
      <w:r w:rsidRPr="001C570B">
        <w:t>r</w:t>
      </w:r>
      <w:r w:rsidRPr="001C570B">
        <w:t>kets årliga prisomräkning av myndigheternas lokalkostnader (som görs i syfte att följa fastighetsmarknadens utveckling), finns i prak</w:t>
      </w:r>
      <w:r w:rsidRPr="001C570B">
        <w:t>tiken inga motiv att maximera lokaleffektiviteten – detta till skillnad mot privata företag som ständigt måste se över sina lokalkostnader och utnyttjande av lokalytorna för att öka vinstmarginalerna.</w:t>
      </w:r>
    </w:p>
    <w:p w:rsidR="001C570B" w:rsidRPr="001C570B" w:rsidRDefault="001C570B">
      <w:pPr>
        <w:pStyle w:val="Normaltindrag"/>
        <w:shd w:val="clear" w:color="000000" w:fill="auto"/>
      </w:pPr>
      <w:r w:rsidRPr="001C570B">
        <w:t>Trots reformen är också belysningen av myndigheternas lokalanvändning fortsatt dålig. Till exempel föreligger inga krav på myndigheter att publicera nyckeltal för lokalutnyttjande såsom kontorsareal, hyra eller kvadratmeter per anställd i årsredovisningar och dylikt – siffror som privata företag rutinmä</w:t>
      </w:r>
      <w:r w:rsidRPr="001C570B">
        <w:t>s</w:t>
      </w:r>
      <w:r w:rsidRPr="001C570B">
        <w:t>sigt tar fram för att övervaka att resursutnyttjandet av lokaler sker effektivt.</w:t>
      </w:r>
    </w:p>
    <w:p w:rsidR="001C570B" w:rsidRPr="001C570B" w:rsidRDefault="001C570B">
      <w:pPr>
        <w:pStyle w:val="Rubrik2"/>
        <w:shd w:val="clear" w:color="000000" w:fill="auto"/>
      </w:pPr>
      <w:r w:rsidRPr="001C570B">
        <w:t>Ineffektivt lokalutnyttjande</w:t>
      </w:r>
    </w:p>
    <w:p w:rsidR="001C570B" w:rsidRPr="001C570B" w:rsidRDefault="001C570B">
      <w:pPr>
        <w:shd w:val="clear" w:color="000000" w:fill="auto"/>
      </w:pPr>
      <w:r w:rsidRPr="001C570B">
        <w:t>Konsekvensen av det nuvarande regelverkets otillräcklighet är att många myndigheter sitter i onödigt stora lokaler med höga kvadratmeterpriser. I dagsläget är majoriteten av landets myndigheter anvisade att bedriva sin ver</w:t>
      </w:r>
      <w:r w:rsidRPr="001C570B">
        <w:t>k</w:t>
      </w:r>
      <w:r w:rsidRPr="001C570B">
        <w:t>samhet i Stockholmsregionen och merparten har valt att lokalisera sig i Stockholms innerstad på attraktiva adresser. Med undantag för myndigheter med speciallokaler såsom högskolor, museer och kulturinstitutioner uppgick lokalkostnaden per anställd för 2004 till i snitt 76 000 kr/år. Det finns även påtaglig variation mellan olika myndigheter där exempelvis Presstödsnäm</w:t>
      </w:r>
      <w:r w:rsidRPr="001C570B">
        <w:t>n</w:t>
      </w:r>
      <w:r w:rsidRPr="001C570B">
        <w:t>den med sina tre anställda har en hyra som uppgår till nästan 198 912 kr u</w:t>
      </w:r>
      <w:r w:rsidRPr="001C570B">
        <w:t>t</w:t>
      </w:r>
      <w:r w:rsidRPr="001C570B">
        <w:t>slaget per anställd medan motsvarande siffra för Granskningsnämn</w:t>
      </w:r>
      <w:r w:rsidRPr="001C570B">
        <w:t>den för radio och tv är 36 936 kr, d.v.s. mer än åtta gånger högre. Inte minst visar dessa siffror att kostnaderna per anställd är långt större än för många privata företag.</w:t>
      </w:r>
    </w:p>
    <w:p w:rsidR="001C570B" w:rsidRPr="001C570B" w:rsidRDefault="001C570B">
      <w:pPr>
        <w:pStyle w:val="Normaltindrag"/>
        <w:shd w:val="clear" w:color="000000" w:fill="auto"/>
      </w:pPr>
      <w:r w:rsidRPr="001C570B">
        <w:t>Vid en mer noggrann översyn av lokalutnyttjandet kan man även fastställa att skillnaden i lokalarealen per anställd varierar kraftigt. Ombudsmannen mot etnisk diskriminering har med nio anställda lokaler som i genomsnitt motsv</w:t>
      </w:r>
      <w:r w:rsidRPr="001C570B">
        <w:t>a</w:t>
      </w:r>
      <w:r w:rsidRPr="001C570B">
        <w:t xml:space="preserve">rar </w:t>
      </w:r>
      <w:smartTag w:uri="urn:schemas-microsoft-com:office:smarttags" w:element="metricconverter">
        <w:smartTagPr>
          <w:attr w:name="ProductID" w:val="96 m2"/>
        </w:smartTagPr>
        <w:r w:rsidRPr="001C570B">
          <w:t>96 m</w:t>
        </w:r>
        <w:r w:rsidRPr="001C570B">
          <w:rPr>
            <w:vertAlign w:val="superscript"/>
          </w:rPr>
          <w:t>2</w:t>
        </w:r>
      </w:smartTag>
      <w:r w:rsidRPr="001C570B">
        <w:t xml:space="preserve"> per anställd, medan Bokföringsnämnden med sju anställda upptar </w:t>
      </w:r>
      <w:smartTag w:uri="urn:schemas-microsoft-com:office:smarttags" w:element="metricconverter">
        <w:smartTagPr>
          <w:attr w:name="ProductID" w:val="26 m2"/>
        </w:smartTagPr>
        <w:r w:rsidRPr="001C570B">
          <w:t>26 m</w:t>
        </w:r>
        <w:r w:rsidRPr="001C570B">
          <w:rPr>
            <w:vertAlign w:val="superscript"/>
          </w:rPr>
          <w:t>2</w:t>
        </w:r>
      </w:smartTag>
      <w:r w:rsidRPr="001C570B">
        <w:t xml:space="preserve"> per anställd. Likaså varierar kvadratmeterhyran stort mellan olika lok</w:t>
      </w:r>
      <w:r w:rsidRPr="001C570B">
        <w:t>a</w:t>
      </w:r>
      <w:r w:rsidRPr="001C570B">
        <w:t>ler. Verket för innovationssystem som har kontor belägna i Stockholms inne</w:t>
      </w:r>
      <w:r w:rsidRPr="001C570B">
        <w:t>r</w:t>
      </w:r>
      <w:r w:rsidRPr="001C570B">
        <w:t>stad har en kvadratmeterhyra på 4 352 kr/m</w:t>
      </w:r>
      <w:r w:rsidRPr="001C570B">
        <w:rPr>
          <w:vertAlign w:val="superscript"/>
        </w:rPr>
        <w:t>2</w:t>
      </w:r>
      <w:r w:rsidRPr="001C570B">
        <w:t>, medan huvudkontoret för RSV Dataservice som har lokaler i Solna har en kvadratmeterhyra på 1 215 kr/m</w:t>
      </w:r>
      <w:r w:rsidRPr="001C570B">
        <w:rPr>
          <w:vertAlign w:val="superscript"/>
        </w:rPr>
        <w:t>2</w:t>
      </w:r>
      <w:r w:rsidRPr="001C570B">
        <w:t>.</w:t>
      </w:r>
    </w:p>
    <w:p w:rsidR="001C570B" w:rsidRPr="001C570B" w:rsidRDefault="001C570B">
      <w:pPr>
        <w:pStyle w:val="Normaltindrag"/>
        <w:shd w:val="clear" w:color="000000" w:fill="auto"/>
      </w:pPr>
      <w:r w:rsidRPr="001C570B">
        <w:t>Den sammanvägda bedömningen av statsförvaltningens brukande av lok</w:t>
      </w:r>
      <w:r w:rsidRPr="001C570B">
        <w:t>a</w:t>
      </w:r>
      <w:r w:rsidRPr="001C570B">
        <w:t>ler visar tydligt på en stor variation olika myndigheter emellan. Det finns dessutom en tydlig indikation att flertalet myndigheter har ett påtagligt ine</w:t>
      </w:r>
      <w:r w:rsidRPr="001C570B">
        <w:t>f</w:t>
      </w:r>
      <w:r w:rsidRPr="001C570B">
        <w:t>fektivt arealutnyttjande. Lika uppenbart är att merparten av de myndigheter som är anvisade att bedriva sin verksamhet i Stockholmsregionen är lokalis</w:t>
      </w:r>
      <w:r w:rsidRPr="001C570B">
        <w:t>e</w:t>
      </w:r>
      <w:r w:rsidRPr="001C570B">
        <w:t>rade till Stockholms innerstad. Därför betalar de påtagligt högre hyror till följd av läget i jämförelse med myndigheter som är utlokaliserade till Stoc</w:t>
      </w:r>
      <w:r w:rsidRPr="001C570B">
        <w:t>k</w:t>
      </w:r>
      <w:r w:rsidRPr="001C570B">
        <w:t>holms närförorter. Detta är inte försvarbart. Att myn</w:t>
      </w:r>
      <w:r w:rsidRPr="001C570B">
        <w:t>digheter betalar upp emot dubbelt så höga hyror än vad som är nödvändigt enbart för att ha kontorslok</w:t>
      </w:r>
      <w:r w:rsidRPr="001C570B">
        <w:t>a</w:t>
      </w:r>
      <w:r w:rsidRPr="001C570B">
        <w:t>ler fem minuter från Rosenbad är ett uppenbart slöseri med skattemedel. Att merparten av statliga myndigheter och verk likaså inte arbetar för att kontin</w:t>
      </w:r>
      <w:r w:rsidRPr="001C570B">
        <w:t>u</w:t>
      </w:r>
      <w:r w:rsidRPr="001C570B">
        <w:t>erligt öka effektiviteten i användandet av sin kontorsareal är lika illa. Detta är uppenbara exempel på ineffektivitet i statsförvaltningen. Till sist är det ska</w:t>
      </w:r>
      <w:r w:rsidRPr="001C570B">
        <w:t>t</w:t>
      </w:r>
      <w:r w:rsidRPr="001C570B">
        <w:t>tebetalarna som får betala priset. Siffrorna är även uppseendeväckande med tanke på att statsf</w:t>
      </w:r>
      <w:r w:rsidRPr="001C570B">
        <w:t>örvaltningen rimligen bör utgöra en stark förhandlingspart eftersom myndigheternas hyresavtal generellt löper över sex år och staten är en ekonomiskt extremt tillförlitlig och trygg hyresgäst.</w:t>
      </w:r>
    </w:p>
    <w:p w:rsidR="001C570B" w:rsidRPr="001C570B" w:rsidRDefault="001C570B">
      <w:pPr>
        <w:pStyle w:val="Rubrik3"/>
        <w:shd w:val="clear" w:color="000000" w:fill="auto"/>
      </w:pPr>
      <w:r w:rsidRPr="001C570B">
        <w:t>Vinsterna av ett effektivare lokalutnyttjande</w:t>
      </w:r>
    </w:p>
    <w:p w:rsidR="001C570B" w:rsidRPr="001C570B" w:rsidRDefault="001C570B">
      <w:pPr>
        <w:shd w:val="clear" w:color="000000" w:fill="auto"/>
        <w:spacing w:after="60"/>
      </w:pPr>
      <w:r w:rsidRPr="001C570B">
        <w:t>Om myndigheter som idag sitter på exklusiva kontorslokaler i Stockholms innerstad med kontorsytor som används ineffektivt skulle flytta ut till lokaler i Stockholms närförorter med dels lägre kvadratmeterhyra, dels mer lokaleffe</w:t>
      </w:r>
      <w:r w:rsidRPr="001C570B">
        <w:t>k</w:t>
      </w:r>
      <w:r w:rsidRPr="001C570B">
        <w:t>tiva kontor skulle stora summor kunna sparas. Detta kan konstateras med enkla räkneexempel. Jag skall nedan redovisa tre enkla kalkyler på vad Ek</w:t>
      </w:r>
      <w:r w:rsidRPr="001C570B">
        <w:t>o</w:t>
      </w:r>
      <w:r w:rsidRPr="001C570B">
        <w:t>brottsmyndigheten, Post- och telestyrelsen samt Krisberedskapsmyndigheten skulle tjäna på att utlokalisera sina kontor till motsvarande lokaler som det nya Åklagarhuset i Flemingsberg:</w:t>
      </w:r>
    </w:p>
    <w:tbl>
      <w:tblPr>
        <w:tblW w:w="5984" w:type="dxa"/>
        <w:tblInd w:w="-15" w:type="dxa"/>
        <w:tblBorders>
          <w:top w:val="single" w:sz="4" w:space="0" w:color="auto"/>
          <w:bottom w:val="single" w:sz="4" w:space="0" w:color="auto"/>
        </w:tblBorders>
        <w:tblCellMar>
          <w:top w:w="15" w:type="dxa"/>
          <w:left w:w="15" w:type="dxa"/>
          <w:bottom w:w="15" w:type="dxa"/>
          <w:right w:w="15" w:type="dxa"/>
        </w:tblCellMar>
        <w:tblLook w:val="0000" w:firstRow="0" w:lastRow="0" w:firstColumn="0" w:lastColumn="0" w:noHBand="0" w:noVBand="0"/>
      </w:tblPr>
      <w:tblGrid>
        <w:gridCol w:w="1489"/>
        <w:gridCol w:w="1490"/>
        <w:gridCol w:w="1488"/>
        <w:gridCol w:w="1517"/>
      </w:tblGrid>
      <w:tr w:rsidR="00000000" w:rsidRPr="001C570B">
        <w:trPr>
          <w:tblHeader/>
        </w:trPr>
        <w:tc>
          <w:tcPr>
            <w:tcW w:w="1490" w:type="dxa"/>
            <w:tcBorders>
              <w:top w:val="single" w:sz="4" w:space="0" w:color="auto"/>
              <w:bottom w:val="single" w:sz="4" w:space="0" w:color="auto"/>
            </w:tcBorders>
            <w:tcMar>
              <w:top w:w="0" w:type="dxa"/>
              <w:left w:w="15" w:type="dxa"/>
              <w:bottom w:w="0" w:type="dxa"/>
              <w:right w:w="15" w:type="dxa"/>
            </w:tcMar>
          </w:tcPr>
          <w:p w:rsidR="001C570B" w:rsidRPr="001C570B" w:rsidRDefault="001C570B">
            <w:pPr>
              <w:shd w:val="clear" w:color="000000" w:fill="auto"/>
              <w:spacing w:before="60" w:line="200" w:lineRule="exact"/>
              <w:jc w:val="left"/>
              <w:rPr>
                <w:sz w:val="16"/>
                <w:szCs w:val="16"/>
              </w:rPr>
            </w:pPr>
          </w:p>
        </w:tc>
        <w:tc>
          <w:tcPr>
            <w:tcW w:w="1490" w:type="dxa"/>
            <w:tcBorders>
              <w:top w:val="single" w:sz="4" w:space="0" w:color="auto"/>
              <w:bottom w:val="single" w:sz="4" w:space="0" w:color="auto"/>
            </w:tcBorders>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center"/>
              <w:rPr>
                <w:b/>
                <w:bCs/>
                <w:sz w:val="16"/>
                <w:szCs w:val="16"/>
              </w:rPr>
            </w:pPr>
            <w:r w:rsidRPr="001C570B">
              <w:rPr>
                <w:b/>
                <w:bCs/>
                <w:sz w:val="16"/>
                <w:szCs w:val="16"/>
              </w:rPr>
              <w:t>Ekobrottsmyndigheten</w:t>
            </w:r>
          </w:p>
        </w:tc>
        <w:tc>
          <w:tcPr>
            <w:tcW w:w="1488" w:type="dxa"/>
            <w:tcBorders>
              <w:top w:val="single" w:sz="4" w:space="0" w:color="auto"/>
              <w:bottom w:val="single" w:sz="4" w:space="0" w:color="auto"/>
            </w:tcBorders>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center"/>
              <w:rPr>
                <w:b/>
                <w:bCs/>
                <w:sz w:val="16"/>
                <w:szCs w:val="16"/>
              </w:rPr>
            </w:pPr>
            <w:r w:rsidRPr="001C570B">
              <w:rPr>
                <w:b/>
                <w:bCs/>
                <w:sz w:val="16"/>
                <w:szCs w:val="16"/>
              </w:rPr>
              <w:t>Post- och telestyre</w:t>
            </w:r>
            <w:r w:rsidRPr="001C570B">
              <w:rPr>
                <w:b/>
                <w:bCs/>
                <w:sz w:val="16"/>
                <w:szCs w:val="16"/>
              </w:rPr>
              <w:t>l</w:t>
            </w:r>
            <w:r w:rsidRPr="001C570B">
              <w:rPr>
                <w:b/>
                <w:bCs/>
                <w:sz w:val="16"/>
                <w:szCs w:val="16"/>
              </w:rPr>
              <w:t>sen</w:t>
            </w:r>
          </w:p>
        </w:tc>
        <w:tc>
          <w:tcPr>
            <w:tcW w:w="1517" w:type="dxa"/>
            <w:tcBorders>
              <w:top w:val="single" w:sz="4" w:space="0" w:color="auto"/>
              <w:bottom w:val="single" w:sz="4" w:space="0" w:color="auto"/>
            </w:tcBorders>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center"/>
              <w:rPr>
                <w:b/>
                <w:bCs/>
                <w:sz w:val="16"/>
                <w:szCs w:val="16"/>
              </w:rPr>
            </w:pPr>
            <w:r w:rsidRPr="001C570B">
              <w:rPr>
                <w:b/>
                <w:bCs/>
                <w:sz w:val="16"/>
                <w:szCs w:val="16"/>
              </w:rPr>
              <w:t>Krisberedskaps</w:t>
            </w:r>
            <w:r w:rsidRPr="001C570B">
              <w:rPr>
                <w:b/>
                <w:bCs/>
                <w:sz w:val="16"/>
                <w:szCs w:val="16"/>
              </w:rPr>
              <w:softHyphen/>
              <w:t>myndighten</w:t>
            </w:r>
          </w:p>
        </w:tc>
      </w:tr>
      <w:tr w:rsidR="00000000" w:rsidRPr="001C570B">
        <w:tc>
          <w:tcPr>
            <w:tcW w:w="1490" w:type="dxa"/>
            <w:tcBorders>
              <w:top w:val="single" w:sz="4" w:space="0" w:color="auto"/>
            </w:tcBorders>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left"/>
              <w:rPr>
                <w:sz w:val="16"/>
                <w:szCs w:val="16"/>
              </w:rPr>
            </w:pPr>
            <w:r w:rsidRPr="001C570B">
              <w:rPr>
                <w:sz w:val="16"/>
                <w:szCs w:val="16"/>
              </w:rPr>
              <w:t>Adress</w:t>
            </w:r>
          </w:p>
        </w:tc>
        <w:tc>
          <w:tcPr>
            <w:tcW w:w="1490" w:type="dxa"/>
            <w:tcBorders>
              <w:top w:val="single" w:sz="4" w:space="0" w:color="auto"/>
            </w:tcBorders>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Hantverkargatan, Kungsholmen</w:t>
            </w:r>
          </w:p>
        </w:tc>
        <w:tc>
          <w:tcPr>
            <w:tcW w:w="1488" w:type="dxa"/>
            <w:tcBorders>
              <w:top w:val="single" w:sz="4" w:space="0" w:color="auto"/>
            </w:tcBorders>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Birger Jarlsgatan, Vasastan</w:t>
            </w:r>
          </w:p>
        </w:tc>
        <w:tc>
          <w:tcPr>
            <w:tcW w:w="1517" w:type="dxa"/>
            <w:tcBorders>
              <w:top w:val="single" w:sz="4" w:space="0" w:color="auto"/>
            </w:tcBorders>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Kungsgatan, Nor</w:t>
            </w:r>
            <w:r w:rsidRPr="001C570B">
              <w:rPr>
                <w:sz w:val="16"/>
                <w:szCs w:val="16"/>
              </w:rPr>
              <w:t>r</w:t>
            </w:r>
            <w:r w:rsidRPr="001C570B">
              <w:rPr>
                <w:sz w:val="16"/>
                <w:szCs w:val="16"/>
              </w:rPr>
              <w:t>malm</w:t>
            </w:r>
          </w:p>
        </w:tc>
      </w:tr>
      <w:tr w:rsidR="00000000" w:rsidRPr="001C570B">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left"/>
              <w:rPr>
                <w:sz w:val="16"/>
                <w:szCs w:val="16"/>
              </w:rPr>
            </w:pPr>
            <w:r w:rsidRPr="001C570B">
              <w:rPr>
                <w:sz w:val="16"/>
                <w:szCs w:val="16"/>
              </w:rPr>
              <w:t>Antal anställda</w:t>
            </w:r>
          </w:p>
        </w:tc>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200</w:t>
            </w:r>
          </w:p>
        </w:tc>
        <w:tc>
          <w:tcPr>
            <w:tcW w:w="1488"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216</w:t>
            </w:r>
          </w:p>
        </w:tc>
        <w:tc>
          <w:tcPr>
            <w:tcW w:w="1517"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110</w:t>
            </w:r>
          </w:p>
        </w:tc>
      </w:tr>
      <w:tr w:rsidR="00000000" w:rsidRPr="001C570B">
        <w:tc>
          <w:tcPr>
            <w:tcW w:w="1490" w:type="dxa"/>
            <w:tcMar>
              <w:top w:w="0" w:type="dxa"/>
              <w:left w:w="15" w:type="dxa"/>
              <w:bottom w:w="0" w:type="dxa"/>
              <w:right w:w="15" w:type="dxa"/>
            </w:tcMar>
            <w:vAlign w:val="bottom"/>
          </w:tcPr>
          <w:p w:rsidR="001C570B" w:rsidRPr="001C570B" w:rsidRDefault="001C570B">
            <w:pPr>
              <w:pStyle w:val="normalindent"/>
              <w:shd w:val="clear" w:color="000000" w:fill="auto"/>
              <w:spacing w:before="60" w:beforeAutospacing="0" w:after="0" w:afterAutospacing="0" w:line="200" w:lineRule="exact"/>
              <w:jc w:val="left"/>
              <w:rPr>
                <w:sz w:val="16"/>
                <w:szCs w:val="16"/>
              </w:rPr>
            </w:pPr>
            <w:r w:rsidRPr="001C570B">
              <w:rPr>
                <w:sz w:val="16"/>
                <w:szCs w:val="16"/>
              </w:rPr>
              <w:t>Årshyra</w:t>
            </w:r>
          </w:p>
        </w:tc>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20,5 mnkr</w:t>
            </w:r>
          </w:p>
        </w:tc>
        <w:tc>
          <w:tcPr>
            <w:tcW w:w="1488"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21 mnkr</w:t>
            </w:r>
          </w:p>
        </w:tc>
        <w:tc>
          <w:tcPr>
            <w:tcW w:w="1517"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11,4 mnkr</w:t>
            </w:r>
          </w:p>
        </w:tc>
      </w:tr>
      <w:tr w:rsidR="00000000" w:rsidRPr="001C570B">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left"/>
              <w:rPr>
                <w:sz w:val="16"/>
                <w:szCs w:val="16"/>
              </w:rPr>
            </w:pPr>
            <w:r w:rsidRPr="001C570B">
              <w:rPr>
                <w:sz w:val="16"/>
                <w:szCs w:val="16"/>
              </w:rPr>
              <w:t>Kvadratmeter per anställd</w:t>
            </w:r>
          </w:p>
        </w:tc>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31 m</w:t>
            </w:r>
            <w:r w:rsidRPr="001C570B">
              <w:rPr>
                <w:sz w:val="16"/>
                <w:szCs w:val="16"/>
                <w:vertAlign w:val="superscript"/>
              </w:rPr>
              <w:t>2</w:t>
            </w:r>
            <w:r w:rsidRPr="001C570B">
              <w:rPr>
                <w:sz w:val="16"/>
                <w:szCs w:val="16"/>
              </w:rPr>
              <w:t>/anställd</w:t>
            </w:r>
          </w:p>
        </w:tc>
        <w:tc>
          <w:tcPr>
            <w:tcW w:w="1488"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31,5 m</w:t>
            </w:r>
            <w:r w:rsidRPr="001C570B">
              <w:rPr>
                <w:sz w:val="16"/>
                <w:szCs w:val="16"/>
                <w:vertAlign w:val="superscript"/>
              </w:rPr>
              <w:t>2</w:t>
            </w:r>
            <w:r w:rsidRPr="001C570B">
              <w:rPr>
                <w:sz w:val="16"/>
                <w:szCs w:val="16"/>
              </w:rPr>
              <w:t>/anställd</w:t>
            </w:r>
          </w:p>
        </w:tc>
        <w:tc>
          <w:tcPr>
            <w:tcW w:w="1517"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35,1 m</w:t>
            </w:r>
            <w:r w:rsidRPr="001C570B">
              <w:rPr>
                <w:sz w:val="16"/>
                <w:szCs w:val="16"/>
                <w:vertAlign w:val="superscript"/>
              </w:rPr>
              <w:t>2</w:t>
            </w:r>
            <w:r w:rsidRPr="001C570B">
              <w:rPr>
                <w:sz w:val="16"/>
                <w:szCs w:val="16"/>
              </w:rPr>
              <w:t>/anställd</w:t>
            </w:r>
          </w:p>
        </w:tc>
      </w:tr>
      <w:tr w:rsidR="00000000" w:rsidRPr="001C570B">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left"/>
              <w:rPr>
                <w:sz w:val="16"/>
                <w:szCs w:val="16"/>
              </w:rPr>
            </w:pPr>
            <w:r w:rsidRPr="001C570B">
              <w:rPr>
                <w:sz w:val="16"/>
                <w:szCs w:val="16"/>
              </w:rPr>
              <w:t>Kvadratmeterhyra</w:t>
            </w:r>
          </w:p>
        </w:tc>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3 300 kr/m</w:t>
            </w:r>
            <w:r w:rsidRPr="001C570B">
              <w:rPr>
                <w:sz w:val="16"/>
                <w:szCs w:val="16"/>
                <w:vertAlign w:val="superscript"/>
              </w:rPr>
              <w:t>2</w:t>
            </w:r>
          </w:p>
        </w:tc>
        <w:tc>
          <w:tcPr>
            <w:tcW w:w="1488"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3 060 kr/m</w:t>
            </w:r>
            <w:r w:rsidRPr="001C570B">
              <w:rPr>
                <w:sz w:val="16"/>
                <w:szCs w:val="16"/>
                <w:vertAlign w:val="superscript"/>
              </w:rPr>
              <w:t>2</w:t>
            </w:r>
          </w:p>
        </w:tc>
        <w:tc>
          <w:tcPr>
            <w:tcW w:w="1517"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2 950 kr/m</w:t>
            </w:r>
            <w:r w:rsidRPr="001C570B">
              <w:rPr>
                <w:sz w:val="16"/>
                <w:szCs w:val="16"/>
                <w:vertAlign w:val="superscript"/>
              </w:rPr>
              <w:t>2</w:t>
            </w:r>
          </w:p>
        </w:tc>
      </w:tr>
      <w:tr w:rsidR="00000000" w:rsidRPr="001C570B">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left"/>
              <w:rPr>
                <w:sz w:val="16"/>
                <w:szCs w:val="16"/>
              </w:rPr>
            </w:pPr>
            <w:r w:rsidRPr="001C570B">
              <w:rPr>
                <w:sz w:val="16"/>
                <w:szCs w:val="16"/>
              </w:rPr>
              <w:t>Årshyra per anställd</w:t>
            </w:r>
          </w:p>
        </w:tc>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102 500 kr/anställd</w:t>
            </w:r>
          </w:p>
        </w:tc>
        <w:tc>
          <w:tcPr>
            <w:tcW w:w="1488"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96 500 kr/anställd</w:t>
            </w:r>
          </w:p>
        </w:tc>
        <w:tc>
          <w:tcPr>
            <w:tcW w:w="1517"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103 000 kr/anställd</w:t>
            </w:r>
          </w:p>
        </w:tc>
      </w:tr>
      <w:tr w:rsidR="00000000" w:rsidRPr="001C570B">
        <w:tc>
          <w:tcPr>
            <w:tcW w:w="1490" w:type="dxa"/>
            <w:tcMar>
              <w:top w:w="0" w:type="dxa"/>
              <w:left w:w="15" w:type="dxa"/>
              <w:bottom w:w="0" w:type="dxa"/>
              <w:right w:w="15" w:type="dxa"/>
            </w:tcMar>
          </w:tcPr>
          <w:p w:rsidR="001C570B" w:rsidRPr="001C570B" w:rsidRDefault="001C570B">
            <w:pPr>
              <w:pStyle w:val="normalindent"/>
              <w:pageBreakBefore/>
              <w:shd w:val="clear" w:color="000000" w:fill="auto"/>
              <w:spacing w:before="60" w:beforeAutospacing="0" w:after="0" w:afterAutospacing="0" w:line="200" w:lineRule="exact"/>
              <w:jc w:val="left"/>
              <w:rPr>
                <w:i/>
                <w:iCs/>
                <w:sz w:val="16"/>
                <w:szCs w:val="16"/>
              </w:rPr>
            </w:pPr>
            <w:r w:rsidRPr="001C570B">
              <w:rPr>
                <w:i/>
                <w:iCs/>
                <w:sz w:val="16"/>
                <w:szCs w:val="16"/>
              </w:rPr>
              <w:t>Framtiden</w:t>
            </w:r>
          </w:p>
        </w:tc>
        <w:tc>
          <w:tcPr>
            <w:tcW w:w="1490" w:type="dxa"/>
            <w:tcMar>
              <w:top w:w="0" w:type="dxa"/>
              <w:left w:w="15" w:type="dxa"/>
              <w:bottom w:w="0" w:type="dxa"/>
              <w:right w:w="15" w:type="dxa"/>
            </w:tcMar>
          </w:tcPr>
          <w:p w:rsidR="001C570B" w:rsidRPr="001C570B" w:rsidRDefault="001C570B">
            <w:pPr>
              <w:shd w:val="clear" w:color="000000" w:fill="auto"/>
              <w:spacing w:before="60" w:line="200" w:lineRule="exact"/>
              <w:rPr>
                <w:sz w:val="16"/>
                <w:szCs w:val="16"/>
              </w:rPr>
            </w:pPr>
          </w:p>
        </w:tc>
        <w:tc>
          <w:tcPr>
            <w:tcW w:w="1488" w:type="dxa"/>
            <w:tcMar>
              <w:top w:w="0" w:type="dxa"/>
              <w:left w:w="15" w:type="dxa"/>
              <w:bottom w:w="0" w:type="dxa"/>
              <w:right w:w="15" w:type="dxa"/>
            </w:tcMar>
          </w:tcPr>
          <w:p w:rsidR="001C570B" w:rsidRPr="001C570B" w:rsidRDefault="001C570B">
            <w:pPr>
              <w:shd w:val="clear" w:color="000000" w:fill="auto"/>
              <w:spacing w:before="60" w:line="200" w:lineRule="exact"/>
              <w:rPr>
                <w:sz w:val="16"/>
                <w:szCs w:val="16"/>
              </w:rPr>
            </w:pPr>
          </w:p>
        </w:tc>
        <w:tc>
          <w:tcPr>
            <w:tcW w:w="1517" w:type="dxa"/>
            <w:tcMar>
              <w:top w:w="0" w:type="dxa"/>
              <w:left w:w="15" w:type="dxa"/>
              <w:bottom w:w="0" w:type="dxa"/>
              <w:right w:w="15" w:type="dxa"/>
            </w:tcMar>
          </w:tcPr>
          <w:p w:rsidR="001C570B" w:rsidRPr="001C570B" w:rsidRDefault="001C570B">
            <w:pPr>
              <w:shd w:val="clear" w:color="000000" w:fill="auto"/>
              <w:spacing w:before="60" w:line="200" w:lineRule="exact"/>
              <w:rPr>
                <w:sz w:val="16"/>
                <w:szCs w:val="16"/>
              </w:rPr>
            </w:pPr>
          </w:p>
        </w:tc>
      </w:tr>
      <w:tr w:rsidR="00000000" w:rsidRPr="001C570B">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left"/>
              <w:rPr>
                <w:sz w:val="16"/>
                <w:szCs w:val="16"/>
              </w:rPr>
            </w:pPr>
            <w:r w:rsidRPr="001C570B">
              <w:rPr>
                <w:sz w:val="16"/>
                <w:szCs w:val="16"/>
              </w:rPr>
              <w:t>Adress</w:t>
            </w:r>
          </w:p>
        </w:tc>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ind w:left="57"/>
              <w:jc w:val="right"/>
              <w:rPr>
                <w:sz w:val="16"/>
                <w:szCs w:val="16"/>
              </w:rPr>
            </w:pPr>
            <w:r w:rsidRPr="001C570B">
              <w:rPr>
                <w:sz w:val="16"/>
                <w:szCs w:val="16"/>
              </w:rPr>
              <w:t>Lokaler motsvarande nya Åklagarhuset i Flemingsberg</w:t>
            </w:r>
          </w:p>
        </w:tc>
        <w:tc>
          <w:tcPr>
            <w:tcW w:w="1488"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ind w:left="57"/>
              <w:jc w:val="right"/>
              <w:rPr>
                <w:sz w:val="16"/>
                <w:szCs w:val="16"/>
              </w:rPr>
            </w:pPr>
            <w:r w:rsidRPr="001C570B">
              <w:rPr>
                <w:sz w:val="16"/>
                <w:szCs w:val="16"/>
              </w:rPr>
              <w:t>Lokaler motsvara</w:t>
            </w:r>
            <w:r w:rsidRPr="001C570B">
              <w:rPr>
                <w:sz w:val="16"/>
                <w:szCs w:val="16"/>
              </w:rPr>
              <w:t>n</w:t>
            </w:r>
            <w:r w:rsidRPr="001C570B">
              <w:rPr>
                <w:sz w:val="16"/>
                <w:szCs w:val="16"/>
              </w:rPr>
              <w:t>de nya Åklagarhuset i Flemingsberg</w:t>
            </w:r>
          </w:p>
        </w:tc>
        <w:tc>
          <w:tcPr>
            <w:tcW w:w="1517"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ind w:left="57"/>
              <w:jc w:val="right"/>
              <w:rPr>
                <w:sz w:val="16"/>
                <w:szCs w:val="16"/>
              </w:rPr>
            </w:pPr>
            <w:r w:rsidRPr="001C570B">
              <w:rPr>
                <w:sz w:val="16"/>
                <w:szCs w:val="16"/>
              </w:rPr>
              <w:t>Lokaler motsvarande nya Åklagarhuset i Flemingsberg</w:t>
            </w:r>
          </w:p>
        </w:tc>
      </w:tr>
      <w:tr w:rsidR="00000000" w:rsidRPr="001C570B">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left"/>
              <w:rPr>
                <w:sz w:val="16"/>
                <w:szCs w:val="16"/>
              </w:rPr>
            </w:pPr>
            <w:r w:rsidRPr="001C570B">
              <w:rPr>
                <w:sz w:val="16"/>
                <w:szCs w:val="16"/>
              </w:rPr>
              <w:t>Antal anställda</w:t>
            </w:r>
          </w:p>
        </w:tc>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200</w:t>
            </w:r>
          </w:p>
        </w:tc>
        <w:tc>
          <w:tcPr>
            <w:tcW w:w="1488"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216</w:t>
            </w:r>
          </w:p>
        </w:tc>
        <w:tc>
          <w:tcPr>
            <w:tcW w:w="1517"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110</w:t>
            </w:r>
          </w:p>
        </w:tc>
      </w:tr>
      <w:tr w:rsidR="00000000" w:rsidRPr="001C570B">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left"/>
              <w:rPr>
                <w:sz w:val="16"/>
                <w:szCs w:val="16"/>
              </w:rPr>
            </w:pPr>
            <w:r w:rsidRPr="001C570B">
              <w:rPr>
                <w:sz w:val="16"/>
                <w:szCs w:val="16"/>
              </w:rPr>
              <w:t>Årshyra</w:t>
            </w:r>
          </w:p>
        </w:tc>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8,4 mnkr</w:t>
            </w:r>
          </w:p>
        </w:tc>
        <w:tc>
          <w:tcPr>
            <w:tcW w:w="1488"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9,1 mnkr</w:t>
            </w:r>
          </w:p>
        </w:tc>
        <w:tc>
          <w:tcPr>
            <w:tcW w:w="1517"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4,6 mnkr</w:t>
            </w:r>
          </w:p>
        </w:tc>
      </w:tr>
      <w:tr w:rsidR="00000000" w:rsidRPr="001C570B">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left"/>
              <w:rPr>
                <w:sz w:val="16"/>
                <w:szCs w:val="16"/>
              </w:rPr>
            </w:pPr>
            <w:r w:rsidRPr="001C570B">
              <w:rPr>
                <w:sz w:val="16"/>
                <w:szCs w:val="16"/>
              </w:rPr>
              <w:t>Kvadratmeter per anställd</w:t>
            </w:r>
          </w:p>
        </w:tc>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20 m</w:t>
            </w:r>
            <w:r w:rsidRPr="001C570B">
              <w:rPr>
                <w:sz w:val="16"/>
                <w:szCs w:val="16"/>
                <w:vertAlign w:val="superscript"/>
              </w:rPr>
              <w:t>2</w:t>
            </w:r>
            <w:r w:rsidRPr="001C570B">
              <w:rPr>
                <w:sz w:val="16"/>
                <w:szCs w:val="16"/>
              </w:rPr>
              <w:t>/anställd</w:t>
            </w:r>
          </w:p>
        </w:tc>
        <w:tc>
          <w:tcPr>
            <w:tcW w:w="1488"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20 m</w:t>
            </w:r>
            <w:r w:rsidRPr="001C570B">
              <w:rPr>
                <w:sz w:val="16"/>
                <w:szCs w:val="16"/>
                <w:vertAlign w:val="superscript"/>
              </w:rPr>
              <w:t>2</w:t>
            </w:r>
            <w:r w:rsidRPr="001C570B">
              <w:rPr>
                <w:sz w:val="16"/>
                <w:szCs w:val="16"/>
              </w:rPr>
              <w:t>/anställd</w:t>
            </w:r>
          </w:p>
        </w:tc>
        <w:tc>
          <w:tcPr>
            <w:tcW w:w="1517"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20 m</w:t>
            </w:r>
            <w:r w:rsidRPr="001C570B">
              <w:rPr>
                <w:sz w:val="16"/>
                <w:szCs w:val="16"/>
                <w:vertAlign w:val="superscript"/>
              </w:rPr>
              <w:t>2</w:t>
            </w:r>
            <w:r w:rsidRPr="001C570B">
              <w:rPr>
                <w:sz w:val="16"/>
                <w:szCs w:val="16"/>
              </w:rPr>
              <w:t>/anställd</w:t>
            </w:r>
          </w:p>
        </w:tc>
      </w:tr>
      <w:tr w:rsidR="00000000" w:rsidRPr="001C570B">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left"/>
              <w:rPr>
                <w:sz w:val="16"/>
                <w:szCs w:val="16"/>
              </w:rPr>
            </w:pPr>
            <w:r w:rsidRPr="001C570B">
              <w:rPr>
                <w:sz w:val="16"/>
                <w:szCs w:val="16"/>
              </w:rPr>
              <w:t>Kvadratmeterhyra</w:t>
            </w:r>
          </w:p>
        </w:tc>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2 100 kr/ m</w:t>
            </w:r>
            <w:r w:rsidRPr="001C570B">
              <w:rPr>
                <w:sz w:val="16"/>
                <w:szCs w:val="16"/>
                <w:vertAlign w:val="superscript"/>
              </w:rPr>
              <w:t>2</w:t>
            </w:r>
          </w:p>
        </w:tc>
        <w:tc>
          <w:tcPr>
            <w:tcW w:w="1488" w:type="dxa"/>
            <w:tcMar>
              <w:top w:w="0" w:type="dxa"/>
              <w:left w:w="15" w:type="dxa"/>
              <w:bottom w:w="0" w:type="dxa"/>
              <w:right w:w="15" w:type="dxa"/>
            </w:tcMar>
            <w:vAlign w:val="bottom"/>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2 100 kr/ m</w:t>
            </w:r>
            <w:r w:rsidRPr="001C570B">
              <w:rPr>
                <w:sz w:val="16"/>
                <w:szCs w:val="16"/>
                <w:vertAlign w:val="superscript"/>
              </w:rPr>
              <w:t>2</w:t>
            </w:r>
          </w:p>
        </w:tc>
        <w:tc>
          <w:tcPr>
            <w:tcW w:w="1517"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2 100 kr/ m</w:t>
            </w:r>
            <w:r w:rsidRPr="001C570B">
              <w:rPr>
                <w:sz w:val="16"/>
                <w:szCs w:val="16"/>
                <w:vertAlign w:val="superscript"/>
              </w:rPr>
              <w:t>2</w:t>
            </w:r>
          </w:p>
        </w:tc>
      </w:tr>
      <w:tr w:rsidR="00000000" w:rsidRPr="001C570B">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left"/>
              <w:rPr>
                <w:sz w:val="16"/>
                <w:szCs w:val="16"/>
              </w:rPr>
            </w:pPr>
            <w:r w:rsidRPr="001C570B">
              <w:rPr>
                <w:sz w:val="16"/>
                <w:szCs w:val="16"/>
              </w:rPr>
              <w:t>Årshyra per anställd</w:t>
            </w:r>
          </w:p>
        </w:tc>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42 000 kr/anställd</w:t>
            </w:r>
          </w:p>
        </w:tc>
        <w:tc>
          <w:tcPr>
            <w:tcW w:w="1488"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4 3 000 kr/ anställd</w:t>
            </w:r>
          </w:p>
        </w:tc>
        <w:tc>
          <w:tcPr>
            <w:tcW w:w="1517"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42 000 kr/anställd</w:t>
            </w:r>
          </w:p>
        </w:tc>
      </w:tr>
      <w:tr w:rsidR="00000000" w:rsidRPr="001C570B">
        <w:tc>
          <w:tcPr>
            <w:tcW w:w="1490" w:type="dxa"/>
            <w:tcMar>
              <w:top w:w="0" w:type="dxa"/>
              <w:left w:w="15" w:type="dxa"/>
              <w:bottom w:w="0" w:type="dxa"/>
              <w:right w:w="15" w:type="dxa"/>
            </w:tcMar>
          </w:tcPr>
          <w:p w:rsidR="001C570B" w:rsidRPr="001C570B" w:rsidRDefault="001C570B">
            <w:pPr>
              <w:shd w:val="clear" w:color="000000" w:fill="auto"/>
              <w:spacing w:before="60" w:line="200" w:lineRule="exact"/>
              <w:jc w:val="left"/>
              <w:rPr>
                <w:sz w:val="16"/>
                <w:szCs w:val="16"/>
              </w:rPr>
            </w:pPr>
          </w:p>
        </w:tc>
        <w:tc>
          <w:tcPr>
            <w:tcW w:w="1490" w:type="dxa"/>
            <w:tcMar>
              <w:top w:w="0" w:type="dxa"/>
              <w:left w:w="15" w:type="dxa"/>
              <w:bottom w:w="0" w:type="dxa"/>
              <w:right w:w="15" w:type="dxa"/>
            </w:tcMar>
          </w:tcPr>
          <w:p w:rsidR="001C570B" w:rsidRPr="001C570B" w:rsidRDefault="001C570B">
            <w:pPr>
              <w:shd w:val="clear" w:color="000000" w:fill="auto"/>
              <w:spacing w:before="60" w:line="200" w:lineRule="exact"/>
              <w:jc w:val="right"/>
              <w:rPr>
                <w:sz w:val="16"/>
                <w:szCs w:val="16"/>
              </w:rPr>
            </w:pPr>
          </w:p>
        </w:tc>
        <w:tc>
          <w:tcPr>
            <w:tcW w:w="1488" w:type="dxa"/>
            <w:tcMar>
              <w:top w:w="0" w:type="dxa"/>
              <w:left w:w="15" w:type="dxa"/>
              <w:bottom w:w="0" w:type="dxa"/>
              <w:right w:w="15" w:type="dxa"/>
            </w:tcMar>
          </w:tcPr>
          <w:p w:rsidR="001C570B" w:rsidRPr="001C570B" w:rsidRDefault="001C570B">
            <w:pPr>
              <w:shd w:val="clear" w:color="000000" w:fill="auto"/>
              <w:spacing w:before="60" w:line="200" w:lineRule="exact"/>
              <w:jc w:val="right"/>
              <w:rPr>
                <w:sz w:val="16"/>
                <w:szCs w:val="16"/>
              </w:rPr>
            </w:pPr>
          </w:p>
        </w:tc>
        <w:tc>
          <w:tcPr>
            <w:tcW w:w="1517" w:type="dxa"/>
            <w:tcMar>
              <w:top w:w="0" w:type="dxa"/>
              <w:left w:w="15" w:type="dxa"/>
              <w:bottom w:w="0" w:type="dxa"/>
              <w:right w:w="15" w:type="dxa"/>
            </w:tcMar>
          </w:tcPr>
          <w:p w:rsidR="001C570B" w:rsidRPr="001C570B" w:rsidRDefault="001C570B">
            <w:pPr>
              <w:shd w:val="clear" w:color="000000" w:fill="auto"/>
              <w:spacing w:before="60" w:line="200" w:lineRule="exact"/>
              <w:jc w:val="right"/>
              <w:rPr>
                <w:sz w:val="16"/>
                <w:szCs w:val="16"/>
              </w:rPr>
            </w:pPr>
          </w:p>
        </w:tc>
      </w:tr>
      <w:tr w:rsidR="00000000" w:rsidRPr="001C570B">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left"/>
              <w:rPr>
                <w:sz w:val="16"/>
                <w:szCs w:val="16"/>
              </w:rPr>
            </w:pPr>
            <w:r w:rsidRPr="001C570B">
              <w:rPr>
                <w:sz w:val="16"/>
                <w:szCs w:val="16"/>
              </w:rPr>
              <w:t>Besparingspotential</w:t>
            </w:r>
          </w:p>
        </w:tc>
        <w:tc>
          <w:tcPr>
            <w:tcW w:w="1490"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12,1 mnkr/år</w:t>
            </w:r>
          </w:p>
        </w:tc>
        <w:tc>
          <w:tcPr>
            <w:tcW w:w="1488"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11,9 mnkr/år</w:t>
            </w:r>
          </w:p>
        </w:tc>
        <w:tc>
          <w:tcPr>
            <w:tcW w:w="1517" w:type="dxa"/>
            <w:tcMar>
              <w:top w:w="0" w:type="dxa"/>
              <w:left w:w="15" w:type="dxa"/>
              <w:bottom w:w="0" w:type="dxa"/>
              <w:right w:w="15" w:type="dxa"/>
            </w:tcMar>
          </w:tcPr>
          <w:p w:rsidR="001C570B" w:rsidRPr="001C570B" w:rsidRDefault="001C570B">
            <w:pPr>
              <w:pStyle w:val="normalindent"/>
              <w:shd w:val="clear" w:color="000000" w:fill="auto"/>
              <w:spacing w:before="60" w:beforeAutospacing="0" w:after="0" w:afterAutospacing="0" w:line="200" w:lineRule="exact"/>
              <w:jc w:val="right"/>
              <w:rPr>
                <w:sz w:val="16"/>
                <w:szCs w:val="16"/>
              </w:rPr>
            </w:pPr>
            <w:r w:rsidRPr="001C570B">
              <w:rPr>
                <w:sz w:val="16"/>
                <w:szCs w:val="16"/>
              </w:rPr>
              <w:t>6,8 mnkr/år</w:t>
            </w:r>
          </w:p>
        </w:tc>
      </w:tr>
    </w:tbl>
    <w:p w:rsidR="001C570B" w:rsidRPr="001C570B" w:rsidRDefault="001C570B">
      <w:pPr>
        <w:shd w:val="clear" w:color="000000" w:fill="auto"/>
      </w:pPr>
      <w:r w:rsidRPr="001C570B">
        <w:t>I enbart dessa tre räkneexempel finns ett besparingsutrymme på upp emot 60 procent av nuvarande lokalkostnader. Rimligheten i besparingsvidden bekräftas av att det finns ett fåtal exempel på myndigheter som befinner sig i kostnadseffektiva lokaler (såsom Granskningsnämnden för radio och tv).</w:t>
      </w:r>
    </w:p>
    <w:p w:rsidR="001C570B" w:rsidRPr="001C570B" w:rsidRDefault="001C570B">
      <w:pPr>
        <w:pStyle w:val="Rubrik2"/>
        <w:shd w:val="clear" w:color="000000" w:fill="auto"/>
      </w:pPr>
      <w:r w:rsidRPr="001C570B">
        <w:t>Bristande kontroll och uppföljning</w:t>
      </w:r>
    </w:p>
    <w:p w:rsidR="001C570B" w:rsidRPr="001C570B" w:rsidRDefault="001C570B">
      <w:pPr>
        <w:shd w:val="clear" w:color="000000" w:fill="auto"/>
      </w:pPr>
      <w:r w:rsidRPr="001C570B">
        <w:t>Ekonomistyrningsverket (ESV), vilket är den myndighet som har till uppgift att granska effektiviteten i statsförvaltningens användning av skattemedel, brister uppenbarligen i sin kontroll. Som nämnts ovan redovisas exempelvis inga nyckeltal för myndigheternas lokalanvändning. Förklaringen ligger trol</w:t>
      </w:r>
      <w:r w:rsidRPr="001C570B">
        <w:t>i</w:t>
      </w:r>
      <w:r w:rsidRPr="001C570B">
        <w:t>gen i att fokus i ESV:s verksamhet i huvudsak kretsar kring granskning av ekonomiadministrativa system snarare än översyn av lokalanvändningen. Detta är olyckligt mot bakgrund av lokalkostnadernas omfattning.</w:t>
      </w:r>
    </w:p>
    <w:p w:rsidR="001C570B" w:rsidRPr="001C570B" w:rsidRDefault="001C570B">
      <w:pPr>
        <w:pStyle w:val="Normaltindrag"/>
        <w:shd w:val="clear" w:color="000000" w:fill="auto"/>
      </w:pPr>
      <w:r w:rsidRPr="001C570B">
        <w:t>I ett uppdrag från den tidigare regeringen fick ESV under 2005 till uppgift att undersöka och lämna förslag på förändringar av statens lokalförsörjning. I rapporten fastställdes: ”De hittillsvarande erfarenheterna av den nya lokalfö</w:t>
      </w:r>
      <w:r w:rsidRPr="001C570B">
        <w:t>r</w:t>
      </w:r>
      <w:r w:rsidRPr="001C570B">
        <w:t>sörjningsordningen är i huvudsak goda . . . [men] Fortfarande finns dock en potential för ytterligare förbättringar med åtföljande kostnadsbesparingar.” Samtidigt lyste förslag på konkreta åtgärder med sin frånvaro i rapporten, undantaget förslag om att införa nyckeltal för i) area och lokalkostnad totalt och sektorsvis, ii) förändringar i areautnyttjande per anställd sektorsvis samt iii) förändringar i marknadsanpassningen i tecknande av hyror sektorsvis. Åtgärdsförslagen är, tillsammans med nyckeltal sås</w:t>
      </w:r>
      <w:r w:rsidRPr="001C570B">
        <w:t>om iv) kvadratmeterhyra, v) areautnyttjande per anställd samt vi) hyra per anställd, självklarheter som snarast möjligt bör bli obligatoriska siffror att redovisa i årsredovisningen för samtliga statliga myndigheter. Därutöver bestod Ekonomistyrningsverkets förslag i huvudsak i att öka kunskapen kring lokalförsörjningsfrågor. Detta är klart otillräckligt. Att öka kunskapen kring lokalförsörjning kommer inte att frambringa adekvata incitament för myndigheter att lämna kostsamma ko</w:t>
      </w:r>
      <w:r w:rsidRPr="001C570B">
        <w:t>n</w:t>
      </w:r>
      <w:r w:rsidRPr="001C570B">
        <w:t>torslokaler i Stockholms ci</w:t>
      </w:r>
      <w:r w:rsidRPr="001C570B">
        <w:t>ty. Således behövs mer kraftfulla åtgärder.</w:t>
      </w:r>
    </w:p>
    <w:p w:rsidR="001C570B" w:rsidRPr="001C570B" w:rsidRDefault="001C570B">
      <w:pPr>
        <w:pStyle w:val="Rubrik2"/>
        <w:shd w:val="clear" w:color="000000" w:fill="auto"/>
      </w:pPr>
      <w:r w:rsidRPr="001C570B">
        <w:t>Påtvinga myndigheterna besparingskrav</w:t>
      </w:r>
    </w:p>
    <w:p w:rsidR="001C570B" w:rsidRPr="001C570B" w:rsidRDefault="001C570B">
      <w:pPr>
        <w:shd w:val="clear" w:color="000000" w:fill="auto"/>
      </w:pPr>
      <w:r w:rsidRPr="001C570B">
        <w:t>Det står bortom allt tvivel att det finns stora besparingsmöjligheter i statsfö</w:t>
      </w:r>
      <w:r w:rsidRPr="001C570B">
        <w:t>r</w:t>
      </w:r>
      <w:r w:rsidRPr="001C570B">
        <w:t>valtningens lokalförsörjning. Det är inte rimligt att skattebetalarna måste tvingas betala enorma summor i skatter för att myndighetschefer skall ha promenadavstånd till Rosenbad. Lösningen bör dock inte vara att ge bättre incitament för myndigheterna att minimera lokalkostnaden genom att låta vinsten av en eventuell lokaleffektivisering återgå till myndigheternas ver</w:t>
      </w:r>
      <w:r w:rsidRPr="001C570B">
        <w:t>k</w:t>
      </w:r>
      <w:r w:rsidRPr="001C570B">
        <w:t>samhet, då detta skulle innebära en onödig myndighetsexpansion. Istället bör en oberoende översynsman tillsättas för att uppskatta ett sparb</w:t>
      </w:r>
      <w:r w:rsidRPr="001C570B">
        <w:t>eting på loka</w:t>
      </w:r>
      <w:r w:rsidRPr="001C570B">
        <w:t>l</w:t>
      </w:r>
      <w:r w:rsidRPr="001C570B">
        <w:t>kostnaderna för samtliga myndigheter med hänsyn till vad som ovan anförs i motionen. Samma sparbeting bör därefter påföras berörda myndigheter. Dessa åtgärder kan förhoppningsvis även framtvinga att myndigheter med likartade arbetsuppgifter samlokaliserar, vilket i förlängningen kan ge upphov till s</w:t>
      </w:r>
      <w:r w:rsidRPr="001C570B">
        <w:t>y</w:t>
      </w:r>
      <w:r w:rsidRPr="001C570B">
        <w:t>nergieffekter i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570B">
        <w:trPr>
          <w:cantSplit/>
        </w:trPr>
        <w:tc>
          <w:tcPr>
            <w:tcW w:w="3046" w:type="dxa"/>
          </w:tcPr>
          <w:p w:rsidR="001C570B" w:rsidRPr="001C570B" w:rsidRDefault="001C570B">
            <w:pPr>
              <w:pStyle w:val="UnderskriftDatum"/>
              <w:shd w:val="clear" w:color="000000" w:fill="auto"/>
              <w:spacing w:before="240"/>
            </w:pPr>
            <w:r w:rsidRPr="001C570B">
              <w:t>Stockholm den 1 oktober 2009</w:t>
            </w:r>
          </w:p>
        </w:tc>
        <w:tc>
          <w:tcPr>
            <w:tcW w:w="3047" w:type="dxa"/>
          </w:tcPr>
          <w:p w:rsidR="001C570B" w:rsidRPr="001C570B" w:rsidRDefault="001C570B">
            <w:pPr>
              <w:pStyle w:val="Underskrifter"/>
              <w:shd w:val="clear" w:color="000000" w:fill="auto"/>
              <w:spacing w:before="240"/>
            </w:pPr>
          </w:p>
        </w:tc>
      </w:tr>
      <w:tr w:rsidR="00000000" w:rsidRPr="001C570B">
        <w:trPr>
          <w:cantSplit/>
        </w:trPr>
        <w:tc>
          <w:tcPr>
            <w:tcW w:w="3046" w:type="dxa"/>
          </w:tcPr>
          <w:p w:rsidR="001C570B" w:rsidRPr="001C570B" w:rsidRDefault="001C570B">
            <w:pPr>
              <w:pStyle w:val="Underskrifter"/>
              <w:shd w:val="clear" w:color="000000" w:fill="auto"/>
            </w:pPr>
            <w:r w:rsidRPr="001C570B">
              <w:t>Fredrik Schulte (m)</w:t>
            </w:r>
          </w:p>
        </w:tc>
        <w:tc>
          <w:tcPr>
            <w:tcW w:w="3046" w:type="dxa"/>
          </w:tcPr>
          <w:p w:rsidR="001C570B" w:rsidRPr="001C570B" w:rsidRDefault="001C570B">
            <w:pPr>
              <w:pStyle w:val="Underskrifter"/>
              <w:shd w:val="clear" w:color="000000" w:fill="auto"/>
            </w:pPr>
          </w:p>
        </w:tc>
      </w:tr>
    </w:tbl>
    <w:p w:rsidR="001C570B" w:rsidRPr="001C570B" w:rsidRDefault="001C570B">
      <w:pPr>
        <w:pStyle w:val="Normaltindrag"/>
        <w:shd w:val="clear" w:color="000000" w:fill="auto"/>
      </w:pPr>
    </w:p>
    <w:sectPr w:rsidR="00000000" w:rsidRPr="001C57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70B" w:rsidRPr="001C570B" w:rsidRDefault="001C570B">
      <w:r w:rsidRPr="001C570B">
        <w:separator/>
      </w:r>
    </w:p>
  </w:endnote>
  <w:endnote w:type="continuationSeparator" w:id="0">
    <w:p w:rsidR="001C570B" w:rsidRPr="001C570B" w:rsidRDefault="001C570B">
      <w:r w:rsidRPr="001C57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70B" w:rsidRPr="001C570B" w:rsidRDefault="001C570B">
    <w:pPr>
      <w:pStyle w:val="Sidfot"/>
    </w:pPr>
    <w:r w:rsidRPr="001C57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19365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70B" w:rsidRDefault="001C570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570B" w:rsidRDefault="001C570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70B" w:rsidRPr="001C570B" w:rsidRDefault="001C570B">
    <w:pPr>
      <w:pStyle w:val="Sidfot"/>
    </w:pPr>
    <w:r w:rsidRPr="001C57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5776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70B" w:rsidRDefault="001C570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570B" w:rsidRDefault="001C570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70B" w:rsidRPr="001C570B" w:rsidRDefault="001C570B">
    <w:pPr>
      <w:pStyle w:val="Sidfot"/>
    </w:pPr>
    <w:r w:rsidRPr="001C57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891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70B" w:rsidRDefault="001C57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570B" w:rsidRDefault="001C57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70B" w:rsidRPr="001C570B" w:rsidRDefault="001C570B">
      <w:r w:rsidRPr="001C570B">
        <w:separator/>
      </w:r>
    </w:p>
  </w:footnote>
  <w:footnote w:type="continuationSeparator" w:id="0">
    <w:p w:rsidR="001C570B" w:rsidRPr="001C570B" w:rsidRDefault="001C570B">
      <w:r w:rsidRPr="001C57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70B" w:rsidRPr="001C570B" w:rsidRDefault="001C570B">
    <w:pPr>
      <w:pStyle w:val="Sidhuvud"/>
    </w:pPr>
    <w:r w:rsidRPr="001C57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20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70B" w:rsidRDefault="001C57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570B" w:rsidRDefault="001C57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70B" w:rsidRPr="001C570B" w:rsidRDefault="001C570B">
    <w:pPr>
      <w:pStyle w:val="Sidhuvud"/>
    </w:pPr>
    <w:r w:rsidRPr="001C57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2120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70B" w:rsidRDefault="001C57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570B" w:rsidRDefault="001C57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70B" w:rsidRPr="001C570B" w:rsidRDefault="001C570B">
    <w:pPr>
      <w:pStyle w:val="FSHNormal"/>
      <w:tabs>
        <w:tab w:val="right" w:pos="5840"/>
      </w:tabs>
    </w:pPr>
    <w:r w:rsidRPr="001C570B">
      <w:br/>
    </w:r>
    <w:r w:rsidRPr="001C570B">
      <w:fldChar w:fldCharType="begin" w:fldLock="1"/>
    </w:r>
    <w:r w:rsidRPr="001C570B">
      <w:instrText xml:space="preserve"> DOCPROPERTY</w:instrText>
    </w:r>
    <w:r w:rsidRPr="001C570B">
      <w:rPr>
        <w:sz w:val="18"/>
      </w:rPr>
      <w:instrText xml:space="preserve"> "YearUser" *\charformat </w:instrText>
    </w:r>
    <w:r w:rsidRPr="001C570B">
      <w:fldChar w:fldCharType="separate"/>
    </w:r>
    <w:r w:rsidRPr="001C570B">
      <w:t>2009/10</w:t>
    </w:r>
    <w:r w:rsidRPr="001C570B">
      <w:fldChar w:fldCharType="end"/>
    </w:r>
    <w:r w:rsidRPr="001C570B">
      <w:t xml:space="preserve"> </w:t>
    </w:r>
    <w:r w:rsidRPr="001C570B">
      <w:tab/>
      <w:t xml:space="preserve">mnr: </w:t>
    </w:r>
    <w:r w:rsidRPr="001C570B">
      <w:fldChar w:fldCharType="begin" w:fldLock="1"/>
    </w:r>
    <w:r w:rsidRPr="001C570B">
      <w:instrText xml:space="preserve"> DOCPROPERTY</w:instrText>
    </w:r>
    <w:r w:rsidRPr="001C570B">
      <w:rPr>
        <w:sz w:val="18"/>
      </w:rPr>
      <w:instrText xml:space="preserve"> "Motionsnummer" *\charformat </w:instrText>
    </w:r>
    <w:r w:rsidRPr="001C570B">
      <w:fldChar w:fldCharType="separate"/>
    </w:r>
    <w:r w:rsidRPr="001C570B">
      <w:t>Fi255</w:t>
    </w:r>
    <w:r w:rsidRPr="001C570B">
      <w:fldChar w:fldCharType="end"/>
    </w:r>
    <w:r w:rsidRPr="001C570B">
      <w:br/>
    </w:r>
    <w:r w:rsidRPr="001C570B">
      <w:fldChar w:fldCharType="begin" w:fldLock="1"/>
    </w:r>
    <w:r w:rsidRPr="001C570B">
      <w:instrText xml:space="preserve"> DOCPROPERTY</w:instrText>
    </w:r>
    <w:r w:rsidRPr="001C570B">
      <w:rPr>
        <w:sz w:val="18"/>
      </w:rPr>
      <w:instrText xml:space="preserve"> "Samling" *\charformat </w:instrText>
    </w:r>
    <w:r w:rsidRPr="001C570B">
      <w:fldChar w:fldCharType="end"/>
    </w:r>
    <w:r w:rsidRPr="001C570B">
      <w:tab/>
      <w:t xml:space="preserve">pnr: </w:t>
    </w:r>
    <w:r w:rsidRPr="001C570B">
      <w:fldChar w:fldCharType="begin" w:fldLock="1"/>
    </w:r>
    <w:r w:rsidRPr="001C570B">
      <w:instrText xml:space="preserve"> DOCPROPERTY</w:instrText>
    </w:r>
    <w:r w:rsidRPr="001C570B">
      <w:rPr>
        <w:sz w:val="18"/>
      </w:rPr>
      <w:instrText xml:space="preserve"> "Partinummer" *\charformat </w:instrText>
    </w:r>
    <w:r w:rsidRPr="001C570B">
      <w:fldChar w:fldCharType="separate"/>
    </w:r>
    <w:r w:rsidRPr="001C570B">
      <w:t>m1862</w:t>
    </w:r>
    <w:r w:rsidRPr="001C570B">
      <w:fldChar w:fldCharType="end"/>
    </w:r>
  </w:p>
  <w:p w:rsidR="001C570B" w:rsidRPr="001C570B" w:rsidRDefault="001C570B">
    <w:pPr>
      <w:pStyle w:val="FSHRub1"/>
    </w:pPr>
    <w:r w:rsidRPr="001C570B">
      <w:t>Motion till riksdagen</w:t>
    </w:r>
    <w:r w:rsidRPr="001C570B">
      <w:br/>
    </w:r>
    <w:r w:rsidRPr="001C570B">
      <w:fldChar w:fldCharType="begin" w:fldLock="1"/>
    </w:r>
    <w:r w:rsidRPr="001C570B">
      <w:instrText xml:space="preserve"> DOCPROPERTY "YearUser" *\charformat </w:instrText>
    </w:r>
    <w:r w:rsidRPr="001C570B">
      <w:fldChar w:fldCharType="separate"/>
    </w:r>
    <w:r w:rsidRPr="001C570B">
      <w:t>2009/10</w:t>
    </w:r>
    <w:r w:rsidRPr="001C570B">
      <w:fldChar w:fldCharType="end"/>
    </w:r>
    <w:r w:rsidRPr="001C570B">
      <w:t>:</w:t>
    </w:r>
    <w:r w:rsidRPr="001C570B">
      <w:fldChar w:fldCharType="begin" w:fldLock="1"/>
    </w:r>
    <w:r w:rsidRPr="001C570B">
      <w:instrText xml:space="preserve"> DOCPROPERTY "Motionsnummer" *\charformat </w:instrText>
    </w:r>
    <w:r w:rsidRPr="001C570B">
      <w:fldChar w:fldCharType="separate"/>
    </w:r>
    <w:r w:rsidRPr="001C570B">
      <w:t>Fi255</w:t>
    </w:r>
    <w:r w:rsidRPr="001C570B">
      <w:fldChar w:fldCharType="end"/>
    </w:r>
  </w:p>
  <w:p w:rsidR="001C570B" w:rsidRPr="001C570B" w:rsidRDefault="001C570B">
    <w:pPr>
      <w:pStyle w:val="FSHNormalS5"/>
    </w:pPr>
    <w:r w:rsidRPr="001C570B">
      <w:fldChar w:fldCharType="begin" w:fldLock="1"/>
    </w:r>
    <w:r w:rsidRPr="001C570B">
      <w:instrText xml:space="preserve"> DOCPROPERTY "MotionarText" *\charformat </w:instrText>
    </w:r>
    <w:r w:rsidRPr="001C570B">
      <w:fldChar w:fldCharType="separate"/>
    </w:r>
    <w:r w:rsidRPr="001C570B">
      <w:t>av Fredrik Schulte (m)</w:t>
    </w:r>
    <w:r w:rsidRPr="001C570B">
      <w:fldChar w:fldCharType="end"/>
    </w:r>
    <w:r w:rsidRPr="001C570B">
      <w:br/>
    </w:r>
    <w:r w:rsidRPr="001C570B">
      <w:fldChar w:fldCharType="begin" w:fldLock="1"/>
    </w:r>
    <w:r w:rsidRPr="001C570B">
      <w:instrText xml:space="preserve"> DOCPROPERTY "SvarFrasKort" *\charformat </w:instrText>
    </w:r>
    <w:r w:rsidRPr="001C570B">
      <w:fldChar w:fldCharType="end"/>
    </w:r>
  </w:p>
  <w:p w:rsidR="001C570B" w:rsidRPr="001C570B" w:rsidRDefault="001C570B">
    <w:pPr>
      <w:pStyle w:val="FSHTitel"/>
    </w:pPr>
    <w:r w:rsidRPr="001C570B">
      <w:fldChar w:fldCharType="begin" w:fldLock="1"/>
    </w:r>
    <w:r w:rsidRPr="001C570B">
      <w:instrText xml:space="preserve"> DOCPROPERTY</w:instrText>
    </w:r>
    <w:r w:rsidRPr="001C570B">
      <w:rPr>
        <w:sz w:val="18"/>
      </w:rPr>
      <w:instrText xml:space="preserve"> "RubrikSvar" *\charformat </w:instrText>
    </w:r>
    <w:r w:rsidRPr="001C570B">
      <w:fldChar w:fldCharType="separate"/>
    </w:r>
    <w:r w:rsidRPr="001C570B">
      <w:t>Myndigheternas lokalförsörjning</w:t>
    </w:r>
    <w:r w:rsidRPr="001C570B">
      <w:fldChar w:fldCharType="end"/>
    </w:r>
  </w:p>
  <w:p w:rsidR="001C570B" w:rsidRPr="001C570B" w:rsidRDefault="001C570B">
    <w:pPr>
      <w:pStyle w:val="Normal00"/>
    </w:pPr>
  </w:p>
  <w:p w:rsidR="001C570B" w:rsidRPr="001C570B" w:rsidRDefault="001C57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8880475">
    <w:abstractNumId w:val="8"/>
  </w:num>
  <w:num w:numId="2" w16cid:durableId="1110901896">
    <w:abstractNumId w:val="9"/>
  </w:num>
  <w:num w:numId="3" w16cid:durableId="1963657413">
    <w:abstractNumId w:val="8"/>
  </w:num>
  <w:num w:numId="4" w16cid:durableId="780029983">
    <w:abstractNumId w:val="9"/>
  </w:num>
  <w:num w:numId="5" w16cid:durableId="193688241">
    <w:abstractNumId w:val="13"/>
  </w:num>
  <w:num w:numId="6" w16cid:durableId="1097404905">
    <w:abstractNumId w:val="10"/>
  </w:num>
  <w:num w:numId="7" w16cid:durableId="996614833">
    <w:abstractNumId w:val="11"/>
  </w:num>
  <w:num w:numId="8" w16cid:durableId="333648688">
    <w:abstractNumId w:val="12"/>
  </w:num>
  <w:num w:numId="9" w16cid:durableId="1469469063">
    <w:abstractNumId w:val="8"/>
  </w:num>
  <w:num w:numId="10" w16cid:durableId="1660427634">
    <w:abstractNumId w:val="3"/>
  </w:num>
  <w:num w:numId="11" w16cid:durableId="1648168476">
    <w:abstractNumId w:val="2"/>
  </w:num>
  <w:num w:numId="12" w16cid:durableId="1934126557">
    <w:abstractNumId w:val="1"/>
  </w:num>
  <w:num w:numId="13" w16cid:durableId="2003699785">
    <w:abstractNumId w:val="0"/>
  </w:num>
  <w:num w:numId="14" w16cid:durableId="190341036">
    <w:abstractNumId w:val="9"/>
  </w:num>
  <w:num w:numId="15" w16cid:durableId="653292966">
    <w:abstractNumId w:val="7"/>
  </w:num>
  <w:num w:numId="16" w16cid:durableId="1036126946">
    <w:abstractNumId w:val="6"/>
  </w:num>
  <w:num w:numId="17" w16cid:durableId="1046296501">
    <w:abstractNumId w:val="5"/>
  </w:num>
  <w:num w:numId="18" w16cid:durableId="1460758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FA974E5C-60DE-4FB9-8298-572B3B8C6BF7}"/>
  </w:docVars>
  <w:rsids>
    <w:rsidRoot w:val="008760A5"/>
    <w:rsid w:val="001C570B"/>
    <w:rsid w:val="008760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BB7BF57A-516D-4E61-8D45-7CDA181D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szCs w:val="24"/>
    </w:r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1488</Words>
  <Characters>9663</Characters>
  <Application>Microsoft Office Word</Application>
  <DocSecurity>4</DocSecurity>
  <Lines>230</Lines>
  <Paragraphs>91</Paragraphs>
  <ScaleCrop>false</ScaleCrop>
  <HeadingPairs>
    <vt:vector size="2" baseType="variant">
      <vt:variant>
        <vt:lpstr>Rubrik</vt:lpstr>
      </vt:variant>
      <vt:variant>
        <vt:i4>1</vt:i4>
      </vt:variant>
    </vt:vector>
  </HeadingPairs>
  <TitlesOfParts>
    <vt:vector size="1" baseType="lpstr">
      <vt:lpstr>m1862</vt:lpstr>
    </vt:vector>
  </TitlesOfParts>
  <Company>Riksdagen</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m1862</dc:title>
  <dc:subject>m1862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2010-01-28T10:41:00Z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Myndigheternas lokalförsörjning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Myndigheternas lokalförsörjning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20092010000000000109000018620069</vt:lpwstr>
  </property>
  <property fmtid="{D5CDD505-2E9C-101B-9397-08002B2CF9AE}" pid="47" name="datum">
    <vt:lpwstr>091001</vt:lpwstr>
  </property>
  <property fmtid="{D5CDD505-2E9C-101B-9397-08002B2CF9AE}" pid="48" name="avsändar-e-post">
    <vt:lpwstr>jacob.birkeland@riksdagen.se</vt:lpwstr>
  </property>
  <property fmtid="{D5CDD505-2E9C-101B-9397-08002B2CF9AE}" pid="49" name="id">
    <vt:lpwstr>20092010000000000109000018620069</vt:lpwstr>
  </property>
  <property fmtid="{D5CDD505-2E9C-101B-9397-08002B2CF9AE}" pid="50" name="nummer">
    <vt:lpwstr>255</vt:lpwstr>
  </property>
  <property fmtid="{D5CDD505-2E9C-101B-9397-08002B2CF9AE}" pid="51" name="utskottsbeteckning">
    <vt:lpwstr>Fi</vt:lpwstr>
  </property>
  <property fmtid="{D5CDD505-2E9C-101B-9397-08002B2CF9AE}" pid="52" name="GlobalUID">
    <vt:lpwstr>{924F2263-ADA3-44F2-B3A9-839E543E75EF}</vt:lpwstr>
  </property>
  <property fmtid="{D5CDD505-2E9C-101B-9397-08002B2CF9AE}" pid="53" name="Överföringar">
    <vt:i4>0</vt:i4>
  </property>
  <property fmtid="{D5CDD505-2E9C-101B-9397-08002B2CF9AE}" pid="54" name="Checksum">
    <vt:lpwstr>*0002045763896*</vt:lpwstr>
  </property>
  <property fmtid="{D5CDD505-2E9C-101B-9397-08002B2CF9AE}" pid="55" name="skuggnummer">
    <vt:lpwstr>1911</vt:lpwstr>
  </property>
  <property fmtid="{D5CDD505-2E9C-101B-9397-08002B2CF9AE}" pid="56" name="urixVersion">
    <vt:lpwstr>4.1.0.6</vt:lpwstr>
  </property>
  <property fmtid="{D5CDD505-2E9C-101B-9397-08002B2CF9AE}" pid="57" name="urixOrigin">
    <vt:lpwstr>100128 11:41:27.922</vt:lpwstr>
  </property>
  <property fmtid="{D5CDD505-2E9C-101B-9397-08002B2CF9AE}" pid="58" name="urixGuid">
    <vt:lpwstr>{F71401CB-0C81-4BE8-9C5D-9D2D2EBB577A}</vt:lpwstr>
  </property>
</Properties>
</file>