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D71FD" w:rsidRPr="00733B9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733B92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D71FD" w:rsidRPr="00733B92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D71FD" w:rsidRPr="00733B92" w:rsidRDefault="00BD71F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33B9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D71FD" w:rsidRPr="00733B92" w:rsidRDefault="00BD71F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D71FD" w:rsidRPr="00733B92" w:rsidRDefault="00BD71FD">
            <w:pPr>
              <w:framePr w:w="4400" w:h="1644" w:wrap="notBeside" w:vAnchor="page" w:hAnchor="page" w:x="6573" w:y="721"/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733B92" w:rsidRDefault="004D1BC0">
            <w:pPr>
              <w:framePr w:w="4400" w:h="1644" w:wrap="notBeside" w:vAnchor="page" w:hAnchor="page" w:x="6573" w:y="721"/>
            </w:pPr>
            <w:r w:rsidRPr="00733B92">
              <w:t>2008-12-01</w:t>
            </w:r>
          </w:p>
          <w:p w:rsidR="004D1BC0" w:rsidRPr="00733B92" w:rsidRDefault="004D1BC0">
            <w:pPr>
              <w:framePr w:w="4400" w:h="1644" w:wrap="notBeside" w:vAnchor="page" w:hAnchor="page" w:x="6573" w:y="721"/>
            </w:pPr>
          </w:p>
          <w:p w:rsidR="004D1BC0" w:rsidRPr="00733B92" w:rsidRDefault="004D1BC0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D71FD" w:rsidRPr="00733B92" w:rsidRDefault="00BD71FD">
            <w:pPr>
              <w:framePr w:w="4400" w:h="1644" w:wrap="notBeside" w:vAnchor="page" w:hAnchor="page" w:x="6573" w:y="721"/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D71FD" w:rsidRPr="00733B92" w:rsidRDefault="00BD71F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D71FD" w:rsidRPr="00733B92" w:rsidRDefault="00BD71F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D71FD" w:rsidRPr="00733B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33B92" w:rsidRDefault="008309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33B92">
              <w:rPr>
                <w:b/>
                <w:i w:val="0"/>
                <w:sz w:val="22"/>
              </w:rPr>
              <w:t>Integrations- och jämställdhetsdepartementet</w:t>
            </w: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33B92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33B92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33B92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33B92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33B92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33B92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33B92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D71FD" w:rsidRPr="00733B9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D71FD" w:rsidRPr="00733B92" w:rsidRDefault="00BD71F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D71FD" w:rsidRPr="00733B92" w:rsidRDefault="00BD71FD">
      <w:pPr>
        <w:framePr w:w="4400" w:h="2523" w:wrap="notBeside" w:vAnchor="page" w:hAnchor="page" w:x="6453" w:y="2445"/>
        <w:ind w:left="142"/>
        <w:rPr>
          <w:b/>
        </w:rPr>
      </w:pPr>
    </w:p>
    <w:p w:rsidR="00BD71FD" w:rsidRPr="00733B92" w:rsidRDefault="00AE3AF5" w:rsidP="00AE3AF5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33B92">
        <w:t xml:space="preserve">EPSCO-rådets möte den 17 december 2008  </w:t>
      </w:r>
    </w:p>
    <w:p w:rsidR="00BD71FD" w:rsidRPr="00733B92" w:rsidRDefault="00BD71FD">
      <w:pPr>
        <w:pStyle w:val="RKnormal"/>
      </w:pPr>
    </w:p>
    <w:p w:rsidR="00830925" w:rsidRPr="00733B92" w:rsidRDefault="00BD71FD">
      <w:pPr>
        <w:pStyle w:val="RKnormal"/>
        <w:rPr>
          <w:rStyle w:val="RKrubrikChar"/>
        </w:rPr>
      </w:pPr>
      <w:r w:rsidRPr="00733B92">
        <w:rPr>
          <w:rStyle w:val="RKrubrikChar"/>
        </w:rPr>
        <w:t>Dagordningspunkt</w:t>
      </w:r>
    </w:p>
    <w:p w:rsidR="00BD71FD" w:rsidRPr="00733B92" w:rsidRDefault="00AE3AF5">
      <w:pPr>
        <w:pStyle w:val="RKnormal"/>
      </w:pPr>
      <w:r w:rsidRPr="00733B92">
        <w:t>16</w:t>
      </w:r>
    </w:p>
    <w:p w:rsidR="00830925" w:rsidRPr="00733B92" w:rsidRDefault="00BD71FD" w:rsidP="00830925">
      <w:pPr>
        <w:pStyle w:val="RKrubrik"/>
      </w:pPr>
      <w:r w:rsidRPr="00733B92">
        <w:t>Rubrik</w:t>
      </w:r>
    </w:p>
    <w:p w:rsidR="00477760" w:rsidRPr="00733B92" w:rsidRDefault="00AE3AF5" w:rsidP="00477760">
      <w:pPr>
        <w:pStyle w:val="RKnormal"/>
      </w:pPr>
      <w:r w:rsidRPr="00733B92">
        <w:t xml:space="preserve">Översyn av medlemsstaternas och EU-institutionernas genomförande av handlingsplanen från Peking </w:t>
      </w:r>
    </w:p>
    <w:p w:rsidR="00477760" w:rsidRPr="00733B92" w:rsidRDefault="00AE3AF5" w:rsidP="00477760">
      <w:pPr>
        <w:pStyle w:val="RKnormal"/>
      </w:pPr>
      <w:r w:rsidRPr="00733B92">
        <w:t xml:space="preserve">a) Indikatorer om kvinnor och väpnade konflikter </w:t>
      </w:r>
    </w:p>
    <w:p w:rsidR="00AE3AF5" w:rsidRPr="00733B92" w:rsidRDefault="00AE3AF5" w:rsidP="00477760">
      <w:pPr>
        <w:pStyle w:val="RKnormal"/>
      </w:pPr>
      <w:r w:rsidRPr="00733B92">
        <w:t>b) Att förena arbete och familjeliv</w:t>
      </w:r>
    </w:p>
    <w:p w:rsidR="00BD71FD" w:rsidRPr="00733B92" w:rsidRDefault="00830925" w:rsidP="00830925">
      <w:pPr>
        <w:pStyle w:val="RKrubrik"/>
      </w:pPr>
      <w:r w:rsidRPr="00733B92">
        <w:t>Dokument</w:t>
      </w:r>
    </w:p>
    <w:p w:rsidR="00830925" w:rsidRPr="00733B92" w:rsidRDefault="00477760">
      <w:pPr>
        <w:pStyle w:val="RKnormal"/>
      </w:pPr>
      <w:r w:rsidRPr="00733B92">
        <w:t>Ännu ej inkomna</w:t>
      </w:r>
    </w:p>
    <w:p w:rsidR="00BD71FD" w:rsidRPr="00733B92" w:rsidRDefault="00BD71FD">
      <w:pPr>
        <w:pStyle w:val="RKnormal"/>
      </w:pPr>
    </w:p>
    <w:p w:rsidR="00830925" w:rsidRPr="00733B92" w:rsidRDefault="00BD71FD" w:rsidP="00830925">
      <w:pPr>
        <w:pStyle w:val="RKrubrik"/>
      </w:pPr>
      <w:r w:rsidRPr="00733B92">
        <w:t>Tidigare dokument</w:t>
      </w:r>
    </w:p>
    <w:p w:rsidR="00BD71FD" w:rsidRPr="00733B92" w:rsidRDefault="00BD71FD">
      <w:pPr>
        <w:pStyle w:val="RKrubrik"/>
      </w:pPr>
      <w:r w:rsidRPr="00733B92">
        <w:t>Bakgrund</w:t>
      </w:r>
    </w:p>
    <w:p w:rsidR="00477760" w:rsidRPr="00733B92" w:rsidRDefault="00477760" w:rsidP="00477760">
      <w:pPr>
        <w:pStyle w:val="RKnormal"/>
      </w:pPr>
      <w:r w:rsidRPr="00733B92">
        <w:t>Varje år granskar rådet medlemsländernas genomförande av den handlingsplan som antogs vid FN:s fjärde kvinnokonferens i Peking 1995 (</w:t>
      </w:r>
      <w:r w:rsidRPr="00733B92">
        <w:rPr>
          <w:i/>
        </w:rPr>
        <w:t>Beijing Platform for Action</w:t>
      </w:r>
      <w:r w:rsidRPr="00733B92">
        <w:t>). Ordförandeskapen har sedan 1999 utarbetat indikatorer för uppföljning av de 12 kritiska områden som identifieras i handlingsplanen.</w:t>
      </w:r>
    </w:p>
    <w:p w:rsidR="00BD71FD" w:rsidRPr="00733B92" w:rsidRDefault="00BD71FD">
      <w:pPr>
        <w:pStyle w:val="RKnormal"/>
      </w:pPr>
    </w:p>
    <w:p w:rsidR="00477760" w:rsidRPr="00733B92" w:rsidRDefault="00477760">
      <w:pPr>
        <w:pStyle w:val="RKnormal"/>
      </w:pPr>
      <w:r w:rsidRPr="00733B92">
        <w:rPr>
          <w:bCs/>
        </w:rPr>
        <w:t xml:space="preserve">Hittills har </w:t>
      </w:r>
      <w:r w:rsidR="00945F56" w:rsidRPr="00733B92">
        <w:rPr>
          <w:bCs/>
        </w:rPr>
        <w:t>en uppsättning</w:t>
      </w:r>
      <w:r w:rsidRPr="00733B92">
        <w:rPr>
          <w:bCs/>
        </w:rPr>
        <w:t xml:space="preserve"> indikatorer utarbetats inom områdena kvinnor i beslutsfattande, att förena arbete och familjeliv, löneskillnader mellan kvinnor och män, våld mot kvinnor, sexuella trakasserier i arbetslivet, kvinnor och hälsa, institutionella mekanismer för främjande av jämställdhet, utbildning och yrkesutbildning av kvinnor, kvinnor och fattigdom samt flickebarnets situation.</w:t>
      </w:r>
    </w:p>
    <w:p w:rsidR="00BD71FD" w:rsidRPr="00733B92" w:rsidRDefault="00BD71FD">
      <w:pPr>
        <w:pStyle w:val="RKrubrik"/>
      </w:pPr>
      <w:r w:rsidRPr="00733B92">
        <w:lastRenderedPageBreak/>
        <w:t>Rättslig grund och beslutsförfarande</w:t>
      </w:r>
    </w:p>
    <w:p w:rsidR="00BD71FD" w:rsidRPr="00733B92" w:rsidRDefault="00477760">
      <w:pPr>
        <w:pStyle w:val="RKnormal"/>
      </w:pPr>
      <w:r w:rsidRPr="00733B92">
        <w:t>Artiklarna 2 och 3 i Fördraget om upprättande av Europeiska gemenskapen, ändrade genom Amsterdamfördraget (1999), är EU:s rättsliga grund för åtgärder för jämställdhet.</w:t>
      </w:r>
    </w:p>
    <w:p w:rsidR="00BD71FD" w:rsidRPr="00733B92" w:rsidRDefault="00BD71FD">
      <w:pPr>
        <w:pStyle w:val="RKrubrik"/>
        <w:rPr>
          <w:i/>
          <w:iCs/>
        </w:rPr>
      </w:pPr>
      <w:r w:rsidRPr="00733B92">
        <w:rPr>
          <w:i/>
          <w:iCs/>
        </w:rPr>
        <w:t>Svensk ståndpunkt</w:t>
      </w:r>
    </w:p>
    <w:p w:rsidR="00477760" w:rsidRPr="00733B92" w:rsidRDefault="00477760" w:rsidP="00477760">
      <w:pPr>
        <w:pStyle w:val="RKnormal"/>
      </w:pPr>
      <w:r w:rsidRPr="00733B92">
        <w:t>Sverige kan ställa sig bakom rådets slutsatser</w:t>
      </w:r>
    </w:p>
    <w:p w:rsidR="00477760" w:rsidRPr="00733B92" w:rsidRDefault="00477760" w:rsidP="00477760">
      <w:pPr>
        <w:pStyle w:val="RKnormal"/>
        <w:rPr>
          <w:b/>
          <w:i/>
        </w:rPr>
      </w:pPr>
      <w:r w:rsidRPr="00733B92">
        <w:rPr>
          <w:b/>
          <w:i/>
        </w:rPr>
        <w:t>a) om indikatorer om kvinnor och väpnade konflikter</w:t>
      </w:r>
    </w:p>
    <w:p w:rsidR="00477760" w:rsidRPr="00733B92" w:rsidRDefault="00477760" w:rsidP="00477760">
      <w:pPr>
        <w:pStyle w:val="RKnormal"/>
        <w:rPr>
          <w:b/>
          <w:i/>
        </w:rPr>
      </w:pPr>
      <w:r w:rsidRPr="00733B92">
        <w:rPr>
          <w:b/>
          <w:i/>
        </w:rPr>
        <w:t>b) om att förena arbete och familjeliv.</w:t>
      </w:r>
    </w:p>
    <w:p w:rsidR="00BD71FD" w:rsidRPr="00733B92" w:rsidRDefault="00BD71FD">
      <w:pPr>
        <w:pStyle w:val="RKnormal"/>
      </w:pPr>
    </w:p>
    <w:p w:rsidR="00BD71FD" w:rsidRPr="00733B92" w:rsidRDefault="00BD71FD">
      <w:pPr>
        <w:pStyle w:val="RKrubrik"/>
      </w:pPr>
      <w:r w:rsidRPr="00733B92">
        <w:t>Europaparlamentets inställning</w:t>
      </w:r>
    </w:p>
    <w:p w:rsidR="00BD71FD" w:rsidRPr="00733B92" w:rsidRDefault="00477760">
      <w:pPr>
        <w:pStyle w:val="RKnormal"/>
      </w:pPr>
      <w:r w:rsidRPr="00733B92">
        <w:t>Ej känd</w:t>
      </w:r>
    </w:p>
    <w:p w:rsidR="00477760" w:rsidRPr="00733B92" w:rsidRDefault="00BD71FD" w:rsidP="00477760">
      <w:pPr>
        <w:pStyle w:val="RKrubrik"/>
        <w:rPr>
          <w:i/>
          <w:iCs/>
        </w:rPr>
      </w:pPr>
      <w:r w:rsidRPr="00733B92">
        <w:rPr>
          <w:i/>
          <w:iCs/>
        </w:rPr>
        <w:t>Förslaget</w:t>
      </w:r>
    </w:p>
    <w:p w:rsidR="00477760" w:rsidRPr="00733B92" w:rsidRDefault="00477760" w:rsidP="00477760">
      <w:pPr>
        <w:pStyle w:val="RKnormal"/>
        <w:rPr>
          <w:i/>
        </w:rPr>
      </w:pPr>
      <w:r w:rsidRPr="00733B92">
        <w:rPr>
          <w:i/>
        </w:rPr>
        <w:t xml:space="preserve">a) Indikatorer om </w:t>
      </w:r>
      <w:r w:rsidR="004F1609" w:rsidRPr="00733B92">
        <w:rPr>
          <w:i/>
        </w:rPr>
        <w:t>kvinnor och väpnade konflikter</w:t>
      </w:r>
    </w:p>
    <w:p w:rsidR="00945F56" w:rsidRPr="00733B92" w:rsidRDefault="00027997" w:rsidP="00477760">
      <w:pPr>
        <w:pStyle w:val="RKnormal"/>
      </w:pPr>
      <w:r w:rsidRPr="00733B92">
        <w:t xml:space="preserve">Av förslaget till slutsatser framgår att ordförandeskapet utarbetat en rapport med fyra indikatorer för uppföljning av området </w:t>
      </w:r>
      <w:r w:rsidRPr="00733B92">
        <w:rPr>
          <w:i/>
        </w:rPr>
        <w:t xml:space="preserve">kvinnor och väpnade konflikter. </w:t>
      </w:r>
      <w:r w:rsidRPr="00733B92">
        <w:t>Rådet erinrar om medlemsstaternas tidigare överenskommelser att främja jämställdhet i fredsbyggande och konfliktlösning och välkomnar att flera medlemsstater har antagit handlingsplaner för genomförande av FN:s säkerhetsrådsresolution 1325 (2000) om kvinno</w:t>
      </w:r>
      <w:r w:rsidR="00ED1246" w:rsidRPr="00733B92">
        <w:t>r fred och säkerhet. Medlemsstaterna och kommissionen uppmanas att vidta en rad åtgärder för genomföra resolution 1325, bland annat att</w:t>
      </w:r>
    </w:p>
    <w:p w:rsidR="00945F56" w:rsidRPr="00733B92" w:rsidRDefault="00945F56" w:rsidP="00477760">
      <w:pPr>
        <w:pStyle w:val="RKnormal"/>
      </w:pPr>
      <w:r w:rsidRPr="00733B92">
        <w:t>-</w:t>
      </w:r>
      <w:r w:rsidR="00ED1246" w:rsidRPr="00733B92">
        <w:t xml:space="preserve"> utse en rådgivare på hög nivå för kvinnors rättigheter och jämställdhet vid varje fredsbevarande insats, </w:t>
      </w:r>
    </w:p>
    <w:p w:rsidR="00945F56" w:rsidRPr="00733B92" w:rsidRDefault="00945F56" w:rsidP="00477760">
      <w:pPr>
        <w:pStyle w:val="RKnormal"/>
      </w:pPr>
      <w:r w:rsidRPr="00733B92">
        <w:t xml:space="preserve">- </w:t>
      </w:r>
      <w:r w:rsidR="00ED1246" w:rsidRPr="00733B92">
        <w:t xml:space="preserve">att förhindra och bekämpa sexuellt och könsrelaterat våld, </w:t>
      </w:r>
    </w:p>
    <w:p w:rsidR="00945F56" w:rsidRPr="00733B92" w:rsidRDefault="00945F56" w:rsidP="00477760">
      <w:pPr>
        <w:pStyle w:val="RKnormal"/>
      </w:pPr>
      <w:r w:rsidRPr="00733B92">
        <w:t xml:space="preserve">- </w:t>
      </w:r>
      <w:r w:rsidR="00ED1246" w:rsidRPr="00733B92">
        <w:t xml:space="preserve">att bekämpa könsstereotyper om kvinnors deltagande och arbetsuppgifter, särskilt inom beslutsfattande, </w:t>
      </w:r>
    </w:p>
    <w:p w:rsidR="00945F56" w:rsidRPr="00733B92" w:rsidRDefault="00945F56" w:rsidP="00477760">
      <w:pPr>
        <w:pStyle w:val="RKnormal"/>
      </w:pPr>
      <w:r w:rsidRPr="00733B92">
        <w:t xml:space="preserve">- </w:t>
      </w:r>
      <w:r w:rsidR="00ED1246" w:rsidRPr="00733B92">
        <w:t>att utarbeta och genomföra program för utbildning om fred och mänskliga rättigheter, inbegripet kvinnor</w:t>
      </w:r>
      <w:r w:rsidRPr="00733B92">
        <w:t>s rättigheter och jämställdhet,</w:t>
      </w:r>
    </w:p>
    <w:p w:rsidR="00C8581E" w:rsidRPr="00733B92" w:rsidRDefault="00945F56" w:rsidP="00477760">
      <w:pPr>
        <w:pStyle w:val="RKnormal"/>
      </w:pPr>
      <w:r w:rsidRPr="00733B92">
        <w:t>- att</w:t>
      </w:r>
      <w:r w:rsidR="00ED1246" w:rsidRPr="00733B92">
        <w:t xml:space="preserve"> stödja utarbetandet av sådana program i tredjeländer.</w:t>
      </w:r>
    </w:p>
    <w:p w:rsidR="005A76BF" w:rsidRPr="00733B92" w:rsidRDefault="005A76BF" w:rsidP="00477760">
      <w:pPr>
        <w:pStyle w:val="RKnormal"/>
      </w:pPr>
    </w:p>
    <w:p w:rsidR="005A76BF" w:rsidRPr="00733B92" w:rsidRDefault="005A76BF" w:rsidP="00477760">
      <w:pPr>
        <w:pStyle w:val="RKnormal"/>
      </w:pPr>
      <w:r w:rsidRPr="00733B92">
        <w:t>Medlemsstaterna och kommissionen uppmanas att med jämna mellanrum granska framstegen inom Pekingplattformens kritiska problemområden samt att förbereda en översyn av alla dessa områden.</w:t>
      </w:r>
    </w:p>
    <w:p w:rsidR="00477760" w:rsidRPr="00733B92" w:rsidRDefault="00477760" w:rsidP="00477760">
      <w:pPr>
        <w:pStyle w:val="RKnormal"/>
      </w:pPr>
    </w:p>
    <w:p w:rsidR="004F1609" w:rsidRPr="00733B92" w:rsidRDefault="004F1609" w:rsidP="004F1609">
      <w:pPr>
        <w:pStyle w:val="RKnormal"/>
      </w:pPr>
      <w:r w:rsidRPr="00733B92">
        <w:rPr>
          <w:i/>
        </w:rPr>
        <w:t>b) Att förena arbete och familjeliv</w:t>
      </w:r>
    </w:p>
    <w:p w:rsidR="00BD71FD" w:rsidRPr="00733B92" w:rsidRDefault="004F1609">
      <w:pPr>
        <w:pStyle w:val="RKnormal"/>
      </w:pPr>
      <w:r w:rsidRPr="00733B92">
        <w:t xml:space="preserve">I förslaget till slutsatser erinras om att rådet i december 2007 uppmanade medlemsstaterna och kommissionen att rgelbundet se över framsteg inom områden där indikatorer redan antagits. </w:t>
      </w:r>
      <w:r w:rsidR="00C8581E" w:rsidRPr="00733B92">
        <w:t>Med</w:t>
      </w:r>
      <w:r w:rsidRPr="00733B92">
        <w:t xml:space="preserve"> de indikatorer som beslutades 2000 om att förena yrkesliv, familjeliv och privatliv </w:t>
      </w:r>
      <w:r w:rsidR="00C8581E" w:rsidRPr="00733B92">
        <w:t>som grund har ordförandeskapet presenterat en utvärderingsrapport.  Såväl kommissionens som medlemsstaternas insatser för att främja god balans mellan kvinnors och mäns deltagande i yrkes-, familje- och privatliv välkomnas samtidigt som det betonas att kvinnor fortfarande har huvudansvar för omsorg om barn och andra anhöriga. M</w:t>
      </w:r>
      <w:r w:rsidRPr="00733B92">
        <w:t xml:space="preserve">edlemsstaterna och kommissionen </w:t>
      </w:r>
      <w:r w:rsidR="00C8581E" w:rsidRPr="00733B92">
        <w:t xml:space="preserve">uppmanas </w:t>
      </w:r>
      <w:r w:rsidR="00945F56" w:rsidRPr="00733B92">
        <w:t xml:space="preserve">bland annat </w:t>
      </w:r>
      <w:r w:rsidR="00C8581E" w:rsidRPr="00733B92">
        <w:t xml:space="preserve">att förbättra insamling, analys och spridning av jämförbara data på området </w:t>
      </w:r>
      <w:r w:rsidR="00945F56" w:rsidRPr="00733B92">
        <w:t>samt</w:t>
      </w:r>
      <w:r w:rsidR="00C8581E" w:rsidRPr="00733B92">
        <w:t xml:space="preserve"> att </w:t>
      </w:r>
      <w:r w:rsidRPr="00733B92">
        <w:t>vidta yttterligare åtgärder för att göra det möjligt att förena yrkes-, familje-</w:t>
      </w:r>
      <w:r w:rsidR="00C8581E" w:rsidRPr="00733B92">
        <w:t xml:space="preserve"> och privatliv. </w:t>
      </w:r>
    </w:p>
    <w:p w:rsidR="00BD71FD" w:rsidRPr="00733B92" w:rsidRDefault="00BD71FD">
      <w:pPr>
        <w:pStyle w:val="RKrubrik"/>
        <w:rPr>
          <w:i/>
          <w:iCs/>
        </w:rPr>
      </w:pPr>
      <w:r w:rsidRPr="00733B92">
        <w:rPr>
          <w:i/>
          <w:iCs/>
        </w:rPr>
        <w:t>Gällande svenska regler och förslagets effekter på dessa</w:t>
      </w:r>
    </w:p>
    <w:p w:rsidR="00BD71FD" w:rsidRPr="00733B92" w:rsidRDefault="00477760">
      <w:pPr>
        <w:pStyle w:val="RKnormal"/>
      </w:pPr>
      <w:r w:rsidRPr="00733B92">
        <w:t>Ej relevant</w:t>
      </w:r>
    </w:p>
    <w:p w:rsidR="00BD71FD" w:rsidRPr="00733B92" w:rsidRDefault="00BD71FD">
      <w:pPr>
        <w:pStyle w:val="RKrubrik"/>
      </w:pPr>
      <w:r w:rsidRPr="00733B92">
        <w:t>Ekonomiska konsekvenser</w:t>
      </w:r>
    </w:p>
    <w:p w:rsidR="00BD71FD" w:rsidRPr="00733B92" w:rsidRDefault="00477760">
      <w:pPr>
        <w:pStyle w:val="RKnormal"/>
      </w:pPr>
      <w:r w:rsidRPr="00733B92">
        <w:t>Ej relevant</w:t>
      </w:r>
    </w:p>
    <w:p w:rsidR="00BD71FD" w:rsidRPr="00733B92" w:rsidRDefault="00BD71FD">
      <w:pPr>
        <w:pStyle w:val="RKrubrik"/>
      </w:pPr>
      <w:r w:rsidRPr="00733B92">
        <w:t>Övrigt</w:t>
      </w:r>
    </w:p>
    <w:p w:rsidR="00BD71FD" w:rsidRPr="00733B92" w:rsidRDefault="00BD71FD">
      <w:pPr>
        <w:pStyle w:val="RKnormal"/>
      </w:pPr>
    </w:p>
    <w:p w:rsidR="00BD71FD" w:rsidRPr="00733B92" w:rsidRDefault="00BD71FD">
      <w:pPr>
        <w:pStyle w:val="RKnormal"/>
        <w:rPr>
          <w:i/>
          <w:iCs/>
        </w:rPr>
      </w:pPr>
    </w:p>
    <w:p w:rsidR="00BD71FD" w:rsidRPr="00733B92" w:rsidRDefault="00BD71FD">
      <w:pPr>
        <w:pStyle w:val="RKnormal"/>
        <w:ind w:left="-1134"/>
      </w:pPr>
    </w:p>
    <w:p w:rsidR="00BD71FD" w:rsidRPr="00733B92" w:rsidRDefault="00BD71FD">
      <w:pPr>
        <w:pStyle w:val="RKrubrik"/>
        <w:spacing w:before="0" w:after="0"/>
      </w:pPr>
    </w:p>
    <w:p w:rsidR="00BD71FD" w:rsidRPr="00733B92" w:rsidRDefault="00BD71FD">
      <w:pPr>
        <w:pStyle w:val="RKnormal"/>
      </w:pPr>
    </w:p>
    <w:p w:rsidR="00BD71FD" w:rsidRPr="00733B92" w:rsidRDefault="00BD71FD">
      <w:pPr>
        <w:pStyle w:val="RKnormal"/>
      </w:pPr>
    </w:p>
    <w:sectPr w:rsidR="00BD71FD" w:rsidRPr="00733B92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408" w:rsidRPr="00733B92" w:rsidRDefault="00E00408">
      <w:r w:rsidRPr="00733B92">
        <w:separator/>
      </w:r>
    </w:p>
  </w:endnote>
  <w:endnote w:type="continuationSeparator" w:id="0">
    <w:p w:rsidR="00E00408" w:rsidRPr="00733B92" w:rsidRDefault="00E00408">
      <w:r w:rsidRPr="00733B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408" w:rsidRPr="00733B92" w:rsidRDefault="00E00408">
      <w:r w:rsidRPr="00733B92">
        <w:separator/>
      </w:r>
    </w:p>
  </w:footnote>
  <w:footnote w:type="continuationSeparator" w:id="0">
    <w:p w:rsidR="00E00408" w:rsidRPr="00733B92" w:rsidRDefault="00E00408">
      <w:r w:rsidRPr="00733B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F56" w:rsidRPr="00733B92" w:rsidRDefault="00945F56">
    <w:pPr>
      <w:pStyle w:val="Sidhuvud"/>
      <w:framePr w:wrap="around" w:vAnchor="text" w:hAnchor="margin" w:xAlign="right" w:y="1"/>
      <w:rPr>
        <w:rStyle w:val="Sidnummer"/>
      </w:rPr>
    </w:pPr>
    <w:r w:rsidRPr="00733B92">
      <w:rPr>
        <w:rStyle w:val="Sidnummer"/>
      </w:rPr>
      <w:fldChar w:fldCharType="begin" w:fldLock="1"/>
    </w:r>
    <w:r w:rsidRPr="00733B92">
      <w:rPr>
        <w:rStyle w:val="Sidnummer"/>
      </w:rPr>
      <w:instrText xml:space="preserve">PAGE  </w:instrText>
    </w:r>
    <w:r w:rsidRPr="00733B92">
      <w:rPr>
        <w:rStyle w:val="Sidnummer"/>
      </w:rPr>
      <w:fldChar w:fldCharType="separate"/>
    </w:r>
    <w:r w:rsidR="0031754C" w:rsidRPr="00733B92">
      <w:rPr>
        <w:rStyle w:val="Sidnummer"/>
      </w:rPr>
      <w:t>2</w:t>
    </w:r>
    <w:r w:rsidRPr="00733B92">
      <w:rPr>
        <w:rStyle w:val="Sidnummer"/>
      </w:rPr>
      <w:fldChar w:fldCharType="end"/>
    </w:r>
  </w:p>
  <w:p w:rsidR="00945F56" w:rsidRPr="00733B92" w:rsidRDefault="00945F56">
    <w:pPr>
      <w:pStyle w:val="Sidhuvud"/>
      <w:ind w:right="360"/>
    </w:pPr>
  </w:p>
  <w:p w:rsidR="00945F56" w:rsidRPr="00733B92" w:rsidRDefault="00945F5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F56" w:rsidRPr="00733B92" w:rsidRDefault="00945F56">
    <w:pPr>
      <w:pStyle w:val="Sidhuvud"/>
      <w:framePr w:wrap="around" w:vAnchor="text" w:hAnchor="margin" w:xAlign="right" w:y="1"/>
      <w:rPr>
        <w:rStyle w:val="Sidnummer"/>
      </w:rPr>
    </w:pPr>
    <w:r w:rsidRPr="00733B92">
      <w:rPr>
        <w:rStyle w:val="Sidnummer"/>
      </w:rPr>
      <w:fldChar w:fldCharType="begin" w:fldLock="1"/>
    </w:r>
    <w:r w:rsidRPr="00733B92">
      <w:rPr>
        <w:rStyle w:val="Sidnummer"/>
      </w:rPr>
      <w:instrText xml:space="preserve">PAGE  </w:instrText>
    </w:r>
    <w:r w:rsidRPr="00733B92">
      <w:rPr>
        <w:rStyle w:val="Sidnummer"/>
      </w:rPr>
      <w:fldChar w:fldCharType="separate"/>
    </w:r>
    <w:r w:rsidR="0031754C" w:rsidRPr="00733B92">
      <w:rPr>
        <w:rStyle w:val="Sidnummer"/>
      </w:rPr>
      <w:t>3</w:t>
    </w:r>
    <w:r w:rsidRPr="00733B92">
      <w:rPr>
        <w:rStyle w:val="Sidnummer"/>
      </w:rPr>
      <w:fldChar w:fldCharType="end"/>
    </w:r>
  </w:p>
  <w:p w:rsidR="00945F56" w:rsidRPr="00733B92" w:rsidRDefault="00945F56">
    <w:pPr>
      <w:pStyle w:val="Sidhuvud"/>
      <w:ind w:right="360"/>
    </w:pPr>
  </w:p>
  <w:p w:rsidR="00945F56" w:rsidRPr="00733B92" w:rsidRDefault="00945F5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F56" w:rsidRPr="00733B92" w:rsidRDefault="00733B92">
    <w:pPr>
      <w:framePr w:w="2948" w:h="1321" w:hRule="exact" w:wrap="notBeside" w:vAnchor="page" w:hAnchor="page" w:x="1362" w:y="653"/>
    </w:pPr>
    <w:r w:rsidRPr="00733B9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5F56" w:rsidRPr="00733B92" w:rsidRDefault="00945F5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45F56" w:rsidRPr="00733B92" w:rsidRDefault="00945F56">
    <w:pPr>
      <w:rPr>
        <w:rFonts w:ascii="TradeGothic" w:hAnsi="TradeGothic"/>
        <w:b/>
        <w:bCs/>
        <w:spacing w:val="12"/>
        <w:sz w:val="22"/>
      </w:rPr>
    </w:pPr>
  </w:p>
  <w:p w:rsidR="00945F56" w:rsidRPr="00733B92" w:rsidRDefault="00945F5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45F56" w:rsidRPr="00733B92" w:rsidRDefault="00945F5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86ECA"/>
    <w:rsid w:val="00027997"/>
    <w:rsid w:val="00115783"/>
    <w:rsid w:val="00186ECA"/>
    <w:rsid w:val="0031754C"/>
    <w:rsid w:val="00477760"/>
    <w:rsid w:val="004D1BC0"/>
    <w:rsid w:val="004F1609"/>
    <w:rsid w:val="005A76BF"/>
    <w:rsid w:val="00733B92"/>
    <w:rsid w:val="00745F76"/>
    <w:rsid w:val="00830925"/>
    <w:rsid w:val="00834E63"/>
    <w:rsid w:val="008516DA"/>
    <w:rsid w:val="00945F56"/>
    <w:rsid w:val="009F2EEE"/>
    <w:rsid w:val="00AE3AF5"/>
    <w:rsid w:val="00BD71FD"/>
    <w:rsid w:val="00C8581E"/>
    <w:rsid w:val="00CE31B8"/>
    <w:rsid w:val="00E00408"/>
    <w:rsid w:val="00E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440D5E-8AEA-434F-A5E8-F805F985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830925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basedOn w:val="RKnormalChar"/>
    <w:link w:val="RKrubrik"/>
    <w:rsid w:val="00830925"/>
    <w:rPr>
      <w:rFonts w:ascii="TradeGothic" w:hAnsi="TradeGothic"/>
      <w:b/>
      <w:sz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495</Words>
  <Characters>3266</Characters>
  <Application>Microsoft Office Word</Application>
  <DocSecurity>4</DocSecurity>
  <Lines>108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2008-12-02T08:41:00Z</cp:lastPrinted>
  <dcterms:created xsi:type="dcterms:W3CDTF">2025-12-17T19:37:00Z</dcterms:created>
  <dcterms:modified xsi:type="dcterms:W3CDTF">2025-12-17T19:37:00Z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