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270E1D" w:rsidRDefault="00270E1D">
            <w:pPr>
              <w:pStyle w:val="HuvudRubrik"/>
            </w:pPr>
            <w:bookmarkStart w:id="0" w:name="BetänkandeRubrik"/>
            <w:bookmarkEnd w:id="0"/>
            <w:r>
              <w:t>Justitieutskottets betänkande</w:t>
            </w:r>
            <w:r w:rsidR="003602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18785438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270E1D" w:rsidRDefault="00270E1D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35378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270E1D" w:rsidRDefault="00270E1D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35378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70E1D" w:rsidRDefault="00270E1D">
            <w:pPr>
              <w:pStyle w:val="HuvudRubrikRad2"/>
            </w:pPr>
            <w:bookmarkStart w:id="17" w:name="BetänkandeNr"/>
            <w:bookmarkEnd w:id="17"/>
            <w:r>
              <w:t>1998/99:JuU24</w:t>
            </w:r>
          </w:p>
          <w:p w:rsidR="00270E1D" w:rsidRDefault="00270E1D">
            <w:pPr>
              <w:pStyle w:val="BetnkandeRubrik"/>
            </w:pPr>
            <w:bookmarkStart w:id="18" w:name="Huvudrubrik"/>
            <w:bookmarkEnd w:id="18"/>
            <w:r>
              <w:t>Advokaters etableringsrätt</w:t>
            </w:r>
          </w:p>
        </w:tc>
        <w:tc>
          <w:tcPr>
            <w:tcW w:w="1559" w:type="dxa"/>
            <w:tcBorders>
              <w:bottom w:val="nil"/>
            </w:tcBorders>
          </w:tcPr>
          <w:p w:rsidR="00270E1D" w:rsidRDefault="00270E1D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270E1D" w:rsidRDefault="00270E1D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270E1D" w:rsidRDefault="00270E1D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270E1D" w:rsidRDefault="00270E1D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70E1D" w:rsidRDefault="00270E1D">
            <w:pPr>
              <w:pStyle w:val="rtal"/>
            </w:pPr>
            <w:r>
              <w:t>JuU24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270E1D" w:rsidRDefault="00270E1D">
            <w:pPr>
              <w:pStyle w:val="StatusSida1"/>
            </w:pPr>
          </w:p>
        </w:tc>
        <w:tc>
          <w:tcPr>
            <w:tcW w:w="3012" w:type="dxa"/>
          </w:tcPr>
          <w:p w:rsidR="00270E1D" w:rsidRDefault="00270E1D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270E1D" w:rsidRDefault="00270E1D"/>
        </w:tc>
      </w:tr>
    </w:tbl>
    <w:p w:rsidR="00270E1D" w:rsidRDefault="00270E1D">
      <w:pPr>
        <w:pStyle w:val="Rubrik1"/>
        <w:spacing w:before="123"/>
      </w:pPr>
      <w:bookmarkStart w:id="19" w:name="Textstart"/>
      <w:bookmarkStart w:id="20" w:name="_Toc449929955"/>
      <w:bookmarkEnd w:id="19"/>
      <w:r>
        <w:t>Propositionen</w:t>
      </w:r>
      <w:bookmarkEnd w:id="20"/>
    </w:p>
    <w:p w:rsidR="00270E1D" w:rsidRDefault="00270E1D">
      <w:r>
        <w:t>I proposition 1998/99:108 (Justitiedepartementet) har regeringen föreslagit att  riksdagen antar reg</w:t>
      </w:r>
      <w:r>
        <w:t>e</w:t>
      </w:r>
      <w:r>
        <w:t>ringens förslag till</w:t>
      </w:r>
    </w:p>
    <w:p w:rsidR="00270E1D" w:rsidRDefault="00270E1D">
      <w:pPr>
        <w:pStyle w:val="Normaltindrag"/>
      </w:pPr>
      <w:r>
        <w:t xml:space="preserve">1. lag om ändring i rättegångsbalken, </w:t>
      </w:r>
    </w:p>
    <w:p w:rsidR="00270E1D" w:rsidRDefault="00270E1D">
      <w:pPr>
        <w:pStyle w:val="Normaltindrag"/>
      </w:pPr>
      <w:r>
        <w:t xml:space="preserve">2. lag om ändring i brottsbalken. </w:t>
      </w:r>
    </w:p>
    <w:p w:rsidR="00270E1D" w:rsidRDefault="00270E1D">
      <w:pPr>
        <w:pStyle w:val="Normaltindrag"/>
      </w:pPr>
      <w:r>
        <w:t>Lagförslagen, som granskats av Lagrådet, har fogats till betänkandet, se bilaga.</w:t>
      </w:r>
    </w:p>
    <w:p w:rsidR="00270E1D" w:rsidRDefault="00270E1D">
      <w:pPr>
        <w:pStyle w:val="Rubrik2"/>
      </w:pPr>
      <w:bookmarkStart w:id="21" w:name="_Toc449929957"/>
      <w:r>
        <w:t>Utskottet</w:t>
      </w:r>
      <w:bookmarkEnd w:id="21"/>
    </w:p>
    <w:p w:rsidR="00270E1D" w:rsidRDefault="00270E1D">
      <w:r>
        <w:t>I propositionen föreslås ändringar i rättegångsbalken för att genomföra Eur</w:t>
      </w:r>
      <w:r>
        <w:t>o</w:t>
      </w:r>
      <w:r>
        <w:t>paparlamentets och rådets direktiv om regler som syftar till att underlätta för advokater att etablera sig i en annan medlemsstat i Europeiska unionen än den i vilken auktorisation erhölls.</w:t>
      </w:r>
    </w:p>
    <w:p w:rsidR="00270E1D" w:rsidRDefault="00270E1D">
      <w:pPr>
        <w:pStyle w:val="Normaltindrag"/>
      </w:pPr>
      <w:r>
        <w:t>Lagändringarna innebär i huvudsak att en advokat som erhållit auktoris</w:t>
      </w:r>
      <w:r>
        <w:t>a</w:t>
      </w:r>
      <w:r>
        <w:t>tion i ett land inom Europeiska unionen skall registrera sig hos Sveriges advokatsamfund när han eller hon utövar stadigvarande advokatverksamhet i Sverige under sitt hemlands titel. En sådan advokat skall vara underkastad samma tillsyn och disciplinansvar som svenska advokater. Efter en treårsp</w:t>
      </w:r>
      <w:r>
        <w:t>e</w:t>
      </w:r>
      <w:r>
        <w:t>riod av faktisk och regelbunden verksamhet som huvudsakligen innefattar svensk rätt skall advokaten anses uppfylla de krav som ställs upp för me</w:t>
      </w:r>
      <w:r>
        <w:t>d</w:t>
      </w:r>
      <w:r>
        <w:t xml:space="preserve">lemskap i Sveriges advokatsamfund i fråga om utbildning och praktisk </w:t>
      </w:r>
      <w:r>
        <w:t>ver</w:t>
      </w:r>
      <w:r>
        <w:t>k</w:t>
      </w:r>
      <w:r>
        <w:t>samhet. Regeringen föreslås få rätt att föreskriva att reglerna skall gälla också en advokat från övriga delar av Europeiska ekonomiska samarbetso</w:t>
      </w:r>
      <w:r>
        <w:t>m</w:t>
      </w:r>
      <w:r>
        <w:t>rådet.</w:t>
      </w:r>
    </w:p>
    <w:p w:rsidR="00270E1D" w:rsidRDefault="00270E1D">
      <w:pPr>
        <w:pStyle w:val="Normaltindrag"/>
      </w:pPr>
      <w:r>
        <w:t>Lagändringarna föreslås träda i kraft den 1 januari 2000.</w:t>
      </w:r>
    </w:p>
    <w:p w:rsidR="00270E1D" w:rsidRDefault="00270E1D">
      <w:pPr>
        <w:pStyle w:val="Normaltindrag"/>
      </w:pPr>
      <w:r>
        <w:t>Ingen motion har väckts i ärendet.</w:t>
      </w:r>
    </w:p>
    <w:p w:rsidR="00270E1D" w:rsidRDefault="00270E1D">
      <w:pPr>
        <w:pStyle w:val="Normaltindrag"/>
      </w:pPr>
      <w:r>
        <w:t>Utskottet tillstyrker regeringens förslag.</w:t>
      </w:r>
    </w:p>
    <w:p w:rsidR="00270E1D" w:rsidRDefault="00270E1D">
      <w:pPr>
        <w:pStyle w:val="Rubrik2"/>
      </w:pPr>
      <w:bookmarkStart w:id="22" w:name="_Toc449929958"/>
      <w:r>
        <w:t>Hemställan</w:t>
      </w:r>
      <w:bookmarkEnd w:id="22"/>
    </w:p>
    <w:p w:rsidR="00270E1D" w:rsidRDefault="00270E1D">
      <w:r>
        <w:t>Utskottet hemställer</w:t>
      </w:r>
    </w:p>
    <w:p w:rsidR="00270E1D" w:rsidRDefault="00270E1D">
      <w:pPr>
        <w:pStyle w:val="hembetr"/>
      </w:pPr>
      <w:bookmarkStart w:id="23" w:name="Nästa_Hpunkt"/>
      <w:bookmarkEnd w:id="23"/>
      <w:r>
        <w:t xml:space="preserve">beträffande </w:t>
      </w:r>
      <w:r>
        <w:rPr>
          <w:i/>
        </w:rPr>
        <w:t>advokaters etableringsrätt</w:t>
      </w:r>
    </w:p>
    <w:p w:rsidR="00270E1D" w:rsidRDefault="00270E1D">
      <w:pPr>
        <w:pStyle w:val="hemtext"/>
      </w:pPr>
      <w:r>
        <w:t>att riksdagen antar regeringens förslag till</w:t>
      </w:r>
    </w:p>
    <w:p w:rsidR="00270E1D" w:rsidRDefault="00270E1D">
      <w:pPr>
        <w:pStyle w:val="hemtext"/>
      </w:pPr>
      <w:r>
        <w:t>1. lag om ändring i rättegångsbalken,</w:t>
      </w:r>
    </w:p>
    <w:p w:rsidR="00270E1D" w:rsidRDefault="00270E1D">
      <w:pPr>
        <w:pStyle w:val="hemtext"/>
      </w:pPr>
      <w:r>
        <w:lastRenderedPageBreak/>
        <w:t>2. lag om ändring i brottsbalken.</w:t>
      </w:r>
    </w:p>
    <w:p w:rsidR="00270E1D" w:rsidRDefault="00270E1D">
      <w:pPr>
        <w:pStyle w:val="Normaltindrag"/>
      </w:pPr>
    </w:p>
    <w:p w:rsidR="00270E1D" w:rsidRDefault="00270E1D">
      <w:pPr>
        <w:pStyle w:val="Stockholm"/>
      </w:pPr>
      <w:r>
        <w:t>Stockholm den 20 maj 1999</w:t>
      </w:r>
    </w:p>
    <w:p w:rsidR="00270E1D" w:rsidRDefault="00270E1D">
      <w:pPr>
        <w:pStyle w:val="Vgnar"/>
      </w:pPr>
      <w:r>
        <w:t>På justitieutskottets vägnar</w:t>
      </w:r>
    </w:p>
    <w:p w:rsidR="00270E1D" w:rsidRDefault="00270E1D">
      <w:pPr>
        <w:pStyle w:val="Ordfnamn"/>
      </w:pPr>
      <w:bookmarkStart w:id="24" w:name="Ordförande"/>
      <w:bookmarkEnd w:id="24"/>
      <w:r>
        <w:t xml:space="preserve">Gun Hellsvik </w:t>
      </w:r>
    </w:p>
    <w:p w:rsidR="00270E1D" w:rsidRDefault="00270E1D"/>
    <w:p w:rsidR="00270E1D" w:rsidRDefault="00270E1D">
      <w:pPr>
        <w:pStyle w:val="Deltagare"/>
      </w:pPr>
      <w:bookmarkStart w:id="25" w:name="Deltagare"/>
      <w:bookmarkEnd w:id="25"/>
      <w:r>
        <w:t>I beslutet har deltagit: Gun Hellsvik (m), Märta Johansson (s), Margareta Sandgren (s), Alice Åström (v), Ingemar Vänerlöv (kd), Ann-Marie Fage</w:t>
      </w:r>
      <w:r>
        <w:t>r</w:t>
      </w:r>
      <w:r>
        <w:t>ström (s), Maud Ekendahl (m), Helena Frisk (s), Morgan Johansson (s), Jeppe Johnsson (m), Kia Andreasson (mp), Gunnel Wallin (c), Siw Persson (fp), Göran Norlander (s), Anita Sidén (m), Sven-Erik Sjöstrand (v) och Kjell Eldensjö (kd).</w:t>
      </w:r>
    </w:p>
    <w:p w:rsidR="00270E1D" w:rsidRDefault="00270E1D">
      <w:pPr>
        <w:pStyle w:val="Normaltindrag"/>
      </w:pPr>
    </w:p>
    <w:p w:rsidR="00270E1D" w:rsidRDefault="00270E1D">
      <w:pPr>
        <w:sectPr w:rsidR="00000000">
          <w:headerReference w:type="default" r:id="rId9"/>
          <w:footerReference w:type="default" r:id="rId10"/>
          <w:pgSz w:w="11906" w:h="16838" w:code="9"/>
          <w:pgMar w:top="567" w:right="4876" w:bottom="4508" w:left="1134" w:header="227" w:footer="227" w:gutter="0"/>
          <w:cols w:space="720"/>
        </w:sectPr>
      </w:pPr>
      <w:bookmarkStart w:id="26" w:name="Nästa_Reservation"/>
      <w:bookmarkEnd w:id="26"/>
    </w:p>
    <w:p w:rsidR="00270E1D" w:rsidRDefault="00270E1D">
      <w:pPr>
        <w:pStyle w:val="Rubrik1"/>
        <w:spacing w:before="0"/>
      </w:pPr>
      <w:r>
        <w:t>Regeringens lagförslag</w:t>
      </w:r>
    </w:p>
    <w:p w:rsidR="00270E1D" w:rsidRDefault="00270E1D">
      <w:pPr>
        <w:pStyle w:val="Normaltindrag"/>
      </w:pPr>
    </w:p>
    <w:p w:rsidR="00270E1D" w:rsidRDefault="00270E1D">
      <w:pPr>
        <w:pStyle w:val="Normaltindrag"/>
      </w:pPr>
      <w:r>
        <w:br w:type="page"/>
      </w:r>
      <w:r>
        <w:br w:type="page"/>
      </w:r>
      <w:r>
        <w:br w:type="page"/>
      </w:r>
      <w:r>
        <w:br w:type="page"/>
      </w:r>
      <w:r>
        <w:br w:type="page"/>
      </w:r>
    </w:p>
    <w:p w:rsidR="00270E1D" w:rsidRDefault="00270E1D"/>
    <w:sectPr w:rsidR="00270E1D">
      <w:headerReference w:type="default" r:id="rId11"/>
      <w:footerReference w:type="default" r:id="rId12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E1D" w:rsidRDefault="00270E1D">
      <w:pPr>
        <w:spacing w:before="0" w:line="240" w:lineRule="auto"/>
      </w:pPr>
      <w:r>
        <w:separator/>
      </w:r>
    </w:p>
  </w:endnote>
  <w:endnote w:type="continuationSeparator" w:id="0">
    <w:p w:rsidR="00270E1D" w:rsidRDefault="00270E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E1D" w:rsidRDefault="00270E1D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1</w:t>
    </w:r>
    <w:r>
      <w:fldChar w:fldCharType="end"/>
    </w:r>
  </w:p>
  <w:p w:rsidR="00270E1D" w:rsidRDefault="00270E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E1D" w:rsidRDefault="00270E1D">
    <w:pPr>
      <w:pStyle w:val="SidfotH"/>
      <w:framePr w:wrap="around"/>
    </w:pPr>
    <w:r>
      <w:fldChar w:fldCharType="begin" w:fldLock="1"/>
    </w:r>
    <w:r>
      <w:instrText xml:space="preserve"> P</w:instrText>
    </w:r>
    <w:r>
      <w:instrText>A</w:instrText>
    </w:r>
    <w:r>
      <w:instrText xml:space="preserve">GE </w:instrText>
    </w:r>
    <w:r>
      <w:fldChar w:fldCharType="separate"/>
    </w:r>
    <w:r>
      <w:rPr>
        <w:noProof/>
      </w:rPr>
      <w:t>3</w:t>
    </w:r>
    <w:r>
      <w:fldChar w:fldCharType="end"/>
    </w:r>
  </w:p>
  <w:p w:rsidR="00270E1D" w:rsidRDefault="00270E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E1D" w:rsidRDefault="00270E1D">
      <w:pPr>
        <w:pStyle w:val="Sidfot"/>
      </w:pPr>
    </w:p>
  </w:footnote>
  <w:footnote w:type="continuationSeparator" w:id="0">
    <w:p w:rsidR="00270E1D" w:rsidRDefault="00270E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E1D" w:rsidRDefault="00270E1D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1998/99:JuU24</w:t>
    </w:r>
  </w:p>
  <w:p w:rsidR="00270E1D" w:rsidRDefault="00270E1D">
    <w:pPr>
      <w:pStyle w:val="SidhuvudKantBilaga"/>
      <w:framePr w:w="1985" w:h="2743" w:hRule="exact" w:wrap="around" w:vAnchor="page" w:hAnchor="page" w:x="7372" w:y="568" w:anchorLock="0"/>
      <w:rPr>
        <w:noProof/>
      </w:rPr>
    </w:pPr>
  </w:p>
  <w:p w:rsidR="00270E1D" w:rsidRDefault="00270E1D">
    <w:pPr>
      <w:pStyle w:val="SidhuvudKant"/>
      <w:framePr w:w="1985" w:h="2743" w:hRule="exact" w:wrap="around" w:vAnchor="page" w:hAnchor="page" w:x="7372" w:y="568" w:anchorLock="0"/>
    </w:pPr>
  </w:p>
  <w:p w:rsidR="00270E1D" w:rsidRDefault="00270E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E1D" w:rsidRDefault="00270E1D">
    <w:pPr>
      <w:pStyle w:val="SidhuvudKant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1998/99:JuU24</w:t>
    </w:r>
  </w:p>
  <w:p w:rsidR="00270E1D" w:rsidRDefault="00270E1D">
    <w:pPr>
      <w:pStyle w:val="SidhuvudKantBilaga"/>
      <w:framePr w:w="1985" w:h="2743" w:hRule="exact" w:wrap="around" w:vAnchor="page" w:hAnchor="page" w:x="7372" w:y="568" w:anchorLock="0"/>
      <w:rPr>
        <w:noProof/>
      </w:rPr>
    </w:pPr>
    <w:r>
      <w:rPr>
        <w:noProof/>
      </w:rPr>
      <w:t>Bilaga</w:t>
    </w:r>
  </w:p>
  <w:p w:rsidR="00270E1D" w:rsidRDefault="00270E1D">
    <w:pPr>
      <w:pStyle w:val="SidhuvudKant"/>
      <w:framePr w:w="1985" w:h="2743" w:hRule="exact" w:wrap="around" w:vAnchor="page" w:hAnchor="page" w:x="7372" w:y="568" w:anchorLock="0"/>
    </w:pPr>
  </w:p>
  <w:p w:rsidR="00270E1D" w:rsidRDefault="00270E1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justitieutskottets"/>
    <w:docVar w:name="Skapår" w:val="9899"/>
  </w:docVars>
  <w:rsids>
    <w:rsidRoot w:val="005266FE"/>
    <w:rsid w:val="00270E1D"/>
    <w:rsid w:val="00360207"/>
    <w:rsid w:val="0052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6CCFB-0AC2-46BA-BBC2-D4907CA7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Oformateradtext">
    <w:name w:val="Plain Text"/>
    <w:basedOn w:val="Normal"/>
    <w:semiHidden/>
    <w:pPr>
      <w:widowControl w:val="0"/>
      <w:spacing w:before="0" w:line="240" w:lineRule="auto"/>
      <w:jc w:val="left"/>
    </w:pPr>
    <w:rPr>
      <w:rFonts w:ascii="Courier New" w:hAnsi="Courier New"/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1911</Characters>
  <Application>Microsoft Office Word</Application>
  <DocSecurity>4</DocSecurity>
  <Lines>65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Justitieutskottets betänkande</vt:lpstr>
      <vt:lpstr>Propositionen</vt:lpstr>
      <vt:lpstr>    Utskottet</vt:lpstr>
      <vt:lpstr>    Hemställan</vt:lpstr>
      <vt:lpstr>Regeringens lagförslag</vt:lpstr>
    </vt:vector>
  </TitlesOfParts>
  <Company>Riksdagen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Justitieutskottets betänkande</dc:title>
  <dc:subject>Justitieutskottets betänkande</dc:subject>
  <dc:creator>Riksdagen</dc:creator>
  <cp:keywords>Riksdagen</cp:keywords>
  <cp:lastModifiedBy>Lars Brink</cp:lastModifiedBy>
  <cp:revision>2</cp:revision>
  <cp:lastPrinted>1999-06-21T10:36:00Z</cp:lastPrinted>
  <dcterms:created xsi:type="dcterms:W3CDTF">2025-12-15T19:09:00Z</dcterms:created>
  <dcterms:modified xsi:type="dcterms:W3CDTF">2025-12-15T19:09:00Z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24</vt:lpwstr>
  </property>
  <property fmtid="{D5CDD505-2E9C-101B-9397-08002B2CF9AE}" pid="3" name="Utskott">
    <vt:lpwstr>JuU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