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23B7" w:rsidRPr="00BF2711" w:rsidRDefault="00F523B7" w:rsidP="00681E94">
      <w:pPr>
        <w:pStyle w:val="Hemstlrubrik"/>
      </w:pPr>
      <w:r w:rsidRPr="00BF2711">
        <w:t>Förslag till riksdagsbeslut</w:t>
      </w:r>
    </w:p>
    <w:p w:rsidR="00F523B7" w:rsidRPr="00BF2711" w:rsidRDefault="00F523B7" w:rsidP="00F523B7">
      <w:pPr>
        <w:pStyle w:val="Hemstlatt"/>
      </w:pPr>
      <w:r w:rsidRPr="00BF2711">
        <w:t xml:space="preserve">Riksdagen tillkännager </w:t>
      </w:r>
      <w:r w:rsidR="009479C7" w:rsidRPr="00BF2711">
        <w:t xml:space="preserve">för regeringen </w:t>
      </w:r>
      <w:r w:rsidRPr="00BF2711">
        <w:t>som sin mening vad i motionen anförs om åtgärder för ökat samarbete i Östersjöregionen.</w:t>
      </w:r>
    </w:p>
    <w:p w:rsidR="00F523B7" w:rsidRPr="00BF2711" w:rsidRDefault="00F523B7" w:rsidP="00F523B7">
      <w:pPr>
        <w:pStyle w:val="Rubrik1"/>
      </w:pPr>
      <w:r w:rsidRPr="00BF2711">
        <w:t>Motivering</w:t>
      </w:r>
    </w:p>
    <w:p w:rsidR="00F523B7" w:rsidRPr="00BF2711" w:rsidRDefault="00F523B7" w:rsidP="00F523B7">
      <w:r w:rsidRPr="00BF2711">
        <w:t>Länderna kring Östersjön samarbetar på en rad olika områden för att tillvarata de möjligheter som detta innebär. Östersjösamarbetet bidrar till att utveckla vår gemensamma region och är ekonomiskt snabbt växande och av stor bet</w:t>
      </w:r>
      <w:r w:rsidRPr="00BF2711">
        <w:t>y</w:t>
      </w:r>
      <w:r w:rsidRPr="00BF2711">
        <w:t>delse för Sverige.</w:t>
      </w:r>
    </w:p>
    <w:p w:rsidR="00F523B7" w:rsidRPr="00BF2711" w:rsidRDefault="00F523B7" w:rsidP="00F523B7">
      <w:pPr>
        <w:pStyle w:val="Normaltindrag"/>
      </w:pPr>
      <w:r w:rsidRPr="00BF2711">
        <w:t xml:space="preserve">Den parlamentariska Östersjökonferensen (BSPC), som årligen arrangeras och Östersjöstaternas råd (CBSS), regeringarnas organ, är viktiga aktörer för samarbetet mellan Östersjöländerna. Årets parlamentariska konferens ägde rum i Vilnius med ett stort deltagande från Östersjöländernas parlament. </w:t>
      </w:r>
    </w:p>
    <w:p w:rsidR="00F523B7" w:rsidRPr="00BF2711" w:rsidRDefault="00F523B7" w:rsidP="00F523B7">
      <w:pPr>
        <w:pStyle w:val="Normaltindrag"/>
      </w:pPr>
      <w:r w:rsidRPr="00BF2711">
        <w:t>Det övergripande temat för konferensen var ”Bärkraftig utveckling – g</w:t>
      </w:r>
      <w:r w:rsidRPr="00BF2711">
        <w:t>e</w:t>
      </w:r>
      <w:r w:rsidRPr="00BF2711">
        <w:t>mensamma utmaningar och ansvar i Östersjöregionen”</w:t>
      </w:r>
      <w:r w:rsidR="00681E94" w:rsidRPr="00BF2711">
        <w:t>.</w:t>
      </w:r>
      <w:r w:rsidRPr="00BF2711">
        <w:t xml:space="preserve"> Tre teman togs upp under konferensen. Samarbetet i Östersjöregionen berörde framför allt parl</w:t>
      </w:r>
      <w:r w:rsidRPr="00BF2711">
        <w:t>a</w:t>
      </w:r>
      <w:r w:rsidRPr="00BF2711">
        <w:t>mentarikerkonferensens förhållande till regeringarnas organ CBSS och ön</w:t>
      </w:r>
      <w:r w:rsidRPr="00BF2711">
        <w:t>s</w:t>
      </w:r>
      <w:r w:rsidRPr="00BF2711">
        <w:t>kan om att ett nära samarbete mellan dessa två skall vidareutvecklas. De två andra diskussionstemana gällde stabilitet och demokrati samt utveckling av regionens infrastruktur.</w:t>
      </w:r>
    </w:p>
    <w:p w:rsidR="00CD763A" w:rsidRPr="00BF2711" w:rsidRDefault="00F523B7" w:rsidP="00681E94">
      <w:pPr>
        <w:pStyle w:val="Normaltindrag"/>
      </w:pPr>
      <w:r w:rsidRPr="00BF2711">
        <w:t>En resolution antogs av konferensen i vilken Östersjöstaterna och dess r</w:t>
      </w:r>
      <w:r w:rsidRPr="00BF2711">
        <w:t>e</w:t>
      </w:r>
      <w:r w:rsidRPr="00BF2711">
        <w:t>geringar uppmanas att stärka Östers</w:t>
      </w:r>
      <w:r w:rsidR="00CD763A" w:rsidRPr="00BF2711">
        <w:t>jösamarbetet genom att:</w:t>
      </w:r>
    </w:p>
    <w:p w:rsidR="00CD763A" w:rsidRPr="00BF2711" w:rsidRDefault="00F523B7" w:rsidP="00CD763A">
      <w:pPr>
        <w:pStyle w:val="PunktlistaBomb"/>
        <w:tabs>
          <w:tab w:val="clear" w:pos="360"/>
        </w:tabs>
      </w:pPr>
      <w:r w:rsidRPr="00BF2711">
        <w:t>högt prioritera samarbetet inom området och med grannstaterna,</w:t>
      </w:r>
    </w:p>
    <w:p w:rsidR="00CD763A" w:rsidRPr="00BF2711" w:rsidRDefault="00F523B7" w:rsidP="00CD763A">
      <w:pPr>
        <w:pStyle w:val="PunktlistaBomb"/>
        <w:tabs>
          <w:tab w:val="clear" w:pos="360"/>
        </w:tabs>
        <w:spacing w:before="0"/>
      </w:pPr>
      <w:r w:rsidRPr="00BF2711">
        <w:t>öka det ömsesidiga engagemanget för gemensamma värden med sa</w:t>
      </w:r>
      <w:r w:rsidRPr="00BF2711">
        <w:t>m</w:t>
      </w:r>
      <w:r w:rsidRPr="00BF2711">
        <w:t>band till rättsstaten, god förvaltning, respekt för mänskliga rättigheter och frä</w:t>
      </w:r>
      <w:r w:rsidRPr="00BF2711">
        <w:t>m</w:t>
      </w:r>
      <w:r w:rsidRPr="00BF2711">
        <w:t>ja</w:t>
      </w:r>
      <w:r w:rsidRPr="00BF2711">
        <w:t>n</w:t>
      </w:r>
      <w:r w:rsidRPr="00BF2711">
        <w:t>de av goda grannförhållanden,</w:t>
      </w:r>
    </w:p>
    <w:p w:rsidR="00CD763A" w:rsidRPr="00BF2711" w:rsidRDefault="00F523B7" w:rsidP="00CD763A">
      <w:pPr>
        <w:pStyle w:val="PunktlistaBomb"/>
        <w:tabs>
          <w:tab w:val="clear" w:pos="360"/>
        </w:tabs>
        <w:spacing w:before="0"/>
      </w:pPr>
      <w:r w:rsidRPr="00BF2711">
        <w:t>understödja utvecklingen av demokrati och ett civilsa</w:t>
      </w:r>
      <w:r w:rsidRPr="00BF2711">
        <w:t>m</w:t>
      </w:r>
      <w:r w:rsidRPr="00BF2711">
        <w:t>hälle genom att stärka medborgarorganisationernas roll,</w:t>
      </w:r>
    </w:p>
    <w:p w:rsidR="00CD763A" w:rsidRPr="00BF2711" w:rsidRDefault="00F523B7" w:rsidP="00CD763A">
      <w:pPr>
        <w:pStyle w:val="PunktlistaBomb"/>
        <w:tabs>
          <w:tab w:val="clear" w:pos="360"/>
        </w:tabs>
        <w:spacing w:before="0"/>
      </w:pPr>
      <w:r w:rsidRPr="00BF2711">
        <w:lastRenderedPageBreak/>
        <w:t>förbättra dialogen med grannstater inom Östersjöområdet i samband med främjande av demokratin, stabilitet, säkerhet, civilsamhället, principer för hållbar utvec</w:t>
      </w:r>
      <w:r w:rsidRPr="00BF2711">
        <w:t>k</w:t>
      </w:r>
      <w:r w:rsidRPr="00BF2711">
        <w:t>ling och välfärd för alla berörda,</w:t>
      </w:r>
    </w:p>
    <w:p w:rsidR="00CD763A" w:rsidRPr="00BF2711" w:rsidRDefault="00F523B7" w:rsidP="00CD763A">
      <w:pPr>
        <w:pStyle w:val="PunktlistaBomb"/>
        <w:tabs>
          <w:tab w:val="clear" w:pos="360"/>
        </w:tabs>
        <w:spacing w:before="0"/>
      </w:pPr>
      <w:r w:rsidRPr="00BF2711">
        <w:t>upprätthålla och förstärka de mekanismer som fastställs och används av kommissionen för skydd av Östersjöns marina miljö (H</w:t>
      </w:r>
      <w:r w:rsidR="00681E94" w:rsidRPr="00BF2711">
        <w:t>elcom</w:t>
      </w:r>
      <w:r w:rsidRPr="00BF2711">
        <w:t>) för att vä</w:t>
      </w:r>
      <w:r w:rsidRPr="00BF2711">
        <w:t>r</w:t>
      </w:r>
      <w:r w:rsidRPr="00BF2711">
        <w:t>na om områdets sårbara marina miljö,</w:t>
      </w:r>
    </w:p>
    <w:p w:rsidR="00CD763A" w:rsidRPr="00BF2711" w:rsidRDefault="00F523B7" w:rsidP="00CD763A">
      <w:pPr>
        <w:pStyle w:val="PunktlistaBomb"/>
        <w:tabs>
          <w:tab w:val="clear" w:pos="360"/>
        </w:tabs>
        <w:spacing w:before="0"/>
      </w:pPr>
      <w:r w:rsidRPr="00BF2711">
        <w:t>understödja vidareutvecklingen av en gemensam regional infrastruktur, sä</w:t>
      </w:r>
      <w:r w:rsidRPr="00BF2711">
        <w:t>r</w:t>
      </w:r>
      <w:r w:rsidRPr="00BF2711">
        <w:t>skilt av transport- och energinätverk,</w:t>
      </w:r>
    </w:p>
    <w:p w:rsidR="00CD763A" w:rsidRPr="00BF2711" w:rsidRDefault="00F523B7" w:rsidP="00CD763A">
      <w:pPr>
        <w:pStyle w:val="PunktlistaBomb"/>
        <w:tabs>
          <w:tab w:val="clear" w:pos="360"/>
        </w:tabs>
        <w:spacing w:before="0"/>
      </w:pPr>
      <w:r w:rsidRPr="00BF2711">
        <w:t>fortsätta utveckla den nordliga dimensionen för att främja säkerh</w:t>
      </w:r>
      <w:r w:rsidR="00681E94" w:rsidRPr="00BF2711">
        <w:t>et och stab</w:t>
      </w:r>
      <w:r w:rsidR="00681E94" w:rsidRPr="00BF2711">
        <w:t>i</w:t>
      </w:r>
      <w:r w:rsidR="00681E94" w:rsidRPr="00BF2711">
        <w:t>li</w:t>
      </w:r>
      <w:r w:rsidR="00CD763A" w:rsidRPr="00BF2711">
        <w:t>tet inom området,</w:t>
      </w:r>
    </w:p>
    <w:p w:rsidR="00CD763A" w:rsidRPr="00BF2711" w:rsidRDefault="00F523B7" w:rsidP="00CD763A">
      <w:pPr>
        <w:pStyle w:val="PunktlistaBomb"/>
        <w:tabs>
          <w:tab w:val="clear" w:pos="360"/>
        </w:tabs>
        <w:spacing w:before="0"/>
      </w:pPr>
      <w:r w:rsidRPr="00BF2711">
        <w:t>utnyttja den nordliga dimensi</w:t>
      </w:r>
      <w:r w:rsidRPr="00BF2711">
        <w:t>o</w:t>
      </w:r>
      <w:r w:rsidRPr="00BF2711">
        <w:t>nen, vilken sträcker sig ända till Arktis och nordvästra Ryssland</w:t>
      </w:r>
      <w:r w:rsidR="00681E94" w:rsidRPr="00BF2711">
        <w:t>,</w:t>
      </w:r>
      <w:r w:rsidRPr="00BF2711">
        <w:t xml:space="preserve"> för att klara av särskilda utmaningar inom regional utveckling, såsom transport, energi, gränsstationer och miljöfrågor,</w:t>
      </w:r>
    </w:p>
    <w:p w:rsidR="00CD763A" w:rsidRPr="00BF2711" w:rsidRDefault="00681E94" w:rsidP="00CD763A">
      <w:pPr>
        <w:pStyle w:val="PunktlistaBomb"/>
        <w:tabs>
          <w:tab w:val="clear" w:pos="360"/>
        </w:tabs>
        <w:spacing w:before="0"/>
      </w:pPr>
      <w:r w:rsidRPr="00BF2711">
        <w:t xml:space="preserve"> </w:t>
      </w:r>
      <w:r w:rsidR="00F523B7" w:rsidRPr="00BF2711">
        <w:t>delta i u</w:t>
      </w:r>
      <w:r w:rsidR="00F523B7" w:rsidRPr="00BF2711">
        <w:t>t</w:t>
      </w:r>
      <w:r w:rsidR="00F523B7" w:rsidRPr="00BF2711">
        <w:t>vecklingen av en integrerad sjöfartspolitik och i genomförandet av Europeiska sjöfartsstrategin, vars mål är att skydda och bevara den m</w:t>
      </w:r>
      <w:r w:rsidR="00F523B7" w:rsidRPr="00BF2711">
        <w:t>a</w:t>
      </w:r>
      <w:r w:rsidR="00F523B7" w:rsidRPr="00BF2711">
        <w:t>rina miljön genom att bland annat effektivt utnyttja ramdirektivet för va</w:t>
      </w:r>
      <w:r w:rsidR="00F523B7" w:rsidRPr="00BF2711">
        <w:t>t</w:t>
      </w:r>
      <w:r w:rsidR="00F523B7" w:rsidRPr="00BF2711">
        <w:t>ten,</w:t>
      </w:r>
    </w:p>
    <w:p w:rsidR="00CD763A" w:rsidRPr="00BF2711" w:rsidRDefault="00F523B7" w:rsidP="00CD763A">
      <w:pPr>
        <w:pStyle w:val="PunktlistaBomb"/>
        <w:tabs>
          <w:tab w:val="clear" w:pos="360"/>
        </w:tabs>
        <w:spacing w:before="0"/>
      </w:pPr>
      <w:r w:rsidRPr="00BF2711">
        <w:t>koordinera åtgärder och initiativ som vidtas av organisationer inom Öste</w:t>
      </w:r>
      <w:r w:rsidRPr="00BF2711">
        <w:t>r</w:t>
      </w:r>
      <w:r w:rsidRPr="00BF2711">
        <w:t>sjöområdet för att uppnå stabilitets- och välfärdsmålsättningar i regi</w:t>
      </w:r>
      <w:r w:rsidRPr="00BF2711">
        <w:t>o</w:t>
      </w:r>
      <w:r w:rsidRPr="00BF2711">
        <w:t>nen,</w:t>
      </w:r>
    </w:p>
    <w:p w:rsidR="00F523B7" w:rsidRPr="00BF2711" w:rsidRDefault="00F523B7" w:rsidP="00CD763A">
      <w:pPr>
        <w:pStyle w:val="PunktlistaBomb"/>
        <w:tabs>
          <w:tab w:val="clear" w:pos="360"/>
        </w:tabs>
        <w:spacing w:before="0"/>
      </w:pPr>
      <w:r w:rsidRPr="00BF2711">
        <w:t>överväga om ”statsansvar” kunde intr</w:t>
      </w:r>
      <w:r w:rsidRPr="00BF2711">
        <w:t>o</w:t>
      </w:r>
      <w:r w:rsidRPr="00BF2711">
        <w:t>duceras inom gränsöverskridande förorening och ifall principen ”förorenaren skall betala” förutom företag även kunde gälla stater</w:t>
      </w:r>
      <w:r w:rsidR="00681E94" w:rsidRPr="00BF2711">
        <w:t>.</w:t>
      </w:r>
    </w:p>
    <w:p w:rsidR="00F523B7" w:rsidRPr="00BF2711" w:rsidRDefault="00F523B7" w:rsidP="00CD763A">
      <w:r w:rsidRPr="00BF2711">
        <w:t>Riksdagen bör verka för att de åtgärder som framförs i resolutionen från den 14:e parlamentariska Östersjökonferensen genomförs för att öka samarb</w:t>
      </w:r>
      <w:r w:rsidRPr="00BF2711">
        <w:t>e</w:t>
      </w:r>
      <w:r w:rsidRPr="00BF2711">
        <w:t>tet och aktivt bidra till att utveckla Östersjöregionen och dess närområden.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1E94" w:rsidRPr="00BF2711">
        <w:tblPrEx>
          <w:tblCellMar>
            <w:top w:w="0" w:type="dxa"/>
            <w:bottom w:w="0" w:type="dxa"/>
          </w:tblCellMar>
        </w:tblPrEx>
        <w:trPr>
          <w:cantSplit/>
        </w:trPr>
        <w:tc>
          <w:tcPr>
            <w:tcW w:w="3046" w:type="dxa"/>
          </w:tcPr>
          <w:p w:rsidR="00681E94" w:rsidRPr="00BF2711" w:rsidRDefault="00681E94" w:rsidP="00681E94">
            <w:pPr>
              <w:pStyle w:val="UnderskriftDatum"/>
              <w:spacing w:before="240"/>
            </w:pPr>
            <w:r w:rsidRPr="00BF2711">
              <w:t>Stockholm den 29 september 2005</w:t>
            </w:r>
          </w:p>
        </w:tc>
        <w:tc>
          <w:tcPr>
            <w:tcW w:w="3047" w:type="dxa"/>
          </w:tcPr>
          <w:p w:rsidR="00681E94" w:rsidRPr="00BF2711" w:rsidRDefault="00681E94" w:rsidP="00681E94">
            <w:pPr>
              <w:pStyle w:val="Underskrifter"/>
              <w:spacing w:before="240"/>
            </w:pPr>
          </w:p>
        </w:tc>
      </w:tr>
      <w:tr w:rsidR="00681E94" w:rsidRPr="00BF2711">
        <w:tblPrEx>
          <w:tblCellMar>
            <w:top w:w="0" w:type="dxa"/>
            <w:bottom w:w="0" w:type="dxa"/>
          </w:tblCellMar>
        </w:tblPrEx>
        <w:trPr>
          <w:cantSplit/>
        </w:trPr>
        <w:tc>
          <w:tcPr>
            <w:tcW w:w="3046" w:type="dxa"/>
          </w:tcPr>
          <w:p w:rsidR="00681E94" w:rsidRPr="00BF2711" w:rsidRDefault="00681E94" w:rsidP="00681E94">
            <w:pPr>
              <w:pStyle w:val="Underskrifter"/>
            </w:pPr>
            <w:r w:rsidRPr="00BF2711">
              <w:t>Kent Olsson (m)</w:t>
            </w:r>
          </w:p>
        </w:tc>
        <w:tc>
          <w:tcPr>
            <w:tcW w:w="3047" w:type="dxa"/>
          </w:tcPr>
          <w:p w:rsidR="00681E94" w:rsidRPr="00BF2711" w:rsidRDefault="00681E94" w:rsidP="00681E94">
            <w:pPr>
              <w:pStyle w:val="Underskrifter"/>
            </w:pPr>
          </w:p>
        </w:tc>
      </w:tr>
    </w:tbl>
    <w:p w:rsidR="00E84F25" w:rsidRPr="00BF2711" w:rsidRDefault="00E84F25" w:rsidP="00681E94">
      <w:pPr>
        <w:pStyle w:val="Normaltindrag"/>
      </w:pPr>
    </w:p>
    <w:sectPr w:rsidR="00E84F25" w:rsidRPr="00BF2711" w:rsidSect="00681E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CD1" w:rsidRPr="00BF2711" w:rsidRDefault="007C2CD1">
      <w:r w:rsidRPr="00BF2711">
        <w:separator/>
      </w:r>
    </w:p>
  </w:endnote>
  <w:endnote w:type="continuationSeparator" w:id="0">
    <w:p w:rsidR="007C2CD1" w:rsidRPr="00BF2711" w:rsidRDefault="007C2CD1">
      <w:r w:rsidRPr="00BF2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9C7" w:rsidRPr="00BF2711" w:rsidRDefault="00BF2711" w:rsidP="00681E94">
    <w:pPr>
      <w:pStyle w:val="Sidfot"/>
    </w:pPr>
    <w:r w:rsidRPr="00BF27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951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4" w:rsidRDefault="00681E94">
                          <w:pPr>
                            <w:pStyle w:val="NormalS5sidnrV"/>
                          </w:pPr>
                          <w:r>
                            <w:fldChar w:fldCharType="begin"/>
                          </w:r>
                          <w:r>
                            <w:instrText xml:space="preserve"> PAGE *\charformat</w:instrText>
                          </w:r>
                          <w:r>
                            <w:fldChar w:fldCharType="separate"/>
                          </w:r>
                          <w:r w:rsidR="00DC597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1E94" w:rsidRDefault="00681E94">
                    <w:pPr>
                      <w:pStyle w:val="NormalS5sidnrV"/>
                    </w:pPr>
                    <w:r>
                      <w:fldChar w:fldCharType="begin"/>
                    </w:r>
                    <w:r>
                      <w:instrText xml:space="preserve"> PAGE *\charformat</w:instrText>
                    </w:r>
                    <w:r>
                      <w:fldChar w:fldCharType="separate"/>
                    </w:r>
                    <w:r w:rsidR="00DC597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3B7" w:rsidRPr="00BF2711" w:rsidRDefault="00BF2711" w:rsidP="00681E94">
    <w:pPr>
      <w:pStyle w:val="Sidfot"/>
    </w:pPr>
    <w:r w:rsidRPr="00BF27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292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4" w:rsidRDefault="00681E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1E94" w:rsidRDefault="00681E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3B7" w:rsidRPr="00BF2711" w:rsidRDefault="00BF2711" w:rsidP="00681E94">
    <w:pPr>
      <w:pStyle w:val="Sidfot"/>
    </w:pPr>
    <w:r w:rsidRPr="00BF27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515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4" w:rsidRDefault="00681E94">
                          <w:pPr>
                            <w:pStyle w:val="NormalS5sidnrH"/>
                            <w:ind w:right="0"/>
                          </w:pPr>
                          <w:r>
                            <w:fldChar w:fldCharType="begin"/>
                          </w:r>
                          <w:r>
                            <w:instrText xml:space="preserve"> PAGE *\charformat</w:instrText>
                          </w:r>
                          <w:r>
                            <w:fldChar w:fldCharType="separate"/>
                          </w:r>
                          <w:r w:rsidR="00DC59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1E94" w:rsidRDefault="00681E94">
                    <w:pPr>
                      <w:pStyle w:val="NormalS5sidnrH"/>
                      <w:ind w:right="0"/>
                    </w:pPr>
                    <w:r>
                      <w:fldChar w:fldCharType="begin"/>
                    </w:r>
                    <w:r>
                      <w:instrText xml:space="preserve"> PAGE *\charformat</w:instrText>
                    </w:r>
                    <w:r>
                      <w:fldChar w:fldCharType="separate"/>
                    </w:r>
                    <w:r w:rsidR="00DC59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CD1" w:rsidRPr="00BF2711" w:rsidRDefault="007C2CD1">
      <w:r w:rsidRPr="00BF2711">
        <w:separator/>
      </w:r>
    </w:p>
  </w:footnote>
  <w:footnote w:type="continuationSeparator" w:id="0">
    <w:p w:rsidR="007C2CD1" w:rsidRPr="00BF2711" w:rsidRDefault="007C2CD1">
      <w:r w:rsidRPr="00BF2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9C7" w:rsidRPr="00BF2711" w:rsidRDefault="00BF2711" w:rsidP="00681E94">
    <w:pPr>
      <w:pStyle w:val="Sidhuvud"/>
    </w:pPr>
    <w:r w:rsidRPr="00BF27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015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4" w:rsidRDefault="00681E94">
                          <w:pPr>
                            <w:pStyle w:val="KantRubrikS5V"/>
                          </w:pPr>
                          <w:r>
                            <w:fldChar w:fldCharType="begin"/>
                          </w:r>
                          <w:r>
                            <w:instrText xml:space="preserve"> DOCPROPERTY "YearUser" *\charformat </w:instrText>
                          </w:r>
                          <w:r>
                            <w:fldChar w:fldCharType="separate"/>
                          </w:r>
                          <w:r w:rsidR="00DC5978">
                            <w:t>2005/06</w:t>
                          </w:r>
                          <w:r>
                            <w:fldChar w:fldCharType="end"/>
                          </w:r>
                          <w:r>
                            <w:t>:</w:t>
                          </w:r>
                          <w:r>
                            <w:fldChar w:fldCharType="begin"/>
                          </w:r>
                          <w:r>
                            <w:instrText xml:space="preserve"> DOCPROPERTY "Motionsnummer" *\charformat </w:instrText>
                          </w:r>
                          <w:r>
                            <w:fldChar w:fldCharType="separate"/>
                          </w:r>
                          <w:r w:rsidR="00DC5978">
                            <w:t>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1E94" w:rsidRDefault="00681E94">
                    <w:pPr>
                      <w:pStyle w:val="KantRubrikS5V"/>
                    </w:pPr>
                    <w:r>
                      <w:fldChar w:fldCharType="begin"/>
                    </w:r>
                    <w:r>
                      <w:instrText xml:space="preserve"> DOCPROPERTY "YearUser" *\charformat </w:instrText>
                    </w:r>
                    <w:r>
                      <w:fldChar w:fldCharType="separate"/>
                    </w:r>
                    <w:r w:rsidR="00DC5978">
                      <w:t>2005/06</w:t>
                    </w:r>
                    <w:r>
                      <w:fldChar w:fldCharType="end"/>
                    </w:r>
                    <w:r>
                      <w:t>:</w:t>
                    </w:r>
                    <w:r>
                      <w:fldChar w:fldCharType="begin"/>
                    </w:r>
                    <w:r>
                      <w:instrText xml:space="preserve"> DOCPROPERTY "Motionsnummer" *\charformat </w:instrText>
                    </w:r>
                    <w:r>
                      <w:fldChar w:fldCharType="separate"/>
                    </w:r>
                    <w:r w:rsidR="00DC5978">
                      <w:t>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3B7" w:rsidRPr="00BF2711" w:rsidRDefault="00BF2711" w:rsidP="00681E94">
    <w:pPr>
      <w:pStyle w:val="Sidhuvud"/>
    </w:pPr>
    <w:r w:rsidRPr="00BF27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943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94" w:rsidRDefault="00681E94">
                          <w:pPr>
                            <w:pStyle w:val="KantRubrikS5H"/>
                            <w:ind w:right="0"/>
                          </w:pPr>
                          <w:r>
                            <w:fldChar w:fldCharType="begin"/>
                          </w:r>
                          <w:r>
                            <w:instrText xml:space="preserve"> DOCPROPERTY "YearUser" *\charformat </w:instrText>
                          </w:r>
                          <w:r>
                            <w:fldChar w:fldCharType="separate"/>
                          </w:r>
                          <w:r w:rsidR="00DC5978">
                            <w:t>2005/06</w:t>
                          </w:r>
                          <w:r>
                            <w:fldChar w:fldCharType="end"/>
                          </w:r>
                          <w:r>
                            <w:t>:</w:t>
                          </w:r>
                          <w:r>
                            <w:fldChar w:fldCharType="begin"/>
                          </w:r>
                          <w:r>
                            <w:instrText xml:space="preserve"> DOCPROPERTY "Motionsnummer" *\charformat </w:instrText>
                          </w:r>
                          <w:r>
                            <w:fldChar w:fldCharType="separate"/>
                          </w:r>
                          <w:r w:rsidR="00DC5978">
                            <w:t>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1E94" w:rsidRDefault="00681E94">
                    <w:pPr>
                      <w:pStyle w:val="KantRubrikS5H"/>
                      <w:ind w:right="0"/>
                    </w:pPr>
                    <w:r>
                      <w:fldChar w:fldCharType="begin"/>
                    </w:r>
                    <w:r>
                      <w:instrText xml:space="preserve"> DOCPROPERTY "YearUser" *\charformat </w:instrText>
                    </w:r>
                    <w:r>
                      <w:fldChar w:fldCharType="separate"/>
                    </w:r>
                    <w:r w:rsidR="00DC5978">
                      <w:t>2005/06</w:t>
                    </w:r>
                    <w:r>
                      <w:fldChar w:fldCharType="end"/>
                    </w:r>
                    <w:r>
                      <w:t>:</w:t>
                    </w:r>
                    <w:r>
                      <w:fldChar w:fldCharType="begin"/>
                    </w:r>
                    <w:r>
                      <w:instrText xml:space="preserve"> DOCPROPERTY "Motionsnummer" *\charformat </w:instrText>
                    </w:r>
                    <w:r>
                      <w:fldChar w:fldCharType="separate"/>
                    </w:r>
                    <w:r w:rsidR="00DC5978">
                      <w:t>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E94" w:rsidRPr="00BF2711" w:rsidRDefault="00681E94">
    <w:pPr>
      <w:pStyle w:val="FSHNormal"/>
      <w:tabs>
        <w:tab w:val="right" w:pos="5840"/>
      </w:tabs>
    </w:pPr>
    <w:r w:rsidRPr="00BF2711">
      <w:br/>
    </w:r>
    <w:r w:rsidRPr="00BF2711">
      <w:fldChar w:fldCharType="begin" w:fldLock="1"/>
    </w:r>
    <w:r w:rsidRPr="00BF2711">
      <w:instrText xml:space="preserve"> DOCPROPERTY</w:instrText>
    </w:r>
    <w:r w:rsidRPr="00BF2711">
      <w:rPr>
        <w:sz w:val="18"/>
      </w:rPr>
      <w:instrText xml:space="preserve"> "YearUser" *\charformat </w:instrText>
    </w:r>
    <w:r w:rsidRPr="00BF2711">
      <w:fldChar w:fldCharType="separate"/>
    </w:r>
    <w:r w:rsidR="00DC5978" w:rsidRPr="00BF2711">
      <w:t>2005/06</w:t>
    </w:r>
    <w:r w:rsidRPr="00BF2711">
      <w:fldChar w:fldCharType="end"/>
    </w:r>
    <w:r w:rsidRPr="00BF2711">
      <w:t xml:space="preserve"> </w:t>
    </w:r>
    <w:r w:rsidRPr="00BF2711">
      <w:tab/>
      <w:t xml:space="preserve">mnr: </w:t>
    </w:r>
    <w:r w:rsidRPr="00BF2711">
      <w:fldChar w:fldCharType="begin" w:fldLock="1"/>
    </w:r>
    <w:r w:rsidRPr="00BF2711">
      <w:instrText xml:space="preserve"> DOCPROPERTY</w:instrText>
    </w:r>
    <w:r w:rsidRPr="00BF2711">
      <w:rPr>
        <w:sz w:val="18"/>
      </w:rPr>
      <w:instrText xml:space="preserve"> "Motionsnummer" *\charformat </w:instrText>
    </w:r>
    <w:r w:rsidRPr="00BF2711">
      <w:fldChar w:fldCharType="separate"/>
    </w:r>
    <w:r w:rsidR="00DC5978" w:rsidRPr="00BF2711">
      <w:t>U231</w:t>
    </w:r>
    <w:r w:rsidRPr="00BF2711">
      <w:fldChar w:fldCharType="end"/>
    </w:r>
    <w:r w:rsidRPr="00BF2711">
      <w:br/>
    </w:r>
    <w:r w:rsidRPr="00BF2711">
      <w:fldChar w:fldCharType="begin" w:fldLock="1"/>
    </w:r>
    <w:r w:rsidRPr="00BF2711">
      <w:instrText xml:space="preserve"> DOCPROPERTY</w:instrText>
    </w:r>
    <w:r w:rsidRPr="00BF2711">
      <w:rPr>
        <w:sz w:val="18"/>
      </w:rPr>
      <w:instrText xml:space="preserve"> "Samling" *\charformat </w:instrText>
    </w:r>
    <w:r w:rsidRPr="00BF2711">
      <w:fldChar w:fldCharType="end"/>
    </w:r>
    <w:r w:rsidRPr="00BF2711">
      <w:tab/>
      <w:t xml:space="preserve">pnr: </w:t>
    </w:r>
    <w:r w:rsidRPr="00BF2711">
      <w:fldChar w:fldCharType="begin" w:fldLock="1"/>
    </w:r>
    <w:r w:rsidRPr="00BF2711">
      <w:instrText xml:space="preserve"> DOCPROPERTY</w:instrText>
    </w:r>
    <w:r w:rsidRPr="00BF2711">
      <w:rPr>
        <w:sz w:val="18"/>
      </w:rPr>
      <w:instrText xml:space="preserve"> "Partinummer" *\charformat </w:instrText>
    </w:r>
    <w:r w:rsidRPr="00BF2711">
      <w:fldChar w:fldCharType="separate"/>
    </w:r>
    <w:r w:rsidR="00DC5978" w:rsidRPr="00BF2711">
      <w:t>m1527</w:t>
    </w:r>
    <w:r w:rsidRPr="00BF2711">
      <w:fldChar w:fldCharType="end"/>
    </w:r>
  </w:p>
  <w:p w:rsidR="00681E94" w:rsidRPr="00BF2711" w:rsidRDefault="00681E94">
    <w:pPr>
      <w:pStyle w:val="FSHRub1"/>
    </w:pPr>
    <w:r w:rsidRPr="00BF2711">
      <w:t>Motion till riksdagen</w:t>
    </w:r>
    <w:r w:rsidRPr="00BF2711">
      <w:br/>
    </w:r>
    <w:r w:rsidRPr="00BF2711">
      <w:fldChar w:fldCharType="begin" w:fldLock="1"/>
    </w:r>
    <w:r w:rsidRPr="00BF2711">
      <w:instrText xml:space="preserve"> DOCPROPERTY "YearUser" *\charformat </w:instrText>
    </w:r>
    <w:r w:rsidRPr="00BF2711">
      <w:fldChar w:fldCharType="separate"/>
    </w:r>
    <w:r w:rsidR="00DC5978" w:rsidRPr="00BF2711">
      <w:t>2005/06</w:t>
    </w:r>
    <w:r w:rsidRPr="00BF2711">
      <w:fldChar w:fldCharType="end"/>
    </w:r>
    <w:r w:rsidRPr="00BF2711">
      <w:t>:</w:t>
    </w:r>
    <w:r w:rsidRPr="00BF2711">
      <w:fldChar w:fldCharType="begin" w:fldLock="1"/>
    </w:r>
    <w:r w:rsidRPr="00BF2711">
      <w:instrText xml:space="preserve"> DOCPROPERTY "Motionsnummer" *\charformat </w:instrText>
    </w:r>
    <w:r w:rsidRPr="00BF2711">
      <w:fldChar w:fldCharType="separate"/>
    </w:r>
    <w:r w:rsidR="00DC5978" w:rsidRPr="00BF2711">
      <w:t>U231</w:t>
    </w:r>
    <w:r w:rsidRPr="00BF2711">
      <w:fldChar w:fldCharType="end"/>
    </w:r>
  </w:p>
  <w:p w:rsidR="00681E94" w:rsidRPr="00BF2711" w:rsidRDefault="00681E94">
    <w:pPr>
      <w:pStyle w:val="FSHNormalS5"/>
    </w:pPr>
    <w:r w:rsidRPr="00BF2711">
      <w:fldChar w:fldCharType="begin" w:fldLock="1"/>
    </w:r>
    <w:r w:rsidRPr="00BF2711">
      <w:instrText xml:space="preserve"> DOCPROPERTY "MotionarText" *\charformat </w:instrText>
    </w:r>
    <w:r w:rsidRPr="00BF2711">
      <w:fldChar w:fldCharType="separate"/>
    </w:r>
    <w:r w:rsidR="00DC5978" w:rsidRPr="00BF2711">
      <w:t>av Kent Olsson (m)</w:t>
    </w:r>
    <w:r w:rsidRPr="00BF2711">
      <w:fldChar w:fldCharType="end"/>
    </w:r>
    <w:r w:rsidRPr="00BF2711">
      <w:br/>
    </w:r>
    <w:r w:rsidRPr="00BF2711">
      <w:fldChar w:fldCharType="begin" w:fldLock="1"/>
    </w:r>
    <w:r w:rsidRPr="00BF2711">
      <w:instrText xml:space="preserve"> DOCPROPERTY "SvarFrasKort" *\charformat </w:instrText>
    </w:r>
    <w:r w:rsidRPr="00BF2711">
      <w:fldChar w:fldCharType="end"/>
    </w:r>
  </w:p>
  <w:p w:rsidR="00681E94" w:rsidRPr="00BF2711" w:rsidRDefault="00681E94">
    <w:pPr>
      <w:pStyle w:val="FSHTitel"/>
    </w:pPr>
    <w:r w:rsidRPr="00BF2711">
      <w:fldChar w:fldCharType="begin" w:fldLock="1"/>
    </w:r>
    <w:r w:rsidRPr="00BF2711">
      <w:instrText xml:space="preserve"> DOCPROPERTY</w:instrText>
    </w:r>
    <w:r w:rsidRPr="00BF2711">
      <w:rPr>
        <w:sz w:val="18"/>
      </w:rPr>
      <w:instrText xml:space="preserve"> "RubrikSvar" *\charformat </w:instrText>
    </w:r>
    <w:r w:rsidRPr="00BF2711">
      <w:fldChar w:fldCharType="separate"/>
    </w:r>
    <w:r w:rsidR="00DC5978" w:rsidRPr="00BF2711">
      <w:t>Samarbete i Östersjöregionen</w:t>
    </w:r>
    <w:r w:rsidRPr="00BF2711">
      <w:fldChar w:fldCharType="end"/>
    </w:r>
  </w:p>
  <w:p w:rsidR="00681E94" w:rsidRPr="00BF2711" w:rsidRDefault="00681E94" w:rsidP="00681E9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181F0E"/>
    <w:multiLevelType w:val="hybridMultilevel"/>
    <w:tmpl w:val="2A30DFEE"/>
    <w:lvl w:ilvl="0" w:tplc="408A55C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8983561">
    <w:abstractNumId w:val="13"/>
  </w:num>
  <w:num w:numId="2" w16cid:durableId="1855998164">
    <w:abstractNumId w:val="10"/>
  </w:num>
  <w:num w:numId="3" w16cid:durableId="628361060">
    <w:abstractNumId w:val="11"/>
  </w:num>
  <w:num w:numId="4" w16cid:durableId="619459144">
    <w:abstractNumId w:val="12"/>
  </w:num>
  <w:num w:numId="5" w16cid:durableId="1093552454">
    <w:abstractNumId w:val="8"/>
  </w:num>
  <w:num w:numId="6" w16cid:durableId="946427862">
    <w:abstractNumId w:val="3"/>
  </w:num>
  <w:num w:numId="7" w16cid:durableId="2023431860">
    <w:abstractNumId w:val="2"/>
  </w:num>
  <w:num w:numId="8" w16cid:durableId="296301864">
    <w:abstractNumId w:val="1"/>
  </w:num>
  <w:num w:numId="9" w16cid:durableId="105780967">
    <w:abstractNumId w:val="0"/>
  </w:num>
  <w:num w:numId="10" w16cid:durableId="1545950078">
    <w:abstractNumId w:val="9"/>
  </w:num>
  <w:num w:numId="11" w16cid:durableId="1174413703">
    <w:abstractNumId w:val="7"/>
  </w:num>
  <w:num w:numId="12" w16cid:durableId="2055962604">
    <w:abstractNumId w:val="6"/>
  </w:num>
  <w:num w:numId="13" w16cid:durableId="1740204684">
    <w:abstractNumId w:val="5"/>
  </w:num>
  <w:num w:numId="14" w16cid:durableId="1570112722">
    <w:abstractNumId w:val="4"/>
  </w:num>
  <w:num w:numId="15" w16cid:durableId="7262977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F523B7"/>
    <w:rsid w:val="00001C93"/>
    <w:rsid w:val="0004381F"/>
    <w:rsid w:val="00064BC3"/>
    <w:rsid w:val="00066775"/>
    <w:rsid w:val="00072FB9"/>
    <w:rsid w:val="00100531"/>
    <w:rsid w:val="00201DFB"/>
    <w:rsid w:val="00204A63"/>
    <w:rsid w:val="00212FF1"/>
    <w:rsid w:val="00230193"/>
    <w:rsid w:val="0025068A"/>
    <w:rsid w:val="002818D3"/>
    <w:rsid w:val="002D11A8"/>
    <w:rsid w:val="002F2B88"/>
    <w:rsid w:val="00445271"/>
    <w:rsid w:val="004A0504"/>
    <w:rsid w:val="004E38D9"/>
    <w:rsid w:val="005B145B"/>
    <w:rsid w:val="005D76A9"/>
    <w:rsid w:val="00681E94"/>
    <w:rsid w:val="00740D6D"/>
    <w:rsid w:val="00794149"/>
    <w:rsid w:val="007B67A7"/>
    <w:rsid w:val="007C2CD1"/>
    <w:rsid w:val="007C6092"/>
    <w:rsid w:val="009479C7"/>
    <w:rsid w:val="00A053C6"/>
    <w:rsid w:val="00A63716"/>
    <w:rsid w:val="00B13BF0"/>
    <w:rsid w:val="00BF2711"/>
    <w:rsid w:val="00C1285C"/>
    <w:rsid w:val="00C27B7D"/>
    <w:rsid w:val="00CD763A"/>
    <w:rsid w:val="00CF7A43"/>
    <w:rsid w:val="00D1174F"/>
    <w:rsid w:val="00D60E20"/>
    <w:rsid w:val="00DC5978"/>
    <w:rsid w:val="00DC6C70"/>
    <w:rsid w:val="00E22893"/>
    <w:rsid w:val="00E360DE"/>
    <w:rsid w:val="00E75D28"/>
    <w:rsid w:val="00E84F25"/>
    <w:rsid w:val="00F523B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F5897E-4C6E-4B6D-AF26-39D9B2AF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F2B88"/>
    <w:rPr>
      <w:rFonts w:ascii="Tahoma" w:hAnsi="Tahoma" w:cs="Tahoma"/>
      <w:sz w:val="16"/>
      <w:szCs w:val="16"/>
    </w:rPr>
  </w:style>
  <w:style w:type="paragraph" w:customStyle="1" w:styleId="Hemstlrubrik">
    <w:name w:val="Hemstl_rubrik"/>
    <w:basedOn w:val="Rubrik1"/>
    <w:next w:val="Normal"/>
    <w:rsid w:val="00681E9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479C7"/>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2856</Characters>
  <Application>Microsoft Office Word</Application>
  <DocSecurity>4</DocSecurity>
  <Lines>56</Lines>
  <Paragraphs>23</Paragraphs>
  <ScaleCrop>false</ScaleCrop>
  <HeadingPairs>
    <vt:vector size="2" baseType="variant">
      <vt:variant>
        <vt:lpstr>Rubrik</vt:lpstr>
      </vt:variant>
      <vt:variant>
        <vt:i4>1</vt:i4>
      </vt:variant>
    </vt:vector>
  </HeadingPairs>
  <TitlesOfParts>
    <vt:vector size="1" baseType="lpstr">
      <vt:lpstr>U231</vt:lpstr>
    </vt:vector>
  </TitlesOfParts>
  <Company>Riksdagen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U231</dc:title>
  <dc:subject>U231</dc:subject>
  <dc:creator>Riksdagen</dc:creator>
  <cp:keywords>Riksdagen</cp:keywords>
  <dc:description/>
  <cp:lastModifiedBy>Lars Brink</cp:lastModifiedBy>
  <cp:revision>2</cp:revision>
  <cp:lastPrinted>2006-01-17T13:02:00Z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Samarbete i Östersjöregionen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i Östersjöregionen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20052006000000000109000015270069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20052006000000000109000015270069</vt:lpwstr>
  </property>
  <property fmtid="{D5CDD505-2E9C-101B-9397-08002B2CF9AE}" pid="50" name="nummer">
    <vt:lpwstr>231</vt:lpwstr>
  </property>
  <property fmtid="{D5CDD505-2E9C-101B-9397-08002B2CF9AE}" pid="51" name="utskottsbeteckning">
    <vt:lpwstr>U</vt:lpwstr>
  </property>
</Properties>
</file>