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480F35">
        <w:tblPrEx>
          <w:tblCellMar>
            <w:top w:w="0" w:type="dxa"/>
            <w:bottom w:w="0" w:type="dxa"/>
          </w:tblCellMar>
        </w:tblPrEx>
        <w:trPr>
          <w:cantSplit/>
          <w:trHeight w:val="1720"/>
        </w:trPr>
        <w:tc>
          <w:tcPr>
            <w:tcW w:w="6024" w:type="dxa"/>
            <w:gridSpan w:val="2"/>
          </w:tcPr>
          <w:p w:rsidR="00F53A97" w:rsidRPr="00480F35" w:rsidRDefault="00B17327">
            <w:pPr>
              <w:pStyle w:val="HuvudRubrik"/>
            </w:pPr>
            <w:r w:rsidRPr="00480F35">
              <w:t>Försvarsutskottets betänkande</w:t>
            </w:r>
          </w:p>
          <w:p w:rsidR="00F53A97" w:rsidRPr="00480F35" w:rsidRDefault="007C0CFD">
            <w:pPr>
              <w:pStyle w:val="HuvudRubrikRad2"/>
            </w:pPr>
            <w:bookmarkStart w:id="0" w:name="BetänkandeNr"/>
            <w:bookmarkEnd w:id="0"/>
            <w:r w:rsidRPr="00480F35">
              <w:t>2005/06</w:t>
            </w:r>
            <w:r w:rsidR="00F53A97" w:rsidRPr="00480F35">
              <w:t>:</w:t>
            </w:r>
            <w:r w:rsidRPr="00480F35">
              <w:t>FöU10</w:t>
            </w:r>
          </w:p>
        </w:tc>
        <w:tc>
          <w:tcPr>
            <w:tcW w:w="1418" w:type="dxa"/>
            <w:tcBorders>
              <w:bottom w:val="nil"/>
            </w:tcBorders>
          </w:tcPr>
          <w:p w:rsidR="00F53A97" w:rsidRPr="00480F35" w:rsidRDefault="00480F35">
            <w:pPr>
              <w:spacing w:line="230" w:lineRule="auto"/>
              <w:jc w:val="center"/>
            </w:pPr>
            <w:r w:rsidRPr="00480F3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480F35" w:rsidRDefault="00F53A97">
            <w:pPr>
              <w:pStyle w:val="Normaltindrag"/>
              <w:jc w:val="center"/>
            </w:pPr>
          </w:p>
          <w:p w:rsidR="00F53A97" w:rsidRPr="00480F35" w:rsidRDefault="00F53A97">
            <w:pPr>
              <w:pStyle w:val="StatusSida1"/>
            </w:pPr>
          </w:p>
          <w:p w:rsidR="00F53A97" w:rsidRPr="00480F35" w:rsidRDefault="00F53A97">
            <w:pPr>
              <w:pStyle w:val="UtskriftsdatumSida1"/>
              <w:framePr w:wrap="around"/>
            </w:pPr>
          </w:p>
        </w:tc>
      </w:tr>
      <w:tr w:rsidR="00F53A97" w:rsidRPr="00480F35">
        <w:tblPrEx>
          <w:tblCellMar>
            <w:top w:w="0" w:type="dxa"/>
            <w:bottom w:w="0" w:type="dxa"/>
          </w:tblCellMar>
        </w:tblPrEx>
        <w:trPr>
          <w:cantSplit/>
        </w:trPr>
        <w:tc>
          <w:tcPr>
            <w:tcW w:w="6024" w:type="dxa"/>
            <w:gridSpan w:val="2"/>
            <w:tcBorders>
              <w:bottom w:val="single" w:sz="4" w:space="0" w:color="auto"/>
            </w:tcBorders>
          </w:tcPr>
          <w:p w:rsidR="00F53A97" w:rsidRPr="00480F35" w:rsidRDefault="00B17327">
            <w:pPr>
              <w:pStyle w:val="DokumentRubrik"/>
              <w:rPr>
                <w:noProof w:val="0"/>
              </w:rPr>
            </w:pPr>
            <w:bookmarkStart w:id="1" w:name="Huvudrubrik"/>
            <w:bookmarkEnd w:id="1"/>
            <w:r w:rsidRPr="00480F35">
              <w:rPr>
                <w:noProof w:val="0"/>
              </w:rPr>
              <w:t>Renovering och modifiering av artillerisystemet Haubits 77B</w:t>
            </w:r>
          </w:p>
        </w:tc>
        <w:tc>
          <w:tcPr>
            <w:tcW w:w="1418" w:type="dxa"/>
            <w:tcBorders>
              <w:bottom w:val="nil"/>
            </w:tcBorders>
          </w:tcPr>
          <w:p w:rsidR="00F53A97" w:rsidRPr="00480F35" w:rsidRDefault="00F53A97"/>
        </w:tc>
      </w:tr>
      <w:tr w:rsidR="00F53A97" w:rsidRPr="00480F35">
        <w:tblPrEx>
          <w:tblCellMar>
            <w:top w:w="0" w:type="dxa"/>
            <w:bottom w:w="0" w:type="dxa"/>
          </w:tblCellMar>
        </w:tblPrEx>
        <w:trPr>
          <w:cantSplit/>
          <w:trHeight w:hRule="exact" w:val="360"/>
        </w:trPr>
        <w:tc>
          <w:tcPr>
            <w:tcW w:w="3012" w:type="dxa"/>
          </w:tcPr>
          <w:p w:rsidR="00F53A97" w:rsidRPr="00480F35" w:rsidRDefault="00F53A97"/>
        </w:tc>
        <w:tc>
          <w:tcPr>
            <w:tcW w:w="3012" w:type="dxa"/>
          </w:tcPr>
          <w:p w:rsidR="00F53A97" w:rsidRPr="00480F35" w:rsidRDefault="00F53A97"/>
        </w:tc>
        <w:tc>
          <w:tcPr>
            <w:tcW w:w="1418" w:type="dxa"/>
          </w:tcPr>
          <w:p w:rsidR="00F53A97" w:rsidRPr="00480F35" w:rsidRDefault="00F53A97"/>
        </w:tc>
      </w:tr>
    </w:tbl>
    <w:p w:rsidR="00F53A97" w:rsidRPr="00480F35" w:rsidRDefault="00F53A97"/>
    <w:p w:rsidR="00B17327" w:rsidRPr="00480F35" w:rsidRDefault="00B17327" w:rsidP="00B17327">
      <w:pPr>
        <w:pStyle w:val="Rubrik1"/>
        <w:spacing w:after="180"/>
        <w:rPr>
          <w:noProof w:val="0"/>
        </w:rPr>
      </w:pPr>
      <w:bookmarkStart w:id="2" w:name="_Toc134600503"/>
      <w:r w:rsidRPr="00480F35">
        <w:rPr>
          <w:noProof w:val="0"/>
        </w:rPr>
        <w:t>Sammanfattning</w:t>
      </w:r>
      <w:bookmarkEnd w:id="2"/>
    </w:p>
    <w:p w:rsidR="003F3893" w:rsidRPr="00480F35" w:rsidRDefault="003F3893" w:rsidP="003F3893">
      <w:bookmarkStart w:id="3" w:name="TextStart"/>
      <w:bookmarkEnd w:id="3"/>
      <w:r w:rsidRPr="00480F35">
        <w:t>Utskottet tillstyrker proposition 2005/06:132 Renovering och modifiering av artillerisystemet Haubits 77B. En renovering och modifiering av dessa haubi</w:t>
      </w:r>
      <w:r w:rsidRPr="00480F35">
        <w:t>t</w:t>
      </w:r>
      <w:r w:rsidRPr="00480F35">
        <w:t>sar synes enligt utskottet sammantaget sett för närvarande vara det mest läm</w:t>
      </w:r>
      <w:r w:rsidRPr="00480F35">
        <w:t>p</w:t>
      </w:r>
      <w:r w:rsidRPr="00480F35">
        <w:t>liga alternativet att modern</w:t>
      </w:r>
      <w:r w:rsidRPr="00480F35">
        <w:t>i</w:t>
      </w:r>
      <w:r w:rsidRPr="00480F35">
        <w:t>sera markstridskrafternas artilleri. Projektet bör dock omprövas om inte ett utländskt utvec</w:t>
      </w:r>
      <w:r w:rsidRPr="00480F35">
        <w:t>k</w:t>
      </w:r>
      <w:r w:rsidRPr="00480F35">
        <w:t>lingssamarbete kommer till stånd.</w:t>
      </w:r>
    </w:p>
    <w:p w:rsidR="00B17327" w:rsidRPr="00480F35" w:rsidRDefault="000C1126" w:rsidP="003F3893">
      <w:pPr>
        <w:pStyle w:val="Normaltindrag"/>
      </w:pPr>
      <w:r w:rsidRPr="00480F35">
        <w:t>En</w:t>
      </w:r>
      <w:r w:rsidR="003F3893" w:rsidRPr="00480F35">
        <w:t xml:space="preserve"> reservation </w:t>
      </w:r>
      <w:r w:rsidR="002C5C89" w:rsidRPr="00480F35">
        <w:t xml:space="preserve">har avgivits </w:t>
      </w:r>
      <w:r w:rsidR="003F3893" w:rsidRPr="00480F35">
        <w:t>av (fp).</w:t>
      </w:r>
    </w:p>
    <w:p w:rsidR="00B17327" w:rsidRPr="00480F35" w:rsidRDefault="00B17327" w:rsidP="00B17327">
      <w:pPr>
        <w:pStyle w:val="Normaltindrag"/>
        <w:sectPr w:rsidR="00B17327" w:rsidRPr="00480F35" w:rsidSect="00F417F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B17327" w:rsidRPr="00480F35" w:rsidRDefault="00B17327" w:rsidP="00B17327">
      <w:pPr>
        <w:pStyle w:val="Rubrik1"/>
        <w:rPr>
          <w:noProof w:val="0"/>
        </w:rPr>
      </w:pPr>
      <w:bookmarkStart w:id="4" w:name="_Toc134600504"/>
      <w:r w:rsidRPr="00480F35">
        <w:rPr>
          <w:noProof w:val="0"/>
        </w:rPr>
        <w:lastRenderedPageBreak/>
        <w:t>Innehållsförteckning</w:t>
      </w:r>
      <w:bookmarkEnd w:id="4"/>
    </w:p>
    <w:p w:rsidR="00601BD2" w:rsidRPr="00480F35" w:rsidRDefault="00601BD2" w:rsidP="0072359C">
      <w:pPr>
        <w:pStyle w:val="Innehll1"/>
        <w:rPr>
          <w:sz w:val="24"/>
          <w:szCs w:val="24"/>
        </w:rPr>
      </w:pPr>
      <w:r w:rsidRPr="00480F35">
        <w:t>Sammanfattning</w:t>
      </w:r>
      <w:r w:rsidRPr="00480F35">
        <w:tab/>
        <w:t>1</w:t>
      </w:r>
    </w:p>
    <w:p w:rsidR="00601BD2" w:rsidRPr="00480F35" w:rsidRDefault="00601BD2">
      <w:pPr>
        <w:pStyle w:val="Innehll1"/>
        <w:rPr>
          <w:sz w:val="24"/>
          <w:szCs w:val="24"/>
        </w:rPr>
      </w:pPr>
      <w:r w:rsidRPr="00480F35">
        <w:t>Innehållsförteckning</w:t>
      </w:r>
      <w:r w:rsidRPr="00480F35">
        <w:tab/>
        <w:t>2</w:t>
      </w:r>
    </w:p>
    <w:p w:rsidR="00601BD2" w:rsidRPr="00480F35" w:rsidRDefault="00601BD2">
      <w:pPr>
        <w:pStyle w:val="Innehll1"/>
        <w:rPr>
          <w:sz w:val="24"/>
          <w:szCs w:val="24"/>
        </w:rPr>
      </w:pPr>
      <w:r w:rsidRPr="00480F35">
        <w:t>Utskottets förslag till riksdagsbeslut</w:t>
      </w:r>
      <w:r w:rsidRPr="00480F35">
        <w:tab/>
        <w:t>3</w:t>
      </w:r>
    </w:p>
    <w:p w:rsidR="00601BD2" w:rsidRPr="00480F35" w:rsidRDefault="00601BD2">
      <w:pPr>
        <w:pStyle w:val="Innehll1"/>
        <w:rPr>
          <w:sz w:val="24"/>
          <w:szCs w:val="24"/>
        </w:rPr>
      </w:pPr>
      <w:r w:rsidRPr="00480F35">
        <w:t>Redogörelse för ärendet</w:t>
      </w:r>
      <w:r w:rsidRPr="00480F35">
        <w:tab/>
        <w:t>4</w:t>
      </w:r>
    </w:p>
    <w:p w:rsidR="00601BD2" w:rsidRPr="00480F35" w:rsidRDefault="00601BD2">
      <w:pPr>
        <w:pStyle w:val="Innehll2"/>
        <w:rPr>
          <w:sz w:val="24"/>
          <w:szCs w:val="24"/>
        </w:rPr>
      </w:pPr>
      <w:r w:rsidRPr="00480F35">
        <w:t>Ärendet och dess beredning</w:t>
      </w:r>
      <w:r w:rsidRPr="00480F35">
        <w:tab/>
        <w:t>4</w:t>
      </w:r>
    </w:p>
    <w:p w:rsidR="00601BD2" w:rsidRPr="00480F35" w:rsidRDefault="00601BD2">
      <w:pPr>
        <w:pStyle w:val="Innehll2"/>
        <w:rPr>
          <w:sz w:val="24"/>
          <w:szCs w:val="24"/>
        </w:rPr>
      </w:pPr>
      <w:r w:rsidRPr="00480F35">
        <w:t>Propositionens huvudsakliga innehåll</w:t>
      </w:r>
      <w:r w:rsidRPr="00480F35">
        <w:tab/>
        <w:t>4</w:t>
      </w:r>
    </w:p>
    <w:p w:rsidR="00601BD2" w:rsidRPr="00480F35" w:rsidRDefault="00601BD2">
      <w:pPr>
        <w:pStyle w:val="Innehll2"/>
        <w:rPr>
          <w:sz w:val="24"/>
          <w:szCs w:val="24"/>
        </w:rPr>
      </w:pPr>
      <w:r w:rsidRPr="00480F35">
        <w:t>Motionens huvudsakliga innehåll</w:t>
      </w:r>
      <w:r w:rsidRPr="00480F35">
        <w:tab/>
        <w:t>8</w:t>
      </w:r>
    </w:p>
    <w:p w:rsidR="00601BD2" w:rsidRPr="00480F35" w:rsidRDefault="00601BD2">
      <w:pPr>
        <w:pStyle w:val="Innehll1"/>
        <w:rPr>
          <w:sz w:val="24"/>
          <w:szCs w:val="24"/>
        </w:rPr>
      </w:pPr>
      <w:r w:rsidRPr="00480F35">
        <w:t>Utskottets överväganden</w:t>
      </w:r>
      <w:r w:rsidRPr="00480F35">
        <w:tab/>
        <w:t>9</w:t>
      </w:r>
    </w:p>
    <w:p w:rsidR="00601BD2" w:rsidRPr="00480F35" w:rsidRDefault="00601BD2">
      <w:pPr>
        <w:pStyle w:val="Innehll1"/>
        <w:rPr>
          <w:sz w:val="24"/>
          <w:szCs w:val="24"/>
        </w:rPr>
      </w:pPr>
      <w:r w:rsidRPr="00480F35">
        <w:t>Reservation</w:t>
      </w:r>
      <w:r w:rsidRPr="00480F35">
        <w:tab/>
        <w:t>11</w:t>
      </w:r>
    </w:p>
    <w:p w:rsidR="00601BD2" w:rsidRPr="00480F35" w:rsidRDefault="00601BD2">
      <w:pPr>
        <w:pStyle w:val="Innehll2"/>
        <w:rPr>
          <w:sz w:val="24"/>
          <w:szCs w:val="24"/>
        </w:rPr>
      </w:pPr>
      <w:r w:rsidRPr="00480F35">
        <w:t>Renovering och modifiering av Haubits 77B (punkt 1)(fp)</w:t>
      </w:r>
      <w:r w:rsidRPr="00480F35">
        <w:tab/>
        <w:t>11</w:t>
      </w:r>
    </w:p>
    <w:p w:rsidR="00601BD2" w:rsidRPr="00480F35" w:rsidRDefault="00601BD2">
      <w:pPr>
        <w:pStyle w:val="Innehll1"/>
      </w:pPr>
      <w:r w:rsidRPr="00480F35">
        <w:t>Bilaga</w:t>
      </w:r>
    </w:p>
    <w:p w:rsidR="00601BD2" w:rsidRPr="00480F35" w:rsidRDefault="00601BD2">
      <w:pPr>
        <w:pStyle w:val="Innehll1"/>
        <w:rPr>
          <w:sz w:val="24"/>
          <w:szCs w:val="24"/>
        </w:rPr>
      </w:pPr>
      <w:r w:rsidRPr="00480F35">
        <w:t>Förteckning över behandlade förslag</w:t>
      </w:r>
      <w:r w:rsidRPr="00480F35">
        <w:tab/>
        <w:t>12</w:t>
      </w:r>
    </w:p>
    <w:p w:rsidR="00601BD2" w:rsidRPr="00480F35" w:rsidRDefault="00601BD2">
      <w:pPr>
        <w:pStyle w:val="Innehll2"/>
        <w:rPr>
          <w:sz w:val="24"/>
          <w:szCs w:val="24"/>
        </w:rPr>
      </w:pPr>
      <w:r w:rsidRPr="00480F35">
        <w:t>Propositionen</w:t>
      </w:r>
      <w:r w:rsidRPr="00480F35">
        <w:tab/>
        <w:t>12</w:t>
      </w:r>
    </w:p>
    <w:p w:rsidR="00601BD2" w:rsidRPr="00480F35" w:rsidRDefault="00601BD2">
      <w:pPr>
        <w:pStyle w:val="Innehll2"/>
        <w:rPr>
          <w:sz w:val="24"/>
          <w:szCs w:val="24"/>
        </w:rPr>
      </w:pPr>
      <w:r w:rsidRPr="00480F35">
        <w:t>Följdmotion</w:t>
      </w:r>
      <w:r w:rsidRPr="00480F35">
        <w:tab/>
        <w:t>12</w:t>
      </w:r>
    </w:p>
    <w:p w:rsidR="00B17327" w:rsidRPr="00480F35" w:rsidRDefault="00B17327" w:rsidP="00B17327"/>
    <w:p w:rsidR="00B17327" w:rsidRPr="00480F35" w:rsidRDefault="00B17327" w:rsidP="00B17327">
      <w:pPr>
        <w:pStyle w:val="Normaltindrag"/>
        <w:sectPr w:rsidR="00B17327" w:rsidRPr="00480F35" w:rsidSect="00F417F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B17327" w:rsidRPr="00480F35" w:rsidRDefault="00B17327" w:rsidP="00CE4B2A">
      <w:pPr>
        <w:pStyle w:val="Rubrik1"/>
        <w:rPr>
          <w:noProof w:val="0"/>
        </w:rPr>
      </w:pPr>
      <w:bookmarkStart w:id="5" w:name="_Toc134600505"/>
      <w:r w:rsidRPr="00480F35">
        <w:rPr>
          <w:noProof w:val="0"/>
        </w:rPr>
        <w:t>Utskottets förslag till riksdagsbeslut</w:t>
      </w:r>
      <w:bookmarkEnd w:id="5"/>
    </w:p>
    <w:p w:rsidR="00AB1F45" w:rsidRPr="00480F35" w:rsidRDefault="007C0CFD" w:rsidP="00426BC9">
      <w:pPr>
        <w:pStyle w:val="Frslagspunkt"/>
        <w:spacing w:before="0"/>
        <w:rPr>
          <w:noProof w:val="0"/>
        </w:rPr>
      </w:pPr>
      <w:r w:rsidRPr="00480F35">
        <w:rPr>
          <w:noProof w:val="0"/>
        </w:rPr>
        <w:t>Renovering och modifiering av Haubits 77B</w:t>
      </w:r>
    </w:p>
    <w:p w:rsidR="009D48AB" w:rsidRPr="00480F35" w:rsidRDefault="009D48AB" w:rsidP="009D48AB">
      <w:r w:rsidRPr="00480F35">
        <w:t xml:space="preserve">Riksdagen bifaller proposition 2005/06:132 Renovering och modifiering av Haubits 77B samt avslår motion 2005/06:Fö5 av Allan Widman m.fl. (fp). </w:t>
      </w:r>
    </w:p>
    <w:p w:rsidR="00AB1F45" w:rsidRPr="00480F35" w:rsidRDefault="00C66A3B" w:rsidP="00C66A3B">
      <w:pPr>
        <w:pStyle w:val="Reservationshnvisning"/>
      </w:pPr>
      <w:r w:rsidRPr="00480F35">
        <w:t xml:space="preserve">Reservation </w:t>
      </w:r>
      <w:r w:rsidR="007C0CFD" w:rsidRPr="00480F35">
        <w:t>1</w:t>
      </w:r>
      <w:r w:rsidRPr="00480F35">
        <w:t xml:space="preserve"> (fp)</w:t>
      </w:r>
      <w:bookmarkStart w:id="6" w:name="RESPARTI001"/>
      <w:bookmarkEnd w:id="6"/>
    </w:p>
    <w:p w:rsidR="00B17327" w:rsidRPr="00480F35" w:rsidRDefault="00B17327" w:rsidP="00B17327">
      <w:pPr>
        <w:pStyle w:val="Normaltindrag"/>
      </w:pPr>
      <w:bookmarkStart w:id="7" w:name="Nästa_Hpunkt"/>
      <w:bookmarkEnd w:id="7"/>
    </w:p>
    <w:p w:rsidR="00B17327" w:rsidRPr="00480F35" w:rsidRDefault="00B17327" w:rsidP="00B17327">
      <w:pPr>
        <w:pStyle w:val="Normaltindrag"/>
      </w:pPr>
    </w:p>
    <w:p w:rsidR="00CE4B2A" w:rsidRPr="00480F35" w:rsidRDefault="00CE4B2A" w:rsidP="00B17327">
      <w:pPr>
        <w:pStyle w:val="Normaltindrag"/>
      </w:pPr>
    </w:p>
    <w:p w:rsidR="00CE4B2A" w:rsidRPr="00480F35" w:rsidRDefault="00CE4B2A" w:rsidP="00B17327">
      <w:pPr>
        <w:pStyle w:val="Normaltindrag"/>
      </w:pPr>
    </w:p>
    <w:p w:rsidR="00CE4B2A" w:rsidRPr="00480F35" w:rsidRDefault="00CE4B2A" w:rsidP="00B17327">
      <w:pPr>
        <w:pStyle w:val="Normaltindrag"/>
      </w:pPr>
    </w:p>
    <w:p w:rsidR="00CE4B2A" w:rsidRPr="00480F35" w:rsidRDefault="00CE4B2A" w:rsidP="00B17327">
      <w:pPr>
        <w:pStyle w:val="Normaltindrag"/>
      </w:pPr>
    </w:p>
    <w:p w:rsidR="00CE4B2A" w:rsidRPr="00480F35" w:rsidRDefault="00CE4B2A" w:rsidP="00B17327">
      <w:pPr>
        <w:pStyle w:val="Normaltindrag"/>
      </w:pPr>
    </w:p>
    <w:p w:rsidR="00B17327" w:rsidRPr="00480F35" w:rsidRDefault="00967112" w:rsidP="00B17327">
      <w:pPr>
        <w:pStyle w:val="Utskriftsdatum"/>
      </w:pPr>
      <w:r w:rsidRPr="00480F35">
        <w:t xml:space="preserve">Stockholm </w:t>
      </w:r>
      <w:r w:rsidR="00E04AE6" w:rsidRPr="00480F35">
        <w:t>den 4</w:t>
      </w:r>
      <w:r w:rsidRPr="00480F35">
        <w:t xml:space="preserve"> maj 2006</w:t>
      </w:r>
    </w:p>
    <w:p w:rsidR="000C1126" w:rsidRPr="00480F35" w:rsidRDefault="00426BC9" w:rsidP="00426BC9">
      <w:r w:rsidRPr="00480F35">
        <w:t>På försvarsutskottets vägnar</w:t>
      </w:r>
    </w:p>
    <w:p w:rsidR="00426BC9" w:rsidRPr="00480F35" w:rsidRDefault="00426BC9" w:rsidP="00426BC9">
      <w:pPr>
        <w:pStyle w:val="Ordfranden"/>
        <w:rPr>
          <w:noProof w:val="0"/>
        </w:rPr>
      </w:pPr>
      <w:r w:rsidRPr="00480F35">
        <w:rPr>
          <w:noProof w:val="0"/>
        </w:rPr>
        <w:t xml:space="preserve">Tone Tingsgård </w:t>
      </w:r>
    </w:p>
    <w:p w:rsidR="003267EB" w:rsidRPr="00480F35" w:rsidRDefault="003267EB" w:rsidP="005D232D">
      <w:pPr>
        <w:spacing w:before="437"/>
      </w:pPr>
      <w:r w:rsidRPr="00480F35">
        <w:t>I beslu</w:t>
      </w:r>
      <w:r w:rsidR="009D48AB" w:rsidRPr="00480F35">
        <w:t xml:space="preserve">tet har deltagit: </w:t>
      </w:r>
    </w:p>
    <w:p w:rsidR="00B17327" w:rsidRPr="00480F35" w:rsidRDefault="000C1126" w:rsidP="005D232D">
      <w:pPr>
        <w:pStyle w:val="Deltagare"/>
        <w:spacing w:before="250"/>
        <w:rPr>
          <w:noProof w:val="0"/>
        </w:rPr>
      </w:pPr>
      <w:bookmarkStart w:id="8" w:name="Ordförande"/>
      <w:bookmarkStart w:id="9" w:name="Deltagare"/>
      <w:bookmarkEnd w:id="8"/>
      <w:bookmarkEnd w:id="9"/>
      <w:r w:rsidRPr="00480F35">
        <w:rPr>
          <w:noProof w:val="0"/>
        </w:rPr>
        <w:t>Följande ledamöter har deltagit i beslutet: Tone Tingsgård (s), Ola Rask (s), Allan Widman (fp), Michael Hagberg (s), Erling Wälivaara (kd), Berit Jóhannesson (v), Britt-Marie Lindkvist (s), Åsa Lindestam (s), Heli Berg (fp), Peter Jonsson (s), Karin Enström (m), Lars Ångström (mp), Kerstin Engle (s) och Claes Västerteg (c).Mikael Damberg (s)</w:t>
      </w:r>
    </w:p>
    <w:p w:rsidR="00B17327" w:rsidRPr="00480F35" w:rsidRDefault="00B17327" w:rsidP="00B17327">
      <w:pPr>
        <w:pStyle w:val="Normaltindrag"/>
      </w:pPr>
    </w:p>
    <w:p w:rsidR="00B17327" w:rsidRPr="00480F35" w:rsidRDefault="00B17327" w:rsidP="00B17327">
      <w:pPr>
        <w:pStyle w:val="Normaltindrag"/>
        <w:sectPr w:rsidR="00B17327" w:rsidRPr="00480F35" w:rsidSect="00F417F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pPr>
    </w:p>
    <w:p w:rsidR="00B17327" w:rsidRPr="00480F35" w:rsidRDefault="00B17327" w:rsidP="00B17327">
      <w:pPr>
        <w:pStyle w:val="Rubrik1"/>
        <w:rPr>
          <w:noProof w:val="0"/>
        </w:rPr>
      </w:pPr>
      <w:bookmarkStart w:id="10" w:name="_Toc134600506"/>
      <w:r w:rsidRPr="00480F35">
        <w:rPr>
          <w:noProof w:val="0"/>
        </w:rPr>
        <w:t>Redogörelse för ärendet</w:t>
      </w:r>
      <w:bookmarkEnd w:id="10"/>
    </w:p>
    <w:p w:rsidR="00B17327" w:rsidRPr="00480F35" w:rsidRDefault="00B17327" w:rsidP="00CE4B2A">
      <w:pPr>
        <w:pStyle w:val="Rubrik2"/>
        <w:spacing w:before="0"/>
      </w:pPr>
      <w:bookmarkStart w:id="11" w:name="_Toc134600507"/>
      <w:r w:rsidRPr="00480F35">
        <w:t>Ärendet och dess beredning</w:t>
      </w:r>
      <w:bookmarkEnd w:id="11"/>
    </w:p>
    <w:p w:rsidR="00441976" w:rsidRPr="00480F35" w:rsidRDefault="00441976" w:rsidP="00441976">
      <w:r w:rsidRPr="00480F35">
        <w:t>Till grund för denna proposition ligger bl</w:t>
      </w:r>
      <w:r w:rsidR="005D232D" w:rsidRPr="00480F35">
        <w:t>.</w:t>
      </w:r>
      <w:r w:rsidRPr="00480F35">
        <w:t>a</w:t>
      </w:r>
      <w:r w:rsidR="005D232D" w:rsidRPr="00480F35">
        <w:t>.</w:t>
      </w:r>
      <w:r w:rsidRPr="00480F35">
        <w:t xml:space="preserve"> budgetpropositionen för 2006 (prop. 2005/06:1, utgiftsområde 6 Försvar samt beredskap mot sårba</w:t>
      </w:r>
      <w:r w:rsidRPr="00480F35">
        <w:t>r</w:t>
      </w:r>
      <w:r w:rsidRPr="00480F35">
        <w:t>het). I propositionen föreslog regeringen att riksdagen skulle bemyndiga regeringen att under 2006 besluta om renovering och modifiering av artiller</w:t>
      </w:r>
      <w:r w:rsidRPr="00480F35">
        <w:t>i</w:t>
      </w:r>
      <w:r w:rsidRPr="00480F35">
        <w:t>systemet Haubits 77B.</w:t>
      </w:r>
      <w:r w:rsidR="00A73D0A" w:rsidRPr="00480F35">
        <w:t xml:space="preserve"> Utskottet har erfarit att regeringen har utarbetat prop</w:t>
      </w:r>
      <w:r w:rsidR="00A73D0A" w:rsidRPr="00480F35">
        <w:t>o</w:t>
      </w:r>
      <w:r w:rsidR="00A73D0A" w:rsidRPr="00480F35">
        <w:t>sitionen i samarbete med Vänsterpartiet och Miljöpartiet de gröna.</w:t>
      </w:r>
    </w:p>
    <w:p w:rsidR="00441976" w:rsidRPr="00480F35" w:rsidRDefault="00441976" w:rsidP="00441976">
      <w:r w:rsidRPr="00480F35">
        <w:t xml:space="preserve">I sitt betänkande Försvar samt beredskap </w:t>
      </w:r>
      <w:r w:rsidR="00426BC9" w:rsidRPr="00480F35">
        <w:t xml:space="preserve">mot sårbarhet – budgetåret 2006 </w:t>
      </w:r>
      <w:r w:rsidRPr="00480F35">
        <w:t xml:space="preserve">(bet. 2005/06:FöU1, rskr. 2005/06:82) </w:t>
      </w:r>
      <w:r w:rsidRPr="00480F35">
        <w:rPr>
          <w:i/>
        </w:rPr>
        <w:t>anser försvarsutskottet</w:t>
      </w:r>
      <w:r w:rsidRPr="00480F35">
        <w:t xml:space="preserve"> att kostn</w:t>
      </w:r>
      <w:r w:rsidRPr="00480F35">
        <w:t>a</w:t>
      </w:r>
      <w:r w:rsidRPr="00480F35">
        <w:t>den per artilleripjäs är mycket hög. Trots att endast ett begränsat antal pjäser avses beställas är det ett av de mest kostnadskrävande utvecklings- och anskaf</w:t>
      </w:r>
      <w:r w:rsidRPr="00480F35">
        <w:t>f</w:t>
      </w:r>
      <w:r w:rsidRPr="00480F35">
        <w:t>ningsprojekt</w:t>
      </w:r>
      <w:r w:rsidR="005D232D" w:rsidRPr="00480F35">
        <w:t>en</w:t>
      </w:r>
      <w:r w:rsidRPr="00480F35">
        <w:t xml:space="preserve"> under 2006. Dessutom är behovet av artilleriförband år 2008, enligt regeringens redovisade bedömning i budgetpropositionen (prop. 2005/06:1), endast en fjärdedels haubitsbataljon som insatsförband. Detta gör att </w:t>
      </w:r>
      <w:r w:rsidR="005D232D" w:rsidRPr="00480F35">
        <w:t>f</w:t>
      </w:r>
      <w:r w:rsidRPr="00480F35">
        <w:t xml:space="preserve">örsvarsutskottet anför att ytterligare underlag i frågan måste underställas riksdagen. </w:t>
      </w:r>
    </w:p>
    <w:p w:rsidR="00441976" w:rsidRPr="00480F35" w:rsidRDefault="00441976" w:rsidP="00441976">
      <w:pPr>
        <w:pStyle w:val="Normaltindrag"/>
      </w:pPr>
      <w:r w:rsidRPr="00480F35">
        <w:t>Försvarsutskottet anser inte att regeringens tidigare redovisningar beskr</w:t>
      </w:r>
      <w:r w:rsidRPr="00480F35">
        <w:t>i</w:t>
      </w:r>
      <w:r w:rsidRPr="00480F35">
        <w:t xml:space="preserve">ver projektets totala omfattning, skälen för utvecklingen och anskaffningen och vilka andra alternativ som kan övervägas för att modernisera artilleriet. Försvarsutskottet kan inte heller bedöma vilka framtida operativa behov som skall tillgodoses. Dessutom efterfrågar försvarsutskottet vilket behov som finns av artilleri i framtida internationella insatser då inga svenska förband är anmälda till några internationella styrkeregister, vilket inte heller är aktuellt enligt försvarsutskottets bedömning. </w:t>
      </w:r>
    </w:p>
    <w:p w:rsidR="00441976" w:rsidRPr="00480F35" w:rsidRDefault="00441976" w:rsidP="00441976">
      <w:pPr>
        <w:pStyle w:val="Normaltindrag"/>
      </w:pPr>
      <w:r w:rsidRPr="00480F35">
        <w:t>Försvarsutskottet anser i betänkandet därför att regeringen måste åte</w:t>
      </w:r>
      <w:r w:rsidRPr="00480F35">
        <w:t>r</w:t>
      </w:r>
      <w:r w:rsidRPr="00480F35">
        <w:t>komma med ytterligare underlag i form av en proposition innan riksdagen slutligt kan ta stäl</w:t>
      </w:r>
      <w:r w:rsidRPr="00480F35">
        <w:t>l</w:t>
      </w:r>
      <w:r w:rsidRPr="00480F35">
        <w:t>ning i ärendet.</w:t>
      </w:r>
    </w:p>
    <w:p w:rsidR="00B17327" w:rsidRPr="00480F35" w:rsidRDefault="00B17327" w:rsidP="00B17327">
      <w:pPr>
        <w:pStyle w:val="Rubrik2"/>
      </w:pPr>
      <w:bookmarkStart w:id="12" w:name="_Toc134600508"/>
      <w:r w:rsidRPr="00480F35">
        <w:t>Propositionens huvudsakliga innehåll</w:t>
      </w:r>
      <w:bookmarkEnd w:id="12"/>
    </w:p>
    <w:p w:rsidR="00010050" w:rsidRPr="00480F35" w:rsidRDefault="00010050" w:rsidP="00010050">
      <w:pPr>
        <w:pStyle w:val="R4"/>
      </w:pPr>
      <w:r w:rsidRPr="00480F35">
        <w:t>Förslag till riksdagsbeslut</w:t>
      </w:r>
    </w:p>
    <w:p w:rsidR="00010050" w:rsidRPr="00480F35" w:rsidRDefault="00010050" w:rsidP="00010050">
      <w:r w:rsidRPr="00480F35">
        <w:t>I propositionen föreslås att regeringen bemyndigas att under 2006 fatta beslut om renovering och modifiering av artillerisystemet Haubits 77B. I propositi</w:t>
      </w:r>
      <w:r w:rsidRPr="00480F35">
        <w:t>o</w:t>
      </w:r>
      <w:r w:rsidRPr="00480F35">
        <w:t xml:space="preserve">nen redogörs för Försvarsmaktens behov och planerade framtida användning av systemet. </w:t>
      </w:r>
    </w:p>
    <w:p w:rsidR="00D85FE3" w:rsidRPr="00480F35" w:rsidRDefault="00D85FE3" w:rsidP="00D85FE3">
      <w:pPr>
        <w:pStyle w:val="R4"/>
      </w:pPr>
      <w:r w:rsidRPr="00480F35">
        <w:t>Skäl för utveckling och anskaffning av ett nytt artillerisystem</w:t>
      </w:r>
    </w:p>
    <w:p w:rsidR="000E4901" w:rsidRPr="00480F35" w:rsidRDefault="000E4901" w:rsidP="000E4901">
      <w:r w:rsidRPr="00480F35">
        <w:rPr>
          <w:i/>
        </w:rPr>
        <w:t>Det operativa behovet av indirekt eld</w:t>
      </w:r>
      <w:r w:rsidRPr="00480F35">
        <w:t xml:space="preserve"> kan hänföras till operativ förmåga I</w:t>
      </w:r>
      <w:r w:rsidRPr="00480F35">
        <w:rPr>
          <w:rStyle w:val="Fotnotsreferens"/>
        </w:rPr>
        <w:t xml:space="preserve"> </w:t>
      </w:r>
      <w:r w:rsidRPr="00480F35">
        <w:t>(hävda Sveriges territoriella integritet och bidra till att förebygga och hantera kriser i vår omvärld genom att medverka i fredsfrämjande insatser) och oper</w:t>
      </w:r>
      <w:r w:rsidRPr="00480F35">
        <w:t>a</w:t>
      </w:r>
      <w:r w:rsidRPr="00480F35">
        <w:t>tiv förmåga II</w:t>
      </w:r>
      <w:r w:rsidRPr="00480F35">
        <w:rPr>
          <w:rStyle w:val="Fotnotsreferens"/>
        </w:rPr>
        <w:t xml:space="preserve"> </w:t>
      </w:r>
      <w:r w:rsidRPr="00480F35">
        <w:t>(vid ett försämrat omvärldsläge kunna hantera händelseutvec</w:t>
      </w:r>
      <w:r w:rsidRPr="00480F35">
        <w:t>k</w:t>
      </w:r>
      <w:r w:rsidRPr="00480F35">
        <w:t>lingar och hot som kan drabba Sverige samt kunna öka förmågan till intern</w:t>
      </w:r>
      <w:r w:rsidRPr="00480F35">
        <w:t>a</w:t>
      </w:r>
      <w:r w:rsidRPr="00480F35">
        <w:t>tionella insatser) vad avser internationella insatser. Det operativa behovet kan även hänföras till operativ förmåga III (efter allvarlig och varaktig</w:t>
      </w:r>
      <w:r w:rsidR="005D232D" w:rsidRPr="00480F35">
        <w:t>t</w:t>
      </w:r>
      <w:r w:rsidRPr="00480F35">
        <w:t xml:space="preserve"> försämrad omvärldsutveckling och successiva beslut av regering och riksdag kunna utveckla förmåga att möta olika former av mer omfattande militära operati</w:t>
      </w:r>
      <w:r w:rsidRPr="00480F35">
        <w:t>o</w:t>
      </w:r>
      <w:r w:rsidRPr="00480F35">
        <w:t>ner som hotar Sveriges fred och självständighet) vad avser att upprätthålla grundläggande kompetenser för att på lång sikt kunna skapa förmåga att möta mer omfattande militära operationer.</w:t>
      </w:r>
    </w:p>
    <w:p w:rsidR="00D85FE3" w:rsidRPr="00480F35" w:rsidRDefault="00D85FE3" w:rsidP="00D85FE3">
      <w:r w:rsidRPr="00480F35">
        <w:rPr>
          <w:i/>
        </w:rPr>
        <w:t>Haubits 77B-systemet</w:t>
      </w:r>
      <w:r w:rsidRPr="00480F35">
        <w:t xml:space="preserve"> </w:t>
      </w:r>
      <w:r w:rsidRPr="00480F35">
        <w:rPr>
          <w:i/>
        </w:rPr>
        <w:t>är den pjäs som ingår i artilleriet i</w:t>
      </w:r>
      <w:r w:rsidR="005D232D" w:rsidRPr="00480F35">
        <w:rPr>
          <w:i/>
        </w:rPr>
        <w:t xml:space="preserve"> </w:t>
      </w:r>
      <w:r w:rsidRPr="00480F35">
        <w:rPr>
          <w:i/>
        </w:rPr>
        <w:t>dag.</w:t>
      </w:r>
      <w:r w:rsidRPr="00480F35">
        <w:t xml:space="preserve"> I dagsläget finns det ca 50 pjäser som levererades till Försvarsmakten i början av 1990-talet. Den största svagheten med det nuvarande systemet är att det är draget med terrängbil 40 som specificerades och anskaffades under 1970-talet då den operativa kravställningen såg annorlunda ut. Terrängbilarna utgör en svag länk</w:t>
      </w:r>
      <w:r w:rsidR="005D232D" w:rsidRPr="00480F35">
        <w:t>,</w:t>
      </w:r>
      <w:r w:rsidRPr="00480F35">
        <w:t xml:space="preserve"> och Försvarsmakten har bedömt att dessa inte kan användas efter 2008 p</w:t>
      </w:r>
      <w:r w:rsidR="005D232D" w:rsidRPr="00480F35">
        <w:t>å grund av</w:t>
      </w:r>
      <w:r w:rsidRPr="00480F35">
        <w:t xml:space="preserve"> den bristande tillgängligheten och säkerheten. Om pjäserna skall vara dragna av fordon i framtiden måste nuvarande fordon ersättas. </w:t>
      </w:r>
    </w:p>
    <w:p w:rsidR="00D85FE3" w:rsidRPr="00480F35" w:rsidRDefault="00D85FE3" w:rsidP="00D85FE3">
      <w:r w:rsidRPr="00480F35">
        <w:t>Den operativa rörligheten för dagens system är godtagbar, men den taktiska och stridstekniska rörligheten uppvisar brister och är inte acceptabel i dagens och framtidens hotmiljö. Exempelvis har det sedan 1970-talet utvecklats artillerilokaliseringsradar som kan beräkna varifrån en granat avfyras. Till följd av detta krävs en förändrad stridsteknik där de skjutande pjäsenheterna omgrupperar omedelbart efter en eldinsats för att undvika bekämpning. Det finns inte heller något skydd för personalen i förbandet, vare sig under skju</w:t>
      </w:r>
      <w:r w:rsidRPr="00480F35">
        <w:t>t</w:t>
      </w:r>
      <w:r w:rsidRPr="00480F35">
        <w:t>ning eller under förflyttning. Vid skjutning finns personalen i direkt anslu</w:t>
      </w:r>
      <w:r w:rsidRPr="00480F35">
        <w:t>t</w:t>
      </w:r>
      <w:r w:rsidRPr="00480F35">
        <w:t>ning till pjäsen. Detta gör dem sårbara för alla typer av bekämpning</w:t>
      </w:r>
      <w:r w:rsidR="005D232D" w:rsidRPr="00480F35">
        <w:t>.</w:t>
      </w:r>
    </w:p>
    <w:p w:rsidR="00D85FE3" w:rsidRPr="00480F35" w:rsidRDefault="00D85FE3" w:rsidP="00D85FE3">
      <w:r w:rsidRPr="00480F35">
        <w:t xml:space="preserve">Möjligheten att </w:t>
      </w:r>
      <w:r w:rsidRPr="00480F35">
        <w:rPr>
          <w:i/>
        </w:rPr>
        <w:t>anmäla artilleriet till olika internationella styrkeregister</w:t>
      </w:r>
      <w:r w:rsidRPr="00480F35">
        <w:t xml:space="preserve"> är beroende av att artilleriet moderniseras då dagens system har allvarliga brister i ovan beskrivna avseenden. Först efter renovering och modifiering av Ha</w:t>
      </w:r>
      <w:r w:rsidRPr="00480F35">
        <w:t>u</w:t>
      </w:r>
      <w:r w:rsidRPr="00480F35">
        <w:t>bits 77B kan ett artilleribidrag till internationella insatser övervägas.</w:t>
      </w:r>
    </w:p>
    <w:p w:rsidR="00D85FE3" w:rsidRPr="00480F35" w:rsidRDefault="00D85FE3" w:rsidP="00D85FE3">
      <w:pPr>
        <w:pStyle w:val="Normaltindrag"/>
      </w:pPr>
      <w:r w:rsidRPr="00480F35">
        <w:t>Försvarsmakten har framfört att om renovering och modifiering av Haubits 77B inte genomförs, och inga andra åtgärder heller genomförs, kommer mö</w:t>
      </w:r>
      <w:r w:rsidRPr="00480F35">
        <w:t>j</w:t>
      </w:r>
      <w:r w:rsidRPr="00480F35">
        <w:t>ligheten att vidmakthålla artillerifunktionen i framtiden att påverkas. Vidare menar myndigheten att om endast anskaffning av nya dragfordon genomförs kvarstår problematiken med ljudtrycket, vilket kraftigt inskränker möjligheten att öva. Detta kommer att begränsa artilleriets förmåga avsevärt. Regeringen delar Försvarsmaktens bedömning.</w:t>
      </w:r>
    </w:p>
    <w:p w:rsidR="00D85FE3" w:rsidRPr="00480F35" w:rsidRDefault="00D85FE3" w:rsidP="00D85FE3">
      <w:pPr>
        <w:pStyle w:val="R4"/>
      </w:pPr>
      <w:r w:rsidRPr="00480F35">
        <w:t>Beskrivning av det n</w:t>
      </w:r>
      <w:r w:rsidR="005D232D" w:rsidRPr="00480F35">
        <w:t>ya artillerisystemet Haubits 77</w:t>
      </w:r>
      <w:r w:rsidRPr="00480F35">
        <w:t>BD</w:t>
      </w:r>
    </w:p>
    <w:p w:rsidR="000B74DA" w:rsidRPr="00480F35" w:rsidRDefault="000B74DA" w:rsidP="000B74DA">
      <w:r w:rsidRPr="00480F35">
        <w:t>Renovering och modifiering av Haubits 77B innebär bl</w:t>
      </w:r>
      <w:r w:rsidR="005D232D" w:rsidRPr="00480F35">
        <w:t>.</w:t>
      </w:r>
      <w:r w:rsidRPr="00480F35">
        <w:t>a</w:t>
      </w:r>
      <w:r w:rsidR="005D232D" w:rsidRPr="00480F35">
        <w:t>.</w:t>
      </w:r>
      <w:r w:rsidRPr="00480F35">
        <w:t xml:space="preserve"> att </w:t>
      </w:r>
      <w:r w:rsidRPr="00480F35">
        <w:rPr>
          <w:i/>
        </w:rPr>
        <w:t>pjäsenh</w:t>
      </w:r>
      <w:r w:rsidRPr="00480F35">
        <w:rPr>
          <w:i/>
        </w:rPr>
        <w:t>e</w:t>
      </w:r>
      <w:r w:rsidRPr="00480F35">
        <w:rPr>
          <w:i/>
        </w:rPr>
        <w:t>ten uppgraderas för att ge bättre skjutprestanda</w:t>
      </w:r>
      <w:r w:rsidRPr="00480F35">
        <w:t>, längre räckvidd och bättre kompabilitet gentemot internationell ammunition. Denna uppgradering inn</w:t>
      </w:r>
      <w:r w:rsidRPr="00480F35">
        <w:t>e</w:t>
      </w:r>
      <w:r w:rsidRPr="00480F35">
        <w:t>bär bl.a. att man tillför möjligheten att skjuta med ammunition för precision</w:t>
      </w:r>
      <w:r w:rsidRPr="00480F35">
        <w:t>s</w:t>
      </w:r>
      <w:r w:rsidRPr="00480F35">
        <w:t>bekämpning, vilket skapar en ny förmåga hos artilleriet.</w:t>
      </w:r>
    </w:p>
    <w:p w:rsidR="000B74DA" w:rsidRPr="00480F35" w:rsidRDefault="000B74DA" w:rsidP="000B74DA">
      <w:r w:rsidRPr="00480F35">
        <w:t>Vidare avses väsentliga delar av dagens Haubits 77B monteras på en civil, tung Volvo terrängvagn (dumper) som anpassats till att vara bärare av en artilleripjäs. Fordonet bevaras i så hög uträckning som möjligt i standardutf</w:t>
      </w:r>
      <w:r w:rsidRPr="00480F35">
        <w:t>ö</w:t>
      </w:r>
      <w:r w:rsidRPr="00480F35">
        <w:t>rande. Ett civilt standardfordon minskar utvecklingskostnaderna och ger lägre livscykelkostnader. Detta ligger i linje med den av regeringen beslutade mat</w:t>
      </w:r>
      <w:r w:rsidRPr="00480F35">
        <w:t>e</w:t>
      </w:r>
      <w:r w:rsidRPr="00480F35">
        <w:t>rielförsörjningsstrategin avseende tillvaratagande av tillgänglig utvecklad civil teknologi.</w:t>
      </w:r>
    </w:p>
    <w:p w:rsidR="000B74DA" w:rsidRPr="00480F35" w:rsidRDefault="000B74DA" w:rsidP="000B74DA">
      <w:pPr>
        <w:pStyle w:val="Normaltindrag"/>
      </w:pPr>
      <w:r w:rsidRPr="00480F35">
        <w:t xml:space="preserve">För att </w:t>
      </w:r>
      <w:r w:rsidRPr="00480F35">
        <w:rPr>
          <w:i/>
        </w:rPr>
        <w:t>åtgärda bristen på skydd för personal</w:t>
      </w:r>
      <w:r w:rsidRPr="00480F35">
        <w:t xml:space="preserve"> monteras en splitterskyddad hytt på dumpern. Detta ger personalen en skyddad arbetsmiljö omfattande balli</w:t>
      </w:r>
      <w:r w:rsidRPr="00480F35">
        <w:t>s</w:t>
      </w:r>
      <w:r w:rsidRPr="00480F35">
        <w:t>tiskt skydd, minskydd, brandskydd samt bullerskydd. Pjäsen förses dessutom med utrustning så att den kan fjärrbetjänas via pjäsens dator.</w:t>
      </w:r>
    </w:p>
    <w:p w:rsidR="000B74DA" w:rsidRPr="00480F35" w:rsidRDefault="000B74DA" w:rsidP="000B74DA">
      <w:r w:rsidRPr="00480F35">
        <w:t xml:space="preserve">Avseende </w:t>
      </w:r>
      <w:r w:rsidRPr="00480F35">
        <w:rPr>
          <w:i/>
        </w:rPr>
        <w:t>rörligheten för artillerisystemet</w:t>
      </w:r>
      <w:r w:rsidRPr="00480F35">
        <w:t xml:space="preserve"> bibehålls den strategiska rörli</w:t>
      </w:r>
      <w:r w:rsidRPr="00480F35">
        <w:t>g</w:t>
      </w:r>
      <w:r w:rsidRPr="00480F35">
        <w:t>het som krävs för att kunna delta i t.ex. internationella operationer. Möjligh</w:t>
      </w:r>
      <w:r w:rsidRPr="00480F35">
        <w:t>e</w:t>
      </w:r>
      <w:r w:rsidRPr="00480F35">
        <w:t>ten att kunna flygtransportera systemet har varit styrande för dess utformning</w:t>
      </w:r>
      <w:r w:rsidR="005D232D" w:rsidRPr="00480F35">
        <w:t>,</w:t>
      </w:r>
      <w:r w:rsidRPr="00480F35">
        <w:t xml:space="preserve"> och det är dimensionerat för att kunna transporteras med ett flygplan i sto</w:t>
      </w:r>
      <w:r w:rsidRPr="00480F35">
        <w:t>r</w:t>
      </w:r>
      <w:r w:rsidRPr="00480F35">
        <w:t>leksklassen A400M. Den operativa rörligheten bibehålls i och med att haubi</w:t>
      </w:r>
      <w:r w:rsidRPr="00480F35">
        <w:t>t</w:t>
      </w:r>
      <w:r w:rsidRPr="00480F35">
        <w:t>sarna monteras på ett dumperchassi. Detta gör att pjäsenheten kan transport</w:t>
      </w:r>
      <w:r w:rsidRPr="00480F35">
        <w:t>e</w:t>
      </w:r>
      <w:r w:rsidRPr="00480F35">
        <w:t>ra sig på egen hand över stora sträcko</w:t>
      </w:r>
      <w:r w:rsidR="005D232D" w:rsidRPr="00480F35">
        <w:t xml:space="preserve">r i en hastighet upp till </w:t>
      </w:r>
      <w:smartTag w:uri="urn:schemas-microsoft-com:office:smarttags" w:element="metricconverter">
        <w:smartTagPr>
          <w:attr w:name="ProductID" w:val="70 km"/>
        </w:smartTagPr>
        <w:r w:rsidR="005D232D" w:rsidRPr="00480F35">
          <w:t>70 km</w:t>
        </w:r>
      </w:smartTag>
      <w:r w:rsidR="005D232D" w:rsidRPr="00480F35">
        <w:t xml:space="preserve"> per </w:t>
      </w:r>
      <w:r w:rsidRPr="00480F35">
        <w:t>tim. Dumpern har även god framkomlighet i svår terräng</w:t>
      </w:r>
      <w:r w:rsidR="005D232D" w:rsidRPr="00480F35">
        <w:t>,</w:t>
      </w:r>
      <w:r w:rsidRPr="00480F35">
        <w:t xml:space="preserve"> och den har snabb o</w:t>
      </w:r>
      <w:r w:rsidRPr="00480F35">
        <w:t>m</w:t>
      </w:r>
      <w:r w:rsidRPr="00480F35">
        <w:t>grupperingstid vilket sammantaget ökar den taktiska och stridstekniska rö</w:t>
      </w:r>
      <w:r w:rsidRPr="00480F35">
        <w:t>r</w:t>
      </w:r>
      <w:r w:rsidRPr="00480F35">
        <w:t>ligheten avs</w:t>
      </w:r>
      <w:r w:rsidRPr="00480F35">
        <w:t>e</w:t>
      </w:r>
      <w:r w:rsidRPr="00480F35">
        <w:t>värt.</w:t>
      </w:r>
    </w:p>
    <w:p w:rsidR="0030170B" w:rsidRPr="00480F35" w:rsidRDefault="0030170B" w:rsidP="0030170B">
      <w:r w:rsidRPr="00480F35">
        <w:rPr>
          <w:i/>
        </w:rPr>
        <w:t>Leveransen av den renoverade och modifierade Haubits 77B</w:t>
      </w:r>
      <w:r w:rsidRPr="00480F35">
        <w:t xml:space="preserve"> beräknas att påbörjas under 2009 och medger att initial förmåga finns 2011. Renovering och modifiering av Haubits 77B utgör ett exempel där ind</w:t>
      </w:r>
      <w:r w:rsidRPr="00480F35">
        <w:t>u</w:t>
      </w:r>
      <w:r w:rsidRPr="00480F35">
        <w:t>strin kan ta ett komplett systemåtagande över hela livscykeln och därmed etablera och u</w:t>
      </w:r>
      <w:r w:rsidRPr="00480F35">
        <w:t>t</w:t>
      </w:r>
      <w:r w:rsidRPr="00480F35">
        <w:t>veckla ett systemhusåtagande i enlighet med bl.a. regeringens materielfö</w:t>
      </w:r>
      <w:r w:rsidRPr="00480F35">
        <w:t>r</w:t>
      </w:r>
      <w:r w:rsidRPr="00480F35">
        <w:t>sörjningsstrategi.</w:t>
      </w:r>
    </w:p>
    <w:p w:rsidR="0030170B" w:rsidRPr="00480F35" w:rsidRDefault="00C91593" w:rsidP="00C91593">
      <w:pPr>
        <w:pStyle w:val="R4"/>
      </w:pPr>
      <w:r w:rsidRPr="00480F35">
        <w:t xml:space="preserve">Alternativa artillerisystem som </w:t>
      </w:r>
      <w:r w:rsidR="005F42BA" w:rsidRPr="00480F35">
        <w:t xml:space="preserve">har </w:t>
      </w:r>
      <w:r w:rsidRPr="00480F35">
        <w:t>övervägts</w:t>
      </w:r>
    </w:p>
    <w:p w:rsidR="00C91593" w:rsidRPr="00480F35" w:rsidRDefault="00C91593" w:rsidP="00C91593">
      <w:r w:rsidRPr="00480F35">
        <w:t xml:space="preserve">Försvarsmakten har </w:t>
      </w:r>
      <w:r w:rsidRPr="00480F35">
        <w:rPr>
          <w:i/>
        </w:rPr>
        <w:t>studerat flera alternativ</w:t>
      </w:r>
      <w:r w:rsidRPr="00480F35">
        <w:t xml:space="preserve"> för att komma till</w:t>
      </w:r>
      <w:r w:rsidR="005D232D" w:rsidRPr="00480F35">
        <w:t xml:space="preserve"> </w:t>
      </w:r>
      <w:r w:rsidRPr="00480F35">
        <w:t>rätta med de ovan redovisade bristerna i dagens system. Ett av dessa alternativ har varit en renovering av Haubits 77B</w:t>
      </w:r>
      <w:r w:rsidR="005D232D" w:rsidRPr="00480F35">
        <w:t>,</w:t>
      </w:r>
      <w:r w:rsidRPr="00480F35">
        <w:t xml:space="preserve"> vilket endast omfattar åtgärder som förlänger systemets livslängd. Inga effekthöjande åtgärder vidtas varför systemet inte klarar av att utnyttjas för en evolutionär utveckling av funktionen, arbetsmi</w:t>
      </w:r>
      <w:r w:rsidRPr="00480F35">
        <w:t>l</w:t>
      </w:r>
      <w:r w:rsidRPr="00480F35">
        <w:t>jökraven för ljudtryck, bekämpning av rörliga mål eller att utnyttja hela räc</w:t>
      </w:r>
      <w:r w:rsidRPr="00480F35">
        <w:t>k</w:t>
      </w:r>
      <w:r w:rsidRPr="00480F35">
        <w:t>viddspotentialen hos modern artilleriammunition. Pjäsen erbjuder inte heller något splitterskydd för personalen. Regeringen anser därför inte att det är aktuellt att enbart genomföra en renovering av Haubits 77B.</w:t>
      </w:r>
    </w:p>
    <w:p w:rsidR="00C91593" w:rsidRPr="00480F35" w:rsidRDefault="00C91593" w:rsidP="00C91593">
      <w:r w:rsidRPr="00480F35">
        <w:t xml:space="preserve">Möjligheterna att </w:t>
      </w:r>
      <w:r w:rsidRPr="00480F35">
        <w:rPr>
          <w:i/>
        </w:rPr>
        <w:t>direktanskaffa pjässystem från den internationella markn</w:t>
      </w:r>
      <w:r w:rsidRPr="00480F35">
        <w:rPr>
          <w:i/>
        </w:rPr>
        <w:t>a</w:t>
      </w:r>
      <w:r w:rsidRPr="00480F35">
        <w:rPr>
          <w:i/>
        </w:rPr>
        <w:t>den</w:t>
      </w:r>
      <w:r w:rsidRPr="00480F35">
        <w:t xml:space="preserve"> har studerats med ett antal krav som urvalsfaktorer. Kravet på att pers</w:t>
      </w:r>
      <w:r w:rsidRPr="00480F35">
        <w:t>o</w:t>
      </w:r>
      <w:r w:rsidRPr="00480F35">
        <w:t>nalen skall vara skyddad från ljudtrycket har varit absolut. Utöver detta har systemets vikt och hur pass personalkrävande det är varit viktiga urvalskrit</w:t>
      </w:r>
      <w:r w:rsidRPr="00480F35">
        <w:t>e</w:t>
      </w:r>
      <w:r w:rsidRPr="00480F35">
        <w:t>rier. Av operativa och ekonomiska skäl har det även ställts krav på att syst</w:t>
      </w:r>
      <w:r w:rsidRPr="00480F35">
        <w:t>e</w:t>
      </w:r>
      <w:r w:rsidRPr="00480F35">
        <w:t>met skall vara kompatibelt med dagens ammunition, eftersom det finns mycket kvar av denna.</w:t>
      </w:r>
    </w:p>
    <w:p w:rsidR="00C91593" w:rsidRPr="00480F35" w:rsidRDefault="00C91593" w:rsidP="00C91593">
      <w:pPr>
        <w:pStyle w:val="Normaltindrag"/>
      </w:pPr>
      <w:r w:rsidRPr="00480F35">
        <w:t>Två artillerisystem har g</w:t>
      </w:r>
      <w:r w:rsidR="005D232D" w:rsidRPr="00480F35">
        <w:t>enomgått noggrannare granskning:</w:t>
      </w:r>
      <w:r w:rsidRPr="00480F35">
        <w:t xml:space="preserve"> </w:t>
      </w:r>
      <w:r w:rsidRPr="00480F35">
        <w:rPr>
          <w:i/>
        </w:rPr>
        <w:t>PzH 2000 (PanzerHaubitze 2000)</w:t>
      </w:r>
      <w:r w:rsidRPr="00480F35">
        <w:t xml:space="preserve"> från Tyskland och </w:t>
      </w:r>
      <w:r w:rsidRPr="00480F35">
        <w:rPr>
          <w:i/>
        </w:rPr>
        <w:t>AS90 Braveheart</w:t>
      </w:r>
      <w:r w:rsidRPr="00480F35">
        <w:t xml:space="preserve"> från Storbritann</w:t>
      </w:r>
      <w:r w:rsidRPr="00480F35">
        <w:t>i</w:t>
      </w:r>
      <w:r w:rsidRPr="00480F35">
        <w:t>en. Det finns viss möjlighet att beställa PzH 2000 ny eller begagnad med tidsmässiga leveranser motsvarande Försvarsmaktens behov. Storbritannien har dock</w:t>
      </w:r>
      <w:r w:rsidR="005D232D" w:rsidRPr="00480F35">
        <w:t xml:space="preserve"> inte fullföljt AS90 Braveheart-</w:t>
      </w:r>
      <w:r w:rsidRPr="00480F35">
        <w:t>projektet till en serieproduktion. Den största nackdelen för båda systemen ur ett operativt perspektiv är att de är för tunga för att kunna flygtransporteras. Båda system</w:t>
      </w:r>
      <w:r w:rsidR="005D232D" w:rsidRPr="00480F35">
        <w:t>en</w:t>
      </w:r>
      <w:r w:rsidRPr="00480F35">
        <w:t xml:space="preserve"> erbjuder däremot en ljud- och splitterskyddad miljö för personalen.</w:t>
      </w:r>
    </w:p>
    <w:p w:rsidR="00C91593" w:rsidRPr="00480F35" w:rsidRDefault="00C91593" w:rsidP="00C91593">
      <w:pPr>
        <w:pStyle w:val="Normaltindrag"/>
      </w:pPr>
      <w:r w:rsidRPr="00480F35">
        <w:t>Ekonomiska jämförelser mellan alternativen direktanskaffning av PzH 2000 och utveckling och anskaffning av den renoverade och modifierade Haubits 77B resulterade i att det, trots egna utvecklingskostnader, är billigare att välja det sistnämnda alternativet. Driftskostnaderna för PzH 2000 värder</w:t>
      </w:r>
      <w:r w:rsidRPr="00480F35">
        <w:t>a</w:t>
      </w:r>
      <w:r w:rsidRPr="00480F35">
        <w:t xml:space="preserve">des samtidigt till minst 5 gånger så höga. </w:t>
      </w:r>
    </w:p>
    <w:p w:rsidR="00C91593" w:rsidRPr="00480F35" w:rsidRDefault="00C91593" w:rsidP="00C91593">
      <w:pPr>
        <w:pStyle w:val="Normaltindrag"/>
      </w:pPr>
      <w:r w:rsidRPr="00480F35">
        <w:t>Sammantaget delar regeringen Försvarsmaktens mening att egenutveckling och anskaffning av en renovering och modifiering av Haubits 77B är det mest kostnadseffektiva alternativet att behålla en förmåga inom artillerifunkti</w:t>
      </w:r>
      <w:r w:rsidRPr="00480F35">
        <w:t>o</w:t>
      </w:r>
      <w:r w:rsidRPr="00480F35">
        <w:t>nen som kan nyttjas både nationellt och internationellt i framtiden.</w:t>
      </w:r>
    </w:p>
    <w:p w:rsidR="00C91593" w:rsidRPr="00480F35" w:rsidRDefault="00DC1C0A" w:rsidP="00DC1C0A">
      <w:pPr>
        <w:pStyle w:val="R4"/>
      </w:pPr>
      <w:r w:rsidRPr="00480F35">
        <w:t>Kostnader för projektet m.m.</w:t>
      </w:r>
    </w:p>
    <w:p w:rsidR="00550FAF" w:rsidRPr="00480F35" w:rsidRDefault="00550FAF" w:rsidP="00550FAF">
      <w:r w:rsidRPr="00480F35">
        <w:t>Regeringen menar att kostnaderna för renovering och modifiering av Haubits 77B av sekretesskäl inte kan redovisas i denna proposition. Dessa uppgifter omfattas av sekretess i enlighet med 6 kap. 2 § sekretesslagen samt i viss utsträckning 2 kap. 1 § sekretesslagen. Regeringen förordar att Regering</w:t>
      </w:r>
      <w:r w:rsidRPr="00480F35">
        <w:t>s</w:t>
      </w:r>
      <w:r w:rsidRPr="00480F35">
        <w:t>kansliet (Försvarsdepartementet) muntligen lämnar kompletterande inform</w:t>
      </w:r>
      <w:r w:rsidRPr="00480F35">
        <w:t>a</w:t>
      </w:r>
      <w:r w:rsidRPr="00480F35">
        <w:t>tion om kostnaderna för utskottet innan riksdagen fattar sitt beslut.</w:t>
      </w:r>
    </w:p>
    <w:p w:rsidR="005F42BA" w:rsidRPr="00480F35" w:rsidRDefault="005F42BA" w:rsidP="005F42BA">
      <w:r w:rsidRPr="00480F35">
        <w:t>Utgående från de operativa kraven på indirekt eld har Försvarsmakten bedömt att behovet av pjäsenheter uppgår till ca 24 st</w:t>
      </w:r>
      <w:r w:rsidR="005D232D" w:rsidRPr="00480F35">
        <w:t>ycken</w:t>
      </w:r>
      <w:r w:rsidRPr="00480F35">
        <w:t>, vilket kostnaderna för pr</w:t>
      </w:r>
      <w:r w:rsidRPr="00480F35">
        <w:t>o</w:t>
      </w:r>
      <w:r w:rsidRPr="00480F35">
        <w:t>jektet baseras på.</w:t>
      </w:r>
    </w:p>
    <w:p w:rsidR="005F42BA" w:rsidRPr="00480F35" w:rsidRDefault="005F42BA" w:rsidP="005F42BA">
      <w:r w:rsidRPr="00480F35">
        <w:t xml:space="preserve">De kostnadsberäkningar som projektet baseras på utgår ifrån att Sverige har en samarbetspartner som delar kostnaderna för utvecklingen. Regeringen söker aktivt för att finna samarbetspartner att dela utvecklingskostnader </w:t>
      </w:r>
      <w:r w:rsidR="003A2E6E" w:rsidRPr="00480F35">
        <w:t xml:space="preserve">med </w:t>
      </w:r>
      <w:r w:rsidRPr="00480F35">
        <w:t>och minska serieanskaffningskostnader, i syfte att kunna realisera den efte</w:t>
      </w:r>
      <w:r w:rsidRPr="00480F35">
        <w:t>r</w:t>
      </w:r>
      <w:r w:rsidRPr="00480F35">
        <w:t>strävade operativa effekten basera</w:t>
      </w:r>
      <w:r w:rsidR="003A2E6E" w:rsidRPr="00480F35">
        <w:t>d</w:t>
      </w:r>
      <w:r w:rsidRPr="00480F35">
        <w:t xml:space="preserve"> på tillgängliga resurser. Om någon sa</w:t>
      </w:r>
      <w:r w:rsidRPr="00480F35">
        <w:t>m</w:t>
      </w:r>
      <w:r w:rsidRPr="00480F35">
        <w:t>arbet</w:t>
      </w:r>
      <w:r w:rsidRPr="00480F35">
        <w:t>s</w:t>
      </w:r>
      <w:r w:rsidRPr="00480F35">
        <w:t>partner inte ansluter kan regeringen komma att ompröva genomförandet av projektet. Om projektets totalkostnad ökar p</w:t>
      </w:r>
      <w:r w:rsidR="003A2E6E" w:rsidRPr="00480F35">
        <w:t>å grund av</w:t>
      </w:r>
      <w:r w:rsidRPr="00480F35">
        <w:t xml:space="preserve"> att ingen sama</w:t>
      </w:r>
      <w:r w:rsidRPr="00480F35">
        <w:t>r</w:t>
      </w:r>
      <w:r w:rsidRPr="00480F35">
        <w:t>betspartner ansluter, och regeringen fortfarande vill genomföra projektet, kommer regeringen att återkomma till riksdagen. Framför</w:t>
      </w:r>
      <w:r w:rsidR="003A2E6E" w:rsidRPr="00480F35">
        <w:t xml:space="preserve"> </w:t>
      </w:r>
      <w:r w:rsidRPr="00480F35">
        <w:t>allt fokuserar rege</w:t>
      </w:r>
      <w:r w:rsidRPr="00480F35">
        <w:t>r</w:t>
      </w:r>
      <w:r w:rsidRPr="00480F35">
        <w:t>ingen på de nordiska länderna i enlighet med materielförsörjningsstrategin.</w:t>
      </w:r>
    </w:p>
    <w:p w:rsidR="00550FAF" w:rsidRPr="00480F35" w:rsidRDefault="00010050" w:rsidP="006F7F7D">
      <w:pPr>
        <w:pStyle w:val="Rubrik2"/>
      </w:pPr>
      <w:bookmarkStart w:id="13" w:name="_Toc134600509"/>
      <w:r w:rsidRPr="00480F35">
        <w:t>Motionens huvudsakliga innehåll</w:t>
      </w:r>
      <w:bookmarkEnd w:id="13"/>
    </w:p>
    <w:p w:rsidR="00CD2E34" w:rsidRPr="00480F35" w:rsidRDefault="00CD2E34" w:rsidP="008A528E">
      <w:r w:rsidRPr="00480F35">
        <w:t xml:space="preserve">I </w:t>
      </w:r>
      <w:r w:rsidRPr="00480F35">
        <w:rPr>
          <w:i/>
        </w:rPr>
        <w:t>motion 2005/06:Fö5 av Allan Widman m.fl</w:t>
      </w:r>
      <w:r w:rsidRPr="00480F35">
        <w:t>. (</w:t>
      </w:r>
      <w:r w:rsidRPr="00480F35">
        <w:rPr>
          <w:i/>
        </w:rPr>
        <w:t>fp kommitté</w:t>
      </w:r>
      <w:r w:rsidRPr="00480F35">
        <w:t>) framhålls a</w:t>
      </w:r>
      <w:r w:rsidR="009975FB" w:rsidRPr="00480F35">
        <w:t>t</w:t>
      </w:r>
      <w:r w:rsidRPr="00480F35">
        <w:t>t det i propositionen bekräftas att antalet pjäser blir mer begränsat än vad som tid</w:t>
      </w:r>
      <w:r w:rsidRPr="00480F35">
        <w:t>i</w:t>
      </w:r>
      <w:r w:rsidRPr="00480F35">
        <w:t>gare antagits. Följden blir att anskaffningskostnaden per fordon får betraktas som synnerligen hög. De eldrör som skall monteras på fordonen är anskaffade sedan tidigare. När det gäller behovet av antal pjäser för insatsorganisationen har enligt motionärerna någon förändring inte skett. Insatsorganisationen är lika stor nu som då utskottet gjorde sitt första ställningstagande. Det som diskuteras nu är snarare vilken beredskapsgrad som de olika förbanden i insatsorganisationen skall ha.</w:t>
      </w:r>
    </w:p>
    <w:p w:rsidR="008A528E" w:rsidRPr="00480F35" w:rsidRDefault="008A528E" w:rsidP="008A528E">
      <w:pPr>
        <w:pStyle w:val="Normaltindrag"/>
      </w:pPr>
      <w:r w:rsidRPr="00480F35">
        <w:t>Enligt motionärerna må det vara att anskaffningen skapar goda möjligheter till de</w:t>
      </w:r>
      <w:r w:rsidR="009975FB" w:rsidRPr="00480F35">
        <w:t xml:space="preserve">ltagande med artilleriförband </w:t>
      </w:r>
      <w:r w:rsidRPr="00480F35">
        <w:t>i internationella insatser. Mot detta invä</w:t>
      </w:r>
      <w:r w:rsidRPr="00480F35">
        <w:t>n</w:t>
      </w:r>
      <w:r w:rsidRPr="00480F35">
        <w:t>d</w:t>
      </w:r>
      <w:r w:rsidR="009975FB" w:rsidRPr="00480F35">
        <w:t>er motionärerna</w:t>
      </w:r>
      <w:r w:rsidRPr="00480F35">
        <w:t xml:space="preserve"> att Sverige in</w:t>
      </w:r>
      <w:r w:rsidR="009975FB" w:rsidRPr="00480F35">
        <w:t>te anmält sådana förband till s.k. styrkeregi</w:t>
      </w:r>
      <w:r w:rsidR="009975FB" w:rsidRPr="00480F35">
        <w:t>s</w:t>
      </w:r>
      <w:r w:rsidR="003A2E6E" w:rsidRPr="00480F35">
        <w:t>ter</w:t>
      </w:r>
      <w:r w:rsidRPr="00480F35">
        <w:t xml:space="preserve"> eller tycks ha för avsikt att göra detta. Efterfrågan på sådana förband inom ramen för internationella operationer torde allmänt sett vara svag. Bortsett från granatkastare torde det indirekta understödet i dessa sammanhang oftast vara luftburet. Därmed torde möjligheten att lufttransportera dumprarna vara av sekundär betydelse. Motionärerna anser inte propositionen belyser vilka åtgärder som kan behövas för att svenska artilleriförband skall kunna integr</w:t>
      </w:r>
      <w:r w:rsidRPr="00480F35">
        <w:t>e</w:t>
      </w:r>
      <w:r w:rsidRPr="00480F35">
        <w:t xml:space="preserve">ras med andra länders system för indirekt eld. Eller vilka för- respektive nackdelar som det innebär för Sverige att utveckla egna lösningar </w:t>
      </w:r>
      <w:r w:rsidR="003A2E6E" w:rsidRPr="00480F35">
        <w:t>från</w:t>
      </w:r>
      <w:r w:rsidRPr="00480F35">
        <w:t xml:space="preserve"> repar</w:t>
      </w:r>
      <w:r w:rsidRPr="00480F35">
        <w:t>a</w:t>
      </w:r>
      <w:r w:rsidRPr="00480F35">
        <w:t>tions- och underhållssynpunkt.</w:t>
      </w:r>
    </w:p>
    <w:p w:rsidR="00000F27" w:rsidRPr="00480F35" w:rsidRDefault="00000F27" w:rsidP="00000F27">
      <w:pPr>
        <w:pStyle w:val="Normaltindrag"/>
      </w:pPr>
      <w:r w:rsidRPr="00480F35">
        <w:t xml:space="preserve">Mot bakgrund av den osäkerhet som råder </w:t>
      </w:r>
      <w:r w:rsidR="009975FB" w:rsidRPr="00480F35">
        <w:t xml:space="preserve">på </w:t>
      </w:r>
      <w:r w:rsidRPr="00480F35">
        <w:t>vilka villkor och i vilken u</w:t>
      </w:r>
      <w:r w:rsidRPr="00480F35">
        <w:t>t</w:t>
      </w:r>
      <w:r w:rsidRPr="00480F35">
        <w:t>sträckning som andra länder skall delta för att gå vidare med anskaffningen, talar enligt motionärerna starka skäl för att ett beslut om anskaffning bör beredas ytterligare. Propositionen bör därför avslås av riksdagen. Utgång</w:t>
      </w:r>
      <w:r w:rsidRPr="00480F35">
        <w:t>s</w:t>
      </w:r>
      <w:r w:rsidRPr="00480F35">
        <w:t>punkten för ett nytt förslag till anskaffning av ett modernt artillerisystem bör vara direktanskaffning och interoperabilitet med andra länders artillerifö</w:t>
      </w:r>
      <w:r w:rsidRPr="00480F35">
        <w:t>r</w:t>
      </w:r>
      <w:r w:rsidRPr="00480F35">
        <w:t xml:space="preserve">band. </w:t>
      </w:r>
    </w:p>
    <w:p w:rsidR="00000F27" w:rsidRPr="00480F35" w:rsidRDefault="00000F27" w:rsidP="00000F27">
      <w:pPr>
        <w:pStyle w:val="Normaltindrag"/>
      </w:pPr>
      <w:r w:rsidRPr="00480F35">
        <w:t>En sådan utgångspunkt har stöd i den strategi för materielanskaffning som bl.a. kommit till uttryck i 2004 års försvarsbeslut. Att som litet land försöka leda utvecklingen på en lång rad av materielområden blir kostsamt och i längden oförenligt med ambitionen att åstadkomma nödvändig, operativ effekt inom snäva, ekonomiska ramar.</w:t>
      </w:r>
    </w:p>
    <w:p w:rsidR="006A5E66" w:rsidRPr="00480F35" w:rsidRDefault="009E5D4A" w:rsidP="00426BC9">
      <w:pPr>
        <w:pStyle w:val="Rubrik1"/>
        <w:rPr>
          <w:noProof w:val="0"/>
        </w:rPr>
      </w:pPr>
      <w:r w:rsidRPr="00480F35">
        <w:rPr>
          <w:noProof w:val="0"/>
        </w:rPr>
        <w:br w:type="page"/>
      </w:r>
      <w:bookmarkStart w:id="14" w:name="_Toc134600510"/>
      <w:r w:rsidRPr="00480F35">
        <w:rPr>
          <w:noProof w:val="0"/>
        </w:rPr>
        <w:t>Utskottets överväganden</w:t>
      </w:r>
      <w:bookmarkEnd w:id="14"/>
    </w:p>
    <w:p w:rsidR="00B25FAA" w:rsidRPr="00480F35" w:rsidRDefault="00B25FAA" w:rsidP="00B25FAA">
      <w:pPr>
        <w:pStyle w:val="Utskottsfrslagikorthet-Text"/>
        <w:rPr>
          <w:b/>
        </w:rPr>
      </w:pPr>
      <w:r w:rsidRPr="00480F35">
        <w:rPr>
          <w:b/>
        </w:rPr>
        <w:t>Utskottets förslag i korthet</w:t>
      </w:r>
    </w:p>
    <w:p w:rsidR="00B25FAA" w:rsidRPr="00480F35" w:rsidRDefault="00B25FAA" w:rsidP="00B25FAA">
      <w:pPr>
        <w:pStyle w:val="Utskottsfrslagikorthet-Text"/>
      </w:pPr>
      <w:r w:rsidRPr="00480F35">
        <w:t>En renovering och modifiering av Haubits 77B synes sammantaget sett för närvarande vara det mest lämpliga alternativet att modern</w:t>
      </w:r>
      <w:r w:rsidRPr="00480F35">
        <w:t>i</w:t>
      </w:r>
      <w:r w:rsidRPr="00480F35">
        <w:t>sera markstridskrafternas artilleri. Projektet bör dock omprövas om inte ett utländskt utvecklingssamarbete kommer till stånd.</w:t>
      </w:r>
    </w:p>
    <w:p w:rsidR="006A5E66" w:rsidRPr="00480F35" w:rsidRDefault="006A5E66" w:rsidP="006A5E66">
      <w:r w:rsidRPr="00480F35">
        <w:t xml:space="preserve">Haubits 77B-systemet som ingår i dagens </w:t>
      </w:r>
      <w:r w:rsidR="006D61B1" w:rsidRPr="00480F35">
        <w:t>artilleri</w:t>
      </w:r>
      <w:r w:rsidRPr="00480F35">
        <w:t xml:space="preserve"> levererades till Försvar</w:t>
      </w:r>
      <w:r w:rsidRPr="00480F35">
        <w:t>s</w:t>
      </w:r>
      <w:r w:rsidRPr="00480F35">
        <w:t>makten i början av 1990-talet</w:t>
      </w:r>
      <w:r w:rsidR="00AF6348" w:rsidRPr="00480F35">
        <w:t xml:space="preserve"> och omfatta</w:t>
      </w:r>
      <w:r w:rsidR="006D61B1" w:rsidRPr="00480F35">
        <w:t>r</w:t>
      </w:r>
      <w:r w:rsidR="00AF6348" w:rsidRPr="00480F35">
        <w:t xml:space="preserve"> bl.a. ca 50 pjäser</w:t>
      </w:r>
      <w:r w:rsidRPr="00480F35">
        <w:t xml:space="preserve">. </w:t>
      </w:r>
    </w:p>
    <w:p w:rsidR="006A5E66" w:rsidRPr="00480F35" w:rsidRDefault="006A5E66" w:rsidP="006A5E66">
      <w:pPr>
        <w:pStyle w:val="Normaltindrag"/>
      </w:pPr>
      <w:r w:rsidRPr="00480F35">
        <w:t>Den operativa rörligheten för dagens system är enligt regeringens mening godtagbar, men den taktiska och stridstekniska rörligheten uppvisar brister och är inte acceptabel i framtidens hotmiljö. Till följd av detta krävs en fö</w:t>
      </w:r>
      <w:r w:rsidRPr="00480F35">
        <w:t>r</w:t>
      </w:r>
      <w:r w:rsidRPr="00480F35">
        <w:t>ändrad stridsteknik där de skjutande pjäsenheterna omgrupperar omedelbart efter en eldinsats för att undvika bekämpning. Det finns inte heller något skydd för personalen i förbandet, vare sig under skjutning eller under förflyt</w:t>
      </w:r>
      <w:r w:rsidRPr="00480F35">
        <w:t>t</w:t>
      </w:r>
      <w:r w:rsidRPr="00480F35">
        <w:t>ning. Vid skjutning finns personalen i direkt anslutning till pjäsen. Detta gör dem sårbara för alla typer av bekäm</w:t>
      </w:r>
      <w:r w:rsidRPr="00480F35">
        <w:t>p</w:t>
      </w:r>
      <w:r w:rsidRPr="00480F35">
        <w:t>ning.</w:t>
      </w:r>
    </w:p>
    <w:p w:rsidR="006A5E66" w:rsidRPr="00480F35" w:rsidRDefault="006A5E66" w:rsidP="006A5E66">
      <w:pPr>
        <w:pStyle w:val="Normaltindrag"/>
      </w:pPr>
      <w:r w:rsidRPr="00480F35">
        <w:rPr>
          <w:i/>
        </w:rPr>
        <w:t>Utskottet</w:t>
      </w:r>
      <w:r w:rsidRPr="00480F35">
        <w:t xml:space="preserve"> delar regeringens utgångspunkt att en modernisering av mar</w:t>
      </w:r>
      <w:r w:rsidRPr="00480F35">
        <w:t>k</w:t>
      </w:r>
      <w:r w:rsidRPr="00480F35">
        <w:t>stridskrafternas artilleri behöver ske för att vidmakthålla deras förmåga till indirekt eld på långa avstånd.</w:t>
      </w:r>
      <w:r w:rsidR="006D041A" w:rsidRPr="00480F35">
        <w:t xml:space="preserve"> Arbetet med att </w:t>
      </w:r>
      <w:r w:rsidR="00AF6348" w:rsidRPr="00480F35">
        <w:t xml:space="preserve">modernisera </w:t>
      </w:r>
      <w:r w:rsidR="006D041A" w:rsidRPr="00480F35">
        <w:t xml:space="preserve">artilleriet </w:t>
      </w:r>
      <w:r w:rsidR="00AF6348" w:rsidRPr="00480F35">
        <w:t>b</w:t>
      </w:r>
      <w:r w:rsidR="006D041A" w:rsidRPr="00480F35">
        <w:t>ör således for</w:t>
      </w:r>
      <w:r w:rsidR="006D041A" w:rsidRPr="00480F35">
        <w:t>t</w:t>
      </w:r>
      <w:r w:rsidR="006D041A" w:rsidRPr="00480F35">
        <w:t xml:space="preserve">sätta. </w:t>
      </w:r>
    </w:p>
    <w:p w:rsidR="006D61B1" w:rsidRPr="00480F35" w:rsidRDefault="006D61B1" w:rsidP="006D61B1">
      <w:r w:rsidRPr="00480F35">
        <w:t>Försvarsmakten har studerat flera alternativ för att komma till</w:t>
      </w:r>
      <w:r w:rsidR="003A2E6E" w:rsidRPr="00480F35">
        <w:t xml:space="preserve"> </w:t>
      </w:r>
      <w:r w:rsidRPr="00480F35">
        <w:t xml:space="preserve">rätta med de ovan redovisade bristerna i dagens system. </w:t>
      </w:r>
    </w:p>
    <w:p w:rsidR="006D61B1" w:rsidRPr="00480F35" w:rsidRDefault="00237610" w:rsidP="006D61B1">
      <w:pPr>
        <w:pStyle w:val="Normaltindrag"/>
      </w:pPr>
      <w:r w:rsidRPr="00480F35">
        <w:t>Ett av dessa alternativ</w:t>
      </w:r>
      <w:r w:rsidR="006D61B1" w:rsidRPr="00480F35">
        <w:t xml:space="preserve"> har varit en </w:t>
      </w:r>
      <w:r w:rsidR="006D61B1" w:rsidRPr="00480F35">
        <w:rPr>
          <w:i/>
        </w:rPr>
        <w:t>renovering</w:t>
      </w:r>
      <w:r w:rsidR="006D61B1" w:rsidRPr="00480F35">
        <w:t xml:space="preserve"> av Haubits 77B</w:t>
      </w:r>
      <w:r w:rsidRPr="00480F35">
        <w:t>,</w:t>
      </w:r>
      <w:r w:rsidR="006D61B1" w:rsidRPr="00480F35">
        <w:t xml:space="preserve"> vilket e</w:t>
      </w:r>
      <w:r w:rsidR="006D61B1" w:rsidRPr="00480F35">
        <w:t>n</w:t>
      </w:r>
      <w:r w:rsidR="006D61B1" w:rsidRPr="00480F35">
        <w:t xml:space="preserve">dast omfattar åtgärder som förlänger systemets livslängd. En sådan åtgärd skulle inte medföra att de brister som dagens system har kommer att kunna åtgärdas i den omfattning som behövs. Regeringen anser därför inte att det är aktuellt att </w:t>
      </w:r>
      <w:r w:rsidR="006D61B1" w:rsidRPr="00480F35">
        <w:rPr>
          <w:i/>
        </w:rPr>
        <w:t>enbart</w:t>
      </w:r>
      <w:r w:rsidR="006D61B1" w:rsidRPr="00480F35">
        <w:t xml:space="preserve"> genomföra en renovering av Haubits 77B.</w:t>
      </w:r>
    </w:p>
    <w:p w:rsidR="0072747C" w:rsidRPr="00480F35" w:rsidRDefault="0072747C" w:rsidP="00C810F1">
      <w:pPr>
        <w:pStyle w:val="Normaltindrag"/>
      </w:pPr>
      <w:r w:rsidRPr="00480F35">
        <w:t>Möjligheterna att direktanskaffa pjässystem från den internationella mar</w:t>
      </w:r>
      <w:r w:rsidRPr="00480F35">
        <w:t>k</w:t>
      </w:r>
      <w:r w:rsidRPr="00480F35">
        <w:t>naden har studerats. Två artillerisystem har genomgått noggrannare grans</w:t>
      </w:r>
      <w:r w:rsidRPr="00480F35">
        <w:t>k</w:t>
      </w:r>
      <w:r w:rsidR="003A2E6E" w:rsidRPr="00480F35">
        <w:t>ning:</w:t>
      </w:r>
      <w:r w:rsidRPr="00480F35">
        <w:t xml:space="preserve"> PzH 2000 (PanzerHaubitze 2000) från Tyskland och AS90 Braveheart från Storbritannien. </w:t>
      </w:r>
      <w:r w:rsidR="00BA65E2" w:rsidRPr="00480F35">
        <w:t>Regeringskansliet (Försvarsdepartementet) har i en för</w:t>
      </w:r>
      <w:r w:rsidR="00BA65E2" w:rsidRPr="00480F35">
        <w:t>e</w:t>
      </w:r>
      <w:r w:rsidR="00BA65E2" w:rsidRPr="00480F35">
        <w:t>dragning för u</w:t>
      </w:r>
      <w:r w:rsidR="00BA65E2" w:rsidRPr="00480F35">
        <w:t>t</w:t>
      </w:r>
      <w:r w:rsidR="00BA65E2" w:rsidRPr="00480F35">
        <w:t>skottet redovisat även andra alternativ än de ovan angivna till direktanskaf</w:t>
      </w:r>
      <w:r w:rsidR="00BA65E2" w:rsidRPr="00480F35">
        <w:t>f</w:t>
      </w:r>
      <w:r w:rsidR="00BA65E2" w:rsidRPr="00480F35">
        <w:t xml:space="preserve">ning av ett nytt artillerisystem. </w:t>
      </w:r>
      <w:r w:rsidRPr="00480F35">
        <w:t xml:space="preserve">Ekonomiska jämförelser mellan </w:t>
      </w:r>
      <w:r w:rsidR="00BA65E2" w:rsidRPr="00480F35">
        <w:t xml:space="preserve">de olika </w:t>
      </w:r>
      <w:r w:rsidRPr="00480F35">
        <w:t>alternativen resulterade enligt regeringen i att det, trots egna utvec</w:t>
      </w:r>
      <w:r w:rsidRPr="00480F35">
        <w:t>k</w:t>
      </w:r>
      <w:r w:rsidRPr="00480F35">
        <w:t>lingskostnader, är billigare att</w:t>
      </w:r>
      <w:r w:rsidR="00237610" w:rsidRPr="00480F35">
        <w:t xml:space="preserve"> vidareutveckla det nuvarande systemet 77B.</w:t>
      </w:r>
      <w:r w:rsidRPr="00480F35">
        <w:t xml:space="preserve"> </w:t>
      </w:r>
    </w:p>
    <w:p w:rsidR="0072747C" w:rsidRPr="00480F35" w:rsidRDefault="0072747C" w:rsidP="0072747C">
      <w:pPr>
        <w:pStyle w:val="Normaltindrag"/>
      </w:pPr>
      <w:r w:rsidRPr="00480F35">
        <w:t>Mot bakgrund av det underlag i frågan som redovisa</w:t>
      </w:r>
      <w:r w:rsidR="00237610" w:rsidRPr="00480F35">
        <w:t>t</w:t>
      </w:r>
      <w:r w:rsidRPr="00480F35">
        <w:t>s</w:t>
      </w:r>
      <w:r w:rsidR="00237610" w:rsidRPr="00480F35">
        <w:t>,</w:t>
      </w:r>
      <w:r w:rsidRPr="00480F35">
        <w:t xml:space="preserve"> dels i propositi</w:t>
      </w:r>
      <w:r w:rsidRPr="00480F35">
        <w:t>o</w:t>
      </w:r>
      <w:r w:rsidRPr="00480F35">
        <w:t xml:space="preserve">nen, dels i Regeringskansliets föredragning delar utskottet regeringens </w:t>
      </w:r>
      <w:r w:rsidR="00237610" w:rsidRPr="00480F35">
        <w:t>b</w:t>
      </w:r>
      <w:r w:rsidR="00237610" w:rsidRPr="00480F35">
        <w:t>e</w:t>
      </w:r>
      <w:r w:rsidR="00237610" w:rsidRPr="00480F35">
        <w:t xml:space="preserve">dömning </w:t>
      </w:r>
      <w:r w:rsidRPr="00480F35">
        <w:t>att egenutveckling och anskaffning av en renovering och modifi</w:t>
      </w:r>
      <w:r w:rsidRPr="00480F35">
        <w:t>e</w:t>
      </w:r>
      <w:r w:rsidRPr="00480F35">
        <w:t>ring av Haubits 77B</w:t>
      </w:r>
      <w:r w:rsidR="00237610" w:rsidRPr="00480F35">
        <w:t>,</w:t>
      </w:r>
      <w:r w:rsidR="00BA65E2" w:rsidRPr="00480F35">
        <w:t xml:space="preserve"> för närvarande </w:t>
      </w:r>
      <w:r w:rsidR="00512CC5" w:rsidRPr="00480F35">
        <w:t xml:space="preserve">synes </w:t>
      </w:r>
      <w:r w:rsidR="00BA65E2" w:rsidRPr="00480F35">
        <w:t xml:space="preserve">sammantaget sett </w:t>
      </w:r>
      <w:r w:rsidR="00512CC5" w:rsidRPr="00480F35">
        <w:t xml:space="preserve">vara det </w:t>
      </w:r>
      <w:r w:rsidRPr="00480F35">
        <w:t xml:space="preserve">mest </w:t>
      </w:r>
      <w:r w:rsidR="00BA65E2" w:rsidRPr="00480F35">
        <w:t xml:space="preserve">lämpliga </w:t>
      </w:r>
      <w:r w:rsidRPr="00480F35">
        <w:t xml:space="preserve">alternativet att modernisera artilleriet för att </w:t>
      </w:r>
      <w:r w:rsidR="00BA65E2" w:rsidRPr="00480F35">
        <w:t>det</w:t>
      </w:r>
      <w:r w:rsidR="00512CC5" w:rsidRPr="00480F35">
        <w:t xml:space="preserve"> skall </w:t>
      </w:r>
      <w:r w:rsidRPr="00480F35">
        <w:t>svara mot de framtida behoven.</w:t>
      </w:r>
    </w:p>
    <w:p w:rsidR="00A65500" w:rsidRPr="00480F35" w:rsidRDefault="001032BF" w:rsidP="0072747C">
      <w:pPr>
        <w:pStyle w:val="Normaltindrag"/>
      </w:pPr>
      <w:r w:rsidRPr="00480F35">
        <w:t>Utskottet konstaterar att de kostnadsuppskattningar som redovisats för u</w:t>
      </w:r>
      <w:r w:rsidRPr="00480F35">
        <w:t>t</w:t>
      </w:r>
      <w:r w:rsidRPr="00480F35">
        <w:t xml:space="preserve">skottet bygger på att Sverige får en utländsk samarbetspartner som delar utvecklingskostnaderna. Utskottet </w:t>
      </w:r>
      <w:r w:rsidR="00237610" w:rsidRPr="00480F35">
        <w:t xml:space="preserve">anser i likhet med </w:t>
      </w:r>
      <w:r w:rsidRPr="00480F35">
        <w:t xml:space="preserve">regeringen att projektet </w:t>
      </w:r>
      <w:r w:rsidR="00CF480A" w:rsidRPr="00480F35">
        <w:t xml:space="preserve">bör </w:t>
      </w:r>
      <w:r w:rsidRPr="00480F35">
        <w:t xml:space="preserve">omprövas om inte ett utländskt utvecklingssamarbete kommer till stånd. Med hänsyn till det ringa antal pjäser som det nu är fråga om </w:t>
      </w:r>
      <w:r w:rsidR="00CF480A" w:rsidRPr="00480F35">
        <w:t xml:space="preserve">synes </w:t>
      </w:r>
      <w:r w:rsidRPr="00480F35">
        <w:t xml:space="preserve">ett rent svenskt utvecklingsarbete inte ekonomiskt försvarbart. </w:t>
      </w:r>
    </w:p>
    <w:p w:rsidR="001032BF" w:rsidRPr="00480F35" w:rsidRDefault="00A65500" w:rsidP="0072747C">
      <w:pPr>
        <w:pStyle w:val="Normaltindrag"/>
      </w:pPr>
      <w:r w:rsidRPr="00480F35">
        <w:t xml:space="preserve">Ett utlandssamarbete bör även skapa möjlighet till integration </w:t>
      </w:r>
      <w:r w:rsidR="00237610" w:rsidRPr="00480F35">
        <w:t xml:space="preserve">och </w:t>
      </w:r>
      <w:r w:rsidR="00B25FAA" w:rsidRPr="00480F35">
        <w:t xml:space="preserve">ge </w:t>
      </w:r>
      <w:r w:rsidR="00237610" w:rsidRPr="00480F35">
        <w:t>sa</w:t>
      </w:r>
      <w:r w:rsidR="00237610" w:rsidRPr="00480F35">
        <w:t>m</w:t>
      </w:r>
      <w:r w:rsidR="00237610" w:rsidRPr="00480F35">
        <w:t xml:space="preserve">verkansförmåga </w:t>
      </w:r>
      <w:r w:rsidRPr="00480F35">
        <w:t>med andra länders artillerisystem</w:t>
      </w:r>
      <w:r w:rsidR="00237610" w:rsidRPr="00480F35">
        <w:t>,</w:t>
      </w:r>
      <w:r w:rsidRPr="00480F35">
        <w:t xml:space="preserve"> vilke</w:t>
      </w:r>
      <w:r w:rsidR="00237610" w:rsidRPr="00480F35">
        <w:t>t eftersträvas i moti</w:t>
      </w:r>
      <w:r w:rsidR="00237610" w:rsidRPr="00480F35">
        <w:t>o</w:t>
      </w:r>
      <w:r w:rsidR="00237610" w:rsidRPr="00480F35">
        <w:t>nen. Den förmågan</w:t>
      </w:r>
      <w:r w:rsidRPr="00480F35">
        <w:t xml:space="preserve"> torde </w:t>
      </w:r>
      <w:r w:rsidR="00237610" w:rsidRPr="00480F35">
        <w:t xml:space="preserve">även </w:t>
      </w:r>
      <w:r w:rsidRPr="00480F35">
        <w:t>vara en förutsättning för att ett svenskt artill</w:t>
      </w:r>
      <w:r w:rsidRPr="00480F35">
        <w:t>e</w:t>
      </w:r>
      <w:r w:rsidRPr="00480F35">
        <w:t>rifö</w:t>
      </w:r>
      <w:r w:rsidRPr="00480F35">
        <w:t>r</w:t>
      </w:r>
      <w:r w:rsidRPr="00480F35">
        <w:t xml:space="preserve">band skall efterfrågas i en framtida internationell fredsfrämjande insats. Ett internationellt samarbete om utvecklingsprojektet framstår därför som angeläget av flera skäl. </w:t>
      </w:r>
      <w:r w:rsidR="001032BF" w:rsidRPr="00480F35">
        <w:t xml:space="preserve">Regeringen bör återkomma med en </w:t>
      </w:r>
      <w:r w:rsidR="00B25FAA" w:rsidRPr="00480F35">
        <w:t xml:space="preserve">närmare </w:t>
      </w:r>
      <w:r w:rsidR="001032BF" w:rsidRPr="00480F35">
        <w:t>redovi</w:t>
      </w:r>
      <w:r w:rsidR="001032BF" w:rsidRPr="00480F35">
        <w:t>s</w:t>
      </w:r>
      <w:r w:rsidR="001032BF" w:rsidRPr="00480F35">
        <w:t xml:space="preserve">ning </w:t>
      </w:r>
      <w:r w:rsidR="00B25FAA" w:rsidRPr="00480F35">
        <w:t xml:space="preserve">till </w:t>
      </w:r>
      <w:r w:rsidR="001032BF" w:rsidRPr="00480F35">
        <w:t>riksd</w:t>
      </w:r>
      <w:r w:rsidR="001032BF" w:rsidRPr="00480F35">
        <w:t>a</w:t>
      </w:r>
      <w:r w:rsidR="001032BF" w:rsidRPr="00480F35">
        <w:t>gen av projektet.</w:t>
      </w:r>
    </w:p>
    <w:p w:rsidR="009C6C5E" w:rsidRPr="00480F35" w:rsidRDefault="001032BF" w:rsidP="009C6C5E">
      <w:r w:rsidRPr="00480F35">
        <w:t xml:space="preserve">Utskottet övergår därmed till att </w:t>
      </w:r>
      <w:r w:rsidR="00A65500" w:rsidRPr="00480F35">
        <w:t xml:space="preserve">kommentera </w:t>
      </w:r>
      <w:r w:rsidR="009C6C5E" w:rsidRPr="00480F35">
        <w:t>sekretessen kring projektets totalkostnad. Regeringen menar att kostnaderna för renovering och modifi</w:t>
      </w:r>
      <w:r w:rsidR="009C6C5E" w:rsidRPr="00480F35">
        <w:t>e</w:t>
      </w:r>
      <w:r w:rsidR="009C6C5E" w:rsidRPr="00480F35">
        <w:t>ring av Haubits 77B av sekretesskäl inte kan redovisas i proposition</w:t>
      </w:r>
      <w:r w:rsidR="00B25FAA" w:rsidRPr="00480F35">
        <w:t>en</w:t>
      </w:r>
      <w:r w:rsidR="009C6C5E" w:rsidRPr="00480F35">
        <w:t>. Dessa uppgifter omfattas</w:t>
      </w:r>
      <w:r w:rsidR="00237610" w:rsidRPr="00480F35">
        <w:t xml:space="preserve">, enligt </w:t>
      </w:r>
      <w:r w:rsidR="00B25FAA" w:rsidRPr="00480F35">
        <w:t>regeringen, av</w:t>
      </w:r>
      <w:r w:rsidR="009C6C5E" w:rsidRPr="00480F35">
        <w:t xml:space="preserve"> sekretess i enlighet med 6 kap. 2 § sekretesslagen samt i viss utsträckning 2 kap. 1 § sekretesslagen. Regering</w:t>
      </w:r>
      <w:r w:rsidR="009C6C5E" w:rsidRPr="00480F35">
        <w:t>s</w:t>
      </w:r>
      <w:r w:rsidR="009C6C5E" w:rsidRPr="00480F35">
        <w:t>kansliet (Försvarsdepartementet) har muntligen lämnat kompletterande i</w:t>
      </w:r>
      <w:r w:rsidR="009C6C5E" w:rsidRPr="00480F35">
        <w:t>n</w:t>
      </w:r>
      <w:r w:rsidR="009C6C5E" w:rsidRPr="00480F35">
        <w:t xml:space="preserve">formation </w:t>
      </w:r>
      <w:r w:rsidR="00C215CA" w:rsidRPr="00480F35">
        <w:t xml:space="preserve">till utskottet </w:t>
      </w:r>
      <w:r w:rsidR="009C6C5E" w:rsidRPr="00480F35">
        <w:t xml:space="preserve">om kostnaderna och </w:t>
      </w:r>
      <w:r w:rsidR="00B25FAA" w:rsidRPr="00480F35">
        <w:t>redovisat</w:t>
      </w:r>
      <w:r w:rsidR="009C6C5E" w:rsidRPr="00480F35">
        <w:t xml:space="preserve"> skälen för sekretessb</w:t>
      </w:r>
      <w:r w:rsidR="009C6C5E" w:rsidRPr="00480F35">
        <w:t>e</w:t>
      </w:r>
      <w:r w:rsidR="009C6C5E" w:rsidRPr="00480F35">
        <w:t>läggningen.</w:t>
      </w:r>
    </w:p>
    <w:p w:rsidR="002A5DD0" w:rsidRPr="00480F35" w:rsidRDefault="00CF480A" w:rsidP="00CF480A">
      <w:pPr>
        <w:pStyle w:val="Normaltindrag"/>
      </w:pPr>
      <w:r w:rsidRPr="00480F35">
        <w:t>Utskottet anser det angeläget att riksdagen</w:t>
      </w:r>
      <w:r w:rsidR="00237610" w:rsidRPr="00480F35">
        <w:t xml:space="preserve"> i sin helhet, </w:t>
      </w:r>
      <w:r w:rsidR="00552BD6" w:rsidRPr="00480F35">
        <w:t xml:space="preserve">i </w:t>
      </w:r>
      <w:r w:rsidR="00237610" w:rsidRPr="00480F35">
        <w:t>sin egenskap av beslutande organ,</w:t>
      </w:r>
      <w:r w:rsidRPr="00480F35">
        <w:t xml:space="preserve"> kan överblicka de ekonomiska konsekvenserna av sina beslut</w:t>
      </w:r>
      <w:r w:rsidR="00237610" w:rsidRPr="00480F35">
        <w:t xml:space="preserve"> även i detta fall</w:t>
      </w:r>
      <w:r w:rsidRPr="00480F35">
        <w:t xml:space="preserve">. </w:t>
      </w:r>
      <w:r w:rsidR="002A5DD0" w:rsidRPr="00480F35">
        <w:t xml:space="preserve">Utskottet har vid ett flertal tillfällen pekat på behovet </w:t>
      </w:r>
      <w:r w:rsidR="00552BD6" w:rsidRPr="00480F35">
        <w:t xml:space="preserve">av </w:t>
      </w:r>
      <w:r w:rsidR="002A5DD0" w:rsidRPr="00480F35">
        <w:t xml:space="preserve">att stärka riksdagens finansmakt och inflytandet över </w:t>
      </w:r>
      <w:r w:rsidR="00A4150C" w:rsidRPr="00480F35">
        <w:t xml:space="preserve">Försvarsmaktens </w:t>
      </w:r>
      <w:r w:rsidR="002A5DD0" w:rsidRPr="00480F35">
        <w:t>mat</w:t>
      </w:r>
      <w:r w:rsidR="002A5DD0" w:rsidRPr="00480F35">
        <w:t>e</w:t>
      </w:r>
      <w:r w:rsidR="002A5DD0" w:rsidRPr="00480F35">
        <w:t>rielförsörj</w:t>
      </w:r>
      <w:r w:rsidR="00A4150C" w:rsidRPr="00480F35">
        <w:t>ning</w:t>
      </w:r>
      <w:r w:rsidR="002A5DD0" w:rsidRPr="00480F35">
        <w:t xml:space="preserve">. När det gäller de </w:t>
      </w:r>
      <w:r w:rsidR="00237610" w:rsidRPr="00480F35">
        <w:t xml:space="preserve">beräknade </w:t>
      </w:r>
      <w:r w:rsidR="002A5DD0" w:rsidRPr="00480F35">
        <w:t>kostnaderna för de viktigare mater</w:t>
      </w:r>
      <w:r w:rsidR="002A5DD0" w:rsidRPr="00480F35">
        <w:t>i</w:t>
      </w:r>
      <w:r w:rsidR="002A5DD0" w:rsidRPr="00480F35">
        <w:t>elsystemen anförde utskottet bl.a. följande i bet. 2005/06:FöU1:</w:t>
      </w:r>
    </w:p>
    <w:p w:rsidR="002A5DD0" w:rsidRPr="00480F35" w:rsidRDefault="002A5DD0" w:rsidP="00552BD6">
      <w:pPr>
        <w:pStyle w:val="Citat"/>
        <w:spacing w:before="125"/>
      </w:pPr>
      <w:r w:rsidRPr="00480F35">
        <w:rPr>
          <w:rStyle w:val="CitatIndragChar"/>
          <w:i/>
        </w:rPr>
        <w:t>Det kan heller inte vara oöverstigligt från sekretessynpunkt att redovisa ekonomiska ramar för de viktigaste systemen och objekten. Internatione</w:t>
      </w:r>
      <w:r w:rsidRPr="00480F35">
        <w:rPr>
          <w:rStyle w:val="CitatIndragChar"/>
          <w:i/>
        </w:rPr>
        <w:t>l</w:t>
      </w:r>
      <w:r w:rsidRPr="00480F35">
        <w:rPr>
          <w:rStyle w:val="CitatIndragChar"/>
          <w:i/>
        </w:rPr>
        <w:t>la jämförelser visar att detta är fullt möjligt.</w:t>
      </w:r>
    </w:p>
    <w:p w:rsidR="00B25FAA" w:rsidRPr="00480F35" w:rsidRDefault="00CF480A" w:rsidP="009C6C5E">
      <w:r w:rsidRPr="00480F35">
        <w:t xml:space="preserve">Mot bakgrund av </w:t>
      </w:r>
      <w:r w:rsidR="008408D1" w:rsidRPr="00480F35">
        <w:t xml:space="preserve">vad som redovisats </w:t>
      </w:r>
      <w:r w:rsidRPr="00480F35">
        <w:t>i den föredragning i sekretessfrågan som Regeringskansliet gjort</w:t>
      </w:r>
      <w:r w:rsidR="008408D1" w:rsidRPr="00480F35">
        <w:t>,</w:t>
      </w:r>
      <w:r w:rsidRPr="00480F35">
        <w:t xml:space="preserve"> och i det skede som upphandlingsprocessen för nä</w:t>
      </w:r>
      <w:r w:rsidRPr="00480F35">
        <w:t>r</w:t>
      </w:r>
      <w:r w:rsidRPr="00480F35">
        <w:t>varande befinner sig i</w:t>
      </w:r>
      <w:r w:rsidR="00237610" w:rsidRPr="00480F35">
        <w:t>,</w:t>
      </w:r>
      <w:r w:rsidRPr="00480F35">
        <w:t xml:space="preserve"> ifrågasätter inte utskottet </w:t>
      </w:r>
      <w:r w:rsidR="008408D1" w:rsidRPr="00480F35">
        <w:t xml:space="preserve">nu </w:t>
      </w:r>
      <w:r w:rsidRPr="00480F35">
        <w:t>behovet av sekretess till sk</w:t>
      </w:r>
      <w:r w:rsidR="00237610" w:rsidRPr="00480F35">
        <w:t>ydd för det allmänna (</w:t>
      </w:r>
      <w:r w:rsidR="00552BD6" w:rsidRPr="00480F35">
        <w:t xml:space="preserve">6 kap. 2 § </w:t>
      </w:r>
      <w:r w:rsidR="00237610" w:rsidRPr="00480F35">
        <w:t>SekrL</w:t>
      </w:r>
      <w:r w:rsidRPr="00480F35">
        <w:t>)</w:t>
      </w:r>
      <w:r w:rsidR="0063113F" w:rsidRPr="00480F35">
        <w:t xml:space="preserve">. Utskottet bedömer emellertid att när avtal om projektet har slutits bör det vara möjligt att redovisa </w:t>
      </w:r>
      <w:r w:rsidR="002E7E2E" w:rsidRPr="00480F35">
        <w:t>den plan</w:t>
      </w:r>
      <w:r w:rsidR="002E7E2E" w:rsidRPr="00480F35">
        <w:t>e</w:t>
      </w:r>
      <w:r w:rsidR="002E7E2E" w:rsidRPr="00480F35">
        <w:t>rade projektkostnaden</w:t>
      </w:r>
      <w:r w:rsidR="00B25FAA" w:rsidRPr="00480F35">
        <w:t xml:space="preserve"> och förutsätter att den redovisas för riksdagen</w:t>
      </w:r>
      <w:r w:rsidR="002E7E2E" w:rsidRPr="00480F35">
        <w:t>.</w:t>
      </w:r>
      <w:r w:rsidR="00B25FAA" w:rsidRPr="00480F35">
        <w:t xml:space="preserve"> </w:t>
      </w:r>
    </w:p>
    <w:p w:rsidR="009C6C5E" w:rsidRPr="00480F35" w:rsidRDefault="00B25FAA" w:rsidP="009C6C5E">
      <w:r w:rsidRPr="00480F35">
        <w:t>Mot bakgrund av vad utskottet ovan anfört tillstyrks propositionen och a</w:t>
      </w:r>
      <w:r w:rsidRPr="00480F35">
        <w:t>v</w:t>
      </w:r>
      <w:r w:rsidRPr="00480F35">
        <w:t>styrks motionen.</w:t>
      </w:r>
      <w:r w:rsidR="002E7E2E" w:rsidRPr="00480F35">
        <w:t xml:space="preserve"> </w:t>
      </w:r>
    </w:p>
    <w:p w:rsidR="009C6C5E" w:rsidRPr="00480F35" w:rsidRDefault="009C6C5E" w:rsidP="009C6C5E">
      <w:pPr>
        <w:pStyle w:val="Normaltindrag"/>
      </w:pPr>
    </w:p>
    <w:p w:rsidR="006A5E66" w:rsidRPr="00480F35" w:rsidRDefault="006A5E66" w:rsidP="006A5E66"/>
    <w:p w:rsidR="006A5E66" w:rsidRPr="00480F35" w:rsidRDefault="006A5E66" w:rsidP="006A5E66">
      <w:pPr>
        <w:sectPr w:rsidR="006A5E66" w:rsidRPr="00480F35" w:rsidSect="00F417F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258"/>
        </w:sectPr>
      </w:pPr>
    </w:p>
    <w:p w:rsidR="009E5D4A" w:rsidRPr="00480F35" w:rsidRDefault="009E5D4A" w:rsidP="009E5D4A">
      <w:pPr>
        <w:pStyle w:val="Rubrik1"/>
        <w:rPr>
          <w:noProof w:val="0"/>
        </w:rPr>
      </w:pPr>
      <w:bookmarkStart w:id="15" w:name="_Toc134600511"/>
      <w:r w:rsidRPr="00480F35">
        <w:rPr>
          <w:noProof w:val="0"/>
        </w:rPr>
        <w:t>Reservation</w:t>
      </w:r>
      <w:bookmarkEnd w:id="15"/>
    </w:p>
    <w:p w:rsidR="007C0CFD" w:rsidRPr="00480F35" w:rsidRDefault="009E5D4A" w:rsidP="00426BC9">
      <w:pPr>
        <w:spacing w:before="0"/>
      </w:pPr>
      <w:r w:rsidRPr="00480F35">
        <w:t>Utskottets förslag till riksdagsbeslut och ställningstaganden har föranlett följa</w:t>
      </w:r>
      <w:r w:rsidR="00C66A3B" w:rsidRPr="00480F35">
        <w:t>nde reservation</w:t>
      </w:r>
      <w:r w:rsidRPr="00480F35">
        <w:t>. I rubriken anges inom parentes vilken punkt i utsko</w:t>
      </w:r>
      <w:r w:rsidRPr="00480F35">
        <w:t>t</w:t>
      </w:r>
      <w:r w:rsidRPr="00480F35">
        <w:t>tets förslag till riksdagsbe</w:t>
      </w:r>
      <w:r w:rsidR="007C0CFD" w:rsidRPr="00480F35">
        <w:t>slut som behandlas i avsnittet.</w:t>
      </w:r>
    </w:p>
    <w:p w:rsidR="00C66A3B" w:rsidRPr="00480F35" w:rsidRDefault="007C0CFD" w:rsidP="00C66A3B">
      <w:pPr>
        <w:pStyle w:val="Reservationspunkt"/>
        <w:rPr>
          <w:noProof w:val="0"/>
        </w:rPr>
      </w:pPr>
      <w:bookmarkStart w:id="16" w:name="_Toc134600512"/>
      <w:r w:rsidRPr="00480F35">
        <w:rPr>
          <w:noProof w:val="0"/>
        </w:rPr>
        <w:t>Renovering och modifiering av Haubits 77B</w:t>
      </w:r>
      <w:r w:rsidR="00C66A3B" w:rsidRPr="00480F35">
        <w:rPr>
          <w:noProof w:val="0"/>
        </w:rPr>
        <w:t xml:space="preserve"> (punkt </w:t>
      </w:r>
      <w:r w:rsidRPr="00480F35">
        <w:rPr>
          <w:noProof w:val="0"/>
        </w:rPr>
        <w:t>1</w:t>
      </w:r>
      <w:r w:rsidR="00C66A3B" w:rsidRPr="00480F35">
        <w:rPr>
          <w:noProof w:val="0"/>
        </w:rPr>
        <w:t>)</w:t>
      </w:r>
      <w:r w:rsidR="00426BC9" w:rsidRPr="00480F35">
        <w:rPr>
          <w:noProof w:val="0"/>
        </w:rPr>
        <w:t>(fp)</w:t>
      </w:r>
      <w:bookmarkEnd w:id="16"/>
    </w:p>
    <w:p w:rsidR="00C66A3B" w:rsidRPr="00480F35" w:rsidRDefault="003F3893" w:rsidP="00426BC9">
      <w:pPr>
        <w:pStyle w:val="Reservanter"/>
        <w:ind w:left="0"/>
      </w:pPr>
      <w:r w:rsidRPr="00480F35">
        <w:t>av Allan Widman och Heli Berg (båda fp)</w:t>
      </w:r>
    </w:p>
    <w:p w:rsidR="00C66A3B" w:rsidRPr="00480F35" w:rsidRDefault="00C66A3B" w:rsidP="00C66A3B">
      <w:pPr>
        <w:pStyle w:val="R4"/>
      </w:pPr>
      <w:r w:rsidRPr="00480F35">
        <w:t>Förslag till riksdagsbeslut</w:t>
      </w:r>
    </w:p>
    <w:p w:rsidR="00C66A3B" w:rsidRPr="00480F35" w:rsidRDefault="003F3893" w:rsidP="00C66A3B">
      <w:r w:rsidRPr="00480F35">
        <w:t xml:space="preserve">Vi </w:t>
      </w:r>
      <w:r w:rsidR="00C66A3B" w:rsidRPr="00480F35">
        <w:t xml:space="preserve">anser att utskottets förslag under punkt </w:t>
      </w:r>
      <w:r w:rsidR="007C0CFD" w:rsidRPr="00480F35">
        <w:t>1</w:t>
      </w:r>
      <w:r w:rsidR="00C66A3B" w:rsidRPr="00480F35">
        <w:t xml:space="preserve"> borde ha följande lydelse:</w:t>
      </w:r>
    </w:p>
    <w:p w:rsidR="00C66A3B" w:rsidRPr="00480F35" w:rsidRDefault="003F3893" w:rsidP="00C66A3B">
      <w:pPr>
        <w:pStyle w:val="Reservantfrslag"/>
      </w:pPr>
      <w:r w:rsidRPr="00480F35">
        <w:t xml:space="preserve">Riksdagen bifaller motion 2005/06:Fö5 </w:t>
      </w:r>
      <w:r w:rsidR="007C0CFD" w:rsidRPr="00480F35">
        <w:t>och avslår proposition 2005/06:</w:t>
      </w:r>
      <w:r w:rsidRPr="00480F35">
        <w:t>132 Renovering och modifiering av artillerisystemet Haubits 77B.</w:t>
      </w:r>
    </w:p>
    <w:p w:rsidR="00C66A3B" w:rsidRPr="00480F35" w:rsidRDefault="00C66A3B" w:rsidP="00C66A3B">
      <w:pPr>
        <w:pStyle w:val="R4"/>
      </w:pPr>
      <w:r w:rsidRPr="00480F35">
        <w:t>Ställningstagande</w:t>
      </w:r>
    </w:p>
    <w:p w:rsidR="007C0115" w:rsidRPr="00480F35" w:rsidRDefault="007C0115" w:rsidP="007C0115">
      <w:r w:rsidRPr="00480F35">
        <w:t>Antalet pjäser blir mer begränsat än vad som tid</w:t>
      </w:r>
      <w:r w:rsidRPr="00480F35">
        <w:t>i</w:t>
      </w:r>
      <w:r w:rsidRPr="00480F35">
        <w:t>gare antagits. Följden blir att anskaffningskostnaden per enhet blir synnerligen hög. När det gäller behovet av antal pjäser för insatsorganisationen har någon förändring inte skett. I</w:t>
      </w:r>
      <w:r w:rsidRPr="00480F35">
        <w:t>n</w:t>
      </w:r>
      <w:r w:rsidRPr="00480F35">
        <w:t>satsorganisationen är lika stor nu som då utskottet gjorde sitt första ställning</w:t>
      </w:r>
      <w:r w:rsidRPr="00480F35">
        <w:t>s</w:t>
      </w:r>
      <w:r w:rsidRPr="00480F35">
        <w:t>tagande. Det som diskuteras nu är snarare vilken beredskap</w:t>
      </w:r>
      <w:r w:rsidRPr="00480F35">
        <w:t>s</w:t>
      </w:r>
      <w:r w:rsidRPr="00480F35">
        <w:t>grad som de olika förbanden i insatsorganisationen skall ha.</w:t>
      </w:r>
    </w:p>
    <w:p w:rsidR="007C0115" w:rsidRPr="00480F35" w:rsidRDefault="007C0115" w:rsidP="00D34758">
      <w:pPr>
        <w:pStyle w:val="Normaltindrag"/>
      </w:pPr>
      <w:r w:rsidRPr="00480F35">
        <w:t xml:space="preserve">Enligt </w:t>
      </w:r>
      <w:r w:rsidR="00D34758" w:rsidRPr="00480F35">
        <w:t xml:space="preserve">propositionen </w:t>
      </w:r>
      <w:r w:rsidRPr="00480F35">
        <w:t xml:space="preserve">skapar </w:t>
      </w:r>
      <w:r w:rsidR="00D34758" w:rsidRPr="00480F35">
        <w:t xml:space="preserve">det modifierade artillerisystemet </w:t>
      </w:r>
      <w:r w:rsidRPr="00480F35">
        <w:t>goda möjli</w:t>
      </w:r>
      <w:r w:rsidRPr="00480F35">
        <w:t>g</w:t>
      </w:r>
      <w:r w:rsidRPr="00480F35">
        <w:t>heter till deltagande med artillerifö</w:t>
      </w:r>
      <w:r w:rsidRPr="00480F35">
        <w:t>r</w:t>
      </w:r>
      <w:r w:rsidRPr="00480F35">
        <w:t xml:space="preserve">band i internationella insatser. Sverige </w:t>
      </w:r>
      <w:r w:rsidR="00D34758" w:rsidRPr="00480F35">
        <w:t xml:space="preserve">har dock </w:t>
      </w:r>
      <w:r w:rsidRPr="00480F35">
        <w:t>inte anmält sådana förband till s.k. styrkeregi</w:t>
      </w:r>
      <w:r w:rsidRPr="00480F35">
        <w:t>s</w:t>
      </w:r>
      <w:r w:rsidRPr="00480F35">
        <w:t>ter</w:t>
      </w:r>
      <w:r w:rsidR="007C0CFD" w:rsidRPr="00480F35">
        <w:t xml:space="preserve"> och</w:t>
      </w:r>
      <w:r w:rsidRPr="00480F35">
        <w:t xml:space="preserve"> tycks </w:t>
      </w:r>
      <w:r w:rsidR="00D34758" w:rsidRPr="00480F35">
        <w:t xml:space="preserve">inte heller </w:t>
      </w:r>
      <w:r w:rsidRPr="00480F35">
        <w:t>ha för avsikt att göra detta. Efterfrågan på sådana förband inom ramen för inte</w:t>
      </w:r>
      <w:r w:rsidRPr="00480F35">
        <w:t>r</w:t>
      </w:r>
      <w:r w:rsidRPr="00480F35">
        <w:t xml:space="preserve">nationella operationer torde allmänt sett vara svag. </w:t>
      </w:r>
      <w:r w:rsidR="00D34758" w:rsidRPr="00480F35">
        <w:t xml:space="preserve">Vi </w:t>
      </w:r>
      <w:r w:rsidRPr="00480F35">
        <w:t xml:space="preserve">anser inte </w:t>
      </w:r>
      <w:r w:rsidR="007C0CFD" w:rsidRPr="00480F35">
        <w:t xml:space="preserve">att </w:t>
      </w:r>
      <w:r w:rsidRPr="00480F35">
        <w:t>propos</w:t>
      </w:r>
      <w:r w:rsidRPr="00480F35">
        <w:t>i</w:t>
      </w:r>
      <w:r w:rsidRPr="00480F35">
        <w:t>tionen belyser vilka åtgärder som kan behövas för att svenska artilleriförband skall kunna integreras med andra länders s</w:t>
      </w:r>
      <w:r w:rsidRPr="00480F35">
        <w:t>y</w:t>
      </w:r>
      <w:r w:rsidRPr="00480F35">
        <w:t>stem för indirekt eld</w:t>
      </w:r>
      <w:r w:rsidR="007C0CFD" w:rsidRPr="00480F35">
        <w:t xml:space="preserve"> e</w:t>
      </w:r>
      <w:r w:rsidRPr="00480F35">
        <w:t>ller vilka för- respektive nackdelar som det innebär för Sverige att utveckla egna lö</w:t>
      </w:r>
      <w:r w:rsidRPr="00480F35">
        <w:t>s</w:t>
      </w:r>
      <w:r w:rsidRPr="00480F35">
        <w:t xml:space="preserve">ningar </w:t>
      </w:r>
      <w:r w:rsidR="007C0CFD" w:rsidRPr="00480F35">
        <w:t>från</w:t>
      </w:r>
      <w:r w:rsidRPr="00480F35">
        <w:t xml:space="preserve"> reparations- och underhåll</w:t>
      </w:r>
      <w:r w:rsidRPr="00480F35">
        <w:t>s</w:t>
      </w:r>
      <w:r w:rsidRPr="00480F35">
        <w:t>synpunkt.</w:t>
      </w:r>
    </w:p>
    <w:p w:rsidR="00D34758" w:rsidRPr="00480F35" w:rsidRDefault="007C0CFD" w:rsidP="00D34758">
      <w:pPr>
        <w:pStyle w:val="Normaltindrag"/>
      </w:pPr>
      <w:r w:rsidRPr="00480F35">
        <w:t>D</w:t>
      </w:r>
      <w:r w:rsidR="007C0115" w:rsidRPr="00480F35">
        <w:t xml:space="preserve">en osäkerhet som råder </w:t>
      </w:r>
      <w:r w:rsidR="00D34758" w:rsidRPr="00480F35">
        <w:t xml:space="preserve">om </w:t>
      </w:r>
      <w:r w:rsidR="007C0115" w:rsidRPr="00480F35">
        <w:t xml:space="preserve">på vilka villkor och i vilken utsträckning andra länder </w:t>
      </w:r>
      <w:r w:rsidRPr="00480F35">
        <w:t>vill medverka i utvec</w:t>
      </w:r>
      <w:r w:rsidR="00D34758" w:rsidRPr="00480F35">
        <w:t xml:space="preserve">klingen och </w:t>
      </w:r>
      <w:r w:rsidR="007C0115" w:rsidRPr="00480F35">
        <w:t>anskaffnin</w:t>
      </w:r>
      <w:r w:rsidR="007C0115" w:rsidRPr="00480F35">
        <w:t>g</w:t>
      </w:r>
      <w:r w:rsidR="007C0115" w:rsidRPr="00480F35">
        <w:t xml:space="preserve">en, talar </w:t>
      </w:r>
      <w:r w:rsidR="00D34758" w:rsidRPr="00480F35">
        <w:t xml:space="preserve">enligt vår mening </w:t>
      </w:r>
      <w:r w:rsidR="007C0115" w:rsidRPr="00480F35">
        <w:t>för att ett beslut om anskaffning bör beredas ytterligare. Propositi</w:t>
      </w:r>
      <w:r w:rsidR="007C0115" w:rsidRPr="00480F35">
        <w:t>o</w:t>
      </w:r>
      <w:r w:rsidR="007C0115" w:rsidRPr="00480F35">
        <w:t xml:space="preserve">nen bör därför avslås av riksdagen. </w:t>
      </w:r>
    </w:p>
    <w:p w:rsidR="007C0115" w:rsidRPr="00480F35" w:rsidRDefault="007C0115" w:rsidP="00D34758">
      <w:pPr>
        <w:pStyle w:val="Normaltindrag"/>
      </w:pPr>
      <w:r w:rsidRPr="00480F35">
        <w:t>Utgångspunkten för ett nytt förslag till anskaffning av ett modernt artiller</w:t>
      </w:r>
      <w:r w:rsidRPr="00480F35">
        <w:t>i</w:t>
      </w:r>
      <w:r w:rsidRPr="00480F35">
        <w:t>system bör vara direktanskaf</w:t>
      </w:r>
      <w:r w:rsidRPr="00480F35">
        <w:t>f</w:t>
      </w:r>
      <w:r w:rsidRPr="00480F35">
        <w:t xml:space="preserve">ning </w:t>
      </w:r>
      <w:r w:rsidR="00D34758" w:rsidRPr="00480F35">
        <w:t xml:space="preserve">och samverkansförmåga </w:t>
      </w:r>
      <w:r w:rsidRPr="00480F35">
        <w:t>med andra länders artilleriförband. En sådan utgångspunkt har stöd i den strategi för materiela</w:t>
      </w:r>
      <w:r w:rsidRPr="00480F35">
        <w:t>n</w:t>
      </w:r>
      <w:r w:rsidRPr="00480F35">
        <w:t>skaffning som bl.a. kommit till uttryck i 2004 års försvarsbeslut. Att som litet land försöka leda utvecklingen på en lång rad av materielområden blir kos</w:t>
      </w:r>
      <w:r w:rsidRPr="00480F35">
        <w:t>t</w:t>
      </w:r>
      <w:r w:rsidRPr="00480F35">
        <w:t>samt och i längden oförenligt med ambitionen att åstadkomma nödvändig, operativ effekt inom snäva, ekonomiska ramar.</w:t>
      </w:r>
    </w:p>
    <w:p w:rsidR="009E5D4A" w:rsidRPr="00480F35" w:rsidRDefault="009E5D4A" w:rsidP="009E5D4A">
      <w:pPr>
        <w:pStyle w:val="Normaltindrag"/>
      </w:pPr>
      <w:bookmarkStart w:id="17" w:name="Nästa_Reservation"/>
      <w:bookmarkEnd w:id="17"/>
    </w:p>
    <w:p w:rsidR="009E5D4A" w:rsidRPr="00480F35" w:rsidRDefault="009E5D4A" w:rsidP="009E5D4A">
      <w:pPr>
        <w:pStyle w:val="Normaltindrag"/>
        <w:sectPr w:rsidR="009E5D4A" w:rsidRPr="00480F35" w:rsidSect="00F417F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258"/>
        </w:sectPr>
      </w:pPr>
    </w:p>
    <w:p w:rsidR="00F417F5" w:rsidRPr="00480F35" w:rsidRDefault="00F417F5" w:rsidP="00F417F5">
      <w:pPr>
        <w:pStyle w:val="Bilaga"/>
      </w:pPr>
      <w:bookmarkStart w:id="18" w:name="_Toc134600513"/>
      <w:r w:rsidRPr="00480F35">
        <w:t>Bilaga</w:t>
      </w:r>
    </w:p>
    <w:p w:rsidR="009E5D4A" w:rsidRPr="00480F35" w:rsidRDefault="009E5D4A" w:rsidP="009E5D4A">
      <w:pPr>
        <w:pStyle w:val="Rubrik1"/>
        <w:rPr>
          <w:noProof w:val="0"/>
        </w:rPr>
      </w:pPr>
      <w:r w:rsidRPr="00480F35">
        <w:rPr>
          <w:noProof w:val="0"/>
        </w:rPr>
        <w:t>Förteckning över behandlade förslag</w:t>
      </w:r>
      <w:bookmarkEnd w:id="18"/>
    </w:p>
    <w:p w:rsidR="009E5D4A" w:rsidRPr="00480F35" w:rsidRDefault="009E5D4A" w:rsidP="00426BC9">
      <w:pPr>
        <w:pStyle w:val="Rubrik2"/>
        <w:spacing w:before="0"/>
      </w:pPr>
      <w:bookmarkStart w:id="19" w:name="_Toc134600514"/>
      <w:r w:rsidRPr="00480F35">
        <w:t>Propositionen</w:t>
      </w:r>
      <w:bookmarkEnd w:id="19"/>
    </w:p>
    <w:p w:rsidR="009E5D4A" w:rsidRPr="00480F35" w:rsidRDefault="009E5D4A" w:rsidP="009E5D4A">
      <w:r w:rsidRPr="00480F35">
        <w:rPr>
          <w:i/>
        </w:rPr>
        <w:t>Prop</w:t>
      </w:r>
      <w:r w:rsidR="007C0CFD" w:rsidRPr="00480F35">
        <w:rPr>
          <w:i/>
        </w:rPr>
        <w:t>osition 2005/06:132</w:t>
      </w:r>
      <w:r w:rsidRPr="00480F35">
        <w:rPr>
          <w:i/>
        </w:rPr>
        <w:t xml:space="preserve"> Renovering och modifiering av artillerisystemet Ha</w:t>
      </w:r>
      <w:r w:rsidRPr="00480F35">
        <w:rPr>
          <w:i/>
        </w:rPr>
        <w:t>u</w:t>
      </w:r>
      <w:r w:rsidRPr="00480F35">
        <w:rPr>
          <w:i/>
        </w:rPr>
        <w:t>bits 77B</w:t>
      </w:r>
      <w:r w:rsidR="007C0CFD" w:rsidRPr="00480F35">
        <w:t>:</w:t>
      </w:r>
    </w:p>
    <w:p w:rsidR="009E5D4A" w:rsidRPr="00480F35" w:rsidRDefault="009E5D4A" w:rsidP="009E5D4A">
      <w:r w:rsidRPr="00480F35">
        <w:t>Regeringen föreslår att riksdagen bemyndigar regeringen att under 2006 fatta beslut om renovering och modifiering av a</w:t>
      </w:r>
      <w:r w:rsidR="007C0CFD" w:rsidRPr="00480F35">
        <w:t>rtillerisystemet Haubits 77B.</w:t>
      </w:r>
    </w:p>
    <w:p w:rsidR="009E5D4A" w:rsidRPr="00480F35" w:rsidRDefault="009E5D4A" w:rsidP="00CE4B2A">
      <w:pPr>
        <w:pStyle w:val="Rubrik2"/>
      </w:pPr>
      <w:bookmarkStart w:id="20" w:name="_Toc134600515"/>
      <w:r w:rsidRPr="00480F35">
        <w:t>Följdmotion</w:t>
      </w:r>
      <w:bookmarkEnd w:id="20"/>
    </w:p>
    <w:p w:rsidR="009E5D4A" w:rsidRPr="00480F35" w:rsidRDefault="007C0CFD" w:rsidP="00CE4B2A">
      <w:pPr>
        <w:spacing w:before="187"/>
        <w:rPr>
          <w:i/>
        </w:rPr>
      </w:pPr>
      <w:bookmarkStart w:id="21" w:name="RangeStart"/>
      <w:bookmarkEnd w:id="21"/>
      <w:r w:rsidRPr="00480F35">
        <w:rPr>
          <w:i/>
        </w:rPr>
        <w:t>2005/06:</w:t>
      </w:r>
      <w:r w:rsidR="009E5D4A" w:rsidRPr="00480F35">
        <w:rPr>
          <w:i/>
        </w:rPr>
        <w:t>Fö5 av Allan Widman m.fl. (fp):</w:t>
      </w:r>
    </w:p>
    <w:p w:rsidR="00F417F5" w:rsidRPr="00480F35" w:rsidRDefault="009E5D4A" w:rsidP="007C0CFD">
      <w:r w:rsidRPr="00480F35">
        <w:t xml:space="preserve">Riksdagen avslår regeringens proposition 2005:06/132 i </w:t>
      </w:r>
      <w:r w:rsidR="007C0CFD" w:rsidRPr="00480F35">
        <w:t>dess helhet.</w:t>
      </w:r>
    </w:p>
    <w:p w:rsidR="003C2073" w:rsidRPr="00480F35" w:rsidRDefault="003C2073" w:rsidP="007C0CFD"/>
    <w:p w:rsidR="003C2073" w:rsidRPr="00480F35" w:rsidRDefault="003C2073" w:rsidP="003C2073">
      <w:pPr>
        <w:pStyle w:val="Tryckort"/>
        <w:framePr w:wrap="around"/>
        <w:jc w:val="right"/>
      </w:pPr>
      <w:r w:rsidRPr="00480F35">
        <w:t>Elanders Gotab, Stockholm  2006</w:t>
      </w:r>
    </w:p>
    <w:p w:rsidR="00B17327" w:rsidRPr="00480F35" w:rsidRDefault="00B17327" w:rsidP="003C2073">
      <w:pPr>
        <w:pStyle w:val="Normaltindrag"/>
      </w:pPr>
    </w:p>
    <w:sectPr w:rsidR="00B17327" w:rsidRPr="00480F35" w:rsidSect="00F417F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567D" w:rsidRPr="00480F35" w:rsidRDefault="0053567D">
      <w:r w:rsidRPr="00480F35">
        <w:separator/>
      </w:r>
    </w:p>
  </w:endnote>
  <w:endnote w:type="continuationSeparator" w:id="0">
    <w:p w:rsidR="0053567D" w:rsidRPr="00480F35" w:rsidRDefault="0053567D">
      <w:r w:rsidRPr="00480F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544" w:rsidRPr="00480F35" w:rsidRDefault="00DF7544">
    <w:pPr>
      <w:pStyle w:val="SidfotV"/>
      <w:framePr w:w="8732" w:h="284" w:hRule="exact" w:hSpace="0" w:vSpace="0" w:wrap="around" w:xAlign="inside" w:y="13042" w:anchorLock="0"/>
    </w:pPr>
    <w:r w:rsidRPr="00480F35">
      <w:fldChar w:fldCharType="begin" w:fldLock="1"/>
    </w:r>
    <w:r w:rsidRPr="00480F35">
      <w:instrText xml:space="preserve"> P</w:instrText>
    </w:r>
    <w:r w:rsidRPr="00480F35">
      <w:instrText>A</w:instrText>
    </w:r>
    <w:r w:rsidRPr="00480F35">
      <w:instrText xml:space="preserve">GE </w:instrText>
    </w:r>
    <w:r w:rsidRPr="00480F35">
      <w:fldChar w:fldCharType="separate"/>
    </w:r>
    <w:r w:rsidRPr="00480F35">
      <w:t>2</w:t>
    </w:r>
    <w:r w:rsidRPr="00480F35">
      <w:fldChar w:fldCharType="end"/>
    </w:r>
  </w:p>
  <w:p w:rsidR="00DF7544" w:rsidRPr="00480F35" w:rsidRDefault="00DF754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544" w:rsidRPr="00480F35" w:rsidRDefault="00DF7544">
    <w:pPr>
      <w:pStyle w:val="SidfotV"/>
      <w:framePr w:w="8732" w:h="284" w:hRule="exact" w:hSpace="0" w:vSpace="0" w:wrap="around" w:xAlign="inside" w:y="13042" w:anchorLock="0"/>
    </w:pPr>
    <w:r w:rsidRPr="00480F35">
      <w:fldChar w:fldCharType="begin" w:fldLock="1"/>
    </w:r>
    <w:r w:rsidRPr="00480F35">
      <w:instrText xml:space="preserve"> P</w:instrText>
    </w:r>
    <w:r w:rsidRPr="00480F35">
      <w:instrText>A</w:instrText>
    </w:r>
    <w:r w:rsidRPr="00480F35">
      <w:instrText xml:space="preserve">GE </w:instrText>
    </w:r>
    <w:r w:rsidRPr="00480F35">
      <w:fldChar w:fldCharType="separate"/>
    </w:r>
    <w:r w:rsidR="00FE7D77" w:rsidRPr="00480F35">
      <w:t>10</w:t>
    </w:r>
    <w:r w:rsidRPr="00480F35">
      <w:fldChar w:fldCharType="end"/>
    </w:r>
  </w:p>
  <w:p w:rsidR="00DF7544" w:rsidRPr="00480F35" w:rsidRDefault="00DF754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544" w:rsidRPr="00480F35" w:rsidRDefault="00DF7544">
    <w:pPr>
      <w:pStyle w:val="SidfotH"/>
      <w:framePr w:w="8732" w:h="284" w:hRule="exact" w:hSpace="0" w:vSpace="0" w:wrap="around" w:xAlign="inside" w:y="13042" w:anchorLock="0"/>
    </w:pPr>
    <w:r w:rsidRPr="00480F35">
      <w:fldChar w:fldCharType="begin" w:fldLock="1"/>
    </w:r>
    <w:r w:rsidRPr="00480F35">
      <w:instrText xml:space="preserve"> P</w:instrText>
    </w:r>
    <w:r w:rsidRPr="00480F35">
      <w:instrText>A</w:instrText>
    </w:r>
    <w:r w:rsidRPr="00480F35">
      <w:instrText xml:space="preserve">GE </w:instrText>
    </w:r>
    <w:r w:rsidRPr="00480F35">
      <w:fldChar w:fldCharType="separate"/>
    </w:r>
    <w:r w:rsidR="00FE7D77" w:rsidRPr="00480F35">
      <w:t>9</w:t>
    </w:r>
    <w:r w:rsidRPr="00480F35">
      <w:fldChar w:fldCharType="end"/>
    </w:r>
  </w:p>
  <w:p w:rsidR="00DF7544" w:rsidRPr="00480F35" w:rsidRDefault="00DF754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544" w:rsidRPr="00480F35" w:rsidRDefault="00DF7544">
    <w:pPr>
      <w:pStyle w:val="SidfotV"/>
      <w:framePr w:w="8732" w:h="284" w:hRule="exact" w:hSpace="0" w:vSpace="0" w:wrap="around" w:xAlign="inside" w:y="13042" w:anchorLock="0"/>
    </w:pPr>
    <w:r w:rsidRPr="00480F35">
      <w:fldChar w:fldCharType="begin" w:fldLock="1"/>
    </w:r>
    <w:r w:rsidRPr="00480F35">
      <w:instrText xml:space="preserve"> if </w:instrText>
    </w:r>
    <w:r w:rsidRPr="00480F35">
      <w:fldChar w:fldCharType="begin" w:fldLock="1"/>
    </w:r>
    <w:r w:rsidRPr="00480F35">
      <w:instrText xml:space="preserve"> = </w:instrText>
    </w:r>
    <w:r w:rsidRPr="00480F35">
      <w:fldChar w:fldCharType="begin" w:fldLock="1"/>
    </w:r>
    <w:r w:rsidRPr="00480F35">
      <w:instrText xml:space="preserve"> = </w:instrText>
    </w:r>
    <w:r w:rsidRPr="00480F35">
      <w:fldChar w:fldCharType="begin" w:fldLock="1"/>
    </w:r>
    <w:r w:rsidRPr="00480F35">
      <w:instrText xml:space="preserve"> page</w:instrText>
    </w:r>
    <w:r w:rsidRPr="00480F35">
      <w:fldChar w:fldCharType="separate"/>
    </w:r>
    <w:r w:rsidR="00FE7D77" w:rsidRPr="00480F35">
      <w:instrText>4</w:instrText>
    </w:r>
    <w:r w:rsidRPr="00480F35">
      <w:fldChar w:fldCharType="end"/>
    </w:r>
    <w:r w:rsidRPr="00480F35">
      <w:instrText xml:space="preserve">/2 </w:instrText>
    </w:r>
    <w:r w:rsidRPr="00480F35">
      <w:fldChar w:fldCharType="separate"/>
    </w:r>
    <w:r w:rsidR="00FE7D77" w:rsidRPr="00480F35">
      <w:instrText>2</w:instrText>
    </w:r>
    <w:r w:rsidRPr="00480F35">
      <w:fldChar w:fldCharType="end"/>
    </w:r>
    <w:r w:rsidRPr="00480F35">
      <w:instrText xml:space="preserve"> - </w:instrText>
    </w:r>
    <w:r w:rsidRPr="00480F35">
      <w:fldChar w:fldCharType="begin" w:fldLock="1"/>
    </w:r>
    <w:r w:rsidRPr="00480F35">
      <w:instrText xml:space="preserve"> = int(</w:instrText>
    </w:r>
    <w:r w:rsidRPr="00480F35">
      <w:fldChar w:fldCharType="begin" w:fldLock="1"/>
    </w:r>
    <w:r w:rsidRPr="00480F35">
      <w:instrText xml:space="preserve"> page</w:instrText>
    </w:r>
    <w:r w:rsidRPr="00480F35">
      <w:fldChar w:fldCharType="separate"/>
    </w:r>
    <w:r w:rsidR="00FE7D77" w:rsidRPr="00480F35">
      <w:instrText>4</w:instrText>
    </w:r>
    <w:r w:rsidRPr="00480F35">
      <w:fldChar w:fldCharType="end"/>
    </w:r>
    <w:r w:rsidRPr="00480F35">
      <w:instrText xml:space="preserve">/2) </w:instrText>
    </w:r>
    <w:r w:rsidRPr="00480F35">
      <w:fldChar w:fldCharType="separate"/>
    </w:r>
    <w:r w:rsidR="00FE7D77" w:rsidRPr="00480F35">
      <w:instrText>2</w:instrText>
    </w:r>
    <w:r w:rsidRPr="00480F35">
      <w:fldChar w:fldCharType="end"/>
    </w:r>
    <w:r w:rsidRPr="00480F35">
      <w:fldChar w:fldCharType="separate"/>
    </w:r>
    <w:r w:rsidR="00FE7D77" w:rsidRPr="00480F35">
      <w:instrText>0</w:instrText>
    </w:r>
    <w:r w:rsidRPr="00480F35">
      <w:fldChar w:fldCharType="end"/>
    </w:r>
    <w:r w:rsidRPr="00480F35">
      <w:instrText xml:space="preserve"> = 0 "</w:instrText>
    </w:r>
    <w:r w:rsidRPr="00480F35">
      <w:fldChar w:fldCharType="begin" w:fldLock="1"/>
    </w:r>
    <w:r w:rsidRPr="00480F35">
      <w:instrText xml:space="preserve"> P</w:instrText>
    </w:r>
    <w:r w:rsidRPr="00480F35">
      <w:instrText>A</w:instrText>
    </w:r>
    <w:r w:rsidRPr="00480F35">
      <w:instrText xml:space="preserve">GE </w:instrText>
    </w:r>
    <w:r w:rsidRPr="00480F35">
      <w:fldChar w:fldCharType="separate"/>
    </w:r>
    <w:r w:rsidR="00FE7D77" w:rsidRPr="00480F35">
      <w:instrText>4</w:instrText>
    </w:r>
    <w:r w:rsidRPr="00480F35">
      <w:fldChar w:fldCharType="end"/>
    </w:r>
  </w:p>
  <w:p w:rsidR="00FE7D77" w:rsidRPr="00480F35" w:rsidRDefault="00DF7544">
    <w:pPr>
      <w:pStyle w:val="SidfotV"/>
      <w:framePr w:w="8732" w:h="284" w:hRule="exact" w:hSpace="0" w:vSpace="0" w:wrap="around" w:xAlign="inside" w:y="13042" w:anchorLock="0"/>
    </w:pPr>
    <w:r w:rsidRPr="00480F35">
      <w:instrText>""</w:instrText>
    </w:r>
    <w:r w:rsidRPr="00480F35">
      <w:fldChar w:fldCharType="begin" w:fldLock="1"/>
    </w:r>
    <w:r w:rsidRPr="00480F35">
      <w:instrText xml:space="preserve"> P</w:instrText>
    </w:r>
    <w:r w:rsidRPr="00480F35">
      <w:instrText>A</w:instrText>
    </w:r>
    <w:r w:rsidRPr="00480F35">
      <w:instrText xml:space="preserve">GE </w:instrText>
    </w:r>
    <w:r w:rsidRPr="00480F35">
      <w:fldChar w:fldCharType="separate"/>
    </w:r>
    <w:r w:rsidRPr="00480F35">
      <w:instrText>9</w:instrText>
    </w:r>
    <w:r w:rsidRPr="00480F35">
      <w:fldChar w:fldCharType="end"/>
    </w:r>
    <w:r w:rsidRPr="00480F35">
      <w:instrText>"</w:instrText>
    </w:r>
    <w:r w:rsidRPr="00480F35">
      <w:fldChar w:fldCharType="separate"/>
    </w:r>
    <w:r w:rsidR="00FE7D77" w:rsidRPr="00480F35">
      <w:t>4</w:t>
    </w:r>
  </w:p>
  <w:p w:rsidR="00DF7544" w:rsidRPr="00480F35" w:rsidRDefault="00DF7544">
    <w:pPr>
      <w:pStyle w:val="SidfotH"/>
      <w:framePr w:w="8732" w:h="284" w:hRule="exact" w:hSpace="0" w:vSpace="0" w:wrap="around" w:xAlign="inside" w:y="13042" w:anchorLock="0"/>
    </w:pPr>
    <w:r w:rsidRPr="00480F35">
      <w:fldChar w:fldCharType="end"/>
    </w:r>
  </w:p>
  <w:p w:rsidR="00DF7544" w:rsidRPr="00480F35" w:rsidRDefault="00DF754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544" w:rsidRPr="00480F35" w:rsidRDefault="00DF7544">
    <w:pPr>
      <w:pStyle w:val="SidfotV"/>
      <w:framePr w:w="8732" w:h="284" w:hRule="exact" w:hSpace="0" w:vSpace="0" w:wrap="around" w:xAlign="inside" w:y="13042" w:anchorLock="0"/>
    </w:pPr>
    <w:r w:rsidRPr="00480F35">
      <w:fldChar w:fldCharType="begin" w:fldLock="1"/>
    </w:r>
    <w:r w:rsidRPr="00480F35">
      <w:instrText xml:space="preserve"> P</w:instrText>
    </w:r>
    <w:r w:rsidRPr="00480F35">
      <w:instrText>A</w:instrText>
    </w:r>
    <w:r w:rsidRPr="00480F35">
      <w:instrText xml:space="preserve">GE </w:instrText>
    </w:r>
    <w:r w:rsidRPr="00480F35">
      <w:fldChar w:fldCharType="separate"/>
    </w:r>
    <w:r w:rsidRPr="00480F35">
      <w:t>12</w:t>
    </w:r>
    <w:r w:rsidRPr="00480F35">
      <w:fldChar w:fldCharType="end"/>
    </w:r>
  </w:p>
  <w:p w:rsidR="00DF7544" w:rsidRPr="00480F35" w:rsidRDefault="00DF754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544" w:rsidRPr="00480F35" w:rsidRDefault="00DF7544">
    <w:pPr>
      <w:pStyle w:val="SidfotH"/>
      <w:framePr w:w="8732" w:h="284" w:hRule="exact" w:hSpace="0" w:vSpace="0" w:wrap="around" w:xAlign="inside" w:y="13042" w:anchorLock="0"/>
    </w:pPr>
    <w:r w:rsidRPr="00480F35">
      <w:fldChar w:fldCharType="begin" w:fldLock="1"/>
    </w:r>
    <w:r w:rsidRPr="00480F35">
      <w:instrText xml:space="preserve"> P</w:instrText>
    </w:r>
    <w:r w:rsidRPr="00480F35">
      <w:instrText>A</w:instrText>
    </w:r>
    <w:r w:rsidRPr="00480F35">
      <w:instrText xml:space="preserve">GE </w:instrText>
    </w:r>
    <w:r w:rsidRPr="00480F35">
      <w:fldChar w:fldCharType="separate"/>
    </w:r>
    <w:r w:rsidRPr="00480F35">
      <w:t>3</w:t>
    </w:r>
    <w:r w:rsidRPr="00480F35">
      <w:fldChar w:fldCharType="end"/>
    </w:r>
  </w:p>
  <w:p w:rsidR="00DF7544" w:rsidRPr="00480F35" w:rsidRDefault="00DF754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544" w:rsidRPr="00480F35" w:rsidRDefault="00DF7544">
    <w:pPr>
      <w:pStyle w:val="SidfotV"/>
      <w:framePr w:w="8732" w:h="284" w:hRule="exact" w:hSpace="0" w:vSpace="0" w:wrap="around" w:xAlign="inside" w:y="13042" w:anchorLock="0"/>
    </w:pPr>
    <w:r w:rsidRPr="00480F35">
      <w:fldChar w:fldCharType="begin" w:fldLock="1"/>
    </w:r>
    <w:r w:rsidRPr="00480F35">
      <w:instrText xml:space="preserve"> if </w:instrText>
    </w:r>
    <w:r w:rsidRPr="00480F35">
      <w:fldChar w:fldCharType="begin" w:fldLock="1"/>
    </w:r>
    <w:r w:rsidRPr="00480F35">
      <w:instrText xml:space="preserve"> = </w:instrText>
    </w:r>
    <w:r w:rsidRPr="00480F35">
      <w:fldChar w:fldCharType="begin" w:fldLock="1"/>
    </w:r>
    <w:r w:rsidRPr="00480F35">
      <w:instrText xml:space="preserve"> = </w:instrText>
    </w:r>
    <w:r w:rsidRPr="00480F35">
      <w:fldChar w:fldCharType="begin" w:fldLock="1"/>
    </w:r>
    <w:r w:rsidRPr="00480F35">
      <w:instrText xml:space="preserve"> page</w:instrText>
    </w:r>
    <w:r w:rsidRPr="00480F35">
      <w:fldChar w:fldCharType="separate"/>
    </w:r>
    <w:r w:rsidR="00FE7D77" w:rsidRPr="00480F35">
      <w:instrText>11</w:instrText>
    </w:r>
    <w:r w:rsidRPr="00480F35">
      <w:fldChar w:fldCharType="end"/>
    </w:r>
    <w:r w:rsidRPr="00480F35">
      <w:instrText xml:space="preserve">/2 </w:instrText>
    </w:r>
    <w:r w:rsidRPr="00480F35">
      <w:fldChar w:fldCharType="separate"/>
    </w:r>
    <w:r w:rsidR="00FE7D77" w:rsidRPr="00480F35">
      <w:instrText>5,5</w:instrText>
    </w:r>
    <w:r w:rsidRPr="00480F35">
      <w:fldChar w:fldCharType="end"/>
    </w:r>
    <w:r w:rsidRPr="00480F35">
      <w:instrText xml:space="preserve"> - </w:instrText>
    </w:r>
    <w:r w:rsidRPr="00480F35">
      <w:fldChar w:fldCharType="begin" w:fldLock="1"/>
    </w:r>
    <w:r w:rsidRPr="00480F35">
      <w:instrText xml:space="preserve"> = int(</w:instrText>
    </w:r>
    <w:r w:rsidRPr="00480F35">
      <w:fldChar w:fldCharType="begin" w:fldLock="1"/>
    </w:r>
    <w:r w:rsidRPr="00480F35">
      <w:instrText xml:space="preserve"> page</w:instrText>
    </w:r>
    <w:r w:rsidRPr="00480F35">
      <w:fldChar w:fldCharType="separate"/>
    </w:r>
    <w:r w:rsidR="00FE7D77" w:rsidRPr="00480F35">
      <w:instrText>11</w:instrText>
    </w:r>
    <w:r w:rsidRPr="00480F35">
      <w:fldChar w:fldCharType="end"/>
    </w:r>
    <w:r w:rsidRPr="00480F35">
      <w:instrText xml:space="preserve">/2) </w:instrText>
    </w:r>
    <w:r w:rsidRPr="00480F35">
      <w:fldChar w:fldCharType="separate"/>
    </w:r>
    <w:r w:rsidR="00FE7D77" w:rsidRPr="00480F35">
      <w:instrText>5</w:instrText>
    </w:r>
    <w:r w:rsidRPr="00480F35">
      <w:fldChar w:fldCharType="end"/>
    </w:r>
    <w:r w:rsidRPr="00480F35">
      <w:fldChar w:fldCharType="separate"/>
    </w:r>
    <w:r w:rsidR="00FE7D77" w:rsidRPr="00480F35">
      <w:instrText>0,5</w:instrText>
    </w:r>
    <w:r w:rsidRPr="00480F35">
      <w:fldChar w:fldCharType="end"/>
    </w:r>
    <w:r w:rsidRPr="00480F35">
      <w:instrText xml:space="preserve"> = 0 "</w:instrText>
    </w:r>
    <w:r w:rsidRPr="00480F35">
      <w:fldChar w:fldCharType="begin" w:fldLock="1"/>
    </w:r>
    <w:r w:rsidRPr="00480F35">
      <w:instrText xml:space="preserve"> P</w:instrText>
    </w:r>
    <w:r w:rsidRPr="00480F35">
      <w:instrText>A</w:instrText>
    </w:r>
    <w:r w:rsidRPr="00480F35">
      <w:instrText xml:space="preserve">GE </w:instrText>
    </w:r>
    <w:r w:rsidRPr="00480F35">
      <w:fldChar w:fldCharType="separate"/>
    </w:r>
    <w:r w:rsidRPr="00480F35">
      <w:instrText>12</w:instrText>
    </w:r>
    <w:r w:rsidRPr="00480F35">
      <w:fldChar w:fldCharType="end"/>
    </w:r>
  </w:p>
  <w:p w:rsidR="00DF7544" w:rsidRPr="00480F35" w:rsidRDefault="00DF7544">
    <w:pPr>
      <w:pStyle w:val="SidfotH"/>
      <w:framePr w:w="8732" w:h="284" w:hRule="exact" w:hSpace="0" w:vSpace="0" w:wrap="around" w:xAlign="inside" w:y="13042" w:anchorLock="0"/>
    </w:pPr>
    <w:r w:rsidRPr="00480F35">
      <w:instrText>""</w:instrText>
    </w:r>
    <w:r w:rsidRPr="00480F35">
      <w:fldChar w:fldCharType="begin" w:fldLock="1"/>
    </w:r>
    <w:r w:rsidRPr="00480F35">
      <w:instrText xml:space="preserve"> P</w:instrText>
    </w:r>
    <w:r w:rsidRPr="00480F35">
      <w:instrText>A</w:instrText>
    </w:r>
    <w:r w:rsidRPr="00480F35">
      <w:instrText xml:space="preserve">GE </w:instrText>
    </w:r>
    <w:r w:rsidRPr="00480F35">
      <w:fldChar w:fldCharType="separate"/>
    </w:r>
    <w:r w:rsidR="00FE7D77" w:rsidRPr="00480F35">
      <w:instrText>11</w:instrText>
    </w:r>
    <w:r w:rsidRPr="00480F35">
      <w:fldChar w:fldCharType="end"/>
    </w:r>
    <w:r w:rsidRPr="00480F35">
      <w:instrText>"</w:instrText>
    </w:r>
    <w:r w:rsidRPr="00480F35">
      <w:fldChar w:fldCharType="separate"/>
    </w:r>
    <w:r w:rsidR="00FE7D77" w:rsidRPr="00480F35">
      <w:t>11</w:t>
    </w:r>
    <w:r w:rsidRPr="00480F35">
      <w:fldChar w:fldCharType="end"/>
    </w:r>
  </w:p>
  <w:p w:rsidR="00DF7544" w:rsidRPr="00480F35" w:rsidRDefault="00DF754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544" w:rsidRPr="00480F35" w:rsidRDefault="00DF7544">
    <w:pPr>
      <w:pStyle w:val="SidfotV"/>
      <w:framePr w:w="8732" w:h="284" w:hRule="exact" w:hSpace="0" w:vSpace="0" w:wrap="around" w:xAlign="inside" w:y="13042" w:anchorLock="0"/>
    </w:pPr>
    <w:r w:rsidRPr="00480F35">
      <w:fldChar w:fldCharType="begin" w:fldLock="1"/>
    </w:r>
    <w:r w:rsidRPr="00480F35">
      <w:instrText xml:space="preserve"> P</w:instrText>
    </w:r>
    <w:r w:rsidRPr="00480F35">
      <w:instrText>A</w:instrText>
    </w:r>
    <w:r w:rsidRPr="00480F35">
      <w:instrText xml:space="preserve">GE </w:instrText>
    </w:r>
    <w:r w:rsidRPr="00480F35">
      <w:fldChar w:fldCharType="separate"/>
    </w:r>
    <w:r w:rsidRPr="00480F35">
      <w:t>14</w:t>
    </w:r>
    <w:r w:rsidRPr="00480F35">
      <w:fldChar w:fldCharType="end"/>
    </w:r>
  </w:p>
  <w:p w:rsidR="00DF7544" w:rsidRPr="00480F35" w:rsidRDefault="00DF754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544" w:rsidRPr="00480F35" w:rsidRDefault="00DF7544">
    <w:pPr>
      <w:pStyle w:val="SidfotH"/>
      <w:framePr w:w="8732" w:h="284" w:hRule="exact" w:hSpace="0" w:vSpace="0" w:wrap="around" w:xAlign="inside" w:y="13042" w:anchorLock="0"/>
    </w:pPr>
    <w:r w:rsidRPr="00480F35">
      <w:fldChar w:fldCharType="begin" w:fldLock="1"/>
    </w:r>
    <w:r w:rsidRPr="00480F35">
      <w:instrText xml:space="preserve"> P</w:instrText>
    </w:r>
    <w:r w:rsidRPr="00480F35">
      <w:instrText>A</w:instrText>
    </w:r>
    <w:r w:rsidRPr="00480F35">
      <w:instrText xml:space="preserve">GE </w:instrText>
    </w:r>
    <w:r w:rsidRPr="00480F35">
      <w:fldChar w:fldCharType="separate"/>
    </w:r>
    <w:r w:rsidRPr="00480F35">
      <w:t>13</w:t>
    </w:r>
    <w:r w:rsidRPr="00480F35">
      <w:fldChar w:fldCharType="end"/>
    </w:r>
  </w:p>
  <w:p w:rsidR="00DF7544" w:rsidRPr="00480F35" w:rsidRDefault="00DF754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544" w:rsidRPr="00480F35" w:rsidRDefault="00DF7544">
    <w:pPr>
      <w:pStyle w:val="SidfotV"/>
      <w:framePr w:w="8732" w:h="284" w:hRule="exact" w:hSpace="0" w:vSpace="0" w:wrap="around" w:xAlign="inside" w:y="13042" w:anchorLock="0"/>
    </w:pPr>
    <w:r w:rsidRPr="00480F35">
      <w:fldChar w:fldCharType="begin" w:fldLock="1"/>
    </w:r>
    <w:r w:rsidRPr="00480F35">
      <w:instrText xml:space="preserve"> if </w:instrText>
    </w:r>
    <w:r w:rsidRPr="00480F35">
      <w:fldChar w:fldCharType="begin" w:fldLock="1"/>
    </w:r>
    <w:r w:rsidRPr="00480F35">
      <w:instrText xml:space="preserve"> = </w:instrText>
    </w:r>
    <w:r w:rsidRPr="00480F35">
      <w:fldChar w:fldCharType="begin" w:fldLock="1"/>
    </w:r>
    <w:r w:rsidRPr="00480F35">
      <w:instrText xml:space="preserve"> = </w:instrText>
    </w:r>
    <w:r w:rsidRPr="00480F35">
      <w:fldChar w:fldCharType="begin" w:fldLock="1"/>
    </w:r>
    <w:r w:rsidRPr="00480F35">
      <w:instrText xml:space="preserve"> page</w:instrText>
    </w:r>
    <w:r w:rsidRPr="00480F35">
      <w:fldChar w:fldCharType="separate"/>
    </w:r>
    <w:r w:rsidR="00FE7D77" w:rsidRPr="00480F35">
      <w:instrText>12</w:instrText>
    </w:r>
    <w:r w:rsidRPr="00480F35">
      <w:fldChar w:fldCharType="end"/>
    </w:r>
    <w:r w:rsidRPr="00480F35">
      <w:instrText xml:space="preserve">/2 </w:instrText>
    </w:r>
    <w:r w:rsidRPr="00480F35">
      <w:fldChar w:fldCharType="separate"/>
    </w:r>
    <w:r w:rsidR="00FE7D77" w:rsidRPr="00480F35">
      <w:instrText>6</w:instrText>
    </w:r>
    <w:r w:rsidRPr="00480F35">
      <w:fldChar w:fldCharType="end"/>
    </w:r>
    <w:r w:rsidRPr="00480F35">
      <w:instrText xml:space="preserve"> - </w:instrText>
    </w:r>
    <w:r w:rsidRPr="00480F35">
      <w:fldChar w:fldCharType="begin" w:fldLock="1"/>
    </w:r>
    <w:r w:rsidRPr="00480F35">
      <w:instrText xml:space="preserve"> = int(</w:instrText>
    </w:r>
    <w:r w:rsidRPr="00480F35">
      <w:fldChar w:fldCharType="begin" w:fldLock="1"/>
    </w:r>
    <w:r w:rsidRPr="00480F35">
      <w:instrText xml:space="preserve"> page</w:instrText>
    </w:r>
    <w:r w:rsidRPr="00480F35">
      <w:fldChar w:fldCharType="separate"/>
    </w:r>
    <w:r w:rsidR="00FE7D77" w:rsidRPr="00480F35">
      <w:instrText>12</w:instrText>
    </w:r>
    <w:r w:rsidRPr="00480F35">
      <w:fldChar w:fldCharType="end"/>
    </w:r>
    <w:r w:rsidRPr="00480F35">
      <w:instrText xml:space="preserve">/2) </w:instrText>
    </w:r>
    <w:r w:rsidRPr="00480F35">
      <w:fldChar w:fldCharType="separate"/>
    </w:r>
    <w:r w:rsidR="00FE7D77" w:rsidRPr="00480F35">
      <w:instrText>6</w:instrText>
    </w:r>
    <w:r w:rsidRPr="00480F35">
      <w:fldChar w:fldCharType="end"/>
    </w:r>
    <w:r w:rsidRPr="00480F35">
      <w:fldChar w:fldCharType="separate"/>
    </w:r>
    <w:r w:rsidR="00FE7D77" w:rsidRPr="00480F35">
      <w:instrText>0</w:instrText>
    </w:r>
    <w:r w:rsidRPr="00480F35">
      <w:fldChar w:fldCharType="end"/>
    </w:r>
    <w:r w:rsidRPr="00480F35">
      <w:instrText xml:space="preserve"> = 0 "</w:instrText>
    </w:r>
    <w:r w:rsidRPr="00480F35">
      <w:fldChar w:fldCharType="begin" w:fldLock="1"/>
    </w:r>
    <w:r w:rsidRPr="00480F35">
      <w:instrText xml:space="preserve"> P</w:instrText>
    </w:r>
    <w:r w:rsidRPr="00480F35">
      <w:instrText>A</w:instrText>
    </w:r>
    <w:r w:rsidRPr="00480F35">
      <w:instrText xml:space="preserve">GE </w:instrText>
    </w:r>
    <w:r w:rsidRPr="00480F35">
      <w:fldChar w:fldCharType="separate"/>
    </w:r>
    <w:r w:rsidR="00FE7D77" w:rsidRPr="00480F35">
      <w:instrText>12</w:instrText>
    </w:r>
    <w:r w:rsidRPr="00480F35">
      <w:fldChar w:fldCharType="end"/>
    </w:r>
  </w:p>
  <w:p w:rsidR="00FE7D77" w:rsidRPr="00480F35" w:rsidRDefault="00DF7544">
    <w:pPr>
      <w:pStyle w:val="SidfotV"/>
      <w:framePr w:w="8732" w:h="284" w:hRule="exact" w:hSpace="0" w:vSpace="0" w:wrap="around" w:xAlign="inside" w:y="13042" w:anchorLock="0"/>
    </w:pPr>
    <w:r w:rsidRPr="00480F35">
      <w:instrText>""</w:instrText>
    </w:r>
    <w:r w:rsidRPr="00480F35">
      <w:fldChar w:fldCharType="begin" w:fldLock="1"/>
    </w:r>
    <w:r w:rsidRPr="00480F35">
      <w:instrText xml:space="preserve"> P</w:instrText>
    </w:r>
    <w:r w:rsidRPr="00480F35">
      <w:instrText>A</w:instrText>
    </w:r>
    <w:r w:rsidRPr="00480F35">
      <w:instrText xml:space="preserve">GE </w:instrText>
    </w:r>
    <w:r w:rsidRPr="00480F35">
      <w:fldChar w:fldCharType="separate"/>
    </w:r>
    <w:r w:rsidRPr="00480F35">
      <w:instrText>13</w:instrText>
    </w:r>
    <w:r w:rsidRPr="00480F35">
      <w:fldChar w:fldCharType="end"/>
    </w:r>
    <w:r w:rsidRPr="00480F35">
      <w:instrText>"</w:instrText>
    </w:r>
    <w:r w:rsidRPr="00480F35">
      <w:fldChar w:fldCharType="separate"/>
    </w:r>
    <w:r w:rsidR="00FE7D77" w:rsidRPr="00480F35">
      <w:t>12</w:t>
    </w:r>
  </w:p>
  <w:p w:rsidR="00DF7544" w:rsidRPr="00480F35" w:rsidRDefault="00DF7544">
    <w:pPr>
      <w:pStyle w:val="SidfotH"/>
      <w:framePr w:w="8732" w:h="284" w:hRule="exact" w:hSpace="0" w:vSpace="0" w:wrap="around" w:xAlign="inside" w:y="13042" w:anchorLock="0"/>
    </w:pPr>
    <w:r w:rsidRPr="00480F35">
      <w:fldChar w:fldCharType="end"/>
    </w:r>
  </w:p>
  <w:p w:rsidR="00DF7544" w:rsidRPr="00480F35" w:rsidRDefault="00DF754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544" w:rsidRPr="00480F35" w:rsidRDefault="00DF7544">
    <w:pPr>
      <w:pStyle w:val="SidfotH"/>
      <w:framePr w:w="8732" w:h="284" w:hRule="exact" w:hSpace="0" w:vSpace="0" w:wrap="around" w:xAlign="inside" w:y="13042" w:anchorLock="0"/>
    </w:pPr>
    <w:r w:rsidRPr="00480F35">
      <w:fldChar w:fldCharType="begin" w:fldLock="1"/>
    </w:r>
    <w:r w:rsidRPr="00480F35">
      <w:instrText xml:space="preserve"> P</w:instrText>
    </w:r>
    <w:r w:rsidRPr="00480F35">
      <w:instrText>A</w:instrText>
    </w:r>
    <w:r w:rsidRPr="00480F35">
      <w:instrText xml:space="preserve">GE </w:instrText>
    </w:r>
    <w:r w:rsidRPr="00480F35">
      <w:fldChar w:fldCharType="separate"/>
    </w:r>
    <w:r w:rsidRPr="00480F35">
      <w:t>3</w:t>
    </w:r>
    <w:r w:rsidRPr="00480F35">
      <w:fldChar w:fldCharType="end"/>
    </w:r>
  </w:p>
  <w:p w:rsidR="00DF7544" w:rsidRPr="00480F35" w:rsidRDefault="00DF754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544" w:rsidRPr="00480F35" w:rsidRDefault="00DF7544">
    <w:pPr>
      <w:pStyle w:val="SidfotV"/>
      <w:framePr w:w="8732" w:h="284" w:hRule="exact" w:hSpace="0" w:vSpace="0" w:wrap="around" w:xAlign="inside" w:y="13042" w:anchorLock="0"/>
    </w:pPr>
    <w:r w:rsidRPr="00480F35">
      <w:fldChar w:fldCharType="begin" w:fldLock="1"/>
    </w:r>
    <w:r w:rsidRPr="00480F35">
      <w:instrText xml:space="preserve"> if </w:instrText>
    </w:r>
    <w:r w:rsidRPr="00480F35">
      <w:fldChar w:fldCharType="begin" w:fldLock="1"/>
    </w:r>
    <w:r w:rsidRPr="00480F35">
      <w:instrText xml:space="preserve"> = </w:instrText>
    </w:r>
    <w:r w:rsidRPr="00480F35">
      <w:fldChar w:fldCharType="begin" w:fldLock="1"/>
    </w:r>
    <w:r w:rsidRPr="00480F35">
      <w:instrText xml:space="preserve"> = </w:instrText>
    </w:r>
    <w:r w:rsidRPr="00480F35">
      <w:fldChar w:fldCharType="begin" w:fldLock="1"/>
    </w:r>
    <w:r w:rsidRPr="00480F35">
      <w:instrText xml:space="preserve"> page</w:instrText>
    </w:r>
    <w:r w:rsidRPr="00480F35">
      <w:fldChar w:fldCharType="separate"/>
    </w:r>
    <w:r w:rsidR="00480F35">
      <w:rPr>
        <w:noProof/>
      </w:rPr>
      <w:instrText>1</w:instrText>
    </w:r>
    <w:r w:rsidRPr="00480F35">
      <w:fldChar w:fldCharType="end"/>
    </w:r>
    <w:r w:rsidRPr="00480F35">
      <w:instrText xml:space="preserve">/2 </w:instrText>
    </w:r>
    <w:r w:rsidRPr="00480F35">
      <w:fldChar w:fldCharType="separate"/>
    </w:r>
    <w:r w:rsidR="00480F35">
      <w:rPr>
        <w:noProof/>
      </w:rPr>
      <w:instrText>0,5</w:instrText>
    </w:r>
    <w:r w:rsidRPr="00480F35">
      <w:fldChar w:fldCharType="end"/>
    </w:r>
    <w:r w:rsidRPr="00480F35">
      <w:instrText xml:space="preserve"> - </w:instrText>
    </w:r>
    <w:r w:rsidRPr="00480F35">
      <w:fldChar w:fldCharType="begin" w:fldLock="1"/>
    </w:r>
    <w:r w:rsidRPr="00480F35">
      <w:instrText xml:space="preserve"> = int(</w:instrText>
    </w:r>
    <w:r w:rsidRPr="00480F35">
      <w:fldChar w:fldCharType="begin" w:fldLock="1"/>
    </w:r>
    <w:r w:rsidRPr="00480F35">
      <w:instrText xml:space="preserve"> page</w:instrText>
    </w:r>
    <w:r w:rsidRPr="00480F35">
      <w:fldChar w:fldCharType="separate"/>
    </w:r>
    <w:r w:rsidR="00480F35">
      <w:rPr>
        <w:noProof/>
      </w:rPr>
      <w:instrText>1</w:instrText>
    </w:r>
    <w:r w:rsidRPr="00480F35">
      <w:fldChar w:fldCharType="end"/>
    </w:r>
    <w:r w:rsidRPr="00480F35">
      <w:instrText xml:space="preserve">/2) </w:instrText>
    </w:r>
    <w:r w:rsidRPr="00480F35">
      <w:fldChar w:fldCharType="separate"/>
    </w:r>
    <w:r w:rsidR="00480F35">
      <w:rPr>
        <w:noProof/>
      </w:rPr>
      <w:instrText>0</w:instrText>
    </w:r>
    <w:r w:rsidRPr="00480F35">
      <w:fldChar w:fldCharType="end"/>
    </w:r>
    <w:r w:rsidRPr="00480F35">
      <w:fldChar w:fldCharType="separate"/>
    </w:r>
    <w:r w:rsidR="00480F35">
      <w:rPr>
        <w:noProof/>
      </w:rPr>
      <w:instrText>0,5</w:instrText>
    </w:r>
    <w:r w:rsidRPr="00480F35">
      <w:fldChar w:fldCharType="end"/>
    </w:r>
    <w:r w:rsidRPr="00480F35">
      <w:instrText xml:space="preserve"> = 0 "</w:instrText>
    </w:r>
    <w:r w:rsidRPr="00480F35">
      <w:fldChar w:fldCharType="begin" w:fldLock="1"/>
    </w:r>
    <w:r w:rsidRPr="00480F35">
      <w:instrText xml:space="preserve"> P</w:instrText>
    </w:r>
    <w:r w:rsidRPr="00480F35">
      <w:instrText>A</w:instrText>
    </w:r>
    <w:r w:rsidRPr="00480F35">
      <w:instrText xml:space="preserve">GE </w:instrText>
    </w:r>
    <w:r w:rsidRPr="00480F35">
      <w:fldChar w:fldCharType="separate"/>
    </w:r>
    <w:r w:rsidRPr="00480F35">
      <w:instrText>14</w:instrText>
    </w:r>
    <w:r w:rsidRPr="00480F35">
      <w:fldChar w:fldCharType="end"/>
    </w:r>
  </w:p>
  <w:p w:rsidR="00DF7544" w:rsidRPr="00480F35" w:rsidRDefault="00DF7544">
    <w:pPr>
      <w:pStyle w:val="SidfotH"/>
      <w:framePr w:w="8732" w:h="284" w:hRule="exact" w:hSpace="0" w:vSpace="0" w:wrap="around" w:xAlign="inside" w:y="13042" w:anchorLock="0"/>
    </w:pPr>
    <w:r w:rsidRPr="00480F35">
      <w:instrText>""</w:instrText>
    </w:r>
    <w:r w:rsidRPr="00480F35">
      <w:fldChar w:fldCharType="begin" w:fldLock="1"/>
    </w:r>
    <w:r w:rsidRPr="00480F35">
      <w:instrText xml:space="preserve"> P</w:instrText>
    </w:r>
    <w:r w:rsidRPr="00480F35">
      <w:instrText>A</w:instrText>
    </w:r>
    <w:r w:rsidRPr="00480F35">
      <w:instrText xml:space="preserve">GE </w:instrText>
    </w:r>
    <w:r w:rsidRPr="00480F35">
      <w:fldChar w:fldCharType="separate"/>
    </w:r>
    <w:r w:rsidR="00480F35">
      <w:rPr>
        <w:noProof/>
      </w:rPr>
      <w:instrText>1</w:instrText>
    </w:r>
    <w:r w:rsidRPr="00480F35">
      <w:fldChar w:fldCharType="end"/>
    </w:r>
    <w:r w:rsidRPr="00480F35">
      <w:instrText>"</w:instrText>
    </w:r>
    <w:r w:rsidRPr="00480F35">
      <w:fldChar w:fldCharType="separate"/>
    </w:r>
    <w:r w:rsidR="00480F35">
      <w:rPr>
        <w:noProof/>
      </w:rPr>
      <w:t>1</w:t>
    </w:r>
    <w:r w:rsidRPr="00480F35">
      <w:fldChar w:fldCharType="end"/>
    </w:r>
  </w:p>
  <w:p w:rsidR="00DF7544" w:rsidRPr="00480F35" w:rsidRDefault="00DF754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544" w:rsidRPr="00480F35" w:rsidRDefault="00DF7544">
    <w:pPr>
      <w:pStyle w:val="SidfotV"/>
      <w:framePr w:w="8732" w:h="284" w:hRule="exact" w:hSpace="0" w:vSpace="0" w:wrap="around" w:xAlign="inside" w:y="13042" w:anchorLock="0"/>
    </w:pPr>
    <w:r w:rsidRPr="00480F35">
      <w:fldChar w:fldCharType="begin" w:fldLock="1"/>
    </w:r>
    <w:r w:rsidRPr="00480F35">
      <w:instrText xml:space="preserve"> P</w:instrText>
    </w:r>
    <w:r w:rsidRPr="00480F35">
      <w:instrText>A</w:instrText>
    </w:r>
    <w:r w:rsidRPr="00480F35">
      <w:instrText xml:space="preserve">GE </w:instrText>
    </w:r>
    <w:r w:rsidRPr="00480F35">
      <w:fldChar w:fldCharType="separate"/>
    </w:r>
    <w:r w:rsidRPr="00480F35">
      <w:t>2</w:t>
    </w:r>
    <w:r w:rsidRPr="00480F35">
      <w:fldChar w:fldCharType="end"/>
    </w:r>
  </w:p>
  <w:p w:rsidR="00DF7544" w:rsidRPr="00480F35" w:rsidRDefault="00DF754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544" w:rsidRPr="00480F35" w:rsidRDefault="00DF7544">
    <w:pPr>
      <w:pStyle w:val="SidfotH"/>
      <w:framePr w:w="8732" w:h="284" w:hRule="exact" w:hSpace="0" w:vSpace="0" w:wrap="around" w:xAlign="inside" w:y="13042" w:anchorLock="0"/>
    </w:pPr>
    <w:r w:rsidRPr="00480F35">
      <w:fldChar w:fldCharType="begin" w:fldLock="1"/>
    </w:r>
    <w:r w:rsidRPr="00480F35">
      <w:instrText xml:space="preserve"> P</w:instrText>
    </w:r>
    <w:r w:rsidRPr="00480F35">
      <w:instrText>A</w:instrText>
    </w:r>
    <w:r w:rsidRPr="00480F35">
      <w:instrText xml:space="preserve">GE </w:instrText>
    </w:r>
    <w:r w:rsidRPr="00480F35">
      <w:fldChar w:fldCharType="separate"/>
    </w:r>
    <w:r w:rsidRPr="00480F35">
      <w:t>3</w:t>
    </w:r>
    <w:r w:rsidRPr="00480F35">
      <w:fldChar w:fldCharType="end"/>
    </w:r>
  </w:p>
  <w:p w:rsidR="00DF7544" w:rsidRPr="00480F35" w:rsidRDefault="00DF754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544" w:rsidRPr="00480F35" w:rsidRDefault="00DF7544">
    <w:pPr>
      <w:pStyle w:val="SidfotV"/>
      <w:framePr w:w="8732" w:h="284" w:hRule="exact" w:hSpace="0" w:vSpace="0" w:wrap="around" w:xAlign="inside" w:y="13042" w:anchorLock="0"/>
    </w:pPr>
    <w:r w:rsidRPr="00480F35">
      <w:fldChar w:fldCharType="begin" w:fldLock="1"/>
    </w:r>
    <w:r w:rsidRPr="00480F35">
      <w:instrText xml:space="preserve"> if </w:instrText>
    </w:r>
    <w:r w:rsidRPr="00480F35">
      <w:fldChar w:fldCharType="begin" w:fldLock="1"/>
    </w:r>
    <w:r w:rsidRPr="00480F35">
      <w:instrText xml:space="preserve"> = </w:instrText>
    </w:r>
    <w:r w:rsidRPr="00480F35">
      <w:fldChar w:fldCharType="begin" w:fldLock="1"/>
    </w:r>
    <w:r w:rsidRPr="00480F35">
      <w:instrText xml:space="preserve"> = </w:instrText>
    </w:r>
    <w:r w:rsidRPr="00480F35">
      <w:fldChar w:fldCharType="begin" w:fldLock="1"/>
    </w:r>
    <w:r w:rsidRPr="00480F35">
      <w:instrText xml:space="preserve"> page</w:instrText>
    </w:r>
    <w:r w:rsidRPr="00480F35">
      <w:fldChar w:fldCharType="separate"/>
    </w:r>
    <w:r w:rsidR="00FE7D77" w:rsidRPr="00480F35">
      <w:instrText>2</w:instrText>
    </w:r>
    <w:r w:rsidRPr="00480F35">
      <w:fldChar w:fldCharType="end"/>
    </w:r>
    <w:r w:rsidRPr="00480F35">
      <w:instrText xml:space="preserve">/2 </w:instrText>
    </w:r>
    <w:r w:rsidRPr="00480F35">
      <w:fldChar w:fldCharType="separate"/>
    </w:r>
    <w:r w:rsidR="00FE7D77" w:rsidRPr="00480F35">
      <w:instrText>1</w:instrText>
    </w:r>
    <w:r w:rsidRPr="00480F35">
      <w:fldChar w:fldCharType="end"/>
    </w:r>
    <w:r w:rsidRPr="00480F35">
      <w:instrText xml:space="preserve"> - </w:instrText>
    </w:r>
    <w:r w:rsidRPr="00480F35">
      <w:fldChar w:fldCharType="begin" w:fldLock="1"/>
    </w:r>
    <w:r w:rsidRPr="00480F35">
      <w:instrText xml:space="preserve"> = int(</w:instrText>
    </w:r>
    <w:r w:rsidRPr="00480F35">
      <w:fldChar w:fldCharType="begin" w:fldLock="1"/>
    </w:r>
    <w:r w:rsidRPr="00480F35">
      <w:instrText xml:space="preserve"> page</w:instrText>
    </w:r>
    <w:r w:rsidRPr="00480F35">
      <w:fldChar w:fldCharType="separate"/>
    </w:r>
    <w:r w:rsidR="00FE7D77" w:rsidRPr="00480F35">
      <w:instrText>2</w:instrText>
    </w:r>
    <w:r w:rsidRPr="00480F35">
      <w:fldChar w:fldCharType="end"/>
    </w:r>
    <w:r w:rsidRPr="00480F35">
      <w:instrText xml:space="preserve">/2) </w:instrText>
    </w:r>
    <w:r w:rsidRPr="00480F35">
      <w:fldChar w:fldCharType="separate"/>
    </w:r>
    <w:r w:rsidR="00FE7D77" w:rsidRPr="00480F35">
      <w:instrText>1</w:instrText>
    </w:r>
    <w:r w:rsidRPr="00480F35">
      <w:fldChar w:fldCharType="end"/>
    </w:r>
    <w:r w:rsidRPr="00480F35">
      <w:fldChar w:fldCharType="separate"/>
    </w:r>
    <w:r w:rsidR="00FE7D77" w:rsidRPr="00480F35">
      <w:instrText>0</w:instrText>
    </w:r>
    <w:r w:rsidRPr="00480F35">
      <w:fldChar w:fldCharType="end"/>
    </w:r>
    <w:r w:rsidRPr="00480F35">
      <w:instrText xml:space="preserve"> = 0 "</w:instrText>
    </w:r>
    <w:r w:rsidRPr="00480F35">
      <w:fldChar w:fldCharType="begin" w:fldLock="1"/>
    </w:r>
    <w:r w:rsidRPr="00480F35">
      <w:instrText xml:space="preserve"> P</w:instrText>
    </w:r>
    <w:r w:rsidRPr="00480F35">
      <w:instrText>A</w:instrText>
    </w:r>
    <w:r w:rsidRPr="00480F35">
      <w:instrText xml:space="preserve">GE </w:instrText>
    </w:r>
    <w:r w:rsidRPr="00480F35">
      <w:fldChar w:fldCharType="separate"/>
    </w:r>
    <w:r w:rsidR="00FE7D77" w:rsidRPr="00480F35">
      <w:instrText>2</w:instrText>
    </w:r>
    <w:r w:rsidRPr="00480F35">
      <w:fldChar w:fldCharType="end"/>
    </w:r>
  </w:p>
  <w:p w:rsidR="00FE7D77" w:rsidRPr="00480F35" w:rsidRDefault="00DF7544">
    <w:pPr>
      <w:pStyle w:val="SidfotV"/>
      <w:framePr w:w="8732" w:h="284" w:hRule="exact" w:hSpace="0" w:vSpace="0" w:wrap="around" w:xAlign="inside" w:y="13042" w:anchorLock="0"/>
    </w:pPr>
    <w:r w:rsidRPr="00480F35">
      <w:instrText>""</w:instrText>
    </w:r>
    <w:r w:rsidRPr="00480F35">
      <w:fldChar w:fldCharType="begin" w:fldLock="1"/>
    </w:r>
    <w:r w:rsidRPr="00480F35">
      <w:instrText xml:space="preserve"> P</w:instrText>
    </w:r>
    <w:r w:rsidRPr="00480F35">
      <w:instrText>A</w:instrText>
    </w:r>
    <w:r w:rsidRPr="00480F35">
      <w:instrText xml:space="preserve">GE </w:instrText>
    </w:r>
    <w:r w:rsidRPr="00480F35">
      <w:fldChar w:fldCharType="separate"/>
    </w:r>
    <w:r w:rsidRPr="00480F35">
      <w:instrText>1</w:instrText>
    </w:r>
    <w:r w:rsidRPr="00480F35">
      <w:fldChar w:fldCharType="end"/>
    </w:r>
    <w:r w:rsidRPr="00480F35">
      <w:instrText>"</w:instrText>
    </w:r>
    <w:r w:rsidRPr="00480F35">
      <w:fldChar w:fldCharType="separate"/>
    </w:r>
    <w:r w:rsidR="00FE7D77" w:rsidRPr="00480F35">
      <w:t>2</w:t>
    </w:r>
  </w:p>
  <w:p w:rsidR="00DF7544" w:rsidRPr="00480F35" w:rsidRDefault="00DF7544">
    <w:pPr>
      <w:pStyle w:val="SidfotH"/>
      <w:framePr w:w="8732" w:h="284" w:hRule="exact" w:hSpace="0" w:vSpace="0" w:wrap="around" w:xAlign="inside" w:y="13042" w:anchorLock="0"/>
    </w:pPr>
    <w:r w:rsidRPr="00480F35">
      <w:fldChar w:fldCharType="end"/>
    </w:r>
  </w:p>
  <w:p w:rsidR="00DF7544" w:rsidRPr="00480F35" w:rsidRDefault="00DF754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544" w:rsidRPr="00480F35" w:rsidRDefault="00DF7544">
    <w:pPr>
      <w:pStyle w:val="SidfotV"/>
      <w:framePr w:w="8732" w:h="284" w:hRule="exact" w:hSpace="0" w:vSpace="0" w:wrap="around" w:xAlign="inside" w:y="13042" w:anchorLock="0"/>
    </w:pPr>
    <w:r w:rsidRPr="00480F35">
      <w:fldChar w:fldCharType="begin" w:fldLock="1"/>
    </w:r>
    <w:r w:rsidRPr="00480F35">
      <w:instrText xml:space="preserve"> P</w:instrText>
    </w:r>
    <w:r w:rsidRPr="00480F35">
      <w:instrText>A</w:instrText>
    </w:r>
    <w:r w:rsidRPr="00480F35">
      <w:instrText xml:space="preserve">GE </w:instrText>
    </w:r>
    <w:r w:rsidRPr="00480F35">
      <w:fldChar w:fldCharType="separate"/>
    </w:r>
    <w:r w:rsidRPr="00480F35">
      <w:t>2</w:t>
    </w:r>
    <w:r w:rsidRPr="00480F35">
      <w:fldChar w:fldCharType="end"/>
    </w:r>
  </w:p>
  <w:p w:rsidR="00DF7544" w:rsidRPr="00480F35" w:rsidRDefault="00DF754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544" w:rsidRPr="00480F35" w:rsidRDefault="00DF7544">
    <w:pPr>
      <w:pStyle w:val="SidfotH"/>
      <w:framePr w:w="8732" w:h="284" w:hRule="exact" w:hSpace="0" w:vSpace="0" w:wrap="around" w:xAlign="inside" w:y="13042" w:anchorLock="0"/>
    </w:pPr>
    <w:r w:rsidRPr="00480F35">
      <w:fldChar w:fldCharType="begin" w:fldLock="1"/>
    </w:r>
    <w:r w:rsidRPr="00480F35">
      <w:instrText xml:space="preserve"> P</w:instrText>
    </w:r>
    <w:r w:rsidRPr="00480F35">
      <w:instrText>A</w:instrText>
    </w:r>
    <w:r w:rsidRPr="00480F35">
      <w:instrText xml:space="preserve">GE </w:instrText>
    </w:r>
    <w:r w:rsidRPr="00480F35">
      <w:fldChar w:fldCharType="separate"/>
    </w:r>
    <w:r w:rsidRPr="00480F35">
      <w:t>3</w:t>
    </w:r>
    <w:r w:rsidRPr="00480F35">
      <w:fldChar w:fldCharType="end"/>
    </w:r>
  </w:p>
  <w:p w:rsidR="00DF7544" w:rsidRPr="00480F35" w:rsidRDefault="00DF754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544" w:rsidRPr="00480F35" w:rsidRDefault="00DF7544">
    <w:pPr>
      <w:pStyle w:val="SidfotV"/>
      <w:framePr w:w="8732" w:h="284" w:hRule="exact" w:hSpace="0" w:vSpace="0" w:wrap="around" w:xAlign="inside" w:y="13042" w:anchorLock="0"/>
    </w:pPr>
    <w:r w:rsidRPr="00480F35">
      <w:fldChar w:fldCharType="begin" w:fldLock="1"/>
    </w:r>
    <w:r w:rsidRPr="00480F35">
      <w:instrText xml:space="preserve"> if </w:instrText>
    </w:r>
    <w:r w:rsidRPr="00480F35">
      <w:fldChar w:fldCharType="begin" w:fldLock="1"/>
    </w:r>
    <w:r w:rsidRPr="00480F35">
      <w:instrText xml:space="preserve"> = </w:instrText>
    </w:r>
    <w:r w:rsidRPr="00480F35">
      <w:fldChar w:fldCharType="begin" w:fldLock="1"/>
    </w:r>
    <w:r w:rsidRPr="00480F35">
      <w:instrText xml:space="preserve"> = </w:instrText>
    </w:r>
    <w:r w:rsidRPr="00480F35">
      <w:fldChar w:fldCharType="begin" w:fldLock="1"/>
    </w:r>
    <w:r w:rsidRPr="00480F35">
      <w:instrText xml:space="preserve"> page</w:instrText>
    </w:r>
    <w:r w:rsidRPr="00480F35">
      <w:fldChar w:fldCharType="separate"/>
    </w:r>
    <w:r w:rsidR="00FE7D77" w:rsidRPr="00480F35">
      <w:instrText>3</w:instrText>
    </w:r>
    <w:r w:rsidRPr="00480F35">
      <w:fldChar w:fldCharType="end"/>
    </w:r>
    <w:r w:rsidRPr="00480F35">
      <w:instrText xml:space="preserve">/2 </w:instrText>
    </w:r>
    <w:r w:rsidRPr="00480F35">
      <w:fldChar w:fldCharType="separate"/>
    </w:r>
    <w:r w:rsidR="00FE7D77" w:rsidRPr="00480F35">
      <w:instrText>1,5</w:instrText>
    </w:r>
    <w:r w:rsidRPr="00480F35">
      <w:fldChar w:fldCharType="end"/>
    </w:r>
    <w:r w:rsidRPr="00480F35">
      <w:instrText xml:space="preserve"> - </w:instrText>
    </w:r>
    <w:r w:rsidRPr="00480F35">
      <w:fldChar w:fldCharType="begin" w:fldLock="1"/>
    </w:r>
    <w:r w:rsidRPr="00480F35">
      <w:instrText xml:space="preserve"> = int(</w:instrText>
    </w:r>
    <w:r w:rsidRPr="00480F35">
      <w:fldChar w:fldCharType="begin" w:fldLock="1"/>
    </w:r>
    <w:r w:rsidRPr="00480F35">
      <w:instrText xml:space="preserve"> page</w:instrText>
    </w:r>
    <w:r w:rsidRPr="00480F35">
      <w:fldChar w:fldCharType="separate"/>
    </w:r>
    <w:r w:rsidR="00FE7D77" w:rsidRPr="00480F35">
      <w:instrText>3</w:instrText>
    </w:r>
    <w:r w:rsidRPr="00480F35">
      <w:fldChar w:fldCharType="end"/>
    </w:r>
    <w:r w:rsidRPr="00480F35">
      <w:instrText xml:space="preserve">/2) </w:instrText>
    </w:r>
    <w:r w:rsidRPr="00480F35">
      <w:fldChar w:fldCharType="separate"/>
    </w:r>
    <w:r w:rsidR="00FE7D77" w:rsidRPr="00480F35">
      <w:instrText>1</w:instrText>
    </w:r>
    <w:r w:rsidRPr="00480F35">
      <w:fldChar w:fldCharType="end"/>
    </w:r>
    <w:r w:rsidRPr="00480F35">
      <w:fldChar w:fldCharType="separate"/>
    </w:r>
    <w:r w:rsidR="00FE7D77" w:rsidRPr="00480F35">
      <w:instrText>0,5</w:instrText>
    </w:r>
    <w:r w:rsidRPr="00480F35">
      <w:fldChar w:fldCharType="end"/>
    </w:r>
    <w:r w:rsidRPr="00480F35">
      <w:instrText xml:space="preserve"> = 0 "</w:instrText>
    </w:r>
    <w:r w:rsidRPr="00480F35">
      <w:fldChar w:fldCharType="begin" w:fldLock="1"/>
    </w:r>
    <w:r w:rsidRPr="00480F35">
      <w:instrText xml:space="preserve"> P</w:instrText>
    </w:r>
    <w:r w:rsidRPr="00480F35">
      <w:instrText>A</w:instrText>
    </w:r>
    <w:r w:rsidRPr="00480F35">
      <w:instrText xml:space="preserve">GE </w:instrText>
    </w:r>
    <w:r w:rsidRPr="00480F35">
      <w:fldChar w:fldCharType="separate"/>
    </w:r>
    <w:r w:rsidRPr="00480F35">
      <w:instrText>2</w:instrText>
    </w:r>
    <w:r w:rsidRPr="00480F35">
      <w:fldChar w:fldCharType="end"/>
    </w:r>
  </w:p>
  <w:p w:rsidR="00DF7544" w:rsidRPr="00480F35" w:rsidRDefault="00DF7544">
    <w:pPr>
      <w:pStyle w:val="SidfotH"/>
      <w:framePr w:w="8732" w:h="284" w:hRule="exact" w:hSpace="0" w:vSpace="0" w:wrap="around" w:xAlign="inside" w:y="13042" w:anchorLock="0"/>
    </w:pPr>
    <w:r w:rsidRPr="00480F35">
      <w:instrText>""</w:instrText>
    </w:r>
    <w:r w:rsidRPr="00480F35">
      <w:fldChar w:fldCharType="begin" w:fldLock="1"/>
    </w:r>
    <w:r w:rsidRPr="00480F35">
      <w:instrText xml:space="preserve"> P</w:instrText>
    </w:r>
    <w:r w:rsidRPr="00480F35">
      <w:instrText>A</w:instrText>
    </w:r>
    <w:r w:rsidRPr="00480F35">
      <w:instrText xml:space="preserve">GE </w:instrText>
    </w:r>
    <w:r w:rsidRPr="00480F35">
      <w:fldChar w:fldCharType="separate"/>
    </w:r>
    <w:r w:rsidR="00FE7D77" w:rsidRPr="00480F35">
      <w:instrText>3</w:instrText>
    </w:r>
    <w:r w:rsidRPr="00480F35">
      <w:fldChar w:fldCharType="end"/>
    </w:r>
    <w:r w:rsidRPr="00480F35">
      <w:instrText>"</w:instrText>
    </w:r>
    <w:r w:rsidRPr="00480F35">
      <w:fldChar w:fldCharType="separate"/>
    </w:r>
    <w:r w:rsidR="00FE7D77" w:rsidRPr="00480F35">
      <w:t>3</w:t>
    </w:r>
    <w:r w:rsidRPr="00480F35">
      <w:fldChar w:fldCharType="end"/>
    </w:r>
  </w:p>
  <w:p w:rsidR="00DF7544" w:rsidRPr="00480F35" w:rsidRDefault="00DF75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567D" w:rsidRPr="00480F35" w:rsidRDefault="0053567D">
      <w:r w:rsidRPr="00480F35">
        <w:separator/>
      </w:r>
    </w:p>
  </w:footnote>
  <w:footnote w:type="continuationSeparator" w:id="0">
    <w:p w:rsidR="0053567D" w:rsidRPr="00480F35" w:rsidRDefault="0053567D">
      <w:r w:rsidRPr="00480F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544" w:rsidRPr="00480F35" w:rsidRDefault="00DF7544">
    <w:pPr>
      <w:pStyle w:val="SidhuvudKantJmn"/>
      <w:framePr w:w="8732" w:h="567" w:hRule="exact" w:vSpace="0" w:wrap="around" w:vAnchor="page" w:y="341" w:anchorLock="0"/>
    </w:pPr>
    <w:r w:rsidRPr="00480F35">
      <w:rPr>
        <w:rStyle w:val="SidhuvudUtskott"/>
      </w:rPr>
      <w:fldChar w:fldCharType="begin" w:fldLock="1"/>
    </w:r>
    <w:r w:rsidRPr="00480F35">
      <w:rPr>
        <w:rStyle w:val="SidhuvudUtskott"/>
      </w:rPr>
      <w:instrText xml:space="preserve"> DOCPROPERTY BetänkandeÅr</w:instrText>
    </w:r>
    <w:r w:rsidRPr="00480F35">
      <w:rPr>
        <w:rStyle w:val="SidhuvudUtskott"/>
      </w:rPr>
      <w:fldChar w:fldCharType="separate"/>
    </w:r>
    <w:r w:rsidRPr="00480F35">
      <w:rPr>
        <w:rStyle w:val="SidhuvudUtskott"/>
      </w:rPr>
      <w:t>2005/06</w:t>
    </w:r>
    <w:r w:rsidRPr="00480F35">
      <w:rPr>
        <w:rStyle w:val="SidhuvudUtskott"/>
      </w:rPr>
      <w:fldChar w:fldCharType="end"/>
    </w:r>
    <w:r w:rsidRPr="00480F35">
      <w:rPr>
        <w:rStyle w:val="SidhuvudUtskott"/>
      </w:rPr>
      <w:t>:</w:t>
    </w:r>
    <w:r w:rsidRPr="00480F35">
      <w:rPr>
        <w:rStyle w:val="SidhuvudUtskott"/>
      </w:rPr>
      <w:fldChar w:fldCharType="begin" w:fldLock="1"/>
    </w:r>
    <w:r w:rsidRPr="00480F35">
      <w:rPr>
        <w:rStyle w:val="SidhuvudUtskott"/>
      </w:rPr>
      <w:instrText xml:space="preserve"> DOCPROPERTY Utskott</w:instrText>
    </w:r>
    <w:r w:rsidRPr="00480F35">
      <w:rPr>
        <w:rStyle w:val="SidhuvudUtskott"/>
      </w:rPr>
      <w:fldChar w:fldCharType="separate"/>
    </w:r>
    <w:r w:rsidRPr="00480F35">
      <w:rPr>
        <w:rStyle w:val="SidhuvudUtskott"/>
      </w:rPr>
      <w:t>FöU</w:t>
    </w:r>
    <w:r w:rsidRPr="00480F35">
      <w:rPr>
        <w:rStyle w:val="SidhuvudUtskott"/>
      </w:rPr>
      <w:fldChar w:fldCharType="end"/>
    </w:r>
    <w:r w:rsidRPr="00480F35">
      <w:rPr>
        <w:rStyle w:val="SidhuvudUtskott"/>
      </w:rPr>
      <w:fldChar w:fldCharType="begin" w:fldLock="1"/>
    </w:r>
    <w:r w:rsidRPr="00480F35">
      <w:rPr>
        <w:rStyle w:val="SidhuvudUtskott"/>
      </w:rPr>
      <w:instrText xml:space="preserve"> DOCPROPERTY BetänkandeNr</w:instrText>
    </w:r>
    <w:r w:rsidRPr="00480F35">
      <w:rPr>
        <w:rStyle w:val="SidhuvudUtskott"/>
      </w:rPr>
      <w:fldChar w:fldCharType="separate"/>
    </w:r>
    <w:r w:rsidRPr="00480F35">
      <w:rPr>
        <w:rStyle w:val="SidhuvudUtskott"/>
      </w:rPr>
      <w:t>10</w:t>
    </w:r>
    <w:r w:rsidRPr="00480F35">
      <w:rPr>
        <w:rStyle w:val="SidhuvudUtskott"/>
      </w:rPr>
      <w:fldChar w:fldCharType="end"/>
    </w:r>
    <w:r w:rsidRPr="00480F35">
      <w:t xml:space="preserve">     </w:t>
    </w:r>
    <w:r w:rsidRPr="00480F35">
      <w:rPr>
        <w:rStyle w:val="SidhuvudBilaga"/>
      </w:rPr>
      <w:t xml:space="preserve"> </w:t>
    </w:r>
    <w:r w:rsidRPr="00480F35">
      <w:rPr>
        <w:rStyle w:val="SidhuvudRubrikReferens"/>
      </w:rPr>
      <w:fldChar w:fldCharType="begin" w:fldLock="1"/>
    </w:r>
    <w:r w:rsidRPr="00480F35">
      <w:rPr>
        <w:rStyle w:val="SidhuvudRubrikReferens"/>
      </w:rPr>
      <w:instrText xml:space="preserve"> StyleREF "Rubrik 1" </w:instrText>
    </w:r>
    <w:r w:rsidRPr="00480F35">
      <w:rPr>
        <w:rStyle w:val="SidhuvudRubrikReferens"/>
      </w:rPr>
      <w:fldChar w:fldCharType="separate"/>
    </w:r>
    <w:r w:rsidRPr="00480F35">
      <w:rPr>
        <w:rStyle w:val="SidhuvudRubrikReferens"/>
      </w:rPr>
      <w:t>Sammanfattning</w:t>
    </w:r>
    <w:r w:rsidRPr="00480F35">
      <w:rPr>
        <w:rStyle w:val="SidhuvudRubrikReferens"/>
      </w:rPr>
      <w:fldChar w:fldCharType="end"/>
    </w:r>
  </w:p>
  <w:p w:rsidR="00DF7544" w:rsidRPr="00480F35" w:rsidRDefault="00DF7544">
    <w:pPr>
      <w:pStyle w:val="SidhuvudKantJmn"/>
      <w:framePr w:w="8732" w:h="567" w:hRule="exact" w:vSpace="0" w:wrap="around" w:vAnchor="page" w:y="341" w:anchorLock="0"/>
    </w:pPr>
    <w:r w:rsidRPr="00480F35">
      <w:rPr>
        <w:rStyle w:val="SidhuvudUtskott"/>
      </w:rPr>
      <w:fldChar w:fldCharType="begin" w:fldLock="1"/>
    </w:r>
    <w:r w:rsidRPr="00480F35">
      <w:rPr>
        <w:rStyle w:val="SidhuvudUtskott"/>
      </w:rPr>
      <w:instrText xml:space="preserve"> DOCPROPERTY Status</w:instrText>
    </w:r>
    <w:r w:rsidRPr="00480F35">
      <w:rPr>
        <w:rStyle w:val="SidhuvudUtskott"/>
      </w:rPr>
      <w:fldChar w:fldCharType="end"/>
    </w:r>
    <w:r w:rsidRPr="00480F35">
      <w:rPr>
        <w:rStyle w:val="SidhuvudUtskott"/>
      </w:rPr>
      <w:fldChar w:fldCharType="begin" w:fldLock="1"/>
    </w:r>
    <w:r w:rsidRPr="00480F35">
      <w:rPr>
        <w:rStyle w:val="SidhuvudUtskott"/>
      </w:rPr>
      <w:instrText xml:space="preserve"> if </w:instrText>
    </w:r>
    <w:r w:rsidRPr="00480F35">
      <w:rPr>
        <w:rStyle w:val="SidhuvudUtskott"/>
      </w:rPr>
      <w:fldChar w:fldCharType="begin" w:fldLock="1"/>
    </w:r>
    <w:r w:rsidRPr="00480F35">
      <w:rPr>
        <w:rStyle w:val="SidhuvudUtskott"/>
      </w:rPr>
      <w:instrText xml:space="preserve"> DOCPROPERTY "UtkastDatum"</w:instrText>
    </w:r>
    <w:r w:rsidRPr="00480F35">
      <w:rPr>
        <w:rStyle w:val="SidhuvudUtskott"/>
      </w:rPr>
      <w:fldChar w:fldCharType="separate"/>
    </w:r>
    <w:r w:rsidRPr="00480F35">
      <w:rPr>
        <w:rStyle w:val="SidhuvudUtskott"/>
      </w:rPr>
      <w:instrText>Nej</w:instrText>
    </w:r>
    <w:r w:rsidRPr="00480F35">
      <w:rPr>
        <w:rStyle w:val="SidhuvudUtskott"/>
      </w:rPr>
      <w:fldChar w:fldCharType="end"/>
    </w:r>
    <w:r w:rsidRPr="00480F35">
      <w:rPr>
        <w:rStyle w:val="SidhuvudUtskott"/>
      </w:rPr>
      <w:instrText xml:space="preserve"> = "Ja" "    </w:instrText>
    </w:r>
    <w:r w:rsidRPr="00480F35">
      <w:rPr>
        <w:rStyle w:val="SidhuvudUtskott"/>
      </w:rPr>
      <w:fldChar w:fldCharType="begin" w:fldLock="1"/>
    </w:r>
    <w:r w:rsidRPr="00480F35">
      <w:rPr>
        <w:rStyle w:val="SidhuvudUtskott"/>
      </w:rPr>
      <w:instrText xml:space="preserve"> PRINTDATE \@ "yyyy-MM-dd HH.mm" </w:instrText>
    </w:r>
    <w:r w:rsidRPr="00480F35">
      <w:rPr>
        <w:rStyle w:val="SidhuvudUtskott"/>
      </w:rPr>
      <w:fldChar w:fldCharType="separate"/>
    </w:r>
    <w:r w:rsidRPr="00480F35">
      <w:rPr>
        <w:rStyle w:val="SidhuvudUtskott"/>
      </w:rPr>
      <w:instrText>2000-08-11 16.42</w:instrText>
    </w:r>
    <w:r w:rsidRPr="00480F35">
      <w:rPr>
        <w:rStyle w:val="SidhuvudUtskott"/>
      </w:rPr>
      <w:fldChar w:fldCharType="end"/>
    </w:r>
    <w:r w:rsidRPr="00480F35">
      <w:rPr>
        <w:rStyle w:val="SidhuvudUtskott"/>
      </w:rPr>
      <w:instrText xml:space="preserve">" </w:instrText>
    </w:r>
    <w:r w:rsidRPr="00480F35">
      <w:rPr>
        <w:rStyle w:val="SidhuvudUtskott"/>
      </w:rPr>
      <w:fldChar w:fldCharType="end"/>
    </w:r>
  </w:p>
  <w:p w:rsidR="00DF7544" w:rsidRPr="00480F35" w:rsidRDefault="00DF754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544" w:rsidRPr="00480F35" w:rsidRDefault="00DF7544">
    <w:pPr>
      <w:pStyle w:val="SidhuvudKantJmn"/>
      <w:framePr w:w="8732" w:h="567" w:hRule="exact" w:vSpace="0" w:wrap="around" w:vAnchor="page" w:y="341" w:anchorLock="0"/>
    </w:pPr>
    <w:r w:rsidRPr="00480F35">
      <w:rPr>
        <w:rStyle w:val="SidhuvudUtskott"/>
      </w:rPr>
      <w:t>2005/06:FöU10</w:t>
    </w:r>
    <w:r w:rsidRPr="00480F35">
      <w:t xml:space="preserve">     </w:t>
    </w:r>
    <w:r w:rsidRPr="00480F35">
      <w:rPr>
        <w:rStyle w:val="SidhuvudBilaga"/>
      </w:rPr>
      <w:t xml:space="preserve"> </w:t>
    </w:r>
    <w:r w:rsidR="00FE7D77" w:rsidRPr="00480F35">
      <w:rPr>
        <w:rStyle w:val="SidhuvudRubrikReferens"/>
      </w:rPr>
      <w:t>Redogörelse för ärendet</w:t>
    </w:r>
  </w:p>
  <w:p w:rsidR="00DF7544" w:rsidRPr="00480F35" w:rsidRDefault="00DF7544">
    <w:pPr>
      <w:pStyle w:val="SidhuvudKantJmn"/>
      <w:framePr w:w="8732" w:h="567" w:hRule="exact" w:vSpace="0" w:wrap="around" w:vAnchor="page" w:y="341" w:anchorLock="0"/>
    </w:pPr>
  </w:p>
  <w:p w:rsidR="00DF7544" w:rsidRPr="00480F35" w:rsidRDefault="00DF754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544" w:rsidRPr="00480F35" w:rsidRDefault="00FE7D77">
    <w:pPr>
      <w:pStyle w:val="SidhuvudKantUdda"/>
      <w:framePr w:w="8732" w:h="567" w:hRule="exact" w:vSpace="0" w:wrap="around" w:vAnchor="page" w:y="341" w:anchorLock="0"/>
    </w:pPr>
    <w:r w:rsidRPr="00480F35">
      <w:rPr>
        <w:rStyle w:val="SidhuvudRubrikReferens"/>
      </w:rPr>
      <w:t>Redogörelse för ärendet</w:t>
    </w:r>
    <w:r w:rsidR="00DF7544" w:rsidRPr="00480F35">
      <w:rPr>
        <w:rStyle w:val="SidhuvudBilaga"/>
      </w:rPr>
      <w:t xml:space="preserve"> </w:t>
    </w:r>
    <w:r w:rsidR="00DF7544" w:rsidRPr="00480F35">
      <w:t xml:space="preserve">     </w:t>
    </w:r>
    <w:r w:rsidR="00DF7544" w:rsidRPr="00480F35">
      <w:rPr>
        <w:rStyle w:val="SidhuvudUtskott"/>
      </w:rPr>
      <w:t>2005/06:FöU10</w:t>
    </w:r>
  </w:p>
  <w:p w:rsidR="00DF7544" w:rsidRPr="00480F35" w:rsidRDefault="00DF7544">
    <w:pPr>
      <w:pStyle w:val="SidhuvudKantUdda"/>
      <w:framePr w:w="8732" w:h="567" w:hRule="exact" w:vSpace="0" w:wrap="around" w:vAnchor="page" w:y="341" w:anchorLock="0"/>
    </w:pPr>
  </w:p>
  <w:p w:rsidR="00DF7544" w:rsidRPr="00480F35" w:rsidRDefault="00DF754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D77" w:rsidRPr="00480F35" w:rsidRDefault="00FE7D77">
    <w:pPr>
      <w:pStyle w:val="SidhuvudKantJmn"/>
      <w:framePr w:w="8732" w:h="567" w:hRule="exact" w:vSpace="0" w:wrap="around" w:vAnchor="page" w:y="341" w:anchorLock="0"/>
    </w:pPr>
    <w:r w:rsidRPr="00480F35">
      <w:rPr>
        <w:rStyle w:val="SidhuvudUtskott"/>
      </w:rPr>
      <w:t>2005/06:FöU10</w:t>
    </w:r>
    <w:r w:rsidRPr="00480F35">
      <w:t xml:space="preserve">    </w:t>
    </w:r>
  </w:p>
  <w:p w:rsidR="00FE7D77" w:rsidRPr="00480F35" w:rsidRDefault="00FE7D77">
    <w:pPr>
      <w:pStyle w:val="SidhuvudKantJmn"/>
      <w:framePr w:w="8732" w:h="567" w:hRule="exact" w:vSpace="0" w:wrap="around" w:vAnchor="page" w:y="341" w:anchorLock="0"/>
    </w:pPr>
  </w:p>
  <w:p w:rsidR="00DF7544" w:rsidRPr="00480F35" w:rsidRDefault="00FE7D77">
    <w:pPr>
      <w:pStyle w:val="SidhuvudKantUdda"/>
      <w:framePr w:w="8732" w:h="567" w:hRule="exact" w:vSpace="0" w:wrap="around" w:vAnchor="page" w:y="341" w:anchorLock="0"/>
    </w:pPr>
    <w:r w:rsidRPr="00480F35">
      <w:rPr>
        <w:rStyle w:val="SidhuvudRubrikReferens"/>
        <w:smallCaps w:val="0"/>
      </w:rPr>
      <w:t xml:space="preserve"> </w:t>
    </w:r>
  </w:p>
  <w:p w:rsidR="00DF7544" w:rsidRPr="00480F35" w:rsidRDefault="00DF754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544" w:rsidRPr="00480F35" w:rsidRDefault="00DF7544">
    <w:pPr>
      <w:pStyle w:val="SidhuvudKantJmn"/>
      <w:framePr w:w="8732" w:h="567" w:hRule="exact" w:vSpace="0" w:wrap="around" w:vAnchor="page" w:y="341" w:anchorLock="0"/>
    </w:pPr>
    <w:r w:rsidRPr="00480F35">
      <w:rPr>
        <w:rStyle w:val="SidhuvudUtskott"/>
      </w:rPr>
      <w:fldChar w:fldCharType="begin" w:fldLock="1"/>
    </w:r>
    <w:r w:rsidRPr="00480F35">
      <w:rPr>
        <w:rStyle w:val="SidhuvudUtskott"/>
      </w:rPr>
      <w:instrText xml:space="preserve"> DOCPROPERTY BetänkandeÅr</w:instrText>
    </w:r>
    <w:r w:rsidRPr="00480F35">
      <w:rPr>
        <w:rStyle w:val="SidhuvudUtskott"/>
      </w:rPr>
      <w:fldChar w:fldCharType="separate"/>
    </w:r>
    <w:r w:rsidRPr="00480F35">
      <w:rPr>
        <w:rStyle w:val="SidhuvudUtskott"/>
      </w:rPr>
      <w:t>2005/06</w:t>
    </w:r>
    <w:r w:rsidRPr="00480F35">
      <w:rPr>
        <w:rStyle w:val="SidhuvudUtskott"/>
      </w:rPr>
      <w:fldChar w:fldCharType="end"/>
    </w:r>
    <w:r w:rsidRPr="00480F35">
      <w:rPr>
        <w:rStyle w:val="SidhuvudUtskott"/>
      </w:rPr>
      <w:t>:</w:t>
    </w:r>
    <w:r w:rsidRPr="00480F35">
      <w:rPr>
        <w:rStyle w:val="SidhuvudUtskott"/>
      </w:rPr>
      <w:fldChar w:fldCharType="begin" w:fldLock="1"/>
    </w:r>
    <w:r w:rsidRPr="00480F35">
      <w:rPr>
        <w:rStyle w:val="SidhuvudUtskott"/>
      </w:rPr>
      <w:instrText xml:space="preserve"> DOCPROPERTY Utskott</w:instrText>
    </w:r>
    <w:r w:rsidRPr="00480F35">
      <w:rPr>
        <w:rStyle w:val="SidhuvudUtskott"/>
      </w:rPr>
      <w:fldChar w:fldCharType="separate"/>
    </w:r>
    <w:r w:rsidRPr="00480F35">
      <w:rPr>
        <w:rStyle w:val="SidhuvudUtskott"/>
      </w:rPr>
      <w:t>FöU</w:t>
    </w:r>
    <w:r w:rsidRPr="00480F35">
      <w:rPr>
        <w:rStyle w:val="SidhuvudUtskott"/>
      </w:rPr>
      <w:fldChar w:fldCharType="end"/>
    </w:r>
    <w:r w:rsidRPr="00480F35">
      <w:rPr>
        <w:rStyle w:val="SidhuvudUtskott"/>
      </w:rPr>
      <w:fldChar w:fldCharType="begin" w:fldLock="1"/>
    </w:r>
    <w:r w:rsidRPr="00480F35">
      <w:rPr>
        <w:rStyle w:val="SidhuvudUtskott"/>
      </w:rPr>
      <w:instrText xml:space="preserve"> DOCPROPERTY BetänkandeNr</w:instrText>
    </w:r>
    <w:r w:rsidRPr="00480F35">
      <w:rPr>
        <w:rStyle w:val="SidhuvudUtskott"/>
      </w:rPr>
      <w:fldChar w:fldCharType="separate"/>
    </w:r>
    <w:r w:rsidRPr="00480F35">
      <w:rPr>
        <w:rStyle w:val="SidhuvudUtskott"/>
      </w:rPr>
      <w:t>10</w:t>
    </w:r>
    <w:r w:rsidRPr="00480F35">
      <w:rPr>
        <w:rStyle w:val="SidhuvudUtskott"/>
      </w:rPr>
      <w:fldChar w:fldCharType="end"/>
    </w:r>
    <w:r w:rsidRPr="00480F35">
      <w:t xml:space="preserve">     </w:t>
    </w:r>
    <w:r w:rsidRPr="00480F35">
      <w:rPr>
        <w:rStyle w:val="SidhuvudBilaga"/>
      </w:rPr>
      <w:t xml:space="preserve"> </w:t>
    </w:r>
    <w:r w:rsidRPr="00480F35">
      <w:rPr>
        <w:rStyle w:val="SidhuvudRubrikReferens"/>
      </w:rPr>
      <w:fldChar w:fldCharType="begin" w:fldLock="1"/>
    </w:r>
    <w:r w:rsidRPr="00480F35">
      <w:rPr>
        <w:rStyle w:val="SidhuvudRubrikReferens"/>
      </w:rPr>
      <w:instrText xml:space="preserve"> StyleREF "Rubrik 1" </w:instrText>
    </w:r>
    <w:r w:rsidRPr="00480F35">
      <w:rPr>
        <w:rStyle w:val="SidhuvudRubrikReferens"/>
      </w:rPr>
      <w:fldChar w:fldCharType="separate"/>
    </w:r>
    <w:r w:rsidRPr="00480F35">
      <w:rPr>
        <w:rStyle w:val="SidhuvudRubrikReferens"/>
      </w:rPr>
      <w:t>Utskottets överväganden</w:t>
    </w:r>
    <w:r w:rsidRPr="00480F35">
      <w:rPr>
        <w:rStyle w:val="SidhuvudRubrikReferens"/>
      </w:rPr>
      <w:fldChar w:fldCharType="end"/>
    </w:r>
  </w:p>
  <w:p w:rsidR="00DF7544" w:rsidRPr="00480F35" w:rsidRDefault="00DF7544">
    <w:pPr>
      <w:pStyle w:val="SidhuvudKantJmn"/>
      <w:framePr w:w="8732" w:h="567" w:hRule="exact" w:vSpace="0" w:wrap="around" w:vAnchor="page" w:y="341" w:anchorLock="0"/>
    </w:pPr>
    <w:r w:rsidRPr="00480F35">
      <w:rPr>
        <w:rStyle w:val="SidhuvudUtskott"/>
      </w:rPr>
      <w:fldChar w:fldCharType="begin" w:fldLock="1"/>
    </w:r>
    <w:r w:rsidRPr="00480F35">
      <w:rPr>
        <w:rStyle w:val="SidhuvudUtskott"/>
      </w:rPr>
      <w:instrText xml:space="preserve"> DOCPROPERTY Status</w:instrText>
    </w:r>
    <w:r w:rsidRPr="00480F35">
      <w:rPr>
        <w:rStyle w:val="SidhuvudUtskott"/>
      </w:rPr>
      <w:fldChar w:fldCharType="end"/>
    </w:r>
    <w:r w:rsidRPr="00480F35">
      <w:rPr>
        <w:rStyle w:val="SidhuvudUtskott"/>
      </w:rPr>
      <w:fldChar w:fldCharType="begin" w:fldLock="1"/>
    </w:r>
    <w:r w:rsidRPr="00480F35">
      <w:rPr>
        <w:rStyle w:val="SidhuvudUtskott"/>
      </w:rPr>
      <w:instrText xml:space="preserve"> if </w:instrText>
    </w:r>
    <w:r w:rsidRPr="00480F35">
      <w:rPr>
        <w:rStyle w:val="SidhuvudUtskott"/>
      </w:rPr>
      <w:fldChar w:fldCharType="begin" w:fldLock="1"/>
    </w:r>
    <w:r w:rsidRPr="00480F35">
      <w:rPr>
        <w:rStyle w:val="SidhuvudUtskott"/>
      </w:rPr>
      <w:instrText xml:space="preserve"> DOCPROPERTY "UtkastDatum"</w:instrText>
    </w:r>
    <w:r w:rsidRPr="00480F35">
      <w:rPr>
        <w:rStyle w:val="SidhuvudUtskott"/>
      </w:rPr>
      <w:fldChar w:fldCharType="separate"/>
    </w:r>
    <w:r w:rsidRPr="00480F35">
      <w:rPr>
        <w:rStyle w:val="SidhuvudUtskott"/>
      </w:rPr>
      <w:instrText>Nej</w:instrText>
    </w:r>
    <w:r w:rsidRPr="00480F35">
      <w:rPr>
        <w:rStyle w:val="SidhuvudUtskott"/>
      </w:rPr>
      <w:fldChar w:fldCharType="end"/>
    </w:r>
    <w:r w:rsidRPr="00480F35">
      <w:rPr>
        <w:rStyle w:val="SidhuvudUtskott"/>
      </w:rPr>
      <w:instrText xml:space="preserve"> = "Ja" "    </w:instrText>
    </w:r>
    <w:r w:rsidRPr="00480F35">
      <w:rPr>
        <w:rStyle w:val="SidhuvudUtskott"/>
      </w:rPr>
      <w:fldChar w:fldCharType="begin" w:fldLock="1"/>
    </w:r>
    <w:r w:rsidRPr="00480F35">
      <w:rPr>
        <w:rStyle w:val="SidhuvudUtskott"/>
      </w:rPr>
      <w:instrText xml:space="preserve"> PRINTDATE \@ "yyyy-MM-dd HH.mm" </w:instrText>
    </w:r>
    <w:r w:rsidRPr="00480F35">
      <w:rPr>
        <w:rStyle w:val="SidhuvudUtskott"/>
      </w:rPr>
      <w:fldChar w:fldCharType="separate"/>
    </w:r>
    <w:r w:rsidRPr="00480F35">
      <w:rPr>
        <w:rStyle w:val="SidhuvudUtskott"/>
      </w:rPr>
      <w:instrText>2000-08-11 16.42</w:instrText>
    </w:r>
    <w:r w:rsidRPr="00480F35">
      <w:rPr>
        <w:rStyle w:val="SidhuvudUtskott"/>
      </w:rPr>
      <w:fldChar w:fldCharType="end"/>
    </w:r>
    <w:r w:rsidRPr="00480F35">
      <w:rPr>
        <w:rStyle w:val="SidhuvudUtskott"/>
      </w:rPr>
      <w:instrText xml:space="preserve">" </w:instrText>
    </w:r>
    <w:r w:rsidRPr="00480F35">
      <w:rPr>
        <w:rStyle w:val="SidhuvudUtskott"/>
      </w:rPr>
      <w:fldChar w:fldCharType="end"/>
    </w:r>
  </w:p>
  <w:p w:rsidR="00DF7544" w:rsidRPr="00480F35" w:rsidRDefault="00DF754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544" w:rsidRPr="00480F35" w:rsidRDefault="00DF7544">
    <w:pPr>
      <w:pStyle w:val="SidhuvudKantUdda"/>
      <w:framePr w:w="8732" w:h="567" w:hRule="exact" w:vSpace="0" w:wrap="around" w:vAnchor="page" w:y="341" w:anchorLock="0"/>
    </w:pPr>
    <w:r w:rsidRPr="00480F35">
      <w:rPr>
        <w:rStyle w:val="SidhuvudRubrikReferens"/>
      </w:rPr>
      <w:fldChar w:fldCharType="begin" w:fldLock="1"/>
    </w:r>
    <w:r w:rsidRPr="00480F35">
      <w:rPr>
        <w:rStyle w:val="SidhuvudRubrikReferens"/>
      </w:rPr>
      <w:instrText xml:space="preserve"> StyleREF "Rubrik 1" </w:instrText>
    </w:r>
    <w:r w:rsidRPr="00480F35">
      <w:rPr>
        <w:rStyle w:val="SidhuvudRubrikReferens"/>
      </w:rPr>
      <w:fldChar w:fldCharType="separate"/>
    </w:r>
    <w:r w:rsidRPr="00480F35">
      <w:rPr>
        <w:rStyle w:val="SidhuvudRubrikReferens"/>
      </w:rPr>
      <w:t>Utskottets överväganden</w:t>
    </w:r>
    <w:r w:rsidRPr="00480F35">
      <w:rPr>
        <w:rStyle w:val="SidhuvudRubrikReferens"/>
      </w:rPr>
      <w:fldChar w:fldCharType="end"/>
    </w:r>
    <w:r w:rsidRPr="00480F35">
      <w:rPr>
        <w:rStyle w:val="SidhuvudBilaga"/>
      </w:rPr>
      <w:t xml:space="preserve"> </w:t>
    </w:r>
    <w:r w:rsidRPr="00480F35">
      <w:t xml:space="preserve">     </w:t>
    </w:r>
    <w:r w:rsidRPr="00480F35">
      <w:rPr>
        <w:rStyle w:val="SidhuvudUtskott"/>
      </w:rPr>
      <w:fldChar w:fldCharType="begin" w:fldLock="1"/>
    </w:r>
    <w:r w:rsidRPr="00480F35">
      <w:rPr>
        <w:rStyle w:val="SidhuvudUtskott"/>
      </w:rPr>
      <w:instrText xml:space="preserve"> DOCPROPERTY BetänkandeÅr</w:instrText>
    </w:r>
    <w:r w:rsidRPr="00480F35">
      <w:rPr>
        <w:rStyle w:val="SidhuvudUtskott"/>
      </w:rPr>
      <w:fldChar w:fldCharType="separate"/>
    </w:r>
    <w:r w:rsidRPr="00480F35">
      <w:rPr>
        <w:rStyle w:val="SidhuvudUtskott"/>
      </w:rPr>
      <w:t>2005/06</w:t>
    </w:r>
    <w:r w:rsidRPr="00480F35">
      <w:rPr>
        <w:rStyle w:val="SidhuvudUtskott"/>
      </w:rPr>
      <w:fldChar w:fldCharType="end"/>
    </w:r>
    <w:r w:rsidRPr="00480F35">
      <w:rPr>
        <w:rStyle w:val="SidhuvudUtskott"/>
      </w:rPr>
      <w:t>:</w:t>
    </w:r>
    <w:r w:rsidRPr="00480F35">
      <w:rPr>
        <w:rStyle w:val="SidhuvudUtskott"/>
      </w:rPr>
      <w:fldChar w:fldCharType="begin" w:fldLock="1"/>
    </w:r>
    <w:r w:rsidRPr="00480F35">
      <w:rPr>
        <w:rStyle w:val="SidhuvudUtskott"/>
      </w:rPr>
      <w:instrText xml:space="preserve"> DOCPROPERTY</w:instrText>
    </w:r>
    <w:r w:rsidRPr="00480F35">
      <w:instrText xml:space="preserve"> </w:instrText>
    </w:r>
    <w:r w:rsidRPr="00480F35">
      <w:rPr>
        <w:rStyle w:val="SidhuvudUtskott"/>
      </w:rPr>
      <w:instrText>Utskott</w:instrText>
    </w:r>
    <w:r w:rsidRPr="00480F35">
      <w:rPr>
        <w:rStyle w:val="SidhuvudUtskott"/>
      </w:rPr>
      <w:fldChar w:fldCharType="separate"/>
    </w:r>
    <w:r w:rsidRPr="00480F35">
      <w:rPr>
        <w:rStyle w:val="SidhuvudUtskott"/>
      </w:rPr>
      <w:t>FöU</w:t>
    </w:r>
    <w:r w:rsidRPr="00480F35">
      <w:rPr>
        <w:rStyle w:val="SidhuvudUtskott"/>
      </w:rPr>
      <w:fldChar w:fldCharType="end"/>
    </w:r>
    <w:r w:rsidRPr="00480F35">
      <w:rPr>
        <w:rStyle w:val="SidhuvudUtskott"/>
      </w:rPr>
      <w:fldChar w:fldCharType="begin" w:fldLock="1"/>
    </w:r>
    <w:r w:rsidRPr="00480F35">
      <w:rPr>
        <w:rStyle w:val="SidhuvudUtskott"/>
      </w:rPr>
      <w:instrText xml:space="preserve"> DOCPROPERTY Betä</w:instrText>
    </w:r>
    <w:r w:rsidRPr="00480F35">
      <w:rPr>
        <w:rStyle w:val="SidhuvudUtskott"/>
      </w:rPr>
      <w:instrText>n</w:instrText>
    </w:r>
    <w:r w:rsidRPr="00480F35">
      <w:rPr>
        <w:rStyle w:val="SidhuvudUtskott"/>
      </w:rPr>
      <w:instrText>kandeNr</w:instrText>
    </w:r>
    <w:r w:rsidRPr="00480F35">
      <w:rPr>
        <w:rStyle w:val="SidhuvudUtskott"/>
      </w:rPr>
      <w:fldChar w:fldCharType="separate"/>
    </w:r>
    <w:r w:rsidRPr="00480F35">
      <w:rPr>
        <w:rStyle w:val="SidhuvudUtskott"/>
      </w:rPr>
      <w:t>10</w:t>
    </w:r>
    <w:r w:rsidRPr="00480F35">
      <w:rPr>
        <w:rStyle w:val="SidhuvudUtskott"/>
      </w:rPr>
      <w:fldChar w:fldCharType="end"/>
    </w:r>
  </w:p>
  <w:p w:rsidR="00DF7544" w:rsidRPr="00480F35" w:rsidRDefault="00DF7544">
    <w:pPr>
      <w:pStyle w:val="SidhuvudKantUdda"/>
      <w:framePr w:w="8732" w:h="567" w:hRule="exact" w:vSpace="0" w:wrap="around" w:vAnchor="page" w:y="341" w:anchorLock="0"/>
    </w:pPr>
    <w:r w:rsidRPr="00480F35">
      <w:rPr>
        <w:rStyle w:val="SidhuvudUtskott"/>
      </w:rPr>
      <w:fldChar w:fldCharType="begin" w:fldLock="1"/>
    </w:r>
    <w:r w:rsidRPr="00480F35">
      <w:rPr>
        <w:rStyle w:val="SidhuvudUtskott"/>
      </w:rPr>
      <w:instrText xml:space="preserve"> if </w:instrText>
    </w:r>
    <w:r w:rsidRPr="00480F35">
      <w:rPr>
        <w:rStyle w:val="SidhuvudUtskott"/>
      </w:rPr>
      <w:fldChar w:fldCharType="begin" w:fldLock="1"/>
    </w:r>
    <w:r w:rsidRPr="00480F35">
      <w:rPr>
        <w:rStyle w:val="SidhuvudUtskott"/>
      </w:rPr>
      <w:instrText xml:space="preserve"> DOCPROPERTY "UtkastDatum"</w:instrText>
    </w:r>
    <w:r w:rsidRPr="00480F35">
      <w:rPr>
        <w:rStyle w:val="SidhuvudUtskott"/>
      </w:rPr>
      <w:fldChar w:fldCharType="separate"/>
    </w:r>
    <w:r w:rsidRPr="00480F35">
      <w:rPr>
        <w:rStyle w:val="SidhuvudUtskott"/>
      </w:rPr>
      <w:instrText>Nej</w:instrText>
    </w:r>
    <w:r w:rsidRPr="00480F35">
      <w:rPr>
        <w:rStyle w:val="SidhuvudUtskott"/>
      </w:rPr>
      <w:fldChar w:fldCharType="end"/>
    </w:r>
    <w:r w:rsidRPr="00480F35">
      <w:rPr>
        <w:rStyle w:val="SidhuvudUtskott"/>
      </w:rPr>
      <w:instrText xml:space="preserve"> = "Ja" "</w:instrText>
    </w:r>
    <w:r w:rsidRPr="00480F35">
      <w:rPr>
        <w:rStyle w:val="SidhuvudUtskott"/>
      </w:rPr>
      <w:fldChar w:fldCharType="begin" w:fldLock="1"/>
    </w:r>
    <w:r w:rsidRPr="00480F35">
      <w:rPr>
        <w:rStyle w:val="SidhuvudUtskott"/>
      </w:rPr>
      <w:instrText xml:space="preserve"> PRINTDATE \@ "yyyy-MM-dd HH.mm    " </w:instrText>
    </w:r>
    <w:r w:rsidRPr="00480F35">
      <w:rPr>
        <w:rStyle w:val="SidhuvudUtskott"/>
      </w:rPr>
      <w:fldChar w:fldCharType="separate"/>
    </w:r>
    <w:r w:rsidRPr="00480F35">
      <w:rPr>
        <w:rStyle w:val="SidhuvudUtskott"/>
      </w:rPr>
      <w:instrText>2000-08-11 16.42</w:instrText>
    </w:r>
    <w:r w:rsidRPr="00480F35">
      <w:rPr>
        <w:rStyle w:val="SidhuvudUtskott"/>
      </w:rPr>
      <w:fldChar w:fldCharType="end"/>
    </w:r>
    <w:r w:rsidRPr="00480F35">
      <w:rPr>
        <w:rStyle w:val="SidhuvudUtskott"/>
      </w:rPr>
      <w:instrText xml:space="preserve">" </w:instrText>
    </w:r>
    <w:r w:rsidRPr="00480F35">
      <w:rPr>
        <w:rStyle w:val="SidhuvudUtskott"/>
      </w:rPr>
      <w:fldChar w:fldCharType="end"/>
    </w:r>
    <w:r w:rsidRPr="00480F35">
      <w:rPr>
        <w:rStyle w:val="SidhuvudUtskott"/>
      </w:rPr>
      <w:fldChar w:fldCharType="begin" w:fldLock="1"/>
    </w:r>
    <w:r w:rsidRPr="00480F35">
      <w:rPr>
        <w:rStyle w:val="SidhuvudUtskott"/>
      </w:rPr>
      <w:instrText xml:space="preserve"> DOCPR</w:instrText>
    </w:r>
    <w:r w:rsidRPr="00480F35">
      <w:rPr>
        <w:rStyle w:val="SidhuvudUtskott"/>
      </w:rPr>
      <w:instrText>O</w:instrText>
    </w:r>
    <w:r w:rsidRPr="00480F35">
      <w:rPr>
        <w:rStyle w:val="SidhuvudUtskott"/>
      </w:rPr>
      <w:instrText>PERTY Status</w:instrText>
    </w:r>
    <w:r w:rsidRPr="00480F35">
      <w:rPr>
        <w:rStyle w:val="SidhuvudUtskott"/>
      </w:rPr>
      <w:fldChar w:fldCharType="end"/>
    </w:r>
  </w:p>
  <w:p w:rsidR="00DF7544" w:rsidRPr="00480F35" w:rsidRDefault="00DF754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D77" w:rsidRPr="00480F35" w:rsidRDefault="00FE7D77">
    <w:pPr>
      <w:pStyle w:val="SidhuvudKantUdda"/>
      <w:framePr w:w="8732" w:h="567" w:hRule="exact" w:vSpace="0" w:wrap="around" w:vAnchor="page" w:y="341" w:anchorLock="0"/>
    </w:pPr>
    <w:r w:rsidRPr="00480F35">
      <w:t xml:space="preserve">  </w:t>
    </w:r>
    <w:r w:rsidRPr="00480F35">
      <w:rPr>
        <w:rStyle w:val="SidhuvudUtskott"/>
      </w:rPr>
      <w:t>2005/06:FöU10</w:t>
    </w:r>
  </w:p>
  <w:p w:rsidR="00DF7544" w:rsidRPr="00480F35" w:rsidRDefault="00DF7544">
    <w:pPr>
      <w:pStyle w:val="SidhuvudKantUdda"/>
      <w:framePr w:w="8732" w:h="567" w:hRule="exact" w:vSpace="0" w:wrap="around" w:vAnchor="page" w:y="341" w:anchorLock="0"/>
    </w:pPr>
  </w:p>
  <w:p w:rsidR="00DF7544" w:rsidRPr="00480F35" w:rsidRDefault="00DF754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544" w:rsidRPr="00480F35" w:rsidRDefault="00DF7544">
    <w:pPr>
      <w:pStyle w:val="SidhuvudKantJmn"/>
      <w:framePr w:w="8732" w:h="567" w:hRule="exact" w:vSpace="0" w:wrap="around" w:vAnchor="page" w:y="341" w:anchorLock="0"/>
    </w:pPr>
    <w:r w:rsidRPr="00480F35">
      <w:rPr>
        <w:rStyle w:val="SidhuvudUtskott"/>
      </w:rPr>
      <w:fldChar w:fldCharType="begin" w:fldLock="1"/>
    </w:r>
    <w:r w:rsidRPr="00480F35">
      <w:rPr>
        <w:rStyle w:val="SidhuvudUtskott"/>
      </w:rPr>
      <w:instrText xml:space="preserve"> DOCPROPERTY BetänkandeÅr</w:instrText>
    </w:r>
    <w:r w:rsidRPr="00480F35">
      <w:rPr>
        <w:rStyle w:val="SidhuvudUtskott"/>
      </w:rPr>
      <w:fldChar w:fldCharType="separate"/>
    </w:r>
    <w:r w:rsidRPr="00480F35">
      <w:rPr>
        <w:rStyle w:val="SidhuvudUtskott"/>
      </w:rPr>
      <w:t>2005/06</w:t>
    </w:r>
    <w:r w:rsidRPr="00480F35">
      <w:rPr>
        <w:rStyle w:val="SidhuvudUtskott"/>
      </w:rPr>
      <w:fldChar w:fldCharType="end"/>
    </w:r>
    <w:r w:rsidRPr="00480F35">
      <w:rPr>
        <w:rStyle w:val="SidhuvudUtskott"/>
      </w:rPr>
      <w:t>:</w:t>
    </w:r>
    <w:r w:rsidRPr="00480F35">
      <w:rPr>
        <w:rStyle w:val="SidhuvudUtskott"/>
      </w:rPr>
      <w:fldChar w:fldCharType="begin" w:fldLock="1"/>
    </w:r>
    <w:r w:rsidRPr="00480F35">
      <w:rPr>
        <w:rStyle w:val="SidhuvudUtskott"/>
      </w:rPr>
      <w:instrText xml:space="preserve"> DOCPROPERTY Utskott</w:instrText>
    </w:r>
    <w:r w:rsidRPr="00480F35">
      <w:rPr>
        <w:rStyle w:val="SidhuvudUtskott"/>
      </w:rPr>
      <w:fldChar w:fldCharType="separate"/>
    </w:r>
    <w:r w:rsidRPr="00480F35">
      <w:rPr>
        <w:rStyle w:val="SidhuvudUtskott"/>
      </w:rPr>
      <w:t>FöU</w:t>
    </w:r>
    <w:r w:rsidRPr="00480F35">
      <w:rPr>
        <w:rStyle w:val="SidhuvudUtskott"/>
      </w:rPr>
      <w:fldChar w:fldCharType="end"/>
    </w:r>
    <w:r w:rsidRPr="00480F35">
      <w:rPr>
        <w:rStyle w:val="SidhuvudUtskott"/>
      </w:rPr>
      <w:fldChar w:fldCharType="begin" w:fldLock="1"/>
    </w:r>
    <w:r w:rsidRPr="00480F35">
      <w:rPr>
        <w:rStyle w:val="SidhuvudUtskott"/>
      </w:rPr>
      <w:instrText xml:space="preserve"> DOCPROPERTY BetänkandeNr</w:instrText>
    </w:r>
    <w:r w:rsidRPr="00480F35">
      <w:rPr>
        <w:rStyle w:val="SidhuvudUtskott"/>
      </w:rPr>
      <w:fldChar w:fldCharType="separate"/>
    </w:r>
    <w:r w:rsidRPr="00480F35">
      <w:rPr>
        <w:rStyle w:val="SidhuvudUtskott"/>
      </w:rPr>
      <w:t>10</w:t>
    </w:r>
    <w:r w:rsidRPr="00480F35">
      <w:rPr>
        <w:rStyle w:val="SidhuvudUtskott"/>
      </w:rPr>
      <w:fldChar w:fldCharType="end"/>
    </w:r>
    <w:r w:rsidRPr="00480F35">
      <w:t xml:space="preserve">     </w:t>
    </w:r>
    <w:r w:rsidRPr="00480F35">
      <w:rPr>
        <w:rStyle w:val="SidhuvudBilaga"/>
      </w:rPr>
      <w:t xml:space="preserve"> </w:t>
    </w:r>
    <w:r w:rsidRPr="00480F35">
      <w:rPr>
        <w:rStyle w:val="SidhuvudRubrikReferens"/>
      </w:rPr>
      <w:fldChar w:fldCharType="begin" w:fldLock="1"/>
    </w:r>
    <w:r w:rsidRPr="00480F35">
      <w:rPr>
        <w:rStyle w:val="SidhuvudRubrikReferens"/>
      </w:rPr>
      <w:instrText xml:space="preserve"> StyleREF "Rubrik 1" </w:instrText>
    </w:r>
    <w:r w:rsidRPr="00480F35">
      <w:rPr>
        <w:rStyle w:val="SidhuvudRubrikReferens"/>
      </w:rPr>
      <w:fldChar w:fldCharType="separate"/>
    </w:r>
    <w:r w:rsidRPr="00480F35">
      <w:rPr>
        <w:rStyle w:val="SidhuvudRubrikReferens"/>
      </w:rPr>
      <w:t>Reservation</w:t>
    </w:r>
    <w:r w:rsidRPr="00480F35">
      <w:rPr>
        <w:rStyle w:val="SidhuvudRubrikReferens"/>
      </w:rPr>
      <w:fldChar w:fldCharType="end"/>
    </w:r>
  </w:p>
  <w:p w:rsidR="00DF7544" w:rsidRPr="00480F35" w:rsidRDefault="00DF7544">
    <w:pPr>
      <w:pStyle w:val="SidhuvudKantJmn"/>
      <w:framePr w:w="8732" w:h="567" w:hRule="exact" w:vSpace="0" w:wrap="around" w:vAnchor="page" w:y="341" w:anchorLock="0"/>
    </w:pPr>
    <w:r w:rsidRPr="00480F35">
      <w:rPr>
        <w:rStyle w:val="SidhuvudUtskott"/>
      </w:rPr>
      <w:fldChar w:fldCharType="begin" w:fldLock="1"/>
    </w:r>
    <w:r w:rsidRPr="00480F35">
      <w:rPr>
        <w:rStyle w:val="SidhuvudUtskott"/>
      </w:rPr>
      <w:instrText xml:space="preserve"> DOCPROPERTY Status</w:instrText>
    </w:r>
    <w:r w:rsidRPr="00480F35">
      <w:rPr>
        <w:rStyle w:val="SidhuvudUtskott"/>
      </w:rPr>
      <w:fldChar w:fldCharType="end"/>
    </w:r>
    <w:r w:rsidRPr="00480F35">
      <w:rPr>
        <w:rStyle w:val="SidhuvudUtskott"/>
      </w:rPr>
      <w:fldChar w:fldCharType="begin" w:fldLock="1"/>
    </w:r>
    <w:r w:rsidRPr="00480F35">
      <w:rPr>
        <w:rStyle w:val="SidhuvudUtskott"/>
      </w:rPr>
      <w:instrText xml:space="preserve"> if </w:instrText>
    </w:r>
    <w:r w:rsidRPr="00480F35">
      <w:rPr>
        <w:rStyle w:val="SidhuvudUtskott"/>
      </w:rPr>
      <w:fldChar w:fldCharType="begin" w:fldLock="1"/>
    </w:r>
    <w:r w:rsidRPr="00480F35">
      <w:rPr>
        <w:rStyle w:val="SidhuvudUtskott"/>
      </w:rPr>
      <w:instrText xml:space="preserve"> DOCPROPERTY "UtkastDatum"</w:instrText>
    </w:r>
    <w:r w:rsidRPr="00480F35">
      <w:rPr>
        <w:rStyle w:val="SidhuvudUtskott"/>
      </w:rPr>
      <w:fldChar w:fldCharType="separate"/>
    </w:r>
    <w:r w:rsidRPr="00480F35">
      <w:rPr>
        <w:rStyle w:val="SidhuvudUtskott"/>
      </w:rPr>
      <w:instrText>Nej</w:instrText>
    </w:r>
    <w:r w:rsidRPr="00480F35">
      <w:rPr>
        <w:rStyle w:val="SidhuvudUtskott"/>
      </w:rPr>
      <w:fldChar w:fldCharType="end"/>
    </w:r>
    <w:r w:rsidRPr="00480F35">
      <w:rPr>
        <w:rStyle w:val="SidhuvudUtskott"/>
      </w:rPr>
      <w:instrText xml:space="preserve"> = "Ja" "    </w:instrText>
    </w:r>
    <w:r w:rsidRPr="00480F35">
      <w:rPr>
        <w:rStyle w:val="SidhuvudUtskott"/>
      </w:rPr>
      <w:fldChar w:fldCharType="begin" w:fldLock="1"/>
    </w:r>
    <w:r w:rsidRPr="00480F35">
      <w:rPr>
        <w:rStyle w:val="SidhuvudUtskott"/>
      </w:rPr>
      <w:instrText xml:space="preserve"> PRINTDATE \@ "yyyy-MM-dd HH.mm" </w:instrText>
    </w:r>
    <w:r w:rsidRPr="00480F35">
      <w:rPr>
        <w:rStyle w:val="SidhuvudUtskott"/>
      </w:rPr>
      <w:fldChar w:fldCharType="separate"/>
    </w:r>
    <w:r w:rsidRPr="00480F35">
      <w:rPr>
        <w:rStyle w:val="SidhuvudUtskott"/>
      </w:rPr>
      <w:instrText>2000-08-11 16.42</w:instrText>
    </w:r>
    <w:r w:rsidRPr="00480F35">
      <w:rPr>
        <w:rStyle w:val="SidhuvudUtskott"/>
      </w:rPr>
      <w:fldChar w:fldCharType="end"/>
    </w:r>
    <w:r w:rsidRPr="00480F35">
      <w:rPr>
        <w:rStyle w:val="SidhuvudUtskott"/>
      </w:rPr>
      <w:instrText xml:space="preserve">" </w:instrText>
    </w:r>
    <w:r w:rsidRPr="00480F35">
      <w:rPr>
        <w:rStyle w:val="SidhuvudUtskott"/>
      </w:rPr>
      <w:fldChar w:fldCharType="end"/>
    </w:r>
  </w:p>
  <w:p w:rsidR="00DF7544" w:rsidRPr="00480F35" w:rsidRDefault="00DF754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544" w:rsidRPr="00480F35" w:rsidRDefault="00DF7544">
    <w:pPr>
      <w:pStyle w:val="SidhuvudKantUdda"/>
      <w:framePr w:w="8732" w:h="567" w:hRule="exact" w:vSpace="0" w:wrap="around" w:vAnchor="page" w:y="341" w:anchorLock="0"/>
    </w:pPr>
    <w:r w:rsidRPr="00480F35">
      <w:rPr>
        <w:rStyle w:val="SidhuvudRubrikReferens"/>
      </w:rPr>
      <w:fldChar w:fldCharType="begin" w:fldLock="1"/>
    </w:r>
    <w:r w:rsidRPr="00480F35">
      <w:rPr>
        <w:rStyle w:val="SidhuvudRubrikReferens"/>
      </w:rPr>
      <w:instrText xml:space="preserve"> StyleREF "Rubrik 1" </w:instrText>
    </w:r>
    <w:r w:rsidRPr="00480F35">
      <w:rPr>
        <w:rStyle w:val="SidhuvudRubrikReferens"/>
      </w:rPr>
      <w:fldChar w:fldCharType="separate"/>
    </w:r>
    <w:r w:rsidRPr="00480F35">
      <w:rPr>
        <w:rStyle w:val="SidhuvudRubrikReferens"/>
      </w:rPr>
      <w:t>Reservation</w:t>
    </w:r>
    <w:r w:rsidRPr="00480F35">
      <w:rPr>
        <w:rStyle w:val="SidhuvudRubrikReferens"/>
      </w:rPr>
      <w:fldChar w:fldCharType="end"/>
    </w:r>
    <w:r w:rsidRPr="00480F35">
      <w:rPr>
        <w:rStyle w:val="SidhuvudBilaga"/>
      </w:rPr>
      <w:t xml:space="preserve"> </w:t>
    </w:r>
    <w:r w:rsidRPr="00480F35">
      <w:t xml:space="preserve">     </w:t>
    </w:r>
    <w:r w:rsidRPr="00480F35">
      <w:rPr>
        <w:rStyle w:val="SidhuvudUtskott"/>
      </w:rPr>
      <w:fldChar w:fldCharType="begin" w:fldLock="1"/>
    </w:r>
    <w:r w:rsidRPr="00480F35">
      <w:rPr>
        <w:rStyle w:val="SidhuvudUtskott"/>
      </w:rPr>
      <w:instrText xml:space="preserve"> DOCPROPERTY BetänkandeÅr</w:instrText>
    </w:r>
    <w:r w:rsidRPr="00480F35">
      <w:rPr>
        <w:rStyle w:val="SidhuvudUtskott"/>
      </w:rPr>
      <w:fldChar w:fldCharType="separate"/>
    </w:r>
    <w:r w:rsidRPr="00480F35">
      <w:rPr>
        <w:rStyle w:val="SidhuvudUtskott"/>
      </w:rPr>
      <w:t>2005/06</w:t>
    </w:r>
    <w:r w:rsidRPr="00480F35">
      <w:rPr>
        <w:rStyle w:val="SidhuvudUtskott"/>
      </w:rPr>
      <w:fldChar w:fldCharType="end"/>
    </w:r>
    <w:r w:rsidRPr="00480F35">
      <w:rPr>
        <w:rStyle w:val="SidhuvudUtskott"/>
      </w:rPr>
      <w:t>:</w:t>
    </w:r>
    <w:r w:rsidRPr="00480F35">
      <w:rPr>
        <w:rStyle w:val="SidhuvudUtskott"/>
      </w:rPr>
      <w:fldChar w:fldCharType="begin" w:fldLock="1"/>
    </w:r>
    <w:r w:rsidRPr="00480F35">
      <w:rPr>
        <w:rStyle w:val="SidhuvudUtskott"/>
      </w:rPr>
      <w:instrText xml:space="preserve"> DOCPROPERTY</w:instrText>
    </w:r>
    <w:r w:rsidRPr="00480F35">
      <w:instrText xml:space="preserve"> </w:instrText>
    </w:r>
    <w:r w:rsidRPr="00480F35">
      <w:rPr>
        <w:rStyle w:val="SidhuvudUtskott"/>
      </w:rPr>
      <w:instrText>Utskott</w:instrText>
    </w:r>
    <w:r w:rsidRPr="00480F35">
      <w:rPr>
        <w:rStyle w:val="SidhuvudUtskott"/>
      </w:rPr>
      <w:fldChar w:fldCharType="separate"/>
    </w:r>
    <w:r w:rsidRPr="00480F35">
      <w:rPr>
        <w:rStyle w:val="SidhuvudUtskott"/>
      </w:rPr>
      <w:t>FöU</w:t>
    </w:r>
    <w:r w:rsidRPr="00480F35">
      <w:rPr>
        <w:rStyle w:val="SidhuvudUtskott"/>
      </w:rPr>
      <w:fldChar w:fldCharType="end"/>
    </w:r>
    <w:r w:rsidRPr="00480F35">
      <w:rPr>
        <w:rStyle w:val="SidhuvudUtskott"/>
      </w:rPr>
      <w:fldChar w:fldCharType="begin" w:fldLock="1"/>
    </w:r>
    <w:r w:rsidRPr="00480F35">
      <w:rPr>
        <w:rStyle w:val="SidhuvudUtskott"/>
      </w:rPr>
      <w:instrText xml:space="preserve"> DOCPROPERTY Betä</w:instrText>
    </w:r>
    <w:r w:rsidRPr="00480F35">
      <w:rPr>
        <w:rStyle w:val="SidhuvudUtskott"/>
      </w:rPr>
      <w:instrText>n</w:instrText>
    </w:r>
    <w:r w:rsidRPr="00480F35">
      <w:rPr>
        <w:rStyle w:val="SidhuvudUtskott"/>
      </w:rPr>
      <w:instrText>kandeNr</w:instrText>
    </w:r>
    <w:r w:rsidRPr="00480F35">
      <w:rPr>
        <w:rStyle w:val="SidhuvudUtskott"/>
      </w:rPr>
      <w:fldChar w:fldCharType="separate"/>
    </w:r>
    <w:r w:rsidRPr="00480F35">
      <w:rPr>
        <w:rStyle w:val="SidhuvudUtskott"/>
      </w:rPr>
      <w:t>10</w:t>
    </w:r>
    <w:r w:rsidRPr="00480F35">
      <w:rPr>
        <w:rStyle w:val="SidhuvudUtskott"/>
      </w:rPr>
      <w:fldChar w:fldCharType="end"/>
    </w:r>
  </w:p>
  <w:p w:rsidR="00DF7544" w:rsidRPr="00480F35" w:rsidRDefault="00DF7544">
    <w:pPr>
      <w:pStyle w:val="SidhuvudKantUdda"/>
      <w:framePr w:w="8732" w:h="567" w:hRule="exact" w:vSpace="0" w:wrap="around" w:vAnchor="page" w:y="341" w:anchorLock="0"/>
    </w:pPr>
    <w:r w:rsidRPr="00480F35">
      <w:rPr>
        <w:rStyle w:val="SidhuvudUtskott"/>
      </w:rPr>
      <w:fldChar w:fldCharType="begin" w:fldLock="1"/>
    </w:r>
    <w:r w:rsidRPr="00480F35">
      <w:rPr>
        <w:rStyle w:val="SidhuvudUtskott"/>
      </w:rPr>
      <w:instrText xml:space="preserve"> if </w:instrText>
    </w:r>
    <w:r w:rsidRPr="00480F35">
      <w:rPr>
        <w:rStyle w:val="SidhuvudUtskott"/>
      </w:rPr>
      <w:fldChar w:fldCharType="begin" w:fldLock="1"/>
    </w:r>
    <w:r w:rsidRPr="00480F35">
      <w:rPr>
        <w:rStyle w:val="SidhuvudUtskott"/>
      </w:rPr>
      <w:instrText xml:space="preserve"> DOCPROPERTY "UtkastDatum"</w:instrText>
    </w:r>
    <w:r w:rsidRPr="00480F35">
      <w:rPr>
        <w:rStyle w:val="SidhuvudUtskott"/>
      </w:rPr>
      <w:fldChar w:fldCharType="separate"/>
    </w:r>
    <w:r w:rsidRPr="00480F35">
      <w:rPr>
        <w:rStyle w:val="SidhuvudUtskott"/>
      </w:rPr>
      <w:instrText>Nej</w:instrText>
    </w:r>
    <w:r w:rsidRPr="00480F35">
      <w:rPr>
        <w:rStyle w:val="SidhuvudUtskott"/>
      </w:rPr>
      <w:fldChar w:fldCharType="end"/>
    </w:r>
    <w:r w:rsidRPr="00480F35">
      <w:rPr>
        <w:rStyle w:val="SidhuvudUtskott"/>
      </w:rPr>
      <w:instrText xml:space="preserve"> = "Ja" "</w:instrText>
    </w:r>
    <w:r w:rsidRPr="00480F35">
      <w:rPr>
        <w:rStyle w:val="SidhuvudUtskott"/>
      </w:rPr>
      <w:fldChar w:fldCharType="begin" w:fldLock="1"/>
    </w:r>
    <w:r w:rsidRPr="00480F35">
      <w:rPr>
        <w:rStyle w:val="SidhuvudUtskott"/>
      </w:rPr>
      <w:instrText xml:space="preserve"> PRINTDATE \@ "yyyy-MM-dd HH.mm    " </w:instrText>
    </w:r>
    <w:r w:rsidRPr="00480F35">
      <w:rPr>
        <w:rStyle w:val="SidhuvudUtskott"/>
      </w:rPr>
      <w:fldChar w:fldCharType="separate"/>
    </w:r>
    <w:r w:rsidRPr="00480F35">
      <w:rPr>
        <w:rStyle w:val="SidhuvudUtskott"/>
      </w:rPr>
      <w:instrText>2000-08-11 16.42</w:instrText>
    </w:r>
    <w:r w:rsidRPr="00480F35">
      <w:rPr>
        <w:rStyle w:val="SidhuvudUtskott"/>
      </w:rPr>
      <w:fldChar w:fldCharType="end"/>
    </w:r>
    <w:r w:rsidRPr="00480F35">
      <w:rPr>
        <w:rStyle w:val="SidhuvudUtskott"/>
      </w:rPr>
      <w:instrText xml:space="preserve">" </w:instrText>
    </w:r>
    <w:r w:rsidRPr="00480F35">
      <w:rPr>
        <w:rStyle w:val="SidhuvudUtskott"/>
      </w:rPr>
      <w:fldChar w:fldCharType="end"/>
    </w:r>
    <w:r w:rsidRPr="00480F35">
      <w:rPr>
        <w:rStyle w:val="SidhuvudUtskott"/>
      </w:rPr>
      <w:fldChar w:fldCharType="begin" w:fldLock="1"/>
    </w:r>
    <w:r w:rsidRPr="00480F35">
      <w:rPr>
        <w:rStyle w:val="SidhuvudUtskott"/>
      </w:rPr>
      <w:instrText xml:space="preserve"> DOCPR</w:instrText>
    </w:r>
    <w:r w:rsidRPr="00480F35">
      <w:rPr>
        <w:rStyle w:val="SidhuvudUtskott"/>
      </w:rPr>
      <w:instrText>O</w:instrText>
    </w:r>
    <w:r w:rsidRPr="00480F35">
      <w:rPr>
        <w:rStyle w:val="SidhuvudUtskott"/>
      </w:rPr>
      <w:instrText>PERTY Status</w:instrText>
    </w:r>
    <w:r w:rsidRPr="00480F35">
      <w:rPr>
        <w:rStyle w:val="SidhuvudUtskott"/>
      </w:rPr>
      <w:fldChar w:fldCharType="end"/>
    </w:r>
  </w:p>
  <w:p w:rsidR="00DF7544" w:rsidRPr="00480F35" w:rsidRDefault="00DF754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D77" w:rsidRPr="00480F35" w:rsidRDefault="00FE7D77">
    <w:pPr>
      <w:pStyle w:val="SidhuvudKantJmn"/>
      <w:framePr w:w="8732" w:h="567" w:hRule="exact" w:vSpace="0" w:wrap="around" w:vAnchor="page" w:y="341" w:anchorLock="0"/>
    </w:pPr>
    <w:r w:rsidRPr="00480F35">
      <w:rPr>
        <w:rStyle w:val="SidhuvudUtskott"/>
      </w:rPr>
      <w:t>2005/06:FöU10</w:t>
    </w:r>
    <w:r w:rsidRPr="00480F35">
      <w:t xml:space="preserve">    </w:t>
    </w:r>
  </w:p>
  <w:p w:rsidR="00FE7D77" w:rsidRPr="00480F35" w:rsidRDefault="00FE7D77">
    <w:pPr>
      <w:pStyle w:val="SidhuvudKantJmn"/>
      <w:framePr w:w="8732" w:h="567" w:hRule="exact" w:vSpace="0" w:wrap="around" w:vAnchor="page" w:y="341" w:anchorLock="0"/>
    </w:pPr>
  </w:p>
  <w:p w:rsidR="00DF7544" w:rsidRPr="00480F35" w:rsidRDefault="00FE7D77">
    <w:pPr>
      <w:pStyle w:val="SidhuvudKantUdda"/>
      <w:framePr w:w="8732" w:h="567" w:hRule="exact" w:vSpace="0" w:wrap="around" w:vAnchor="page" w:y="341" w:anchorLock="0"/>
    </w:pPr>
    <w:r w:rsidRPr="00480F35">
      <w:rPr>
        <w:rStyle w:val="SidhuvudRubrikReferens"/>
        <w:smallCaps w:val="0"/>
      </w:rPr>
      <w:t xml:space="preserve"> </w:t>
    </w:r>
  </w:p>
  <w:p w:rsidR="00DF7544" w:rsidRPr="00480F35" w:rsidRDefault="00DF754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544" w:rsidRPr="00480F35" w:rsidRDefault="00DF7544">
    <w:pPr>
      <w:pStyle w:val="SidhuvudKantUdda"/>
      <w:framePr w:w="8732" w:h="567" w:hRule="exact" w:vSpace="0" w:wrap="around" w:vAnchor="page" w:y="341" w:anchorLock="0"/>
    </w:pPr>
    <w:r w:rsidRPr="00480F35">
      <w:rPr>
        <w:rStyle w:val="SidhuvudRubrikReferens"/>
      </w:rPr>
      <w:fldChar w:fldCharType="begin" w:fldLock="1"/>
    </w:r>
    <w:r w:rsidRPr="00480F35">
      <w:rPr>
        <w:rStyle w:val="SidhuvudRubrikReferens"/>
      </w:rPr>
      <w:instrText xml:space="preserve"> StyleREF "Rubrik 1" </w:instrText>
    </w:r>
    <w:r w:rsidRPr="00480F35">
      <w:rPr>
        <w:rStyle w:val="SidhuvudRubrikReferens"/>
      </w:rPr>
      <w:fldChar w:fldCharType="separate"/>
    </w:r>
    <w:r w:rsidRPr="00480F35">
      <w:rPr>
        <w:rStyle w:val="SidhuvudRubrikReferens"/>
      </w:rPr>
      <w:t>Sammanfattning</w:t>
    </w:r>
    <w:r w:rsidRPr="00480F35">
      <w:rPr>
        <w:rStyle w:val="SidhuvudRubrikReferens"/>
      </w:rPr>
      <w:fldChar w:fldCharType="end"/>
    </w:r>
    <w:r w:rsidRPr="00480F35">
      <w:rPr>
        <w:rStyle w:val="SidhuvudBilaga"/>
      </w:rPr>
      <w:t xml:space="preserve"> </w:t>
    </w:r>
    <w:r w:rsidRPr="00480F35">
      <w:t xml:space="preserve">     </w:t>
    </w:r>
    <w:r w:rsidRPr="00480F35">
      <w:rPr>
        <w:rStyle w:val="SidhuvudUtskott"/>
      </w:rPr>
      <w:fldChar w:fldCharType="begin" w:fldLock="1"/>
    </w:r>
    <w:r w:rsidRPr="00480F35">
      <w:rPr>
        <w:rStyle w:val="SidhuvudUtskott"/>
      </w:rPr>
      <w:instrText xml:space="preserve"> DOCPROPERTY BetänkandeÅr</w:instrText>
    </w:r>
    <w:r w:rsidRPr="00480F35">
      <w:rPr>
        <w:rStyle w:val="SidhuvudUtskott"/>
      </w:rPr>
      <w:fldChar w:fldCharType="separate"/>
    </w:r>
    <w:r w:rsidRPr="00480F35">
      <w:rPr>
        <w:rStyle w:val="SidhuvudUtskott"/>
      </w:rPr>
      <w:t>2005/06</w:t>
    </w:r>
    <w:r w:rsidRPr="00480F35">
      <w:rPr>
        <w:rStyle w:val="SidhuvudUtskott"/>
      </w:rPr>
      <w:fldChar w:fldCharType="end"/>
    </w:r>
    <w:r w:rsidRPr="00480F35">
      <w:rPr>
        <w:rStyle w:val="SidhuvudUtskott"/>
      </w:rPr>
      <w:t>:</w:t>
    </w:r>
    <w:r w:rsidRPr="00480F35">
      <w:rPr>
        <w:rStyle w:val="SidhuvudUtskott"/>
      </w:rPr>
      <w:fldChar w:fldCharType="begin" w:fldLock="1"/>
    </w:r>
    <w:r w:rsidRPr="00480F35">
      <w:rPr>
        <w:rStyle w:val="SidhuvudUtskott"/>
      </w:rPr>
      <w:instrText xml:space="preserve"> DOCPROPERTY</w:instrText>
    </w:r>
    <w:r w:rsidRPr="00480F35">
      <w:instrText xml:space="preserve"> </w:instrText>
    </w:r>
    <w:r w:rsidRPr="00480F35">
      <w:rPr>
        <w:rStyle w:val="SidhuvudUtskott"/>
      </w:rPr>
      <w:instrText>Utskott</w:instrText>
    </w:r>
    <w:r w:rsidRPr="00480F35">
      <w:rPr>
        <w:rStyle w:val="SidhuvudUtskott"/>
      </w:rPr>
      <w:fldChar w:fldCharType="separate"/>
    </w:r>
    <w:r w:rsidRPr="00480F35">
      <w:rPr>
        <w:rStyle w:val="SidhuvudUtskott"/>
      </w:rPr>
      <w:t>FöU</w:t>
    </w:r>
    <w:r w:rsidRPr="00480F35">
      <w:rPr>
        <w:rStyle w:val="SidhuvudUtskott"/>
      </w:rPr>
      <w:fldChar w:fldCharType="end"/>
    </w:r>
    <w:r w:rsidRPr="00480F35">
      <w:rPr>
        <w:rStyle w:val="SidhuvudUtskott"/>
      </w:rPr>
      <w:fldChar w:fldCharType="begin" w:fldLock="1"/>
    </w:r>
    <w:r w:rsidRPr="00480F35">
      <w:rPr>
        <w:rStyle w:val="SidhuvudUtskott"/>
      </w:rPr>
      <w:instrText xml:space="preserve"> DOCPROPERTY Betä</w:instrText>
    </w:r>
    <w:r w:rsidRPr="00480F35">
      <w:rPr>
        <w:rStyle w:val="SidhuvudUtskott"/>
      </w:rPr>
      <w:instrText>n</w:instrText>
    </w:r>
    <w:r w:rsidRPr="00480F35">
      <w:rPr>
        <w:rStyle w:val="SidhuvudUtskott"/>
      </w:rPr>
      <w:instrText>kandeNr</w:instrText>
    </w:r>
    <w:r w:rsidRPr="00480F35">
      <w:rPr>
        <w:rStyle w:val="SidhuvudUtskott"/>
      </w:rPr>
      <w:fldChar w:fldCharType="separate"/>
    </w:r>
    <w:r w:rsidRPr="00480F35">
      <w:rPr>
        <w:rStyle w:val="SidhuvudUtskott"/>
      </w:rPr>
      <w:t>10</w:t>
    </w:r>
    <w:r w:rsidRPr="00480F35">
      <w:rPr>
        <w:rStyle w:val="SidhuvudUtskott"/>
      </w:rPr>
      <w:fldChar w:fldCharType="end"/>
    </w:r>
  </w:p>
  <w:p w:rsidR="00DF7544" w:rsidRPr="00480F35" w:rsidRDefault="00DF7544">
    <w:pPr>
      <w:pStyle w:val="SidhuvudKantUdda"/>
      <w:framePr w:w="8732" w:h="567" w:hRule="exact" w:vSpace="0" w:wrap="around" w:vAnchor="page" w:y="341" w:anchorLock="0"/>
    </w:pPr>
    <w:r w:rsidRPr="00480F35">
      <w:rPr>
        <w:rStyle w:val="SidhuvudUtskott"/>
      </w:rPr>
      <w:fldChar w:fldCharType="begin" w:fldLock="1"/>
    </w:r>
    <w:r w:rsidRPr="00480F35">
      <w:rPr>
        <w:rStyle w:val="SidhuvudUtskott"/>
      </w:rPr>
      <w:instrText xml:space="preserve"> if </w:instrText>
    </w:r>
    <w:r w:rsidRPr="00480F35">
      <w:rPr>
        <w:rStyle w:val="SidhuvudUtskott"/>
      </w:rPr>
      <w:fldChar w:fldCharType="begin" w:fldLock="1"/>
    </w:r>
    <w:r w:rsidRPr="00480F35">
      <w:rPr>
        <w:rStyle w:val="SidhuvudUtskott"/>
      </w:rPr>
      <w:instrText xml:space="preserve"> DOCPROPERTY "UtkastDatum"</w:instrText>
    </w:r>
    <w:r w:rsidRPr="00480F35">
      <w:rPr>
        <w:rStyle w:val="SidhuvudUtskott"/>
      </w:rPr>
      <w:fldChar w:fldCharType="separate"/>
    </w:r>
    <w:r w:rsidRPr="00480F35">
      <w:rPr>
        <w:rStyle w:val="SidhuvudUtskott"/>
      </w:rPr>
      <w:instrText>Nej</w:instrText>
    </w:r>
    <w:r w:rsidRPr="00480F35">
      <w:rPr>
        <w:rStyle w:val="SidhuvudUtskott"/>
      </w:rPr>
      <w:fldChar w:fldCharType="end"/>
    </w:r>
    <w:r w:rsidRPr="00480F35">
      <w:rPr>
        <w:rStyle w:val="SidhuvudUtskott"/>
      </w:rPr>
      <w:instrText xml:space="preserve"> = "Ja" "</w:instrText>
    </w:r>
    <w:r w:rsidRPr="00480F35">
      <w:rPr>
        <w:rStyle w:val="SidhuvudUtskott"/>
      </w:rPr>
      <w:fldChar w:fldCharType="begin" w:fldLock="1"/>
    </w:r>
    <w:r w:rsidRPr="00480F35">
      <w:rPr>
        <w:rStyle w:val="SidhuvudUtskott"/>
      </w:rPr>
      <w:instrText xml:space="preserve"> PRINTDATE \@ "yyyy-MM-dd HH.mm    " </w:instrText>
    </w:r>
    <w:r w:rsidRPr="00480F35">
      <w:rPr>
        <w:rStyle w:val="SidhuvudUtskott"/>
      </w:rPr>
      <w:fldChar w:fldCharType="separate"/>
    </w:r>
    <w:r w:rsidRPr="00480F35">
      <w:rPr>
        <w:rStyle w:val="SidhuvudUtskott"/>
      </w:rPr>
      <w:instrText>2000-08-11 16.42</w:instrText>
    </w:r>
    <w:r w:rsidRPr="00480F35">
      <w:rPr>
        <w:rStyle w:val="SidhuvudUtskott"/>
      </w:rPr>
      <w:fldChar w:fldCharType="end"/>
    </w:r>
    <w:r w:rsidRPr="00480F35">
      <w:rPr>
        <w:rStyle w:val="SidhuvudUtskott"/>
      </w:rPr>
      <w:instrText xml:space="preserve">" </w:instrText>
    </w:r>
    <w:r w:rsidRPr="00480F35">
      <w:rPr>
        <w:rStyle w:val="SidhuvudUtskott"/>
      </w:rPr>
      <w:fldChar w:fldCharType="end"/>
    </w:r>
    <w:r w:rsidRPr="00480F35">
      <w:rPr>
        <w:rStyle w:val="SidhuvudUtskott"/>
      </w:rPr>
      <w:fldChar w:fldCharType="begin" w:fldLock="1"/>
    </w:r>
    <w:r w:rsidRPr="00480F35">
      <w:rPr>
        <w:rStyle w:val="SidhuvudUtskott"/>
      </w:rPr>
      <w:instrText xml:space="preserve"> DOCPR</w:instrText>
    </w:r>
    <w:r w:rsidRPr="00480F35">
      <w:rPr>
        <w:rStyle w:val="SidhuvudUtskott"/>
      </w:rPr>
      <w:instrText>O</w:instrText>
    </w:r>
    <w:r w:rsidRPr="00480F35">
      <w:rPr>
        <w:rStyle w:val="SidhuvudUtskott"/>
      </w:rPr>
      <w:instrText>PERTY Status</w:instrText>
    </w:r>
    <w:r w:rsidRPr="00480F35">
      <w:rPr>
        <w:rStyle w:val="SidhuvudUtskott"/>
      </w:rPr>
      <w:fldChar w:fldCharType="end"/>
    </w:r>
  </w:p>
  <w:p w:rsidR="00DF7544" w:rsidRPr="00480F35" w:rsidRDefault="00DF754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544" w:rsidRPr="00480F35" w:rsidRDefault="00FE7D77">
    <w:pPr>
      <w:pStyle w:val="SidhuvudKantUdda"/>
      <w:framePr w:w="8732" w:h="567" w:hRule="exact" w:vSpace="0" w:wrap="around" w:vAnchor="page" w:y="341" w:anchorLock="0"/>
    </w:pPr>
    <w:r w:rsidRPr="00480F35">
      <w:t xml:space="preserve"> </w:t>
    </w:r>
  </w:p>
  <w:p w:rsidR="00DF7544" w:rsidRPr="00480F35" w:rsidRDefault="00DF754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544" w:rsidRPr="00480F35" w:rsidRDefault="00DF7544">
    <w:pPr>
      <w:pStyle w:val="SidhuvudKantJmn"/>
      <w:framePr w:w="8732" w:h="567" w:hRule="exact" w:vSpace="0" w:wrap="around" w:vAnchor="page" w:y="341" w:anchorLock="0"/>
    </w:pPr>
    <w:r w:rsidRPr="00480F35">
      <w:rPr>
        <w:rStyle w:val="SidhuvudUtskott"/>
      </w:rPr>
      <w:fldChar w:fldCharType="begin" w:fldLock="1"/>
    </w:r>
    <w:r w:rsidRPr="00480F35">
      <w:rPr>
        <w:rStyle w:val="SidhuvudUtskott"/>
      </w:rPr>
      <w:instrText xml:space="preserve"> DOCPROPERTY BetänkandeÅr</w:instrText>
    </w:r>
    <w:r w:rsidRPr="00480F35">
      <w:rPr>
        <w:rStyle w:val="SidhuvudUtskott"/>
      </w:rPr>
      <w:fldChar w:fldCharType="separate"/>
    </w:r>
    <w:r w:rsidRPr="00480F35">
      <w:rPr>
        <w:rStyle w:val="SidhuvudUtskott"/>
      </w:rPr>
      <w:t>2005/06</w:t>
    </w:r>
    <w:r w:rsidRPr="00480F35">
      <w:rPr>
        <w:rStyle w:val="SidhuvudUtskott"/>
      </w:rPr>
      <w:fldChar w:fldCharType="end"/>
    </w:r>
    <w:r w:rsidRPr="00480F35">
      <w:rPr>
        <w:rStyle w:val="SidhuvudUtskott"/>
      </w:rPr>
      <w:t>:</w:t>
    </w:r>
    <w:r w:rsidRPr="00480F35">
      <w:rPr>
        <w:rStyle w:val="SidhuvudUtskott"/>
      </w:rPr>
      <w:fldChar w:fldCharType="begin" w:fldLock="1"/>
    </w:r>
    <w:r w:rsidRPr="00480F35">
      <w:rPr>
        <w:rStyle w:val="SidhuvudUtskott"/>
      </w:rPr>
      <w:instrText xml:space="preserve"> DOCPROPERTY Utskott</w:instrText>
    </w:r>
    <w:r w:rsidRPr="00480F35">
      <w:rPr>
        <w:rStyle w:val="SidhuvudUtskott"/>
      </w:rPr>
      <w:fldChar w:fldCharType="separate"/>
    </w:r>
    <w:r w:rsidRPr="00480F35">
      <w:rPr>
        <w:rStyle w:val="SidhuvudUtskott"/>
      </w:rPr>
      <w:t>FöU</w:t>
    </w:r>
    <w:r w:rsidRPr="00480F35">
      <w:rPr>
        <w:rStyle w:val="SidhuvudUtskott"/>
      </w:rPr>
      <w:fldChar w:fldCharType="end"/>
    </w:r>
    <w:r w:rsidRPr="00480F35">
      <w:rPr>
        <w:rStyle w:val="SidhuvudUtskott"/>
      </w:rPr>
      <w:fldChar w:fldCharType="begin" w:fldLock="1"/>
    </w:r>
    <w:r w:rsidRPr="00480F35">
      <w:rPr>
        <w:rStyle w:val="SidhuvudUtskott"/>
      </w:rPr>
      <w:instrText xml:space="preserve"> DOCPROPERTY BetänkandeNr</w:instrText>
    </w:r>
    <w:r w:rsidRPr="00480F35">
      <w:rPr>
        <w:rStyle w:val="SidhuvudUtskott"/>
      </w:rPr>
      <w:fldChar w:fldCharType="separate"/>
    </w:r>
    <w:r w:rsidRPr="00480F35">
      <w:rPr>
        <w:rStyle w:val="SidhuvudUtskott"/>
      </w:rPr>
      <w:t>10</w:t>
    </w:r>
    <w:r w:rsidRPr="00480F35">
      <w:rPr>
        <w:rStyle w:val="SidhuvudUtskott"/>
      </w:rPr>
      <w:fldChar w:fldCharType="end"/>
    </w:r>
    <w:r w:rsidRPr="00480F35">
      <w:t xml:space="preserve">     </w:t>
    </w:r>
    <w:r w:rsidRPr="00480F35">
      <w:rPr>
        <w:rStyle w:val="SidhuvudBilaga"/>
      </w:rPr>
      <w:t xml:space="preserve"> </w:t>
    </w:r>
    <w:r w:rsidRPr="00480F35">
      <w:rPr>
        <w:rStyle w:val="SidhuvudRubrikReferens"/>
      </w:rPr>
      <w:fldChar w:fldCharType="begin" w:fldLock="1"/>
    </w:r>
    <w:r w:rsidRPr="00480F35">
      <w:rPr>
        <w:rStyle w:val="SidhuvudRubrikReferens"/>
      </w:rPr>
      <w:instrText xml:space="preserve"> StyleREF "Rubrik 1" </w:instrText>
    </w:r>
    <w:r w:rsidRPr="00480F35">
      <w:rPr>
        <w:rStyle w:val="SidhuvudRubrikReferens"/>
      </w:rPr>
      <w:fldChar w:fldCharType="separate"/>
    </w:r>
    <w:r w:rsidRPr="00480F35">
      <w:rPr>
        <w:rStyle w:val="SidhuvudRubrikReferens"/>
      </w:rPr>
      <w:t>Sammanfattning</w:t>
    </w:r>
    <w:r w:rsidRPr="00480F35">
      <w:rPr>
        <w:rStyle w:val="SidhuvudRubrikReferens"/>
      </w:rPr>
      <w:fldChar w:fldCharType="end"/>
    </w:r>
  </w:p>
  <w:p w:rsidR="00DF7544" w:rsidRPr="00480F35" w:rsidRDefault="00DF7544">
    <w:pPr>
      <w:pStyle w:val="SidhuvudKantJmn"/>
      <w:framePr w:w="8732" w:h="567" w:hRule="exact" w:vSpace="0" w:wrap="around" w:vAnchor="page" w:y="341" w:anchorLock="0"/>
    </w:pPr>
    <w:r w:rsidRPr="00480F35">
      <w:rPr>
        <w:rStyle w:val="SidhuvudUtskott"/>
      </w:rPr>
      <w:fldChar w:fldCharType="begin" w:fldLock="1"/>
    </w:r>
    <w:r w:rsidRPr="00480F35">
      <w:rPr>
        <w:rStyle w:val="SidhuvudUtskott"/>
      </w:rPr>
      <w:instrText xml:space="preserve"> DOCPROPERTY Status</w:instrText>
    </w:r>
    <w:r w:rsidRPr="00480F35">
      <w:rPr>
        <w:rStyle w:val="SidhuvudUtskott"/>
      </w:rPr>
      <w:fldChar w:fldCharType="end"/>
    </w:r>
    <w:r w:rsidRPr="00480F35">
      <w:rPr>
        <w:rStyle w:val="SidhuvudUtskott"/>
      </w:rPr>
      <w:fldChar w:fldCharType="begin" w:fldLock="1"/>
    </w:r>
    <w:r w:rsidRPr="00480F35">
      <w:rPr>
        <w:rStyle w:val="SidhuvudUtskott"/>
      </w:rPr>
      <w:instrText xml:space="preserve"> if </w:instrText>
    </w:r>
    <w:r w:rsidRPr="00480F35">
      <w:rPr>
        <w:rStyle w:val="SidhuvudUtskott"/>
      </w:rPr>
      <w:fldChar w:fldCharType="begin" w:fldLock="1"/>
    </w:r>
    <w:r w:rsidRPr="00480F35">
      <w:rPr>
        <w:rStyle w:val="SidhuvudUtskott"/>
      </w:rPr>
      <w:instrText xml:space="preserve"> DOCPROPERTY "UtkastDatum"</w:instrText>
    </w:r>
    <w:r w:rsidRPr="00480F35">
      <w:rPr>
        <w:rStyle w:val="SidhuvudUtskott"/>
      </w:rPr>
      <w:fldChar w:fldCharType="separate"/>
    </w:r>
    <w:r w:rsidRPr="00480F35">
      <w:rPr>
        <w:rStyle w:val="SidhuvudUtskott"/>
      </w:rPr>
      <w:instrText>Nej</w:instrText>
    </w:r>
    <w:r w:rsidRPr="00480F35">
      <w:rPr>
        <w:rStyle w:val="SidhuvudUtskott"/>
      </w:rPr>
      <w:fldChar w:fldCharType="end"/>
    </w:r>
    <w:r w:rsidRPr="00480F35">
      <w:rPr>
        <w:rStyle w:val="SidhuvudUtskott"/>
      </w:rPr>
      <w:instrText xml:space="preserve"> = "Ja" "    </w:instrText>
    </w:r>
    <w:r w:rsidRPr="00480F35">
      <w:rPr>
        <w:rStyle w:val="SidhuvudUtskott"/>
      </w:rPr>
      <w:fldChar w:fldCharType="begin" w:fldLock="1"/>
    </w:r>
    <w:r w:rsidRPr="00480F35">
      <w:rPr>
        <w:rStyle w:val="SidhuvudUtskott"/>
      </w:rPr>
      <w:instrText xml:space="preserve"> PRINTDATE \@ "yyyy-MM-dd HH.mm" </w:instrText>
    </w:r>
    <w:r w:rsidRPr="00480F35">
      <w:rPr>
        <w:rStyle w:val="SidhuvudUtskott"/>
      </w:rPr>
      <w:fldChar w:fldCharType="separate"/>
    </w:r>
    <w:r w:rsidRPr="00480F35">
      <w:rPr>
        <w:rStyle w:val="SidhuvudUtskott"/>
      </w:rPr>
      <w:instrText>2000-08-11 16.42</w:instrText>
    </w:r>
    <w:r w:rsidRPr="00480F35">
      <w:rPr>
        <w:rStyle w:val="SidhuvudUtskott"/>
      </w:rPr>
      <w:fldChar w:fldCharType="end"/>
    </w:r>
    <w:r w:rsidRPr="00480F35">
      <w:rPr>
        <w:rStyle w:val="SidhuvudUtskott"/>
      </w:rPr>
      <w:instrText xml:space="preserve">" </w:instrText>
    </w:r>
    <w:r w:rsidRPr="00480F35">
      <w:rPr>
        <w:rStyle w:val="SidhuvudUtskott"/>
      </w:rPr>
      <w:fldChar w:fldCharType="end"/>
    </w:r>
  </w:p>
  <w:p w:rsidR="00DF7544" w:rsidRPr="00480F35" w:rsidRDefault="00DF754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544" w:rsidRPr="00480F35" w:rsidRDefault="00DF7544">
    <w:pPr>
      <w:pStyle w:val="SidhuvudKantUdda"/>
      <w:framePr w:w="8732" w:h="567" w:hRule="exact" w:vSpace="0" w:wrap="around" w:vAnchor="page" w:y="341" w:anchorLock="0"/>
    </w:pPr>
    <w:r w:rsidRPr="00480F35">
      <w:rPr>
        <w:rStyle w:val="SidhuvudRubrikReferens"/>
      </w:rPr>
      <w:fldChar w:fldCharType="begin" w:fldLock="1"/>
    </w:r>
    <w:r w:rsidRPr="00480F35">
      <w:rPr>
        <w:rStyle w:val="SidhuvudRubrikReferens"/>
      </w:rPr>
      <w:instrText xml:space="preserve"> StyleREF "Rubrik 1" </w:instrText>
    </w:r>
    <w:r w:rsidRPr="00480F35">
      <w:rPr>
        <w:rStyle w:val="SidhuvudRubrikReferens"/>
      </w:rPr>
      <w:fldChar w:fldCharType="separate"/>
    </w:r>
    <w:r w:rsidRPr="00480F35">
      <w:rPr>
        <w:rStyle w:val="SidhuvudRubrikReferens"/>
      </w:rPr>
      <w:t>Sammanfattning</w:t>
    </w:r>
    <w:r w:rsidRPr="00480F35">
      <w:rPr>
        <w:rStyle w:val="SidhuvudRubrikReferens"/>
      </w:rPr>
      <w:fldChar w:fldCharType="end"/>
    </w:r>
    <w:r w:rsidRPr="00480F35">
      <w:rPr>
        <w:rStyle w:val="SidhuvudBilaga"/>
      </w:rPr>
      <w:t xml:space="preserve"> </w:t>
    </w:r>
    <w:r w:rsidRPr="00480F35">
      <w:t xml:space="preserve">     </w:t>
    </w:r>
    <w:r w:rsidRPr="00480F35">
      <w:rPr>
        <w:rStyle w:val="SidhuvudUtskott"/>
      </w:rPr>
      <w:fldChar w:fldCharType="begin" w:fldLock="1"/>
    </w:r>
    <w:r w:rsidRPr="00480F35">
      <w:rPr>
        <w:rStyle w:val="SidhuvudUtskott"/>
      </w:rPr>
      <w:instrText xml:space="preserve"> DOCPROPERTY BetänkandeÅr</w:instrText>
    </w:r>
    <w:r w:rsidRPr="00480F35">
      <w:rPr>
        <w:rStyle w:val="SidhuvudUtskott"/>
      </w:rPr>
      <w:fldChar w:fldCharType="separate"/>
    </w:r>
    <w:r w:rsidRPr="00480F35">
      <w:rPr>
        <w:rStyle w:val="SidhuvudUtskott"/>
      </w:rPr>
      <w:t>2005/06</w:t>
    </w:r>
    <w:r w:rsidRPr="00480F35">
      <w:rPr>
        <w:rStyle w:val="SidhuvudUtskott"/>
      </w:rPr>
      <w:fldChar w:fldCharType="end"/>
    </w:r>
    <w:r w:rsidRPr="00480F35">
      <w:rPr>
        <w:rStyle w:val="SidhuvudUtskott"/>
      </w:rPr>
      <w:t>:</w:t>
    </w:r>
    <w:r w:rsidRPr="00480F35">
      <w:rPr>
        <w:rStyle w:val="SidhuvudUtskott"/>
      </w:rPr>
      <w:fldChar w:fldCharType="begin" w:fldLock="1"/>
    </w:r>
    <w:r w:rsidRPr="00480F35">
      <w:rPr>
        <w:rStyle w:val="SidhuvudUtskott"/>
      </w:rPr>
      <w:instrText xml:space="preserve"> DOCPROPERTY</w:instrText>
    </w:r>
    <w:r w:rsidRPr="00480F35">
      <w:instrText xml:space="preserve"> </w:instrText>
    </w:r>
    <w:r w:rsidRPr="00480F35">
      <w:rPr>
        <w:rStyle w:val="SidhuvudUtskott"/>
      </w:rPr>
      <w:instrText>Utskott</w:instrText>
    </w:r>
    <w:r w:rsidRPr="00480F35">
      <w:rPr>
        <w:rStyle w:val="SidhuvudUtskott"/>
      </w:rPr>
      <w:fldChar w:fldCharType="separate"/>
    </w:r>
    <w:r w:rsidRPr="00480F35">
      <w:rPr>
        <w:rStyle w:val="SidhuvudUtskott"/>
      </w:rPr>
      <w:t>FöU</w:t>
    </w:r>
    <w:r w:rsidRPr="00480F35">
      <w:rPr>
        <w:rStyle w:val="SidhuvudUtskott"/>
      </w:rPr>
      <w:fldChar w:fldCharType="end"/>
    </w:r>
    <w:r w:rsidRPr="00480F35">
      <w:rPr>
        <w:rStyle w:val="SidhuvudUtskott"/>
      </w:rPr>
      <w:fldChar w:fldCharType="begin" w:fldLock="1"/>
    </w:r>
    <w:r w:rsidRPr="00480F35">
      <w:rPr>
        <w:rStyle w:val="SidhuvudUtskott"/>
      </w:rPr>
      <w:instrText xml:space="preserve"> DOCPROPERTY Betä</w:instrText>
    </w:r>
    <w:r w:rsidRPr="00480F35">
      <w:rPr>
        <w:rStyle w:val="SidhuvudUtskott"/>
      </w:rPr>
      <w:instrText>n</w:instrText>
    </w:r>
    <w:r w:rsidRPr="00480F35">
      <w:rPr>
        <w:rStyle w:val="SidhuvudUtskott"/>
      </w:rPr>
      <w:instrText>kandeNr</w:instrText>
    </w:r>
    <w:r w:rsidRPr="00480F35">
      <w:rPr>
        <w:rStyle w:val="SidhuvudUtskott"/>
      </w:rPr>
      <w:fldChar w:fldCharType="separate"/>
    </w:r>
    <w:r w:rsidRPr="00480F35">
      <w:rPr>
        <w:rStyle w:val="SidhuvudUtskott"/>
      </w:rPr>
      <w:t>10</w:t>
    </w:r>
    <w:r w:rsidRPr="00480F35">
      <w:rPr>
        <w:rStyle w:val="SidhuvudUtskott"/>
      </w:rPr>
      <w:fldChar w:fldCharType="end"/>
    </w:r>
  </w:p>
  <w:p w:rsidR="00DF7544" w:rsidRPr="00480F35" w:rsidRDefault="00DF7544">
    <w:pPr>
      <w:pStyle w:val="SidhuvudKantUdda"/>
      <w:framePr w:w="8732" w:h="567" w:hRule="exact" w:vSpace="0" w:wrap="around" w:vAnchor="page" w:y="341" w:anchorLock="0"/>
    </w:pPr>
    <w:r w:rsidRPr="00480F35">
      <w:rPr>
        <w:rStyle w:val="SidhuvudUtskott"/>
      </w:rPr>
      <w:fldChar w:fldCharType="begin" w:fldLock="1"/>
    </w:r>
    <w:r w:rsidRPr="00480F35">
      <w:rPr>
        <w:rStyle w:val="SidhuvudUtskott"/>
      </w:rPr>
      <w:instrText xml:space="preserve"> if </w:instrText>
    </w:r>
    <w:r w:rsidRPr="00480F35">
      <w:rPr>
        <w:rStyle w:val="SidhuvudUtskott"/>
      </w:rPr>
      <w:fldChar w:fldCharType="begin" w:fldLock="1"/>
    </w:r>
    <w:r w:rsidRPr="00480F35">
      <w:rPr>
        <w:rStyle w:val="SidhuvudUtskott"/>
      </w:rPr>
      <w:instrText xml:space="preserve"> DOCPROPERTY "UtkastDatum"</w:instrText>
    </w:r>
    <w:r w:rsidRPr="00480F35">
      <w:rPr>
        <w:rStyle w:val="SidhuvudUtskott"/>
      </w:rPr>
      <w:fldChar w:fldCharType="separate"/>
    </w:r>
    <w:r w:rsidRPr="00480F35">
      <w:rPr>
        <w:rStyle w:val="SidhuvudUtskott"/>
      </w:rPr>
      <w:instrText>Nej</w:instrText>
    </w:r>
    <w:r w:rsidRPr="00480F35">
      <w:rPr>
        <w:rStyle w:val="SidhuvudUtskott"/>
      </w:rPr>
      <w:fldChar w:fldCharType="end"/>
    </w:r>
    <w:r w:rsidRPr="00480F35">
      <w:rPr>
        <w:rStyle w:val="SidhuvudUtskott"/>
      </w:rPr>
      <w:instrText xml:space="preserve"> = "Ja" "</w:instrText>
    </w:r>
    <w:r w:rsidRPr="00480F35">
      <w:rPr>
        <w:rStyle w:val="SidhuvudUtskott"/>
      </w:rPr>
      <w:fldChar w:fldCharType="begin" w:fldLock="1"/>
    </w:r>
    <w:r w:rsidRPr="00480F35">
      <w:rPr>
        <w:rStyle w:val="SidhuvudUtskott"/>
      </w:rPr>
      <w:instrText xml:space="preserve"> PRINTDATE \@ "yyyy-MM-dd HH.mm    " </w:instrText>
    </w:r>
    <w:r w:rsidRPr="00480F35">
      <w:rPr>
        <w:rStyle w:val="SidhuvudUtskott"/>
      </w:rPr>
      <w:fldChar w:fldCharType="separate"/>
    </w:r>
    <w:r w:rsidRPr="00480F35">
      <w:rPr>
        <w:rStyle w:val="SidhuvudUtskott"/>
      </w:rPr>
      <w:instrText>2000-08-11 16.42</w:instrText>
    </w:r>
    <w:r w:rsidRPr="00480F35">
      <w:rPr>
        <w:rStyle w:val="SidhuvudUtskott"/>
      </w:rPr>
      <w:fldChar w:fldCharType="end"/>
    </w:r>
    <w:r w:rsidRPr="00480F35">
      <w:rPr>
        <w:rStyle w:val="SidhuvudUtskott"/>
      </w:rPr>
      <w:instrText xml:space="preserve">" </w:instrText>
    </w:r>
    <w:r w:rsidRPr="00480F35">
      <w:rPr>
        <w:rStyle w:val="SidhuvudUtskott"/>
      </w:rPr>
      <w:fldChar w:fldCharType="end"/>
    </w:r>
    <w:r w:rsidRPr="00480F35">
      <w:rPr>
        <w:rStyle w:val="SidhuvudUtskott"/>
      </w:rPr>
      <w:fldChar w:fldCharType="begin" w:fldLock="1"/>
    </w:r>
    <w:r w:rsidRPr="00480F35">
      <w:rPr>
        <w:rStyle w:val="SidhuvudUtskott"/>
      </w:rPr>
      <w:instrText xml:space="preserve"> DOCPR</w:instrText>
    </w:r>
    <w:r w:rsidRPr="00480F35">
      <w:rPr>
        <w:rStyle w:val="SidhuvudUtskott"/>
      </w:rPr>
      <w:instrText>O</w:instrText>
    </w:r>
    <w:r w:rsidRPr="00480F35">
      <w:rPr>
        <w:rStyle w:val="SidhuvudUtskott"/>
      </w:rPr>
      <w:instrText>PERTY Status</w:instrText>
    </w:r>
    <w:r w:rsidRPr="00480F35">
      <w:rPr>
        <w:rStyle w:val="SidhuvudUtskott"/>
      </w:rPr>
      <w:fldChar w:fldCharType="end"/>
    </w:r>
  </w:p>
  <w:p w:rsidR="00DF7544" w:rsidRPr="00480F35" w:rsidRDefault="00DF754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D77" w:rsidRPr="00480F35" w:rsidRDefault="00FE7D77">
    <w:pPr>
      <w:pStyle w:val="SidhuvudKantJmn"/>
      <w:framePr w:w="8732" w:h="567" w:hRule="exact" w:vSpace="0" w:wrap="around" w:vAnchor="page" w:y="341" w:anchorLock="0"/>
    </w:pPr>
    <w:r w:rsidRPr="00480F35">
      <w:rPr>
        <w:rStyle w:val="SidhuvudUtskott"/>
      </w:rPr>
      <w:t>2005/06:FöU10</w:t>
    </w:r>
    <w:r w:rsidRPr="00480F35">
      <w:t xml:space="preserve">    </w:t>
    </w:r>
  </w:p>
  <w:p w:rsidR="00FE7D77" w:rsidRPr="00480F35" w:rsidRDefault="00FE7D77">
    <w:pPr>
      <w:pStyle w:val="SidhuvudKantJmn"/>
      <w:framePr w:w="8732" w:h="567" w:hRule="exact" w:vSpace="0" w:wrap="around" w:vAnchor="page" w:y="341" w:anchorLock="0"/>
    </w:pPr>
  </w:p>
  <w:p w:rsidR="00DF7544" w:rsidRPr="00480F35" w:rsidRDefault="00FE7D77">
    <w:pPr>
      <w:pStyle w:val="SidhuvudKantUdda"/>
      <w:framePr w:w="8732" w:h="567" w:hRule="exact" w:vSpace="0" w:wrap="around" w:vAnchor="page" w:y="341" w:anchorLock="0"/>
    </w:pPr>
    <w:r w:rsidRPr="00480F35">
      <w:rPr>
        <w:rStyle w:val="SidhuvudRubrikReferens"/>
        <w:smallCaps w:val="0"/>
      </w:rPr>
      <w:t xml:space="preserve"> </w:t>
    </w:r>
  </w:p>
  <w:p w:rsidR="00DF7544" w:rsidRPr="00480F35" w:rsidRDefault="00DF754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544" w:rsidRPr="00480F35" w:rsidRDefault="00DF7544">
    <w:pPr>
      <w:pStyle w:val="SidhuvudKantJmn"/>
      <w:framePr w:w="8732" w:h="567" w:hRule="exact" w:vSpace="0" w:wrap="around" w:vAnchor="page" w:y="341" w:anchorLock="0"/>
    </w:pPr>
    <w:r w:rsidRPr="00480F35">
      <w:rPr>
        <w:rStyle w:val="SidhuvudUtskott"/>
      </w:rPr>
      <w:fldChar w:fldCharType="begin" w:fldLock="1"/>
    </w:r>
    <w:r w:rsidRPr="00480F35">
      <w:rPr>
        <w:rStyle w:val="SidhuvudUtskott"/>
      </w:rPr>
      <w:instrText xml:space="preserve"> DOCPROPERTY BetänkandeÅr</w:instrText>
    </w:r>
    <w:r w:rsidRPr="00480F35">
      <w:rPr>
        <w:rStyle w:val="SidhuvudUtskott"/>
      </w:rPr>
      <w:fldChar w:fldCharType="separate"/>
    </w:r>
    <w:r w:rsidRPr="00480F35">
      <w:rPr>
        <w:rStyle w:val="SidhuvudUtskott"/>
      </w:rPr>
      <w:t>2005/06</w:t>
    </w:r>
    <w:r w:rsidRPr="00480F35">
      <w:rPr>
        <w:rStyle w:val="SidhuvudUtskott"/>
      </w:rPr>
      <w:fldChar w:fldCharType="end"/>
    </w:r>
    <w:r w:rsidRPr="00480F35">
      <w:rPr>
        <w:rStyle w:val="SidhuvudUtskott"/>
      </w:rPr>
      <w:t>:</w:t>
    </w:r>
    <w:r w:rsidRPr="00480F35">
      <w:rPr>
        <w:rStyle w:val="SidhuvudUtskott"/>
      </w:rPr>
      <w:fldChar w:fldCharType="begin" w:fldLock="1"/>
    </w:r>
    <w:r w:rsidRPr="00480F35">
      <w:rPr>
        <w:rStyle w:val="SidhuvudUtskott"/>
      </w:rPr>
      <w:instrText xml:space="preserve"> DOCPROPERTY Utskott</w:instrText>
    </w:r>
    <w:r w:rsidRPr="00480F35">
      <w:rPr>
        <w:rStyle w:val="SidhuvudUtskott"/>
      </w:rPr>
      <w:fldChar w:fldCharType="separate"/>
    </w:r>
    <w:r w:rsidRPr="00480F35">
      <w:rPr>
        <w:rStyle w:val="SidhuvudUtskott"/>
      </w:rPr>
      <w:t>FöU</w:t>
    </w:r>
    <w:r w:rsidRPr="00480F35">
      <w:rPr>
        <w:rStyle w:val="SidhuvudUtskott"/>
      </w:rPr>
      <w:fldChar w:fldCharType="end"/>
    </w:r>
    <w:r w:rsidRPr="00480F35">
      <w:rPr>
        <w:rStyle w:val="SidhuvudUtskott"/>
      </w:rPr>
      <w:fldChar w:fldCharType="begin" w:fldLock="1"/>
    </w:r>
    <w:r w:rsidRPr="00480F35">
      <w:rPr>
        <w:rStyle w:val="SidhuvudUtskott"/>
      </w:rPr>
      <w:instrText xml:space="preserve"> DOCPROPERTY BetänkandeNr</w:instrText>
    </w:r>
    <w:r w:rsidRPr="00480F35">
      <w:rPr>
        <w:rStyle w:val="SidhuvudUtskott"/>
      </w:rPr>
      <w:fldChar w:fldCharType="separate"/>
    </w:r>
    <w:r w:rsidRPr="00480F35">
      <w:rPr>
        <w:rStyle w:val="SidhuvudUtskott"/>
      </w:rPr>
      <w:t>10</w:t>
    </w:r>
    <w:r w:rsidRPr="00480F35">
      <w:rPr>
        <w:rStyle w:val="SidhuvudUtskott"/>
      </w:rPr>
      <w:fldChar w:fldCharType="end"/>
    </w:r>
    <w:r w:rsidRPr="00480F35">
      <w:t xml:space="preserve">     </w:t>
    </w:r>
    <w:r w:rsidRPr="00480F35">
      <w:rPr>
        <w:rStyle w:val="SidhuvudBilaga"/>
      </w:rPr>
      <w:t xml:space="preserve"> </w:t>
    </w:r>
    <w:r w:rsidRPr="00480F35">
      <w:rPr>
        <w:rStyle w:val="SidhuvudRubrikReferens"/>
      </w:rPr>
      <w:fldChar w:fldCharType="begin" w:fldLock="1"/>
    </w:r>
    <w:r w:rsidRPr="00480F35">
      <w:rPr>
        <w:rStyle w:val="SidhuvudRubrikReferens"/>
      </w:rPr>
      <w:instrText xml:space="preserve"> StyleREF "Rubrik 1" </w:instrText>
    </w:r>
    <w:r w:rsidRPr="00480F35">
      <w:rPr>
        <w:rStyle w:val="SidhuvudRubrikReferens"/>
      </w:rPr>
      <w:fldChar w:fldCharType="separate"/>
    </w:r>
    <w:r w:rsidRPr="00480F35">
      <w:rPr>
        <w:rStyle w:val="SidhuvudRubrikReferens"/>
      </w:rPr>
      <w:t>Innehållsförteckning</w:t>
    </w:r>
    <w:r w:rsidRPr="00480F35">
      <w:rPr>
        <w:rStyle w:val="SidhuvudRubrikReferens"/>
      </w:rPr>
      <w:fldChar w:fldCharType="end"/>
    </w:r>
  </w:p>
  <w:p w:rsidR="00DF7544" w:rsidRPr="00480F35" w:rsidRDefault="00DF7544">
    <w:pPr>
      <w:pStyle w:val="SidhuvudKantJmn"/>
      <w:framePr w:w="8732" w:h="567" w:hRule="exact" w:vSpace="0" w:wrap="around" w:vAnchor="page" w:y="341" w:anchorLock="0"/>
    </w:pPr>
    <w:r w:rsidRPr="00480F35">
      <w:rPr>
        <w:rStyle w:val="SidhuvudUtskott"/>
      </w:rPr>
      <w:fldChar w:fldCharType="begin" w:fldLock="1"/>
    </w:r>
    <w:r w:rsidRPr="00480F35">
      <w:rPr>
        <w:rStyle w:val="SidhuvudUtskott"/>
      </w:rPr>
      <w:instrText xml:space="preserve"> DOCPROPERTY Status</w:instrText>
    </w:r>
    <w:r w:rsidRPr="00480F35">
      <w:rPr>
        <w:rStyle w:val="SidhuvudUtskott"/>
      </w:rPr>
      <w:fldChar w:fldCharType="end"/>
    </w:r>
    <w:r w:rsidRPr="00480F35">
      <w:rPr>
        <w:rStyle w:val="SidhuvudUtskott"/>
      </w:rPr>
      <w:fldChar w:fldCharType="begin" w:fldLock="1"/>
    </w:r>
    <w:r w:rsidRPr="00480F35">
      <w:rPr>
        <w:rStyle w:val="SidhuvudUtskott"/>
      </w:rPr>
      <w:instrText xml:space="preserve"> if </w:instrText>
    </w:r>
    <w:r w:rsidRPr="00480F35">
      <w:rPr>
        <w:rStyle w:val="SidhuvudUtskott"/>
      </w:rPr>
      <w:fldChar w:fldCharType="begin" w:fldLock="1"/>
    </w:r>
    <w:r w:rsidRPr="00480F35">
      <w:rPr>
        <w:rStyle w:val="SidhuvudUtskott"/>
      </w:rPr>
      <w:instrText xml:space="preserve"> DOCPROPERTY "UtkastDatum"</w:instrText>
    </w:r>
    <w:r w:rsidRPr="00480F35">
      <w:rPr>
        <w:rStyle w:val="SidhuvudUtskott"/>
      </w:rPr>
      <w:fldChar w:fldCharType="separate"/>
    </w:r>
    <w:r w:rsidRPr="00480F35">
      <w:rPr>
        <w:rStyle w:val="SidhuvudUtskott"/>
      </w:rPr>
      <w:instrText>Nej</w:instrText>
    </w:r>
    <w:r w:rsidRPr="00480F35">
      <w:rPr>
        <w:rStyle w:val="SidhuvudUtskott"/>
      </w:rPr>
      <w:fldChar w:fldCharType="end"/>
    </w:r>
    <w:r w:rsidRPr="00480F35">
      <w:rPr>
        <w:rStyle w:val="SidhuvudUtskott"/>
      </w:rPr>
      <w:instrText xml:space="preserve"> = "Ja" "    </w:instrText>
    </w:r>
    <w:r w:rsidRPr="00480F35">
      <w:rPr>
        <w:rStyle w:val="SidhuvudUtskott"/>
      </w:rPr>
      <w:fldChar w:fldCharType="begin" w:fldLock="1"/>
    </w:r>
    <w:r w:rsidRPr="00480F35">
      <w:rPr>
        <w:rStyle w:val="SidhuvudUtskott"/>
      </w:rPr>
      <w:instrText xml:space="preserve"> PRINTDATE \@ "yyyy-MM-dd HH.mm" </w:instrText>
    </w:r>
    <w:r w:rsidRPr="00480F35">
      <w:rPr>
        <w:rStyle w:val="SidhuvudUtskott"/>
      </w:rPr>
      <w:fldChar w:fldCharType="separate"/>
    </w:r>
    <w:r w:rsidRPr="00480F35">
      <w:rPr>
        <w:rStyle w:val="SidhuvudUtskott"/>
      </w:rPr>
      <w:instrText>2000-08-11 16.42</w:instrText>
    </w:r>
    <w:r w:rsidRPr="00480F35">
      <w:rPr>
        <w:rStyle w:val="SidhuvudUtskott"/>
      </w:rPr>
      <w:fldChar w:fldCharType="end"/>
    </w:r>
    <w:r w:rsidRPr="00480F35">
      <w:rPr>
        <w:rStyle w:val="SidhuvudUtskott"/>
      </w:rPr>
      <w:instrText xml:space="preserve">" </w:instrText>
    </w:r>
    <w:r w:rsidRPr="00480F35">
      <w:rPr>
        <w:rStyle w:val="SidhuvudUtskott"/>
      </w:rPr>
      <w:fldChar w:fldCharType="end"/>
    </w:r>
  </w:p>
  <w:p w:rsidR="00DF7544" w:rsidRPr="00480F35" w:rsidRDefault="00DF754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544" w:rsidRPr="00480F35" w:rsidRDefault="00DF7544">
    <w:pPr>
      <w:pStyle w:val="SidhuvudKantUdda"/>
      <w:framePr w:w="8732" w:h="567" w:hRule="exact" w:vSpace="0" w:wrap="around" w:vAnchor="page" w:y="341" w:anchorLock="0"/>
    </w:pPr>
    <w:r w:rsidRPr="00480F35">
      <w:rPr>
        <w:rStyle w:val="SidhuvudRubrikReferens"/>
      </w:rPr>
      <w:fldChar w:fldCharType="begin" w:fldLock="1"/>
    </w:r>
    <w:r w:rsidRPr="00480F35">
      <w:rPr>
        <w:rStyle w:val="SidhuvudRubrikReferens"/>
      </w:rPr>
      <w:instrText xml:space="preserve"> StyleREF "Rubrik 1" </w:instrText>
    </w:r>
    <w:r w:rsidRPr="00480F35">
      <w:rPr>
        <w:rStyle w:val="SidhuvudRubrikReferens"/>
      </w:rPr>
      <w:fldChar w:fldCharType="separate"/>
    </w:r>
    <w:r w:rsidRPr="00480F35">
      <w:rPr>
        <w:rStyle w:val="SidhuvudRubrikReferens"/>
      </w:rPr>
      <w:t>Innehållsförteckning</w:t>
    </w:r>
    <w:r w:rsidRPr="00480F35">
      <w:rPr>
        <w:rStyle w:val="SidhuvudRubrikReferens"/>
      </w:rPr>
      <w:fldChar w:fldCharType="end"/>
    </w:r>
    <w:r w:rsidRPr="00480F35">
      <w:rPr>
        <w:rStyle w:val="SidhuvudBilaga"/>
      </w:rPr>
      <w:t xml:space="preserve"> </w:t>
    </w:r>
    <w:r w:rsidRPr="00480F35">
      <w:t xml:space="preserve">     </w:t>
    </w:r>
    <w:r w:rsidRPr="00480F35">
      <w:rPr>
        <w:rStyle w:val="SidhuvudUtskott"/>
      </w:rPr>
      <w:fldChar w:fldCharType="begin" w:fldLock="1"/>
    </w:r>
    <w:r w:rsidRPr="00480F35">
      <w:rPr>
        <w:rStyle w:val="SidhuvudUtskott"/>
      </w:rPr>
      <w:instrText xml:space="preserve"> DOCPROPERTY BetänkandeÅr</w:instrText>
    </w:r>
    <w:r w:rsidRPr="00480F35">
      <w:rPr>
        <w:rStyle w:val="SidhuvudUtskott"/>
      </w:rPr>
      <w:fldChar w:fldCharType="separate"/>
    </w:r>
    <w:r w:rsidRPr="00480F35">
      <w:rPr>
        <w:rStyle w:val="SidhuvudUtskott"/>
      </w:rPr>
      <w:t>2005/06</w:t>
    </w:r>
    <w:r w:rsidRPr="00480F35">
      <w:rPr>
        <w:rStyle w:val="SidhuvudUtskott"/>
      </w:rPr>
      <w:fldChar w:fldCharType="end"/>
    </w:r>
    <w:r w:rsidRPr="00480F35">
      <w:rPr>
        <w:rStyle w:val="SidhuvudUtskott"/>
      </w:rPr>
      <w:t>:</w:t>
    </w:r>
    <w:r w:rsidRPr="00480F35">
      <w:rPr>
        <w:rStyle w:val="SidhuvudUtskott"/>
      </w:rPr>
      <w:fldChar w:fldCharType="begin" w:fldLock="1"/>
    </w:r>
    <w:r w:rsidRPr="00480F35">
      <w:rPr>
        <w:rStyle w:val="SidhuvudUtskott"/>
      </w:rPr>
      <w:instrText xml:space="preserve"> DOCPROPERTY</w:instrText>
    </w:r>
    <w:r w:rsidRPr="00480F35">
      <w:instrText xml:space="preserve"> </w:instrText>
    </w:r>
    <w:r w:rsidRPr="00480F35">
      <w:rPr>
        <w:rStyle w:val="SidhuvudUtskott"/>
      </w:rPr>
      <w:instrText>Utskott</w:instrText>
    </w:r>
    <w:r w:rsidRPr="00480F35">
      <w:rPr>
        <w:rStyle w:val="SidhuvudUtskott"/>
      </w:rPr>
      <w:fldChar w:fldCharType="separate"/>
    </w:r>
    <w:r w:rsidRPr="00480F35">
      <w:rPr>
        <w:rStyle w:val="SidhuvudUtskott"/>
      </w:rPr>
      <w:t>FöU</w:t>
    </w:r>
    <w:r w:rsidRPr="00480F35">
      <w:rPr>
        <w:rStyle w:val="SidhuvudUtskott"/>
      </w:rPr>
      <w:fldChar w:fldCharType="end"/>
    </w:r>
    <w:r w:rsidRPr="00480F35">
      <w:rPr>
        <w:rStyle w:val="SidhuvudUtskott"/>
      </w:rPr>
      <w:fldChar w:fldCharType="begin" w:fldLock="1"/>
    </w:r>
    <w:r w:rsidRPr="00480F35">
      <w:rPr>
        <w:rStyle w:val="SidhuvudUtskott"/>
      </w:rPr>
      <w:instrText xml:space="preserve"> DOCPROPERTY Betä</w:instrText>
    </w:r>
    <w:r w:rsidRPr="00480F35">
      <w:rPr>
        <w:rStyle w:val="SidhuvudUtskott"/>
      </w:rPr>
      <w:instrText>n</w:instrText>
    </w:r>
    <w:r w:rsidRPr="00480F35">
      <w:rPr>
        <w:rStyle w:val="SidhuvudUtskott"/>
      </w:rPr>
      <w:instrText>kandeNr</w:instrText>
    </w:r>
    <w:r w:rsidRPr="00480F35">
      <w:rPr>
        <w:rStyle w:val="SidhuvudUtskott"/>
      </w:rPr>
      <w:fldChar w:fldCharType="separate"/>
    </w:r>
    <w:r w:rsidRPr="00480F35">
      <w:rPr>
        <w:rStyle w:val="SidhuvudUtskott"/>
      </w:rPr>
      <w:t>10</w:t>
    </w:r>
    <w:r w:rsidRPr="00480F35">
      <w:rPr>
        <w:rStyle w:val="SidhuvudUtskott"/>
      </w:rPr>
      <w:fldChar w:fldCharType="end"/>
    </w:r>
  </w:p>
  <w:p w:rsidR="00DF7544" w:rsidRPr="00480F35" w:rsidRDefault="00DF7544">
    <w:pPr>
      <w:pStyle w:val="SidhuvudKantUdda"/>
      <w:framePr w:w="8732" w:h="567" w:hRule="exact" w:vSpace="0" w:wrap="around" w:vAnchor="page" w:y="341" w:anchorLock="0"/>
    </w:pPr>
    <w:r w:rsidRPr="00480F35">
      <w:rPr>
        <w:rStyle w:val="SidhuvudUtskott"/>
      </w:rPr>
      <w:fldChar w:fldCharType="begin" w:fldLock="1"/>
    </w:r>
    <w:r w:rsidRPr="00480F35">
      <w:rPr>
        <w:rStyle w:val="SidhuvudUtskott"/>
      </w:rPr>
      <w:instrText xml:space="preserve"> if </w:instrText>
    </w:r>
    <w:r w:rsidRPr="00480F35">
      <w:rPr>
        <w:rStyle w:val="SidhuvudUtskott"/>
      </w:rPr>
      <w:fldChar w:fldCharType="begin" w:fldLock="1"/>
    </w:r>
    <w:r w:rsidRPr="00480F35">
      <w:rPr>
        <w:rStyle w:val="SidhuvudUtskott"/>
      </w:rPr>
      <w:instrText xml:space="preserve"> DOCPROPERTY "UtkastDatum"</w:instrText>
    </w:r>
    <w:r w:rsidRPr="00480F35">
      <w:rPr>
        <w:rStyle w:val="SidhuvudUtskott"/>
      </w:rPr>
      <w:fldChar w:fldCharType="separate"/>
    </w:r>
    <w:r w:rsidRPr="00480F35">
      <w:rPr>
        <w:rStyle w:val="SidhuvudUtskott"/>
      </w:rPr>
      <w:instrText>Nej</w:instrText>
    </w:r>
    <w:r w:rsidRPr="00480F35">
      <w:rPr>
        <w:rStyle w:val="SidhuvudUtskott"/>
      </w:rPr>
      <w:fldChar w:fldCharType="end"/>
    </w:r>
    <w:r w:rsidRPr="00480F35">
      <w:rPr>
        <w:rStyle w:val="SidhuvudUtskott"/>
      </w:rPr>
      <w:instrText xml:space="preserve"> = "Ja" "</w:instrText>
    </w:r>
    <w:r w:rsidRPr="00480F35">
      <w:rPr>
        <w:rStyle w:val="SidhuvudUtskott"/>
      </w:rPr>
      <w:fldChar w:fldCharType="begin" w:fldLock="1"/>
    </w:r>
    <w:r w:rsidRPr="00480F35">
      <w:rPr>
        <w:rStyle w:val="SidhuvudUtskott"/>
      </w:rPr>
      <w:instrText xml:space="preserve"> PRINTDATE \@ "yyyy-MM-dd HH.mm    " </w:instrText>
    </w:r>
    <w:r w:rsidRPr="00480F35">
      <w:rPr>
        <w:rStyle w:val="SidhuvudUtskott"/>
      </w:rPr>
      <w:fldChar w:fldCharType="separate"/>
    </w:r>
    <w:r w:rsidRPr="00480F35">
      <w:rPr>
        <w:rStyle w:val="SidhuvudUtskott"/>
      </w:rPr>
      <w:instrText>2000-08-11 16.42</w:instrText>
    </w:r>
    <w:r w:rsidRPr="00480F35">
      <w:rPr>
        <w:rStyle w:val="SidhuvudUtskott"/>
      </w:rPr>
      <w:fldChar w:fldCharType="end"/>
    </w:r>
    <w:r w:rsidRPr="00480F35">
      <w:rPr>
        <w:rStyle w:val="SidhuvudUtskott"/>
      </w:rPr>
      <w:instrText xml:space="preserve">" </w:instrText>
    </w:r>
    <w:r w:rsidRPr="00480F35">
      <w:rPr>
        <w:rStyle w:val="SidhuvudUtskott"/>
      </w:rPr>
      <w:fldChar w:fldCharType="end"/>
    </w:r>
    <w:r w:rsidRPr="00480F35">
      <w:rPr>
        <w:rStyle w:val="SidhuvudUtskott"/>
      </w:rPr>
      <w:fldChar w:fldCharType="begin" w:fldLock="1"/>
    </w:r>
    <w:r w:rsidRPr="00480F35">
      <w:rPr>
        <w:rStyle w:val="SidhuvudUtskott"/>
      </w:rPr>
      <w:instrText xml:space="preserve"> DOCPR</w:instrText>
    </w:r>
    <w:r w:rsidRPr="00480F35">
      <w:rPr>
        <w:rStyle w:val="SidhuvudUtskott"/>
      </w:rPr>
      <w:instrText>O</w:instrText>
    </w:r>
    <w:r w:rsidRPr="00480F35">
      <w:rPr>
        <w:rStyle w:val="SidhuvudUtskott"/>
      </w:rPr>
      <w:instrText>PERTY Status</w:instrText>
    </w:r>
    <w:r w:rsidRPr="00480F35">
      <w:rPr>
        <w:rStyle w:val="SidhuvudUtskott"/>
      </w:rPr>
      <w:fldChar w:fldCharType="end"/>
    </w:r>
  </w:p>
  <w:p w:rsidR="00DF7544" w:rsidRPr="00480F35" w:rsidRDefault="00DF754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D77" w:rsidRPr="00480F35" w:rsidRDefault="00FE7D77">
    <w:pPr>
      <w:pStyle w:val="SidhuvudKantUdda"/>
      <w:framePr w:w="8732" w:h="567" w:hRule="exact" w:vSpace="0" w:wrap="around" w:vAnchor="page" w:y="341" w:anchorLock="0"/>
    </w:pPr>
    <w:r w:rsidRPr="00480F35">
      <w:t xml:space="preserve">  </w:t>
    </w:r>
    <w:r w:rsidRPr="00480F35">
      <w:rPr>
        <w:rStyle w:val="SidhuvudUtskott"/>
      </w:rPr>
      <w:t>2005/06:FöU10</w:t>
    </w:r>
  </w:p>
  <w:p w:rsidR="00DF7544" w:rsidRPr="00480F35" w:rsidRDefault="00DF7544">
    <w:pPr>
      <w:pStyle w:val="SidhuvudKantUdda"/>
      <w:framePr w:w="8732" w:h="567" w:hRule="exact" w:vSpace="0" w:wrap="around" w:vAnchor="page" w:y="341" w:anchorLock="0"/>
    </w:pPr>
  </w:p>
  <w:p w:rsidR="00DF7544" w:rsidRPr="00480F35" w:rsidRDefault="00DF754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507210699">
    <w:abstractNumId w:val="10"/>
  </w:num>
  <w:num w:numId="2" w16cid:durableId="1684278530">
    <w:abstractNumId w:val="8"/>
  </w:num>
  <w:num w:numId="3" w16cid:durableId="832524140">
    <w:abstractNumId w:val="3"/>
  </w:num>
  <w:num w:numId="4" w16cid:durableId="992949508">
    <w:abstractNumId w:val="2"/>
  </w:num>
  <w:num w:numId="5" w16cid:durableId="584073022">
    <w:abstractNumId w:val="1"/>
  </w:num>
  <w:num w:numId="6" w16cid:durableId="2047757665">
    <w:abstractNumId w:val="0"/>
  </w:num>
  <w:num w:numId="7" w16cid:durableId="1038317135">
    <w:abstractNumId w:val="9"/>
  </w:num>
  <w:num w:numId="8" w16cid:durableId="73206140">
    <w:abstractNumId w:val="7"/>
  </w:num>
  <w:num w:numId="9" w16cid:durableId="269555533">
    <w:abstractNumId w:val="6"/>
  </w:num>
  <w:num w:numId="10" w16cid:durableId="658774831">
    <w:abstractNumId w:val="5"/>
  </w:num>
  <w:num w:numId="11" w16cid:durableId="139268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506"/>
  </w:docVars>
  <w:rsids>
    <w:rsidRoot w:val="00967112"/>
    <w:rsid w:val="00000F27"/>
    <w:rsid w:val="00010050"/>
    <w:rsid w:val="000176A5"/>
    <w:rsid w:val="00072B16"/>
    <w:rsid w:val="0008678E"/>
    <w:rsid w:val="000B74DA"/>
    <w:rsid w:val="000C1126"/>
    <w:rsid w:val="000E4901"/>
    <w:rsid w:val="001032BF"/>
    <w:rsid w:val="001A2440"/>
    <w:rsid w:val="001F41FD"/>
    <w:rsid w:val="001F7C82"/>
    <w:rsid w:val="00237610"/>
    <w:rsid w:val="0028236B"/>
    <w:rsid w:val="002A5DD0"/>
    <w:rsid w:val="002C5C89"/>
    <w:rsid w:val="002E7E2E"/>
    <w:rsid w:val="0030170B"/>
    <w:rsid w:val="003267EB"/>
    <w:rsid w:val="0038257E"/>
    <w:rsid w:val="003A2E6E"/>
    <w:rsid w:val="003C2073"/>
    <w:rsid w:val="003F3893"/>
    <w:rsid w:val="003F6A59"/>
    <w:rsid w:val="00426BC9"/>
    <w:rsid w:val="00441976"/>
    <w:rsid w:val="004746C4"/>
    <w:rsid w:val="00480F35"/>
    <w:rsid w:val="00512CC5"/>
    <w:rsid w:val="0053567D"/>
    <w:rsid w:val="00550FAF"/>
    <w:rsid w:val="00552BD6"/>
    <w:rsid w:val="00590A5B"/>
    <w:rsid w:val="005D232D"/>
    <w:rsid w:val="005F42BA"/>
    <w:rsid w:val="00601BD2"/>
    <w:rsid w:val="0063113F"/>
    <w:rsid w:val="006A5E66"/>
    <w:rsid w:val="006D041A"/>
    <w:rsid w:val="006D61B1"/>
    <w:rsid w:val="006F7F7D"/>
    <w:rsid w:val="0072359C"/>
    <w:rsid w:val="0072747C"/>
    <w:rsid w:val="00783731"/>
    <w:rsid w:val="007C0115"/>
    <w:rsid w:val="007C0CFD"/>
    <w:rsid w:val="007C130F"/>
    <w:rsid w:val="008408D1"/>
    <w:rsid w:val="008A528E"/>
    <w:rsid w:val="00967112"/>
    <w:rsid w:val="009971B6"/>
    <w:rsid w:val="009975FB"/>
    <w:rsid w:val="009A541D"/>
    <w:rsid w:val="009C6C5E"/>
    <w:rsid w:val="009D48AB"/>
    <w:rsid w:val="009E549A"/>
    <w:rsid w:val="009E5D4A"/>
    <w:rsid w:val="00A4150C"/>
    <w:rsid w:val="00A65500"/>
    <w:rsid w:val="00A73D0A"/>
    <w:rsid w:val="00AB1F45"/>
    <w:rsid w:val="00AF6348"/>
    <w:rsid w:val="00B17327"/>
    <w:rsid w:val="00B25FAA"/>
    <w:rsid w:val="00BA65E2"/>
    <w:rsid w:val="00BF4AF0"/>
    <w:rsid w:val="00C215CA"/>
    <w:rsid w:val="00C60668"/>
    <w:rsid w:val="00C66A3B"/>
    <w:rsid w:val="00C810F1"/>
    <w:rsid w:val="00C91593"/>
    <w:rsid w:val="00CD2E34"/>
    <w:rsid w:val="00CE4B2A"/>
    <w:rsid w:val="00CF480A"/>
    <w:rsid w:val="00D34758"/>
    <w:rsid w:val="00D85FE3"/>
    <w:rsid w:val="00D949B0"/>
    <w:rsid w:val="00DB080B"/>
    <w:rsid w:val="00DC1C0A"/>
    <w:rsid w:val="00DF7544"/>
    <w:rsid w:val="00E04AE6"/>
    <w:rsid w:val="00E758DB"/>
    <w:rsid w:val="00EE284F"/>
    <w:rsid w:val="00F046E8"/>
    <w:rsid w:val="00F417F5"/>
    <w:rsid w:val="00F53A97"/>
    <w:rsid w:val="00FA6384"/>
    <w:rsid w:val="00FE7D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2CC7EFF-5253-4258-BEEF-6CF1D872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7C0115"/>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link w:val="CitatChar"/>
    <w:qFormat/>
    <w:pPr>
      <w:spacing w:before="0" w:line="200" w:lineRule="exact"/>
      <w:ind w:left="340"/>
    </w:pPr>
  </w:style>
  <w:style w:type="paragraph" w:customStyle="1" w:styleId="CitatIndrag">
    <w:name w:val="CitatIndrag"/>
    <w:basedOn w:val="Citat"/>
    <w:link w:val="CitatIndragChar"/>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Normalwebb">
    <w:name w:val="Normal (Web)"/>
    <w:basedOn w:val="Normal"/>
    <w:rsid w:val="009E5D4A"/>
    <w:pPr>
      <w:spacing w:before="100" w:beforeAutospacing="1" w:after="100" w:afterAutospacing="1" w:line="240" w:lineRule="auto"/>
      <w:jc w:val="left"/>
    </w:pPr>
    <w:rPr>
      <w:sz w:val="24"/>
      <w:szCs w:val="24"/>
    </w:rPr>
  </w:style>
  <w:style w:type="character" w:customStyle="1" w:styleId="CitatChar">
    <w:name w:val="Citat Char"/>
    <w:basedOn w:val="Standardstycketeckensnitt"/>
    <w:link w:val="Citat"/>
    <w:rsid w:val="002A5DD0"/>
    <w:rPr>
      <w:sz w:val="19"/>
      <w:lang w:val="sv-SE" w:eastAsia="sv-SE" w:bidi="ar-SA"/>
    </w:rPr>
  </w:style>
  <w:style w:type="character" w:customStyle="1" w:styleId="CitatIndragChar">
    <w:name w:val="CitatIndrag Char"/>
    <w:basedOn w:val="CitatChar"/>
    <w:link w:val="CitatIndrag"/>
    <w:rsid w:val="002A5DD0"/>
    <w:rPr>
      <w:sz w:val="19"/>
      <w:lang w:val="sv-SE" w:eastAsia="sv-SE" w:bidi="ar-SA"/>
    </w:rPr>
  </w:style>
  <w:style w:type="paragraph" w:styleId="Ballongtext">
    <w:name w:val="Balloon Text"/>
    <w:basedOn w:val="Normal"/>
    <w:semiHidden/>
    <w:rsid w:val="00BF4A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29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3162</Words>
  <Characters>20367</Characters>
  <Application>Microsoft Office Word</Application>
  <DocSecurity>4</DocSecurity>
  <Lines>399</Lines>
  <Paragraphs>120</Paragraphs>
  <ScaleCrop>false</ScaleCrop>
  <HeadingPairs>
    <vt:vector size="2" baseType="variant">
      <vt:variant>
        <vt:lpstr>Rubrik</vt:lpstr>
      </vt:variant>
      <vt:variant>
        <vt:i4>1</vt:i4>
      </vt:variant>
    </vt:vector>
  </HeadingPairs>
  <TitlesOfParts>
    <vt:vector size="1" baseType="lpstr">
      <vt:lpstr>Försvarsutskottets betänkande</vt:lpstr>
    </vt:vector>
  </TitlesOfParts>
  <Company>Riksdagen</Company>
  <LinksUpToDate>false</LinksUpToDate>
  <CharactersWithSpaces>23409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dc:description/>
  <cp:lastModifiedBy>Lars Brink</cp:lastModifiedBy>
  <cp:revision>2</cp:revision>
  <cp:lastPrinted>2006-05-05T13:05:00Z</cp:lastPrinted>
  <dcterms:created xsi:type="dcterms:W3CDTF">2025-12-16T18:44:00Z</dcterms:created>
  <dcterms:modified xsi:type="dcterms:W3CDTF">2025-12-16T18:44:00Z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FöU</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