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1747" w:rsidRDefault="002F1747">
      <w:pPr>
        <w:pStyle w:val="Rubrik1"/>
        <w:spacing w:before="0"/>
      </w:pPr>
      <w:bookmarkStart w:id="0" w:name="_Toc417800319"/>
      <w:r>
        <w:t>Till jordbruksutskottet</w:t>
      </w:r>
      <w:bookmarkEnd w:id="0"/>
    </w:p>
    <w:p w:rsidR="002F1747" w:rsidRDefault="002F1747">
      <w:r>
        <w:t>Jordbruksutskottet har berett näringsutskottet tillfälle att yttra sig över prop</w:t>
      </w:r>
      <w:r>
        <w:t>o</w:t>
      </w:r>
      <w:r>
        <w:t xml:space="preserve">sition 1997/98:90 om följdlagstiftning till miljöbalken m.m. jämte motioner, i de delar som berör näringsutskottets beredningsområde. </w:t>
      </w:r>
    </w:p>
    <w:p w:rsidR="002F1747" w:rsidRDefault="002F1747">
      <w:pPr>
        <w:pStyle w:val="Normaltindrag"/>
      </w:pPr>
      <w:r>
        <w:t>I den nämnda propositionen föreslår regeringen följdlagstiftning till milj</w:t>
      </w:r>
      <w:r>
        <w:t>ö</w:t>
      </w:r>
      <w:r>
        <w:t>balken i fråga om flera av de lagar som ingår i näringsutskottets beredning</w:t>
      </w:r>
      <w:r>
        <w:t>s</w:t>
      </w:r>
      <w:r>
        <w:t>område, bl.a. ellagen (1997:857), minerallagen (1991:45) och lagen (1985: 620) om vissa torvfyndigheter. Förslaget till ändringar i den sistnämnda lagen, den s.k. torvlagen, har tagits upp i motion 1997/98:Jo51 (kd). I övrigt har inga yrkanden väckts inom näringsutskottets beredningsområde. N</w:t>
      </w:r>
      <w:r>
        <w:t>ä</w:t>
      </w:r>
      <w:r>
        <w:t>ringsutskottet begränsar sitt yttrande till den fråga som aktualiseras i nämnda m</w:t>
      </w:r>
      <w:r>
        <w:t>o</w:t>
      </w:r>
      <w:r>
        <w:t xml:space="preserve">tion. </w:t>
      </w:r>
    </w:p>
    <w:p w:rsidR="002F1747" w:rsidRDefault="002F1747">
      <w:pPr>
        <w:spacing w:before="123"/>
      </w:pPr>
      <w:r>
        <w:t>En skrivelse i ärendet har inkommit från Skogsägarna</w:t>
      </w:r>
      <w:r>
        <w:t xml:space="preserve"> Mellanskog. </w:t>
      </w:r>
    </w:p>
    <w:p w:rsidR="002F1747" w:rsidRDefault="002F1747">
      <w:r>
        <w:t>Näringsutskottet föreslår att propositionen tillstyrks i behandlad del och att det aktuella motionsyrkandet avstyrks. Till yttrandet har fogats en avvikande mening (kd).</w:t>
      </w:r>
    </w:p>
    <w:p w:rsidR="002F1747" w:rsidRDefault="002F1747">
      <w:pPr>
        <w:pStyle w:val="Normaltindrag"/>
      </w:pPr>
    </w:p>
    <w:p w:rsidR="002F1747" w:rsidRDefault="002F1747">
      <w:pPr>
        <w:pStyle w:val="Rubrik1"/>
        <w:spacing w:before="123"/>
      </w:pPr>
      <w:r>
        <w:t>Näringsutskottet</w:t>
      </w:r>
    </w:p>
    <w:p w:rsidR="002F1747" w:rsidRDefault="002F1747">
      <w:pPr>
        <w:pStyle w:val="Rubrik2"/>
        <w:spacing w:before="123"/>
      </w:pPr>
      <w:r>
        <w:t>Regeringens förslag till miljöbalk</w:t>
      </w:r>
    </w:p>
    <w:p w:rsidR="002F1747" w:rsidRDefault="002F1747">
      <w:r>
        <w:t>Regeringen har tidigare i proposition 1997/98:45 lagt fram förslag om en miljöbalk.</w:t>
      </w:r>
    </w:p>
    <w:p w:rsidR="002F1747" w:rsidRDefault="002F1747">
      <w:pPr>
        <w:pStyle w:val="Normaltindrag"/>
      </w:pPr>
      <w:r>
        <w:t xml:space="preserve">Miljöbalkens </w:t>
      </w:r>
      <w:r>
        <w:rPr>
          <w:i/>
        </w:rPr>
        <w:t xml:space="preserve">mål </w:t>
      </w:r>
      <w:r>
        <w:t>är att främja en hållbar utveckling som innebär att nuv</w:t>
      </w:r>
      <w:r>
        <w:t>a</w:t>
      </w:r>
      <w:r>
        <w:t xml:space="preserve">rande och kommande generationer tillförsäkras en hälsosam och god miljö. En sådan utveckling bygger på insikten att naturen har ett skyddsvärde och att människans rätt att förändra och bruka naturen är förenad med ett ansvar för att förvalta naturen väl. </w:t>
      </w:r>
    </w:p>
    <w:p w:rsidR="002F1747" w:rsidRDefault="002F1747">
      <w:pPr>
        <w:pStyle w:val="Normaltindrag"/>
      </w:pPr>
      <w:r>
        <w:t>Miljöbalkens andra kapitel innehåller rättsligt bindande principer och al</w:t>
      </w:r>
      <w:r>
        <w:t>l</w:t>
      </w:r>
      <w:r>
        <w:t xml:space="preserve">männa </w:t>
      </w:r>
      <w:r>
        <w:rPr>
          <w:i/>
        </w:rPr>
        <w:t>hänsynsregler</w:t>
      </w:r>
      <w:r>
        <w:t xml:space="preserve">. Den mest grundläggande hänsynsregeln finns i 2 kap. 3 § och innehåller krav på att alla som bedriver eller avser att bedriva en verksamhet eller vidta en åtgärd skall utföra de skyddsåtgärder, iaktta de begränsningar och vidta de försiktighetsmått i övrigt som behövs för att förebygga, hindra eller motverka att verksamheten eller åtgärden medför skada eller olägenhet för människors hälsa eller miljön. I samma syfte skall </w:t>
      </w:r>
      <w:r>
        <w:lastRenderedPageBreak/>
        <w:t>vid yrkesmässig verksamhet bästa möjliga teknik användas. Dessuto</w:t>
      </w:r>
      <w:r>
        <w:t>m skall försiktighetsprincipen gälla. Andra allmänna hänsynsregler är bl.a. att välja en lämplig plats för verksamheten och hushålla med råvaror och energi. En ytterligare hänsynsregel är att alla som bedriver eller har bedrivit en ver</w:t>
      </w:r>
      <w:r>
        <w:t>k</w:t>
      </w:r>
      <w:r>
        <w:t>samhet eller vidtagit en åtgärd som medfört skada eller olägenhet för miljön ansvarar – till dess skadan eller olägenheten har upphört – för att skadan avhjälps i den omfattning det kan anses skäligt.</w:t>
      </w:r>
    </w:p>
    <w:p w:rsidR="002F1747" w:rsidRDefault="002F1747">
      <w:pPr>
        <w:pStyle w:val="Normaltindrag"/>
      </w:pPr>
      <w:r>
        <w:t xml:space="preserve">Bestämmelser motsvarande 2 och 3 kap. i den s.k. </w:t>
      </w:r>
      <w:r>
        <w:rPr>
          <w:i/>
        </w:rPr>
        <w:t xml:space="preserve">naturresurslagen </w:t>
      </w:r>
      <w:r>
        <w:t>(NRL) har a</w:t>
      </w:r>
      <w:r>
        <w:t>r</w:t>
      </w:r>
      <w:r>
        <w:t xml:space="preserve">betats in i miljöbalken bland de övergripande bestämmelserna. </w:t>
      </w:r>
    </w:p>
    <w:p w:rsidR="002F1747" w:rsidRDefault="002F1747">
      <w:pPr>
        <w:pStyle w:val="Normaltindrag"/>
      </w:pPr>
      <w:r>
        <w:t xml:space="preserve">I miljöbalken införs regler om </w:t>
      </w:r>
      <w:r>
        <w:rPr>
          <w:i/>
        </w:rPr>
        <w:t>miljökvalitetsnormer</w:t>
      </w:r>
      <w:r>
        <w:t>,</w:t>
      </w:r>
      <w:r>
        <w:rPr>
          <w:i/>
        </w:rPr>
        <w:t xml:space="preserve"> </w:t>
      </w:r>
      <w:r>
        <w:t>vilka är föreskrifter om lägsta godtagbara miljökvalitet i fråga om mark, vatten, luft eller miljön i övrigt för vissa geografiska områden eller för hela landet. Regeringen får föreskriva om miljökvalitetsnormer för att skydda människors hälsa eller miljön. Miljökvalitetsnormer får ange exempelvis högsta eller lägsta för</w:t>
      </w:r>
      <w:r>
        <w:t>e</w:t>
      </w:r>
      <w:r>
        <w:t xml:space="preserve">komst i miljön av kemiska produkter. </w:t>
      </w:r>
    </w:p>
    <w:p w:rsidR="002F1747" w:rsidRDefault="002F1747">
      <w:pPr>
        <w:pStyle w:val="Normaltindrag"/>
      </w:pPr>
      <w:r>
        <w:t>Statliga myndigheter och kommuner skall säkerställa att miljökval</w:t>
      </w:r>
      <w:r>
        <w:t>i</w:t>
      </w:r>
      <w:r>
        <w:t>tetsnormer uppfylls när de prövar tillåtlighet, tillstånd, godkännanden, di</w:t>
      </w:r>
      <w:r>
        <w:t>s</w:t>
      </w:r>
      <w:r>
        <w:t xml:space="preserve">penser och anmälningsärenden, utövar tillsyn och meddelar föreskrifter. </w:t>
      </w:r>
    </w:p>
    <w:p w:rsidR="002F1747" w:rsidRDefault="002F1747">
      <w:pPr>
        <w:pStyle w:val="Normaltindrag"/>
      </w:pPr>
      <w:r>
        <w:t xml:space="preserve">Reglerna om </w:t>
      </w:r>
      <w:r>
        <w:rPr>
          <w:i/>
        </w:rPr>
        <w:t xml:space="preserve">miljökonsekvensbeskrivningar </w:t>
      </w:r>
      <w:r>
        <w:t xml:space="preserve">utökas genom miljöbalken. En ansökan om tillåtlighet eller tillstånd enligt balken skall, med vissa undantag, alltid innehålla en miljökonsekvensbeskrivning. Kraven på vad en sådan skall innehålla preciseras i balken. </w:t>
      </w:r>
    </w:p>
    <w:p w:rsidR="002F1747" w:rsidRDefault="002F1747">
      <w:pPr>
        <w:pStyle w:val="Normaltindrag"/>
      </w:pPr>
      <w:r>
        <w:rPr>
          <w:i/>
        </w:rPr>
        <w:t xml:space="preserve">Ideella miljöorganisationer </w:t>
      </w:r>
      <w:r>
        <w:t xml:space="preserve">som har funnits i tre år och som har minst </w:t>
      </w:r>
      <w:r>
        <w:br/>
        <w:t>2 000 medlemmar ges rätt att överklaga domar och beslut enligt miljöba</w:t>
      </w:r>
      <w:r>
        <w:t>l</w:t>
      </w:r>
      <w:r>
        <w:t>ken.</w:t>
      </w:r>
    </w:p>
    <w:p w:rsidR="002F1747" w:rsidRDefault="002F1747">
      <w:pPr>
        <w:pStyle w:val="Normaltindrag"/>
        <w:rPr>
          <w:b/>
        </w:rPr>
      </w:pPr>
      <w:r>
        <w:t xml:space="preserve">Regionala </w:t>
      </w:r>
      <w:r>
        <w:rPr>
          <w:i/>
        </w:rPr>
        <w:t xml:space="preserve">miljödomstolar </w:t>
      </w:r>
      <w:r>
        <w:t>skall inrättas och ersätta Koncessionsnämnden för miljöskydd och vattendomstolarna. En miljööverdomstol skall inrättas och knytas till Svea hovrätt.</w:t>
      </w:r>
    </w:p>
    <w:p w:rsidR="002F1747" w:rsidRDefault="002F1747">
      <w:pPr>
        <w:pStyle w:val="Rubrik2"/>
      </w:pPr>
      <w:r>
        <w:t xml:space="preserve">Proposition 1997/98:90 </w:t>
      </w:r>
    </w:p>
    <w:p w:rsidR="002F1747" w:rsidRDefault="002F1747">
      <w:pPr>
        <w:spacing w:before="123"/>
      </w:pPr>
      <w:r>
        <w:t>Regeringen föreslår i proposition 1997/98:90 (s. 222) att torvlagen och mi</w:t>
      </w:r>
      <w:r>
        <w:t>l</w:t>
      </w:r>
      <w:r>
        <w:t>jöbalken skall gälla parallellt, i den bemärkelsen att verksamhetsutövaren skall följa bestämmelserna i båda lagarna. Inga begränsningar skall införas i möjligheten att ingripa med stöd av miljöbalken. Vid koncessionsprövning enligt torvlagen skall ett antal bestämmelser i miljöbalken tillämpas. Till skillnad från nuvarande ordning skall samtliga effekter av en torvtäkt prövas vid ett tillfälle.</w:t>
      </w:r>
    </w:p>
    <w:p w:rsidR="002F1747" w:rsidRDefault="002F1747">
      <w:pPr>
        <w:pStyle w:val="Normaltindrag"/>
      </w:pPr>
      <w:r>
        <w:t>När det gäller torv innebär undersökning inte alltid någon nämnbar mi</w:t>
      </w:r>
      <w:r>
        <w:t>l</w:t>
      </w:r>
      <w:r>
        <w:t>jöpåverkan, påpekas det i propositionen. Om emellertid undersökningsarbetet skulle innebära negativ påverkan på miljön är miljöbalken tillämplig. Bea</w:t>
      </w:r>
      <w:r>
        <w:t>r</w:t>
      </w:r>
      <w:r>
        <w:t>betning av torv sker normalt i flera led, som vart och ett har en sådan mi</w:t>
      </w:r>
      <w:r>
        <w:t>l</w:t>
      </w:r>
      <w:r>
        <w:t>jöpåverkan att miljöbalken är tillämplig. Efter täktverksamheten sker efte</w:t>
      </w:r>
      <w:r>
        <w:t>r</w:t>
      </w:r>
      <w:r>
        <w:t>behandling, som syftar till att antingen skapa en våt eller torr miljö på den utbrutna mossen.</w:t>
      </w:r>
    </w:p>
    <w:p w:rsidR="002F1747" w:rsidRDefault="002F1747">
      <w:pPr>
        <w:pStyle w:val="Normaltindrag"/>
      </w:pPr>
      <w:r>
        <w:t>Regeringens förslag innebär att såväl vid undersökning som vid bearbe</w:t>
      </w:r>
      <w:r>
        <w:t>t</w:t>
      </w:r>
      <w:r>
        <w:t>ning skall – parallellt med torvlagen – miljöbalkens bestämmelser, exempe</w:t>
      </w:r>
      <w:r>
        <w:t>l</w:t>
      </w:r>
      <w:r>
        <w:t>vis de allmänna hänsynsreglerna, gälla. De parallella reglerna har bl.a. bet</w:t>
      </w:r>
      <w:r>
        <w:t>y</w:t>
      </w:r>
      <w:r>
        <w:t>delse för skada eller olägenhet som uppkommer under koncessionstiden. Sådana skador eller olägenheter regleras inte i torvlagen men däremot i mi</w:t>
      </w:r>
      <w:r>
        <w:t>l</w:t>
      </w:r>
      <w:r>
        <w:t>jöba</w:t>
      </w:r>
      <w:r>
        <w:t>l</w:t>
      </w:r>
      <w:r>
        <w:t xml:space="preserve">ken. </w:t>
      </w:r>
    </w:p>
    <w:p w:rsidR="002F1747" w:rsidRDefault="002F1747">
      <w:pPr>
        <w:pStyle w:val="Normaltindrag"/>
      </w:pPr>
      <w:r>
        <w:t>Tvekan skulle enligt regeringen kunna uppstå om vilka regler som skall tillämpas när en skada föreligger sedan bearbetningskoncessionen har up</w:t>
      </w:r>
      <w:r>
        <w:t>p</w:t>
      </w:r>
      <w:r>
        <w:t>hört. Enligt regeringens uppfattning bör inte lägre krav ställas vid brytning av energitorv än vad som gäller för annan verksamhet. Därför föreslås att torvlagen (34 §) kompletteras med en bestämmelse om att reglerna om e</w:t>
      </w:r>
      <w:r>
        <w:t>f</w:t>
      </w:r>
      <w:r>
        <w:t>terarbete inte innebär någon inskränkning i vad som gäller enligt motsvara</w:t>
      </w:r>
      <w:r>
        <w:t>n</w:t>
      </w:r>
      <w:r>
        <w:t>de bestämmelser i miljöbalken.</w:t>
      </w:r>
    </w:p>
    <w:p w:rsidR="002F1747" w:rsidRDefault="002F1747">
      <w:pPr>
        <w:pStyle w:val="Normaltindrag"/>
      </w:pPr>
      <w:r>
        <w:t>Enligt torvlagen (4 §) får undersökningskoncession förenas med rätt för innehavaren att senare få bearbetningskoncession eller företräde att få sådan. Enligt regeringens förslag bör p</w:t>
      </w:r>
      <w:r>
        <w:t>aragrafen ändras så att den medger endast rätt att förena undersökningskoncession med rätt för innehavaren att få företräde framför annan till bearbetningskoncession. Syftet är att den miljöprövning som skall ske i samband med bearbetningskoncession inte skall föregripas.</w:t>
      </w:r>
    </w:p>
    <w:p w:rsidR="002F1747" w:rsidRDefault="002F1747">
      <w:pPr>
        <w:pStyle w:val="Normaltindrag"/>
      </w:pPr>
      <w:r>
        <w:t>Vid all koncessionsprövning, dvs. vid både undersöknings- och bearbe</w:t>
      </w:r>
      <w:r>
        <w:t>t</w:t>
      </w:r>
      <w:r>
        <w:t>ningskoncession, skall miljöbalkens allmänna hänsynsregler och bestämme</w:t>
      </w:r>
      <w:r>
        <w:t>l</w:t>
      </w:r>
      <w:r>
        <w:t xml:space="preserve">ser om hushållning med mark- och vattenområden samt miljökvalitetsnormer tillämpas. I enlighet därmed föreslår regeringen vissa ändringar i torvlagen </w:t>
      </w:r>
      <w:r>
        <w:br/>
        <w:t xml:space="preserve">(7 §). </w:t>
      </w:r>
    </w:p>
    <w:p w:rsidR="002F1747" w:rsidRDefault="002F1747">
      <w:pPr>
        <w:pStyle w:val="Normaltindrag"/>
      </w:pPr>
      <w:r>
        <w:t>Vid prövning av bearbetningskoncession skall ytterligare bestämmelser i miljöbalken tillämpas enligt torvlagen (7 §). Detta gäller bl.a. miljöbalkens bestämmelser om miljökonsekvensbeskrivningar. Vidare skall tillstånd inte få lämnas till en täkt som kan befaras försämra livsbeti</w:t>
      </w:r>
      <w:r>
        <w:t>ngelserna för en hotad djur- eller växtart. Ännu ett förslag i samma paragraf är att miljöbalkens bestämmelse om att miljöorganisationer och liknande av viss storlek får överklaga domar och beslut om tillstånd m.m. skall tillä</w:t>
      </w:r>
      <w:r>
        <w:t>m</w:t>
      </w:r>
      <w:r>
        <w:t xml:space="preserve">pas. </w:t>
      </w:r>
    </w:p>
    <w:p w:rsidR="002F1747" w:rsidRDefault="002F1747">
      <w:pPr>
        <w:pStyle w:val="Normaltindrag"/>
      </w:pPr>
      <w:r>
        <w:t>Vidare föreslår regeringen att ytterligare en paragraf i torvlagen (13 §) ändras. Enligt nuvarande lydelse av denna paragraf skall koncessionshavaren åläggas att ställa säkerhet för att villkor till skydd för naturmiljön, andra allmänna intressen eller enskild rätt skall uppfyll</w:t>
      </w:r>
      <w:r>
        <w:t xml:space="preserve">as. Regeringen föreslår nu att skyldigheten att ställa säkerhet för villkor ändras och preciseras. Enligt förslaget </w:t>
      </w:r>
      <w:r>
        <w:rPr>
          <w:i/>
        </w:rPr>
        <w:t>skall</w:t>
      </w:r>
      <w:r>
        <w:rPr>
          <w:b/>
        </w:rPr>
        <w:t xml:space="preserve"> </w:t>
      </w:r>
      <w:r>
        <w:t>säkerhet för fullgörande av återställningsåtgärder ställas vid ingrepp i naturen av större omfattning, om det inte är uppenbart att det sa</w:t>
      </w:r>
      <w:r>
        <w:t>k</w:t>
      </w:r>
      <w:r>
        <w:t xml:space="preserve">nas anledning till detta. I andra fall </w:t>
      </w:r>
      <w:r>
        <w:rPr>
          <w:i/>
        </w:rPr>
        <w:t>kan</w:t>
      </w:r>
      <w:r>
        <w:rPr>
          <w:b/>
        </w:rPr>
        <w:t xml:space="preserve"> </w:t>
      </w:r>
      <w:r>
        <w:t>en koncession villkoras av att säke</w:t>
      </w:r>
      <w:r>
        <w:t>r</w:t>
      </w:r>
      <w:r>
        <w:t>het ställs för att koncessionshavaren skall fullgöra sina skyldigheter i sa</w:t>
      </w:r>
      <w:r>
        <w:t>m</w:t>
      </w:r>
      <w:r>
        <w:t>band med återställningsa</w:t>
      </w:r>
      <w:r>
        <w:t>r</w:t>
      </w:r>
      <w:r>
        <w:t>bete.</w:t>
      </w:r>
    </w:p>
    <w:p w:rsidR="002F1747" w:rsidRDefault="002F1747">
      <w:pPr>
        <w:pStyle w:val="Normaltindrag"/>
      </w:pPr>
      <w:r>
        <w:t xml:space="preserve">Därutöver föreslår regeringen en omarbetning av torvlagen (14 §) </w:t>
      </w:r>
      <w:r>
        <w:t>efter f</w:t>
      </w:r>
      <w:r>
        <w:t>ö</w:t>
      </w:r>
      <w:r>
        <w:t>rebild i 24 kap. 5 § miljöbalken. Detta innebär att länsstyrelsen får ändra villkoren för en pågående koncession om det uppstått olägenhet av någon betydelse som inte förutsågs när koncession meddelades. Vidare får länsst</w:t>
      </w:r>
      <w:r>
        <w:t>y</w:t>
      </w:r>
      <w:r>
        <w:t>relsen enligt förslaget ändra villkoren när verksamheten med någon betydelse medverkar till att en miljökvalitetsnorm enligt 5 kap. miljöbalken öve</w:t>
      </w:r>
      <w:r>
        <w:t>r</w:t>
      </w:r>
      <w:r>
        <w:t>träds.</w:t>
      </w:r>
    </w:p>
    <w:p w:rsidR="002F1747" w:rsidRDefault="002F1747">
      <w:pPr>
        <w:pStyle w:val="Rubrik2"/>
      </w:pPr>
      <w:r>
        <w:t>Motionen</w:t>
      </w:r>
    </w:p>
    <w:p w:rsidR="002F1747" w:rsidRDefault="002F1747">
      <w:r>
        <w:t>I motion 1997/98:Jo51 (kd) hävdas att beskrivningen av torvlagens och mi</w:t>
      </w:r>
      <w:r>
        <w:t>l</w:t>
      </w:r>
      <w:r>
        <w:t>jöbalkens förhållande till varandra visar på en väldig otydlighet och kom-plexitet. För nuvarande brytningsföretag skapar detta stor osäkerhet om villkoren för fortsatt drift, sägs det i motionen. Ett genomförande av föreli</w:t>
      </w:r>
      <w:r>
        <w:t>g</w:t>
      </w:r>
      <w:r>
        <w:t>gande förslag skulle enligt motionärerna skada torvnäringen, vilken i sig inte är stark men värdefull såväl ur energisynpunkt som av regionalpolitiska sysselsättningsskäl. Motionärerna yrkar därför avslag på regeringens förslag om föl</w:t>
      </w:r>
      <w:r>
        <w:t>j</w:t>
      </w:r>
      <w:r>
        <w:t>dändringar i torvlagen.</w:t>
      </w:r>
    </w:p>
    <w:p w:rsidR="002F1747" w:rsidRDefault="002F1747">
      <w:pPr>
        <w:pStyle w:val="Rubrik2"/>
      </w:pPr>
      <w:r>
        <w:t>Vissa kompletterande uppgift</w:t>
      </w:r>
      <w:r>
        <w:t>er</w:t>
      </w:r>
    </w:p>
    <w:p w:rsidR="002F1747" w:rsidRDefault="002F1747">
      <w:r>
        <w:t>Enligt uppgifter från Svenska Torvproducentföreningen finns det cirka tio miljoner hektar torv i Sverige. Antalet giltiga bearbetningskoncessioner uppgår, som redovisas i tabellen nedan, till drygt 200 stycken och omfattar totalt cirka 48 000 ha. Av denna yta brukas en fjärdedel, dvs. cirka 12 000 ha. Sysselsättningen i branschen uppgår till cirka 1 200 årsarbetare, huvu</w:t>
      </w:r>
      <w:r>
        <w:t>d</w:t>
      </w:r>
      <w:r>
        <w:t>sakl</w:t>
      </w:r>
      <w:r>
        <w:t>i</w:t>
      </w:r>
      <w:r>
        <w:t xml:space="preserve">gen i glesbygd. </w:t>
      </w:r>
    </w:p>
    <w:p w:rsidR="002F1747" w:rsidRDefault="002F1747">
      <w:r>
        <w:t xml:space="preserve">Tabell  Antalet giltiga bearbetningskoncessioner för torv den 1 januari 1998 </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2127"/>
        <w:gridCol w:w="2126"/>
      </w:tblGrid>
      <w:tr w:rsidR="00000000">
        <w:tblPrEx>
          <w:tblCellMar>
            <w:top w:w="0" w:type="dxa"/>
            <w:bottom w:w="0" w:type="dxa"/>
          </w:tblCellMar>
        </w:tblPrEx>
        <w:trPr>
          <w:trHeight w:val="503"/>
        </w:trPr>
        <w:tc>
          <w:tcPr>
            <w:tcW w:w="1771" w:type="dxa"/>
          </w:tcPr>
          <w:p w:rsidR="002F1747" w:rsidRDefault="002F1747">
            <w:pPr>
              <w:spacing w:line="240" w:lineRule="auto"/>
              <w:rPr>
                <w:b/>
              </w:rPr>
            </w:pPr>
            <w:r>
              <w:rPr>
                <w:b/>
              </w:rPr>
              <w:t>Län</w:t>
            </w:r>
          </w:p>
        </w:tc>
        <w:tc>
          <w:tcPr>
            <w:tcW w:w="2127" w:type="dxa"/>
          </w:tcPr>
          <w:p w:rsidR="002F1747" w:rsidRDefault="002F1747">
            <w:pPr>
              <w:spacing w:line="240" w:lineRule="auto"/>
              <w:jc w:val="right"/>
              <w:rPr>
                <w:b/>
              </w:rPr>
            </w:pPr>
            <w:r>
              <w:rPr>
                <w:b/>
              </w:rPr>
              <w:t>Antal bearbetn.koncess.</w:t>
            </w:r>
          </w:p>
        </w:tc>
        <w:tc>
          <w:tcPr>
            <w:tcW w:w="2126" w:type="dxa"/>
          </w:tcPr>
          <w:p w:rsidR="002F1747" w:rsidRDefault="002F1747">
            <w:pPr>
              <w:spacing w:line="240" w:lineRule="auto"/>
              <w:jc w:val="center"/>
              <w:rPr>
                <w:b/>
              </w:rPr>
            </w:pPr>
            <w:r>
              <w:rPr>
                <w:b/>
              </w:rPr>
              <w:t>Areal, hektar</w:t>
            </w:r>
          </w:p>
        </w:tc>
      </w:tr>
      <w:tr w:rsidR="00000000">
        <w:tblPrEx>
          <w:tblCellMar>
            <w:top w:w="0" w:type="dxa"/>
            <w:bottom w:w="0" w:type="dxa"/>
          </w:tblCellMar>
        </w:tblPrEx>
        <w:tc>
          <w:tcPr>
            <w:tcW w:w="1771" w:type="dxa"/>
          </w:tcPr>
          <w:p w:rsidR="002F1747" w:rsidRDefault="002F1747">
            <w:pPr>
              <w:spacing w:line="240" w:lineRule="auto"/>
            </w:pPr>
            <w:r>
              <w:t>Uppsala</w:t>
            </w:r>
          </w:p>
        </w:tc>
        <w:tc>
          <w:tcPr>
            <w:tcW w:w="2127" w:type="dxa"/>
          </w:tcPr>
          <w:p w:rsidR="002F1747" w:rsidRDefault="002F1747">
            <w:pPr>
              <w:spacing w:line="240" w:lineRule="auto"/>
              <w:jc w:val="center"/>
            </w:pPr>
            <w:r>
              <w:t xml:space="preserve">2 </w:t>
            </w:r>
          </w:p>
        </w:tc>
        <w:tc>
          <w:tcPr>
            <w:tcW w:w="2126" w:type="dxa"/>
          </w:tcPr>
          <w:p w:rsidR="002F1747" w:rsidRDefault="002F1747">
            <w:pPr>
              <w:spacing w:line="240" w:lineRule="auto"/>
              <w:jc w:val="center"/>
            </w:pPr>
            <w:r>
              <w:t xml:space="preserve"> 1 185</w:t>
            </w:r>
          </w:p>
        </w:tc>
      </w:tr>
      <w:tr w:rsidR="00000000">
        <w:tblPrEx>
          <w:tblCellMar>
            <w:top w:w="0" w:type="dxa"/>
            <w:bottom w:w="0" w:type="dxa"/>
          </w:tblCellMar>
        </w:tblPrEx>
        <w:tc>
          <w:tcPr>
            <w:tcW w:w="1771" w:type="dxa"/>
          </w:tcPr>
          <w:p w:rsidR="002F1747" w:rsidRDefault="002F1747">
            <w:pPr>
              <w:spacing w:line="240" w:lineRule="auto"/>
            </w:pPr>
            <w:r>
              <w:t>Östergötland</w:t>
            </w:r>
          </w:p>
        </w:tc>
        <w:tc>
          <w:tcPr>
            <w:tcW w:w="2127" w:type="dxa"/>
          </w:tcPr>
          <w:p w:rsidR="002F1747" w:rsidRDefault="002F1747">
            <w:pPr>
              <w:spacing w:line="240" w:lineRule="auto"/>
              <w:jc w:val="center"/>
            </w:pPr>
            <w:r>
              <w:t>1</w:t>
            </w:r>
          </w:p>
        </w:tc>
        <w:tc>
          <w:tcPr>
            <w:tcW w:w="2126" w:type="dxa"/>
          </w:tcPr>
          <w:p w:rsidR="002F1747" w:rsidRDefault="002F1747">
            <w:pPr>
              <w:spacing w:line="240" w:lineRule="auto"/>
            </w:pPr>
            <w:r>
              <w:t xml:space="preserve">                    250</w:t>
            </w:r>
          </w:p>
        </w:tc>
      </w:tr>
      <w:tr w:rsidR="00000000">
        <w:tblPrEx>
          <w:tblCellMar>
            <w:top w:w="0" w:type="dxa"/>
            <w:bottom w:w="0" w:type="dxa"/>
          </w:tblCellMar>
        </w:tblPrEx>
        <w:tc>
          <w:tcPr>
            <w:tcW w:w="1771" w:type="dxa"/>
          </w:tcPr>
          <w:p w:rsidR="002F1747" w:rsidRDefault="002F1747">
            <w:pPr>
              <w:spacing w:line="240" w:lineRule="auto"/>
            </w:pPr>
            <w:r>
              <w:t>Jönköping</w:t>
            </w:r>
          </w:p>
        </w:tc>
        <w:tc>
          <w:tcPr>
            <w:tcW w:w="2127" w:type="dxa"/>
          </w:tcPr>
          <w:p w:rsidR="002F1747" w:rsidRDefault="002F1747">
            <w:pPr>
              <w:spacing w:line="240" w:lineRule="auto"/>
            </w:pPr>
            <w:r>
              <w:t xml:space="preserve">                  11</w:t>
            </w:r>
          </w:p>
        </w:tc>
        <w:tc>
          <w:tcPr>
            <w:tcW w:w="2126" w:type="dxa"/>
          </w:tcPr>
          <w:p w:rsidR="002F1747" w:rsidRDefault="002F1747">
            <w:pPr>
              <w:spacing w:line="240" w:lineRule="auto"/>
            </w:pPr>
            <w:r>
              <w:t xml:space="preserve">                 1 739</w:t>
            </w:r>
          </w:p>
        </w:tc>
      </w:tr>
      <w:tr w:rsidR="00000000">
        <w:tblPrEx>
          <w:tblCellMar>
            <w:top w:w="0" w:type="dxa"/>
            <w:bottom w:w="0" w:type="dxa"/>
          </w:tblCellMar>
        </w:tblPrEx>
        <w:tc>
          <w:tcPr>
            <w:tcW w:w="1771" w:type="dxa"/>
          </w:tcPr>
          <w:p w:rsidR="002F1747" w:rsidRDefault="002F1747">
            <w:pPr>
              <w:spacing w:line="240" w:lineRule="auto"/>
            </w:pPr>
            <w:r>
              <w:t>Kronoberg</w:t>
            </w:r>
          </w:p>
        </w:tc>
        <w:tc>
          <w:tcPr>
            <w:tcW w:w="2127" w:type="dxa"/>
          </w:tcPr>
          <w:p w:rsidR="002F1747" w:rsidRDefault="002F1747">
            <w:pPr>
              <w:spacing w:line="240" w:lineRule="auto"/>
            </w:pPr>
            <w:r>
              <w:t xml:space="preserve">                  14</w:t>
            </w:r>
          </w:p>
        </w:tc>
        <w:tc>
          <w:tcPr>
            <w:tcW w:w="2126" w:type="dxa"/>
          </w:tcPr>
          <w:p w:rsidR="002F1747" w:rsidRDefault="002F1747">
            <w:pPr>
              <w:spacing w:line="240" w:lineRule="auto"/>
            </w:pPr>
            <w:r>
              <w:t xml:space="preserve">                 1 365</w:t>
            </w:r>
          </w:p>
        </w:tc>
      </w:tr>
      <w:tr w:rsidR="00000000">
        <w:tblPrEx>
          <w:tblCellMar>
            <w:top w:w="0" w:type="dxa"/>
            <w:bottom w:w="0" w:type="dxa"/>
          </w:tblCellMar>
        </w:tblPrEx>
        <w:tc>
          <w:tcPr>
            <w:tcW w:w="1771" w:type="dxa"/>
          </w:tcPr>
          <w:p w:rsidR="002F1747" w:rsidRDefault="002F1747">
            <w:pPr>
              <w:spacing w:line="240" w:lineRule="auto"/>
            </w:pPr>
            <w:r>
              <w:t>Kalmar</w:t>
            </w:r>
          </w:p>
        </w:tc>
        <w:tc>
          <w:tcPr>
            <w:tcW w:w="2127" w:type="dxa"/>
          </w:tcPr>
          <w:p w:rsidR="002F1747" w:rsidRDefault="002F1747">
            <w:pPr>
              <w:spacing w:line="240" w:lineRule="auto"/>
              <w:jc w:val="center"/>
            </w:pPr>
            <w:r>
              <w:t>1</w:t>
            </w:r>
          </w:p>
        </w:tc>
        <w:tc>
          <w:tcPr>
            <w:tcW w:w="2126" w:type="dxa"/>
          </w:tcPr>
          <w:p w:rsidR="002F1747" w:rsidRDefault="002F1747">
            <w:pPr>
              <w:spacing w:line="240" w:lineRule="auto"/>
            </w:pPr>
            <w:r>
              <w:t xml:space="preserve">                      85</w:t>
            </w:r>
          </w:p>
        </w:tc>
      </w:tr>
      <w:tr w:rsidR="00000000">
        <w:tblPrEx>
          <w:tblCellMar>
            <w:top w:w="0" w:type="dxa"/>
            <w:bottom w:w="0" w:type="dxa"/>
          </w:tblCellMar>
        </w:tblPrEx>
        <w:tc>
          <w:tcPr>
            <w:tcW w:w="1771" w:type="dxa"/>
          </w:tcPr>
          <w:p w:rsidR="002F1747" w:rsidRDefault="002F1747">
            <w:pPr>
              <w:spacing w:line="240" w:lineRule="auto"/>
            </w:pPr>
            <w:r>
              <w:t>Skåne</w:t>
            </w:r>
          </w:p>
        </w:tc>
        <w:tc>
          <w:tcPr>
            <w:tcW w:w="2127" w:type="dxa"/>
          </w:tcPr>
          <w:p w:rsidR="002F1747" w:rsidRDefault="002F1747">
            <w:pPr>
              <w:spacing w:line="240" w:lineRule="auto"/>
              <w:jc w:val="center"/>
            </w:pPr>
            <w:r>
              <w:t>5</w:t>
            </w:r>
          </w:p>
        </w:tc>
        <w:tc>
          <w:tcPr>
            <w:tcW w:w="2126" w:type="dxa"/>
          </w:tcPr>
          <w:p w:rsidR="002F1747" w:rsidRDefault="002F1747">
            <w:pPr>
              <w:spacing w:line="240" w:lineRule="auto"/>
            </w:pPr>
            <w:r>
              <w:t xml:space="preserve">                 1 543</w:t>
            </w:r>
          </w:p>
        </w:tc>
      </w:tr>
      <w:tr w:rsidR="00000000">
        <w:tblPrEx>
          <w:tblCellMar>
            <w:top w:w="0" w:type="dxa"/>
            <w:bottom w:w="0" w:type="dxa"/>
          </w:tblCellMar>
        </w:tblPrEx>
        <w:tc>
          <w:tcPr>
            <w:tcW w:w="1771" w:type="dxa"/>
          </w:tcPr>
          <w:p w:rsidR="002F1747" w:rsidRDefault="002F1747">
            <w:pPr>
              <w:spacing w:line="240" w:lineRule="auto"/>
            </w:pPr>
            <w:r>
              <w:t>Halland</w:t>
            </w:r>
          </w:p>
        </w:tc>
        <w:tc>
          <w:tcPr>
            <w:tcW w:w="2127" w:type="dxa"/>
          </w:tcPr>
          <w:p w:rsidR="002F1747" w:rsidRDefault="002F1747">
            <w:pPr>
              <w:spacing w:line="240" w:lineRule="auto"/>
              <w:jc w:val="center"/>
            </w:pPr>
            <w:r>
              <w:t>2</w:t>
            </w:r>
          </w:p>
        </w:tc>
        <w:tc>
          <w:tcPr>
            <w:tcW w:w="2126" w:type="dxa"/>
          </w:tcPr>
          <w:p w:rsidR="002F1747" w:rsidRDefault="002F1747">
            <w:pPr>
              <w:spacing w:line="240" w:lineRule="auto"/>
            </w:pPr>
            <w:r>
              <w:t xml:space="preserve">                    641</w:t>
            </w:r>
          </w:p>
        </w:tc>
      </w:tr>
      <w:tr w:rsidR="00000000">
        <w:tblPrEx>
          <w:tblCellMar>
            <w:top w:w="0" w:type="dxa"/>
            <w:bottom w:w="0" w:type="dxa"/>
          </w:tblCellMar>
        </w:tblPrEx>
        <w:tc>
          <w:tcPr>
            <w:tcW w:w="1771" w:type="dxa"/>
          </w:tcPr>
          <w:p w:rsidR="002F1747" w:rsidRDefault="002F1747">
            <w:pPr>
              <w:spacing w:line="240" w:lineRule="auto"/>
            </w:pPr>
            <w:r>
              <w:t>Västra Götaland</w:t>
            </w:r>
          </w:p>
        </w:tc>
        <w:tc>
          <w:tcPr>
            <w:tcW w:w="2127" w:type="dxa"/>
          </w:tcPr>
          <w:p w:rsidR="002F1747" w:rsidRDefault="002F1747">
            <w:pPr>
              <w:spacing w:line="240" w:lineRule="auto"/>
              <w:jc w:val="center"/>
            </w:pPr>
            <w:r>
              <w:t>8</w:t>
            </w:r>
          </w:p>
        </w:tc>
        <w:tc>
          <w:tcPr>
            <w:tcW w:w="2126" w:type="dxa"/>
          </w:tcPr>
          <w:p w:rsidR="002F1747" w:rsidRDefault="002F1747">
            <w:pPr>
              <w:spacing w:line="240" w:lineRule="auto"/>
            </w:pPr>
            <w:r>
              <w:t xml:space="preserve">                 1 401</w:t>
            </w:r>
          </w:p>
        </w:tc>
      </w:tr>
      <w:tr w:rsidR="00000000">
        <w:tblPrEx>
          <w:tblCellMar>
            <w:top w:w="0" w:type="dxa"/>
            <w:bottom w:w="0" w:type="dxa"/>
          </w:tblCellMar>
        </w:tblPrEx>
        <w:tc>
          <w:tcPr>
            <w:tcW w:w="1771" w:type="dxa"/>
          </w:tcPr>
          <w:p w:rsidR="002F1747" w:rsidRDefault="002F1747">
            <w:pPr>
              <w:spacing w:line="240" w:lineRule="auto"/>
            </w:pPr>
            <w:r>
              <w:t>Värmland</w:t>
            </w:r>
          </w:p>
        </w:tc>
        <w:tc>
          <w:tcPr>
            <w:tcW w:w="2127" w:type="dxa"/>
          </w:tcPr>
          <w:p w:rsidR="002F1747" w:rsidRDefault="002F1747">
            <w:pPr>
              <w:spacing w:line="240" w:lineRule="auto"/>
              <w:jc w:val="center"/>
            </w:pPr>
            <w:r>
              <w:t>2</w:t>
            </w:r>
          </w:p>
        </w:tc>
        <w:tc>
          <w:tcPr>
            <w:tcW w:w="2126" w:type="dxa"/>
          </w:tcPr>
          <w:p w:rsidR="002F1747" w:rsidRDefault="002F1747">
            <w:pPr>
              <w:spacing w:line="240" w:lineRule="auto"/>
            </w:pPr>
            <w:r>
              <w:t xml:space="preserve">                    232</w:t>
            </w:r>
          </w:p>
        </w:tc>
      </w:tr>
      <w:tr w:rsidR="00000000">
        <w:tblPrEx>
          <w:tblCellMar>
            <w:top w:w="0" w:type="dxa"/>
            <w:bottom w:w="0" w:type="dxa"/>
          </w:tblCellMar>
        </w:tblPrEx>
        <w:tc>
          <w:tcPr>
            <w:tcW w:w="1771" w:type="dxa"/>
          </w:tcPr>
          <w:p w:rsidR="002F1747" w:rsidRDefault="002F1747">
            <w:pPr>
              <w:spacing w:line="240" w:lineRule="auto"/>
            </w:pPr>
            <w:r>
              <w:t>Örebro</w:t>
            </w:r>
          </w:p>
        </w:tc>
        <w:tc>
          <w:tcPr>
            <w:tcW w:w="2127" w:type="dxa"/>
          </w:tcPr>
          <w:p w:rsidR="002F1747" w:rsidRDefault="002F1747">
            <w:pPr>
              <w:spacing w:line="240" w:lineRule="auto"/>
            </w:pPr>
            <w:r>
              <w:t xml:space="preserve">                  13</w:t>
            </w:r>
          </w:p>
        </w:tc>
        <w:tc>
          <w:tcPr>
            <w:tcW w:w="2126" w:type="dxa"/>
          </w:tcPr>
          <w:p w:rsidR="002F1747" w:rsidRDefault="002F1747">
            <w:pPr>
              <w:spacing w:line="240" w:lineRule="auto"/>
            </w:pPr>
            <w:r>
              <w:t xml:space="preserve">                 1 727</w:t>
            </w:r>
          </w:p>
        </w:tc>
      </w:tr>
      <w:tr w:rsidR="00000000">
        <w:tblPrEx>
          <w:tblCellMar>
            <w:top w:w="0" w:type="dxa"/>
            <w:bottom w:w="0" w:type="dxa"/>
          </w:tblCellMar>
        </w:tblPrEx>
        <w:tc>
          <w:tcPr>
            <w:tcW w:w="1771" w:type="dxa"/>
          </w:tcPr>
          <w:p w:rsidR="002F1747" w:rsidRDefault="002F1747">
            <w:pPr>
              <w:spacing w:line="240" w:lineRule="auto"/>
            </w:pPr>
            <w:r>
              <w:t>Västmanland</w:t>
            </w:r>
          </w:p>
        </w:tc>
        <w:tc>
          <w:tcPr>
            <w:tcW w:w="2127" w:type="dxa"/>
          </w:tcPr>
          <w:p w:rsidR="002F1747" w:rsidRDefault="002F1747">
            <w:pPr>
              <w:spacing w:line="240" w:lineRule="auto"/>
            </w:pPr>
            <w:r>
              <w:t xml:space="preserve">                  10</w:t>
            </w:r>
          </w:p>
        </w:tc>
        <w:tc>
          <w:tcPr>
            <w:tcW w:w="2126" w:type="dxa"/>
          </w:tcPr>
          <w:p w:rsidR="002F1747" w:rsidRDefault="002F1747">
            <w:pPr>
              <w:spacing w:line="240" w:lineRule="auto"/>
              <w:jc w:val="left"/>
            </w:pPr>
            <w:r>
              <w:t xml:space="preserve">                 1 744</w:t>
            </w:r>
          </w:p>
        </w:tc>
      </w:tr>
      <w:tr w:rsidR="00000000">
        <w:tblPrEx>
          <w:tblCellMar>
            <w:top w:w="0" w:type="dxa"/>
            <w:bottom w:w="0" w:type="dxa"/>
          </w:tblCellMar>
        </w:tblPrEx>
        <w:tc>
          <w:tcPr>
            <w:tcW w:w="1771" w:type="dxa"/>
          </w:tcPr>
          <w:p w:rsidR="002F1747" w:rsidRDefault="002F1747">
            <w:pPr>
              <w:spacing w:line="240" w:lineRule="auto"/>
            </w:pPr>
            <w:r>
              <w:t>Dalarna</w:t>
            </w:r>
          </w:p>
        </w:tc>
        <w:tc>
          <w:tcPr>
            <w:tcW w:w="2127" w:type="dxa"/>
          </w:tcPr>
          <w:p w:rsidR="002F1747" w:rsidRDefault="002F1747">
            <w:pPr>
              <w:spacing w:line="240" w:lineRule="auto"/>
              <w:jc w:val="center"/>
            </w:pPr>
            <w:r>
              <w:t>4</w:t>
            </w:r>
          </w:p>
        </w:tc>
        <w:tc>
          <w:tcPr>
            <w:tcW w:w="2126" w:type="dxa"/>
          </w:tcPr>
          <w:p w:rsidR="002F1747" w:rsidRDefault="002F1747">
            <w:pPr>
              <w:spacing w:line="240" w:lineRule="auto"/>
            </w:pPr>
            <w:r>
              <w:t xml:space="preserve">                 1 357</w:t>
            </w:r>
          </w:p>
        </w:tc>
      </w:tr>
      <w:tr w:rsidR="00000000">
        <w:tblPrEx>
          <w:tblCellMar>
            <w:top w:w="0" w:type="dxa"/>
            <w:bottom w:w="0" w:type="dxa"/>
          </w:tblCellMar>
        </w:tblPrEx>
        <w:tc>
          <w:tcPr>
            <w:tcW w:w="1771" w:type="dxa"/>
          </w:tcPr>
          <w:p w:rsidR="002F1747" w:rsidRDefault="002F1747">
            <w:pPr>
              <w:spacing w:line="240" w:lineRule="auto"/>
            </w:pPr>
            <w:r>
              <w:t>Gävleborg</w:t>
            </w:r>
          </w:p>
        </w:tc>
        <w:tc>
          <w:tcPr>
            <w:tcW w:w="2127" w:type="dxa"/>
          </w:tcPr>
          <w:p w:rsidR="002F1747" w:rsidRDefault="002F1747">
            <w:pPr>
              <w:spacing w:line="240" w:lineRule="auto"/>
            </w:pPr>
            <w:r>
              <w:t xml:space="preserve">                  19</w:t>
            </w:r>
          </w:p>
        </w:tc>
        <w:tc>
          <w:tcPr>
            <w:tcW w:w="2126" w:type="dxa"/>
          </w:tcPr>
          <w:p w:rsidR="002F1747" w:rsidRDefault="002F1747">
            <w:pPr>
              <w:spacing w:line="240" w:lineRule="auto"/>
            </w:pPr>
            <w:r>
              <w:t xml:space="preserve">                 2 441</w:t>
            </w:r>
          </w:p>
        </w:tc>
      </w:tr>
      <w:tr w:rsidR="00000000">
        <w:tblPrEx>
          <w:tblCellMar>
            <w:top w:w="0" w:type="dxa"/>
            <w:bottom w:w="0" w:type="dxa"/>
          </w:tblCellMar>
        </w:tblPrEx>
        <w:tc>
          <w:tcPr>
            <w:tcW w:w="1771" w:type="dxa"/>
          </w:tcPr>
          <w:p w:rsidR="002F1747" w:rsidRDefault="002F1747">
            <w:pPr>
              <w:spacing w:line="240" w:lineRule="auto"/>
            </w:pPr>
            <w:r>
              <w:t>Västernorrland</w:t>
            </w:r>
          </w:p>
        </w:tc>
        <w:tc>
          <w:tcPr>
            <w:tcW w:w="2127" w:type="dxa"/>
          </w:tcPr>
          <w:p w:rsidR="002F1747" w:rsidRDefault="002F1747">
            <w:pPr>
              <w:spacing w:line="240" w:lineRule="auto"/>
            </w:pPr>
            <w:r>
              <w:t xml:space="preserve">                  10</w:t>
            </w:r>
          </w:p>
        </w:tc>
        <w:tc>
          <w:tcPr>
            <w:tcW w:w="2126" w:type="dxa"/>
          </w:tcPr>
          <w:p w:rsidR="002F1747" w:rsidRDefault="002F1747">
            <w:pPr>
              <w:spacing w:line="240" w:lineRule="auto"/>
            </w:pPr>
            <w:r>
              <w:t xml:space="preserve">                 2 553</w:t>
            </w:r>
          </w:p>
        </w:tc>
      </w:tr>
      <w:tr w:rsidR="00000000">
        <w:tblPrEx>
          <w:tblCellMar>
            <w:top w:w="0" w:type="dxa"/>
            <w:bottom w:w="0" w:type="dxa"/>
          </w:tblCellMar>
        </w:tblPrEx>
        <w:tc>
          <w:tcPr>
            <w:tcW w:w="1771" w:type="dxa"/>
          </w:tcPr>
          <w:p w:rsidR="002F1747" w:rsidRDefault="002F1747">
            <w:pPr>
              <w:spacing w:line="240" w:lineRule="auto"/>
            </w:pPr>
            <w:r>
              <w:t>Jämtland</w:t>
            </w:r>
          </w:p>
        </w:tc>
        <w:tc>
          <w:tcPr>
            <w:tcW w:w="2127" w:type="dxa"/>
          </w:tcPr>
          <w:p w:rsidR="002F1747" w:rsidRDefault="002F1747">
            <w:pPr>
              <w:spacing w:line="240" w:lineRule="auto"/>
            </w:pPr>
            <w:r>
              <w:t xml:space="preserve">                  49</w:t>
            </w:r>
          </w:p>
        </w:tc>
        <w:tc>
          <w:tcPr>
            <w:tcW w:w="2126" w:type="dxa"/>
          </w:tcPr>
          <w:p w:rsidR="002F1747" w:rsidRDefault="002F1747">
            <w:pPr>
              <w:spacing w:line="240" w:lineRule="auto"/>
            </w:pPr>
            <w:r>
              <w:t xml:space="preserve">                 9 571</w:t>
            </w:r>
          </w:p>
        </w:tc>
      </w:tr>
      <w:tr w:rsidR="00000000">
        <w:tblPrEx>
          <w:tblCellMar>
            <w:top w:w="0" w:type="dxa"/>
            <w:bottom w:w="0" w:type="dxa"/>
          </w:tblCellMar>
        </w:tblPrEx>
        <w:tc>
          <w:tcPr>
            <w:tcW w:w="1771" w:type="dxa"/>
          </w:tcPr>
          <w:p w:rsidR="002F1747" w:rsidRDefault="002F1747">
            <w:pPr>
              <w:spacing w:line="240" w:lineRule="auto"/>
            </w:pPr>
            <w:r>
              <w:t>Västerbotten</w:t>
            </w:r>
          </w:p>
        </w:tc>
        <w:tc>
          <w:tcPr>
            <w:tcW w:w="2127" w:type="dxa"/>
          </w:tcPr>
          <w:p w:rsidR="002F1747" w:rsidRDefault="002F1747">
            <w:pPr>
              <w:spacing w:line="240" w:lineRule="auto"/>
            </w:pPr>
            <w:r>
              <w:t xml:space="preserve">                  40</w:t>
            </w:r>
          </w:p>
        </w:tc>
        <w:tc>
          <w:tcPr>
            <w:tcW w:w="2126" w:type="dxa"/>
          </w:tcPr>
          <w:p w:rsidR="002F1747" w:rsidRDefault="002F1747">
            <w:pPr>
              <w:spacing w:line="240" w:lineRule="auto"/>
            </w:pPr>
            <w:r>
              <w:t xml:space="preserve">               13 447</w:t>
            </w:r>
          </w:p>
        </w:tc>
      </w:tr>
      <w:tr w:rsidR="00000000">
        <w:tblPrEx>
          <w:tblCellMar>
            <w:top w:w="0" w:type="dxa"/>
            <w:bottom w:w="0" w:type="dxa"/>
          </w:tblCellMar>
        </w:tblPrEx>
        <w:tc>
          <w:tcPr>
            <w:tcW w:w="1771" w:type="dxa"/>
          </w:tcPr>
          <w:p w:rsidR="002F1747" w:rsidRDefault="002F1747">
            <w:pPr>
              <w:spacing w:line="240" w:lineRule="auto"/>
            </w:pPr>
            <w:r>
              <w:t>Norrbotten</w:t>
            </w:r>
          </w:p>
        </w:tc>
        <w:tc>
          <w:tcPr>
            <w:tcW w:w="2127" w:type="dxa"/>
          </w:tcPr>
          <w:p w:rsidR="002F1747" w:rsidRDefault="002F1747">
            <w:pPr>
              <w:spacing w:line="240" w:lineRule="auto"/>
            </w:pPr>
            <w:r>
              <w:t xml:space="preserve">                  18</w:t>
            </w:r>
          </w:p>
        </w:tc>
        <w:tc>
          <w:tcPr>
            <w:tcW w:w="2126" w:type="dxa"/>
          </w:tcPr>
          <w:p w:rsidR="002F1747" w:rsidRDefault="002F1747">
            <w:pPr>
              <w:spacing w:line="240" w:lineRule="auto"/>
            </w:pPr>
            <w:r>
              <w:t xml:space="preserve">                 6 855</w:t>
            </w:r>
          </w:p>
        </w:tc>
      </w:tr>
      <w:tr w:rsidR="00000000">
        <w:tblPrEx>
          <w:tblCellMar>
            <w:top w:w="0" w:type="dxa"/>
            <w:bottom w:w="0" w:type="dxa"/>
          </w:tblCellMar>
        </w:tblPrEx>
        <w:tc>
          <w:tcPr>
            <w:tcW w:w="1771" w:type="dxa"/>
          </w:tcPr>
          <w:p w:rsidR="002F1747" w:rsidRDefault="002F1747">
            <w:pPr>
              <w:spacing w:line="240" w:lineRule="auto"/>
              <w:rPr>
                <w:b/>
              </w:rPr>
            </w:pPr>
            <w:r>
              <w:rPr>
                <w:b/>
              </w:rPr>
              <w:t>Totalt</w:t>
            </w:r>
          </w:p>
        </w:tc>
        <w:tc>
          <w:tcPr>
            <w:tcW w:w="2127" w:type="dxa"/>
          </w:tcPr>
          <w:p w:rsidR="002F1747" w:rsidRDefault="002F1747">
            <w:pPr>
              <w:spacing w:line="240" w:lineRule="auto"/>
              <w:rPr>
                <w:b/>
              </w:rPr>
            </w:pPr>
            <w:r>
              <w:rPr>
                <w:b/>
              </w:rPr>
              <w:t xml:space="preserve">                209</w:t>
            </w:r>
          </w:p>
        </w:tc>
        <w:tc>
          <w:tcPr>
            <w:tcW w:w="2126" w:type="dxa"/>
          </w:tcPr>
          <w:p w:rsidR="002F1747" w:rsidRDefault="002F1747">
            <w:pPr>
              <w:spacing w:line="240" w:lineRule="auto"/>
              <w:rPr>
                <w:b/>
              </w:rPr>
            </w:pPr>
            <w:r>
              <w:rPr>
                <w:b/>
              </w:rPr>
              <w:t xml:space="preserve">               48 135</w:t>
            </w:r>
          </w:p>
        </w:tc>
      </w:tr>
    </w:tbl>
    <w:p w:rsidR="002F1747" w:rsidRDefault="002F1747">
      <w:r>
        <w:t>Enligt Torvproducentföreningen används årligen cirka 4 miljoner kubikmeter torv för energiändamål. Den årliga tillväxten på mossarna uppges vara 20 miljoner kubikmeter. Cirka 35 värmeverk utnyttjar torv – huvuddelen av dem i närheten av områden med befolkningskoncentrationer. Torven har också annan användning, bl.a. som jordförbättringsmedel.</w:t>
      </w:r>
    </w:p>
    <w:p w:rsidR="002F1747" w:rsidRDefault="002F1747">
      <w:pPr>
        <w:pStyle w:val="Rubrik2"/>
      </w:pPr>
      <w:r>
        <w:t>Näringsutskottets ställningstagande</w:t>
      </w:r>
    </w:p>
    <w:p w:rsidR="002F1747" w:rsidRDefault="002F1747">
      <w:r>
        <w:t>Införandet av miljöbalken innebär att ytterligare miljöhänsyn måste tas inom ett antal olika områden. Detta gäller såväl inom torvbranschen som inom andra näringar och verksamheter. Det nya övergripande synsättet på miljön kommer till stånd dels via miljöbalken, dels via följdlagstiftning och kom</w:t>
      </w:r>
      <w:r>
        <w:t>p</w:t>
      </w:r>
      <w:r>
        <w:t>letteringar inom en rad olika lagar, däribland torvlagen. Näringsutskottet har inget att erinra mot detta synsätt.</w:t>
      </w:r>
    </w:p>
    <w:p w:rsidR="002F1747" w:rsidRDefault="002F1747">
      <w:pPr>
        <w:pStyle w:val="Normaltindrag"/>
      </w:pPr>
      <w:r>
        <w:t>Näringsutskottet har heller ingen invändning mot de föreslagna följdän</w:t>
      </w:r>
      <w:r>
        <w:t>d</w:t>
      </w:r>
      <w:r>
        <w:t>ringarna i torvlagen. Med hänvisning till den lämnade redogörelsen i det föregående vill näringsutskottet tillbakavisa den uppfattning som framförs i motion 1997/98:Jo51 (kd) om att torvlagens och miljöbalkens förhållande till va</w:t>
      </w:r>
      <w:r>
        <w:t>r</w:t>
      </w:r>
      <w:r>
        <w:t>andra skulle vara otydligt.</w:t>
      </w:r>
    </w:p>
    <w:p w:rsidR="002F1747" w:rsidRDefault="002F1747">
      <w:pPr>
        <w:pStyle w:val="Normaltindrag"/>
      </w:pPr>
      <w:r>
        <w:t xml:space="preserve"> Med det sagda tillstyrker näringsutskottet proposition 1997/98:90 i aktuell del och avstyrker motion 1997/98:Jo51 (kd) i b</w:t>
      </w:r>
      <w:r>
        <w:t>e</w:t>
      </w:r>
      <w:r>
        <w:t>rörd del.</w:t>
      </w:r>
    </w:p>
    <w:p w:rsidR="002F1747" w:rsidRDefault="002F1747">
      <w:pPr>
        <w:pStyle w:val="Stockholm"/>
      </w:pPr>
      <w:r>
        <w:t>Stockholm den 28 april 1998</w:t>
      </w:r>
    </w:p>
    <w:p w:rsidR="002F1747" w:rsidRDefault="002F1747">
      <w:pPr>
        <w:pStyle w:val="Vgnar"/>
      </w:pPr>
      <w:r>
        <w:t>På näringsutskottets vägnar</w:t>
      </w:r>
    </w:p>
    <w:p w:rsidR="002F1747" w:rsidRDefault="002F1747">
      <w:pPr>
        <w:pStyle w:val="Ordfnamn"/>
      </w:pPr>
      <w:bookmarkStart w:id="1" w:name="Ordförande"/>
      <w:bookmarkEnd w:id="1"/>
      <w:r>
        <w:t>Birgitta Johansson</w:t>
      </w:r>
    </w:p>
    <w:p w:rsidR="002F1747" w:rsidRDefault="002F1747">
      <w:pPr>
        <w:pStyle w:val="Deltagare"/>
        <w:spacing w:before="400"/>
      </w:pPr>
      <w:bookmarkStart w:id="2" w:name="Deltagare"/>
      <w:bookmarkEnd w:id="2"/>
      <w:r>
        <w:t>I beslutet har deltagit: Birgitta Johansson (s), Christer Eirefelt (fp), Reynoldh Furustrand (s), Karin Falkmer (m), Sylvia Lindgren (s), Barbro Andersson (s), Marie Granlund (s), Dag Ericson (s), Lennart Beijer (v), Nils-Göran Holmqvist (s), Ola Karlsson (m), Eva Goës (mp), Göran Hägglund (kd), Hans Hoff (s), Sten Tolgfors (m), Kerstin Warnerbring (c) och Jan Backman (m).</w:t>
      </w:r>
    </w:p>
    <w:p w:rsidR="002F1747" w:rsidRDefault="002F1747">
      <w:pPr>
        <w:pStyle w:val="Normaltindrag"/>
      </w:pPr>
    </w:p>
    <w:p w:rsidR="002F1747" w:rsidRDefault="002F1747">
      <w:pPr>
        <w:pStyle w:val="Rubrik1"/>
      </w:pPr>
      <w:bookmarkStart w:id="3" w:name="_Toc417800320"/>
      <w:r>
        <w:t>Avvikande mening</w:t>
      </w:r>
      <w:bookmarkEnd w:id="3"/>
    </w:p>
    <w:p w:rsidR="002F1747" w:rsidRDefault="002F1747">
      <w:r>
        <w:t>Göran Hägglund (kd) anser att näringsutskottets ställningstagande bort ha följande lydelse:</w:t>
      </w:r>
    </w:p>
    <w:p w:rsidR="002F1747" w:rsidRDefault="002F1747">
      <w:pPr>
        <w:pStyle w:val="Normaltindrag"/>
      </w:pPr>
      <w:r>
        <w:t>Näringsutskottet delar uppfattningen i motion 1997/98:Jo51 (kd) att den beskrivning av miljöbalkens och torvlagens förhållande till varandra som finns i propositionen visar på betydande otydlighet och komplexitet. Bland annat är det oklart hur de föreslagna framtida miljökvalitetsnormerna ko</w:t>
      </w:r>
      <w:r>
        <w:t>m</w:t>
      </w:r>
      <w:r>
        <w:t>mer att tillämpas. Vidare förändras förutsättningarna för brytningsföretagen i samband med bearbetningskoncession. Med hänsyn till att torvbranschen är värdefull såväl ur energisynpunkt som ur sysselsättningssynpunkt är det angeläget att förutsättningarna för verksamheten är stabila och förutsebara. Regeringen bör återkomma med ett nytt förslag som undanröjer osäkerhet och oklarhet om hur la</w:t>
      </w:r>
      <w:r>
        <w:t>g</w:t>
      </w:r>
      <w:r>
        <w:t>stiftningen skall tillämpas.</w:t>
      </w:r>
    </w:p>
    <w:p w:rsidR="002F1747" w:rsidRDefault="002F1747">
      <w:pPr>
        <w:pStyle w:val="Normaltindrag"/>
      </w:pPr>
      <w:r>
        <w:t>Med hänvisning till vad som anförts tillstyrker näringsutskottet motion 1997/98:Jo51 (k</w:t>
      </w:r>
      <w:r>
        <w:t>d) i aktuell del och avstyrker propositionen i berörd del.</w:t>
      </w:r>
    </w:p>
    <w:p w:rsidR="002F1747" w:rsidRDefault="002F1747"/>
    <w:p w:rsidR="002F1747" w:rsidRDefault="002F1747">
      <w:pPr>
        <w:pStyle w:val="Normaltindrag"/>
      </w:pPr>
      <w:bookmarkStart w:id="4" w:name="Nästa_Reservation"/>
      <w:bookmarkEnd w:id="4"/>
    </w:p>
    <w:p w:rsidR="002F1747" w:rsidRDefault="002F1747">
      <w:pPr>
        <w:pStyle w:val="Innehll"/>
      </w:pPr>
      <w:r>
        <w:t xml:space="preserve"> </w:t>
      </w:r>
    </w:p>
    <w:p w:rsidR="002F1747" w:rsidRDefault="002F1747">
      <w:pPr>
        <w:pStyle w:val="Tryckort"/>
      </w:pPr>
    </w:p>
    <w:p w:rsidR="002F1747" w:rsidRDefault="002F1747">
      <w:pPr>
        <w:pStyle w:val="Tryckort"/>
      </w:pPr>
    </w:p>
    <w:p w:rsidR="002F1747" w:rsidRDefault="002F1747">
      <w:pPr>
        <w:pStyle w:val="Tryckort"/>
      </w:pPr>
    </w:p>
    <w:p w:rsidR="002F1747" w:rsidRDefault="002F1747">
      <w:pPr>
        <w:pStyle w:val="Tryckort"/>
      </w:pPr>
    </w:p>
    <w:p w:rsidR="002F1747" w:rsidRDefault="002F1747">
      <w:pPr>
        <w:pStyle w:val="Tryckort"/>
      </w:pPr>
    </w:p>
    <w:p w:rsidR="002F1747" w:rsidRDefault="002F1747">
      <w:pPr>
        <w:pStyle w:val="Tryckort"/>
      </w:pPr>
    </w:p>
    <w:p w:rsidR="002F1747" w:rsidRDefault="002F1747">
      <w:pPr>
        <w:pStyle w:val="Tryckort"/>
      </w:pPr>
    </w:p>
    <w:p w:rsidR="002F1747" w:rsidRDefault="002F1747">
      <w:pPr>
        <w:pStyle w:val="Tryckort"/>
      </w:pPr>
    </w:p>
    <w:p w:rsidR="002F1747" w:rsidRDefault="002F1747">
      <w:pPr>
        <w:pStyle w:val="Tryckort"/>
      </w:pPr>
    </w:p>
    <w:p w:rsidR="002F1747" w:rsidRDefault="002F1747">
      <w:pPr>
        <w:pStyle w:val="Tryckort"/>
      </w:pPr>
    </w:p>
    <w:p w:rsidR="002F1747" w:rsidRDefault="002F1747">
      <w:pPr>
        <w:pStyle w:val="Tryckort"/>
      </w:pPr>
    </w:p>
    <w:p w:rsidR="002F1747" w:rsidRDefault="002F1747">
      <w:pPr>
        <w:pStyle w:val="Tryckort"/>
      </w:pPr>
    </w:p>
    <w:p w:rsidR="002F1747" w:rsidRDefault="002F1747">
      <w:pPr>
        <w:pStyle w:val="Tryckort"/>
      </w:pPr>
    </w:p>
    <w:p w:rsidR="002F1747" w:rsidRDefault="002F1747">
      <w:pPr>
        <w:pStyle w:val="Tryckort"/>
      </w:pPr>
    </w:p>
    <w:p w:rsidR="002F1747" w:rsidRDefault="002F1747">
      <w:pPr>
        <w:pStyle w:val="Tryckort"/>
      </w:pPr>
    </w:p>
    <w:p w:rsidR="002F1747" w:rsidRDefault="002F1747">
      <w:pPr>
        <w:pStyle w:val="Tryckort"/>
      </w:pPr>
    </w:p>
    <w:p w:rsidR="002F1747" w:rsidRDefault="002F1747">
      <w:pPr>
        <w:pStyle w:val="Tryckort"/>
      </w:pPr>
    </w:p>
    <w:p w:rsidR="002F1747" w:rsidRDefault="002F1747">
      <w:pPr>
        <w:pStyle w:val="Tryckort"/>
      </w:pPr>
    </w:p>
    <w:p w:rsidR="002F1747" w:rsidRDefault="002F1747">
      <w:pPr>
        <w:pStyle w:val="Tryckort"/>
      </w:pPr>
    </w:p>
    <w:p w:rsidR="002F1747" w:rsidRDefault="002F1747">
      <w:pPr>
        <w:pStyle w:val="Tryckort"/>
      </w:pPr>
    </w:p>
    <w:p w:rsidR="002F1747" w:rsidRDefault="002F1747">
      <w:pPr>
        <w:pStyle w:val="Tryckort"/>
      </w:pPr>
    </w:p>
    <w:p w:rsidR="002F1747" w:rsidRDefault="002F1747">
      <w:pPr>
        <w:pStyle w:val="Tryckort"/>
      </w:pPr>
    </w:p>
    <w:p w:rsidR="002F1747" w:rsidRDefault="002F1747">
      <w:pPr>
        <w:pStyle w:val="Tryckort"/>
      </w:pPr>
    </w:p>
    <w:p w:rsidR="002F1747" w:rsidRDefault="002F1747">
      <w:pPr>
        <w:pStyle w:val="Tryckort"/>
      </w:pPr>
    </w:p>
    <w:p w:rsidR="002F1747" w:rsidRDefault="002F1747">
      <w:pPr>
        <w:pStyle w:val="Tryckort"/>
      </w:pPr>
    </w:p>
    <w:p w:rsidR="002F1747" w:rsidRDefault="002F1747">
      <w:pPr>
        <w:pStyle w:val="Tryckort"/>
      </w:pPr>
    </w:p>
    <w:p w:rsidR="002F1747" w:rsidRDefault="002F1747">
      <w:pPr>
        <w:pStyle w:val="Tryckort"/>
      </w:pPr>
    </w:p>
    <w:p w:rsidR="002F1747" w:rsidRDefault="002F1747">
      <w:pPr>
        <w:pStyle w:val="Tryckort"/>
      </w:pPr>
    </w:p>
    <w:p w:rsidR="002F1747" w:rsidRDefault="002F1747">
      <w:pPr>
        <w:pStyle w:val="Tryckort"/>
      </w:pPr>
    </w:p>
    <w:p w:rsidR="002F1747" w:rsidRDefault="002F1747">
      <w:pPr>
        <w:pStyle w:val="Tryckort"/>
      </w:pPr>
    </w:p>
    <w:p w:rsidR="002F1747" w:rsidRDefault="002F1747">
      <w:pPr>
        <w:pStyle w:val="Tryckort"/>
      </w:pPr>
    </w:p>
    <w:p w:rsidR="002F1747" w:rsidRDefault="002F1747">
      <w:pPr>
        <w:pStyle w:val="Tryckort"/>
      </w:pPr>
    </w:p>
    <w:p w:rsidR="002F1747" w:rsidRDefault="002F1747">
      <w:pPr>
        <w:pStyle w:val="Tryckort"/>
      </w:pPr>
    </w:p>
    <w:p w:rsidR="002F1747" w:rsidRDefault="002F1747">
      <w:pPr>
        <w:pStyle w:val="Tryckort"/>
      </w:pPr>
    </w:p>
    <w:p w:rsidR="002F1747" w:rsidRDefault="002F1747">
      <w:pPr>
        <w:pStyle w:val="Tryckort"/>
      </w:pPr>
    </w:p>
    <w:p w:rsidR="002F1747" w:rsidRDefault="002F1747">
      <w:pPr>
        <w:pStyle w:val="Tryckort"/>
      </w:pPr>
    </w:p>
    <w:p w:rsidR="002F1747" w:rsidRDefault="002F1747">
      <w:pPr>
        <w:pStyle w:val="Tryckort"/>
      </w:pPr>
    </w:p>
    <w:p w:rsidR="002F1747" w:rsidRDefault="002F1747">
      <w:pPr>
        <w:pStyle w:val="Tryckort"/>
      </w:pPr>
    </w:p>
    <w:p w:rsidR="002F1747" w:rsidRDefault="002F1747">
      <w:pPr>
        <w:pStyle w:val="Tryckort"/>
      </w:pPr>
    </w:p>
    <w:p w:rsidR="002F1747" w:rsidRDefault="002F1747">
      <w:pPr>
        <w:pStyle w:val="Tryckort"/>
      </w:pPr>
    </w:p>
    <w:p w:rsidR="002F1747" w:rsidRDefault="002F1747">
      <w:pPr>
        <w:pStyle w:val="Tryckort"/>
      </w:pPr>
    </w:p>
    <w:p w:rsidR="002F1747" w:rsidRDefault="002F1747">
      <w:pPr>
        <w:pStyle w:val="Tryckort"/>
      </w:pPr>
    </w:p>
    <w:p w:rsidR="002F1747" w:rsidRDefault="002F1747">
      <w:pPr>
        <w:pStyle w:val="Tryckort"/>
      </w:pPr>
    </w:p>
    <w:p w:rsidR="002F1747" w:rsidRDefault="002F1747">
      <w:pPr>
        <w:pStyle w:val="Tryckort"/>
      </w:pPr>
    </w:p>
    <w:p w:rsidR="002F1747" w:rsidRDefault="002F1747">
      <w:pPr>
        <w:pStyle w:val="Tryckort"/>
      </w:pPr>
    </w:p>
    <w:p w:rsidR="002F1747" w:rsidRDefault="002F1747">
      <w:pPr>
        <w:pStyle w:val="Tryckort"/>
      </w:pPr>
    </w:p>
    <w:p w:rsidR="002F1747" w:rsidRDefault="002F1747">
      <w:pPr>
        <w:pStyle w:val="Tryckort"/>
      </w:pPr>
    </w:p>
    <w:p w:rsidR="002F1747" w:rsidRDefault="002F1747">
      <w:pPr>
        <w:pStyle w:val="Tryckort"/>
      </w:pPr>
    </w:p>
    <w:p w:rsidR="002F1747" w:rsidRDefault="002F1747">
      <w:pPr>
        <w:pStyle w:val="Tryckort"/>
      </w:pPr>
    </w:p>
    <w:p w:rsidR="002F1747" w:rsidRDefault="002F1747">
      <w:pPr>
        <w:pStyle w:val="Tryckort"/>
      </w:pPr>
    </w:p>
    <w:p w:rsidR="002F1747" w:rsidRDefault="002F1747">
      <w:pPr>
        <w:pStyle w:val="Tryckort"/>
      </w:pPr>
    </w:p>
    <w:p w:rsidR="002F1747" w:rsidRDefault="002F1747">
      <w:pPr>
        <w:pStyle w:val="Tryckort"/>
      </w:pPr>
    </w:p>
    <w:p w:rsidR="002F1747" w:rsidRDefault="002F1747">
      <w:pPr>
        <w:pStyle w:val="Tryckort"/>
      </w:pPr>
    </w:p>
    <w:p w:rsidR="002F1747" w:rsidRDefault="002F1747">
      <w:pPr>
        <w:pStyle w:val="Tryckort"/>
      </w:pPr>
    </w:p>
    <w:p w:rsidR="002F1747" w:rsidRDefault="002F1747">
      <w:pPr>
        <w:pStyle w:val="Tryckort"/>
      </w:pPr>
    </w:p>
    <w:p w:rsidR="002F1747" w:rsidRDefault="002F1747">
      <w:pPr>
        <w:pStyle w:val="Tryckort"/>
      </w:pPr>
    </w:p>
    <w:p w:rsidR="002F1747" w:rsidRDefault="002F1747">
      <w:pPr>
        <w:pStyle w:val="Tryckort"/>
      </w:pPr>
    </w:p>
    <w:p w:rsidR="002F1747" w:rsidRDefault="002F1747">
      <w:pPr>
        <w:pStyle w:val="Tryckort"/>
      </w:pPr>
      <w:r>
        <w:t>Elanders Gotab, Stockholm  1998</w:t>
      </w:r>
    </w:p>
    <w:sectPr w:rsidR="002F1747">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1747" w:rsidRDefault="002F1747">
      <w:pPr>
        <w:spacing w:before="0" w:line="240" w:lineRule="auto"/>
      </w:pPr>
      <w:r>
        <w:separator/>
      </w:r>
    </w:p>
  </w:endnote>
  <w:endnote w:type="continuationSeparator" w:id="0">
    <w:p w:rsidR="002F1747" w:rsidRDefault="002F174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1747" w:rsidRDefault="002F1747">
    <w:pPr>
      <w:pStyle w:val="SidfotV"/>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1747" w:rsidRDefault="002F1747">
    <w:pPr>
      <w:pStyle w:val="SidfotH"/>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noProof/>
      </w:rPr>
      <w:t>3</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1747" w:rsidRDefault="002F1747">
    <w:pPr>
      <w:pStyle w:val="SidfotH"/>
      <w:framePr w:wrap="around"/>
    </w:pPr>
    <w:r>
      <w:fldChar w:fldCharType="begin" w:fldLock="1"/>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1747" w:rsidRDefault="002F1747">
      <w:pPr>
        <w:spacing w:before="0" w:line="240" w:lineRule="auto"/>
      </w:pPr>
      <w:r>
        <w:separator/>
      </w:r>
    </w:p>
  </w:footnote>
  <w:footnote w:type="continuationSeparator" w:id="0">
    <w:p w:rsidR="002F1747" w:rsidRDefault="002F174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1747" w:rsidRDefault="002F1747">
    <w:pPr>
      <w:pStyle w:val="SidhuvudFText"/>
      <w:framePr w:w="2302" w:h="1928" w:hRule="exact" w:wrap="notBeside" w:vAnchor="margin" w:hAnchor="page" w:xAlign="right" w:yAlign="top"/>
      <w:spacing w:line="245" w:lineRule="exact"/>
      <w:ind w:right="629"/>
    </w:pPr>
    <w:r>
      <w:fldChar w:fldCharType="begin" w:fldLock="1"/>
    </w:r>
    <w:r>
      <w:instrText xml:space="preserve"> GLOSSARY Helana</w:instrText>
    </w:r>
    <w:r>
      <w:instrText>m</w:instrText>
    </w:r>
    <w:r>
      <w:instrText xml:space="preserve">net \* LOWER </w:instrText>
    </w:r>
    <w:r>
      <w:fldChar w:fldCharType="separate"/>
    </w:r>
    <w:r>
      <w:t>1997/98:nu5y</w:t>
    </w:r>
    <w:r>
      <w:fldChar w:fldCharType="end"/>
    </w:r>
  </w:p>
  <w:p w:rsidR="002F1747" w:rsidRDefault="002F1747">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REF Utkast \* LOWER </w:instrText>
    </w:r>
    <w:r>
      <w:fldChar w:fldCharType="separate"/>
    </w:r>
    <w:r>
      <w:rPr>
        <w:sz w:val="36"/>
      </w:rPr>
      <w:t xml:space="preserve"> </w:t>
    </w:r>
  </w:p>
  <w:p w:rsidR="002F1747" w:rsidRDefault="002F1747">
    <w:pPr>
      <w:pStyle w:val="SidhuvudV"/>
      <w:framePr w:w="2302" w:h="1928" w:hRule="exact" w:wrap="notBeside"/>
    </w:pPr>
    <w:r>
      <w:fldChar w:fldCharType="end"/>
    </w:r>
  </w:p>
  <w:p w:rsidR="002F1747" w:rsidRDefault="002F174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1747" w:rsidRDefault="002F1747">
    <w:pPr>
      <w:pStyle w:val="SidhuvudKant"/>
      <w:framePr w:hSpace="284" w:wrap="around"/>
    </w:pPr>
    <w:r>
      <w:rPr>
        <w:sz w:val="21"/>
      </w:rPr>
      <w:fldChar w:fldCharType="begin" w:fldLock="1"/>
    </w:r>
    <w:r>
      <w:rPr>
        <w:sz w:val="21"/>
      </w:rPr>
      <w:instrText xml:space="preserve"> GLOSSARY HelaNa</w:instrText>
    </w:r>
    <w:r>
      <w:rPr>
        <w:sz w:val="21"/>
      </w:rPr>
      <w:instrText>m</w:instrText>
    </w:r>
    <w:r>
      <w:rPr>
        <w:sz w:val="21"/>
      </w:rPr>
      <w:instrText xml:space="preserve">net \* MERGEFORMAT </w:instrText>
    </w:r>
    <w:r>
      <w:rPr>
        <w:sz w:val="21"/>
      </w:rPr>
      <w:fldChar w:fldCharType="separate"/>
    </w:r>
    <w:r>
      <w:rPr>
        <w:sz w:val="21"/>
      </w:rPr>
      <w:t>1997/98:NU5y</w:t>
    </w:r>
    <w:r>
      <w:rPr>
        <w:sz w:val="21"/>
      </w:rPr>
      <w:fldChar w:fldCharType="end"/>
    </w:r>
  </w:p>
  <w:p w:rsidR="002F1747" w:rsidRDefault="002F1747">
    <w:pPr>
      <w:pStyle w:val="SidhuvudKant"/>
      <w:framePr w:hSpace="284" w:wrap="around"/>
      <w:rPr>
        <w:vanish/>
      </w:rPr>
    </w:pPr>
    <w:r>
      <w:rPr>
        <w:vanish/>
      </w:rPr>
      <w:t>&gt;B</w:t>
    </w:r>
  </w:p>
  <w:p w:rsidR="002F1747" w:rsidRDefault="002F1747">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MON_929452563"/>
  <w:bookmarkStart w:id="6" w:name="_MON_929529912"/>
  <w:bookmarkStart w:id="7" w:name="_MON_932818888"/>
  <w:bookmarkStart w:id="8" w:name="_MON_947076358"/>
  <w:bookmarkStart w:id="9" w:name="_MON_947165881"/>
  <w:bookmarkStart w:id="10" w:name="_MON_954671242"/>
  <w:bookmarkStart w:id="11" w:name="_MON_954931247"/>
  <w:bookmarkStart w:id="12" w:name="_MON_954931968"/>
  <w:bookmarkStart w:id="13" w:name="_MON_955277451"/>
  <w:bookmarkStart w:id="14" w:name="_MON_955364171"/>
  <w:bookmarkStart w:id="15" w:name="_MON_955793021"/>
  <w:bookmarkEnd w:id="5"/>
  <w:bookmarkEnd w:id="6"/>
  <w:bookmarkEnd w:id="7"/>
  <w:bookmarkEnd w:id="8"/>
  <w:bookmarkEnd w:id="9"/>
  <w:bookmarkEnd w:id="10"/>
  <w:bookmarkEnd w:id="11"/>
  <w:bookmarkEnd w:id="12"/>
  <w:bookmarkEnd w:id="13"/>
  <w:bookmarkEnd w:id="14"/>
  <w:bookmarkEnd w:id="15"/>
  <w:p w:rsidR="002F1747" w:rsidRDefault="002F1747">
    <w:pPr>
      <w:framePr w:w="1701" w:hSpace="284" w:wrap="notBeside" w:vAnchor="page" w:hAnchor="page" w:x="7253" w:y="188" w:anchorLock="1"/>
      <w:spacing w:line="240" w:lineRule="atLeas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7.35pt" fillcolor="window">
          <v:imagedata r:id="rId1" o:title=""/>
        </v:shape>
        <o:OLEObject Type="Embed" ProgID="Word.Picture.8" ShapeID="_x0000_i1025" DrawAspect="Content" ObjectID="_1827334271" r:id="rId2"/>
      </w:object>
    </w:r>
  </w:p>
  <w:p w:rsidR="002F1747" w:rsidRDefault="002F1747">
    <w:pPr>
      <w:pStyle w:val="SidhuvudFVapen"/>
      <w:framePr w:wrap="notBeside" w:x="7253" w:y="188"/>
      <w:spacing w:line="230" w:lineRule="auto"/>
      <w:rPr>
        <w:sz w:val="24"/>
      </w:rPr>
    </w:pPr>
    <w:bookmarkStart w:id="16" w:name="BnrVapen"/>
    <w:r>
      <w:rPr>
        <w:sz w:val="24"/>
      </w:rPr>
      <w:t>1997/98</w:t>
    </w:r>
  </w:p>
  <w:p w:rsidR="002F1747" w:rsidRDefault="002F1747">
    <w:pPr>
      <w:pStyle w:val="SidhuvudFVapen"/>
      <w:framePr w:wrap="notBeside" w:x="7253" w:y="188"/>
      <w:spacing w:line="230" w:lineRule="auto"/>
      <w:rPr>
        <w:sz w:val="24"/>
      </w:rPr>
    </w:pPr>
    <w:r>
      <w:rPr>
        <w:sz w:val="24"/>
      </w:rPr>
      <w:t xml:space="preserve">NU5y </w:t>
    </w:r>
    <w:bookmarkEnd w:id="16"/>
    <w:r w:rsidR="00906BB9">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22059571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B58E41"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" o:allowincell="f" strokeweight=".5pt">
              <v:stroke startarrowwidth="narrow" startarrowlength="short" endarrowwidth="narrow" endarrowlength="short"/>
              <w10:wrap anchorx="page" anchory="page"/>
            </v:line>
          </w:pict>
        </mc:Fallback>
      </mc:AlternateContent>
    </w:r>
  </w:p>
  <w:p w:rsidR="002F1747" w:rsidRDefault="002F1747">
    <w:pPr>
      <w:pStyle w:val="SidhuvudFText"/>
      <w:framePr w:w="5727" w:h="2722" w:hRule="exact" w:hSpace="0" w:wrap="notBeside" w:hAnchor="page" w:x="1135" w:y="568"/>
      <w:spacing w:line="400" w:lineRule="exact"/>
      <w:ind w:right="629"/>
      <w:rPr>
        <w:sz w:val="36"/>
      </w:rPr>
    </w:pPr>
    <w:bookmarkStart w:id="17" w:name="DokumentTyp"/>
    <w:r>
      <w:rPr>
        <w:sz w:val="36"/>
      </w:rPr>
      <w:t xml:space="preserve">Näringsutskottets yttrande </w:t>
    </w:r>
    <w:bookmarkEnd w:id="17"/>
  </w:p>
  <w:p w:rsidR="002F1747" w:rsidRDefault="002F1747">
    <w:pPr>
      <w:pStyle w:val="SidhuvudFText"/>
      <w:framePr w:w="5727" w:h="2722" w:hRule="exact" w:hSpace="0" w:wrap="notBeside" w:hAnchor="page" w:x="1135" w:y="568"/>
      <w:spacing w:line="400" w:lineRule="exact"/>
      <w:ind w:right="629"/>
      <w:rPr>
        <w:sz w:val="36"/>
      </w:rPr>
    </w:pPr>
    <w:bookmarkStart w:id="18" w:name="Betänkandenummer"/>
    <w:r>
      <w:rPr>
        <w:sz w:val="36"/>
      </w:rPr>
      <w:t xml:space="preserve">1997/98:NU5y </w:t>
    </w:r>
    <w:bookmarkEnd w:id="18"/>
    <w:r>
      <w:rPr>
        <w:sz w:val="36"/>
      </w:rPr>
      <w:t xml:space="preserve">       </w:t>
    </w:r>
    <w:bookmarkStart w:id="19" w:name="Utkast"/>
    <w:r>
      <w:rPr>
        <w:sz w:val="36"/>
      </w:rPr>
      <w:t xml:space="preserve"> </w:t>
    </w:r>
  </w:p>
  <w:p w:rsidR="002F1747" w:rsidRDefault="002F1747">
    <w:pPr>
      <w:pStyle w:val="SidhuvudFText"/>
      <w:framePr w:w="5727" w:h="2722" w:hRule="exact" w:hSpace="0" w:wrap="notBeside" w:hAnchor="page" w:x="1135" w:y="568"/>
      <w:spacing w:before="40" w:after="900" w:line="280" w:lineRule="exact"/>
      <w:ind w:right="629"/>
      <w:rPr>
        <w:sz w:val="26"/>
      </w:rPr>
    </w:pPr>
    <w:bookmarkStart w:id="20" w:name="Rubrik"/>
    <w:bookmarkEnd w:id="19"/>
    <w:r>
      <w:rPr>
        <w:sz w:val="28"/>
      </w:rPr>
      <w:t>Följdlagstiftning till miljöbalken m.m. – torvlagen</w:t>
    </w:r>
    <w:r>
      <w:rPr>
        <w:sz w:val="26"/>
      </w:rPr>
      <w:t xml:space="preserve"> </w:t>
    </w:r>
    <w:bookmarkEnd w:id="20"/>
    <w:r>
      <w:rPr>
        <w:sz w:val="26"/>
      </w:rPr>
      <w:t xml:space="preserve"> </w:t>
    </w:r>
  </w:p>
  <w:p w:rsidR="002F1747" w:rsidRDefault="002F1747">
    <w:pPr>
      <w:pStyle w:val="SidhuvudFText"/>
      <w:framePr w:w="5727" w:h="2722" w:hRule="exact" w:hSpace="0" w:wrap="notBeside" w:hAnchor="page" w:x="1135" w:y="568"/>
      <w:spacing w:line="460" w:lineRule="exact"/>
      <w:ind w:right="629"/>
      <w:rPr>
        <w:sz w:val="36"/>
      </w:rPr>
    </w:pPr>
  </w:p>
  <w:p w:rsidR="002F1747" w:rsidRDefault="002F1747">
    <w:pPr>
      <w:pStyle w:val="SidhuvudFText"/>
      <w:framePr w:w="5727" w:h="2722" w:hRule="exact" w:hSpace="0" w:wrap="notBeside" w:hAnchor="page" w:x="1135" w:y="568"/>
      <w:spacing w:before="40" w:after="900" w:line="300" w:lineRule="exact"/>
      <w:ind w:right="629"/>
      <w:rPr>
        <w:sz w:val="26"/>
      </w:rPr>
    </w:pPr>
    <w:r>
      <w:rPr>
        <w:sz w:val="26"/>
      </w:rPr>
      <w:t xml:space="preserve"> </w:t>
    </w:r>
  </w:p>
  <w:p w:rsidR="002F1747" w:rsidRDefault="002F1747">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NU5y"/>
    <w:docVar w:name="HelaNamnet" w:val="1997/98:NU5y"/>
    <w:docVar w:name="NR" w:val="5y"/>
    <w:docVar w:name="RUBRIK" w:val="Följdlagstiftning till miljöbalken m.m. -- torvlagen"/>
    <w:docVar w:name="SkapVERSION" w:val="V7.64 (97) 980303"/>
    <w:docVar w:name="SkapÅr" w:val="9798"/>
    <w:docVar w:name="Typer" w:val="S"/>
    <w:docVar w:name="USK" w:val="NU"/>
    <w:docVar w:name="USKKORT" w:val="NU"/>
    <w:docVar w:name="USKNAMN" w:val="Näringsutskottets"/>
    <w:docVar w:name="USKNAMNG" w:val="näringsutskottets"/>
    <w:docVar w:name="ÅR" w:val="1997/98"/>
  </w:docVars>
  <w:rsids>
    <w:rsidRoot w:val="00DA53F9"/>
    <w:rsid w:val="002F1747"/>
    <w:rsid w:val="00906BB9"/>
    <w:rsid w:val="00DA53F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1168E7B-CB62-48B2-9D5A-B0BA01E76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670"/>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142" w:vSpace="142"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MALLAR\ANDRA\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1748</Words>
  <Characters>11069</Characters>
  <Application>Microsoft Office Word</Application>
  <DocSecurity>4</DocSecurity>
  <Lines>316</Lines>
  <Paragraphs>123</Paragraphs>
  <ScaleCrop>false</ScaleCrop>
  <HeadingPairs>
    <vt:vector size="4" baseType="variant">
      <vt:variant>
        <vt:lpstr>Title</vt:lpstr>
      </vt:variant>
      <vt:variant>
        <vt:i4>1</vt:i4>
      </vt:variant>
      <vt:variant>
        <vt:lpstr>Rubriker</vt:lpstr>
      </vt:variant>
      <vt:variant>
        <vt:i4>8</vt:i4>
      </vt:variant>
    </vt:vector>
  </HeadingPairs>
  <TitlesOfParts>
    <vt:vector size="9" baseType="lpstr">
      <vt:lpstr>Näringsutskottets betänkande nr 5y</vt:lpstr>
      <vt:lpstr>Till jordbruksutskottet</vt:lpstr>
      <vt:lpstr>Näringsutskottet</vt:lpstr>
      <vt:lpstr>    Regeringens förslag till miljöbalk</vt:lpstr>
      <vt:lpstr>    Proposition 1997/98:90 </vt:lpstr>
      <vt:lpstr>    Motionen</vt:lpstr>
      <vt:lpstr>    Vissa kompletterande uppgifter</vt:lpstr>
      <vt:lpstr>    Näringsutskottets ställningstagande</vt:lpstr>
      <vt:lpstr>Avvikande mening</vt:lpstr>
    </vt:vector>
  </TitlesOfParts>
  <Company>Sveriges Riksdag</Company>
  <LinksUpToDate>false</LinksUpToDate>
  <CharactersWithSpaces>12694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 nr 5y</dc:title>
  <dc:subject>Näringsutskottets betänkande nr 5y</dc:subject>
  <dc:creator>Riksdagen</dc:creator>
  <cp:keywords>Riksdagen</cp:keywords>
  <dc:description>yrkande om avslag från kd</dc:description>
  <cp:lastModifiedBy>Lars Brink</cp:lastModifiedBy>
  <cp:revision>2</cp:revision>
  <cp:lastPrinted>1998-05-04T11:48:00Z</cp:lastPrinted>
  <dcterms:created xsi:type="dcterms:W3CDTF">2025-12-15T18:54:00Z</dcterms:created>
  <dcterms:modified xsi:type="dcterms:W3CDTF">2025-12-15T18:54:00Z</dcterms:modified>
</cp:coreProperties>
</file>