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F79E5">
        <w:tblPrEx>
          <w:tblCellMar>
            <w:top w:w="0" w:type="dxa"/>
            <w:bottom w:w="0" w:type="dxa"/>
          </w:tblCellMar>
        </w:tblPrEx>
        <w:trPr>
          <w:cantSplit/>
          <w:trHeight w:hRule="exact" w:val="1260"/>
        </w:trPr>
        <w:tc>
          <w:tcPr>
            <w:tcW w:w="6024" w:type="dxa"/>
            <w:gridSpan w:val="2"/>
            <w:vMerge w:val="restart"/>
          </w:tcPr>
          <w:p w:rsidR="00C83E3C" w:rsidRPr="004F79E5" w:rsidRDefault="00C83E3C">
            <w:pPr>
              <w:pStyle w:val="HuvudRubrik"/>
            </w:pPr>
            <w:bookmarkStart w:id="0" w:name="BetänkandeRubrik"/>
            <w:bookmarkEnd w:id="0"/>
            <w:r w:rsidRPr="004F79E5">
              <w:t>Förslag till riksdagen</w:t>
            </w:r>
            <w:r w:rsidR="004F79E5" w:rsidRPr="004F79E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24029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83E3C" w:rsidRPr="004F79E5" w:rsidRDefault="00C83E3C">
                                  <w:pPr>
                                    <w:pStyle w:val="Logo"/>
                                  </w:pPr>
                                  <w:r w:rsidRPr="004F79E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618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83E3C" w:rsidRPr="004F79E5" w:rsidRDefault="00C83E3C">
                            <w:pPr>
                              <w:pStyle w:val="Logo"/>
                            </w:pPr>
                            <w:r w:rsidRPr="004F79E5">
                              <w:object w:dxaOrig="840" w:dyaOrig="1545">
                                <v:shape id="_x0000_i1025" type="#_x0000_t75" style="width:90.45pt;height:77.15pt" fillcolor="window">
                                  <v:imagedata r:id="rId6" o:title="" cropright="-75835f"/>
                                </v:shape>
                                <o:OLEObject Type="Embed" ProgID="Word.Picture.8" ShapeID="_x0000_i1025" DrawAspect="Content" ObjectID="_1827346185" r:id="rId8"/>
                              </w:object>
                            </w:r>
                          </w:p>
                        </w:txbxContent>
                      </v:textbox>
                      <w10:wrap anchorx="page" anchory="page"/>
                    </v:shape>
                  </w:pict>
                </mc:Fallback>
              </mc:AlternateContent>
            </w:r>
          </w:p>
          <w:p w:rsidR="00C83E3C" w:rsidRPr="004F79E5" w:rsidRDefault="00C83E3C">
            <w:pPr>
              <w:pStyle w:val="HuvudRubrikRad2"/>
            </w:pPr>
            <w:bookmarkStart w:id="17" w:name="BetänkandeNr"/>
            <w:bookmarkEnd w:id="17"/>
            <w:r w:rsidRPr="004F79E5">
              <w:t>1999/2000:RB2</w:t>
            </w:r>
          </w:p>
          <w:p w:rsidR="00C83E3C" w:rsidRPr="004F79E5" w:rsidRDefault="00C83E3C">
            <w:pPr>
              <w:pStyle w:val="BetnkandeRubrik"/>
            </w:pPr>
            <w:bookmarkStart w:id="18" w:name="Huvudrubrik"/>
            <w:bookmarkEnd w:id="18"/>
            <w:r w:rsidRPr="004F79E5">
              <w:t>Fullmäktiges i Riksbanken förslag till disposition av Riksbankens vinst för räkenskapsåret 1999 m.m.</w:t>
            </w:r>
          </w:p>
        </w:tc>
        <w:tc>
          <w:tcPr>
            <w:tcW w:w="1559" w:type="dxa"/>
            <w:tcBorders>
              <w:bottom w:val="nil"/>
            </w:tcBorders>
          </w:tcPr>
          <w:p w:rsidR="00C83E3C" w:rsidRPr="004F79E5" w:rsidRDefault="00C83E3C">
            <w:pPr>
              <w:spacing w:before="0" w:line="230" w:lineRule="auto"/>
              <w:rPr>
                <w:sz w:val="24"/>
              </w:rPr>
            </w:pPr>
          </w:p>
        </w:tc>
      </w:tr>
      <w:tr w:rsidR="00000000" w:rsidRPr="004F79E5">
        <w:tblPrEx>
          <w:tblCellMar>
            <w:top w:w="0" w:type="dxa"/>
            <w:bottom w:w="0" w:type="dxa"/>
          </w:tblCellMar>
        </w:tblPrEx>
        <w:trPr>
          <w:cantSplit/>
          <w:trHeight w:hRule="exact" w:val="240"/>
        </w:trPr>
        <w:tc>
          <w:tcPr>
            <w:tcW w:w="6024" w:type="dxa"/>
            <w:gridSpan w:val="2"/>
            <w:vMerge/>
            <w:tcBorders>
              <w:top w:val="nil"/>
              <w:bottom w:val="nil"/>
            </w:tcBorders>
          </w:tcPr>
          <w:p w:rsidR="00C83E3C" w:rsidRPr="004F79E5" w:rsidRDefault="00C83E3C">
            <w:pPr>
              <w:spacing w:before="40" w:after="900" w:line="280" w:lineRule="exact"/>
              <w:jc w:val="left"/>
              <w:rPr>
                <w:sz w:val="28"/>
              </w:rPr>
            </w:pPr>
          </w:p>
        </w:tc>
        <w:tc>
          <w:tcPr>
            <w:tcW w:w="1559" w:type="dxa"/>
          </w:tcPr>
          <w:p w:rsidR="00C83E3C" w:rsidRPr="004F79E5" w:rsidRDefault="00C83E3C">
            <w:pPr>
              <w:pStyle w:val="rtal"/>
            </w:pPr>
            <w:r w:rsidRPr="004F79E5">
              <w:t>1999/2000</w:t>
            </w:r>
          </w:p>
        </w:tc>
      </w:tr>
      <w:tr w:rsidR="00000000" w:rsidRPr="004F79E5">
        <w:tblPrEx>
          <w:tblCellMar>
            <w:top w:w="0" w:type="dxa"/>
            <w:bottom w:w="0" w:type="dxa"/>
          </w:tblCellMar>
        </w:tblPrEx>
        <w:trPr>
          <w:cantSplit/>
          <w:trHeight w:val="560"/>
        </w:trPr>
        <w:tc>
          <w:tcPr>
            <w:tcW w:w="6024" w:type="dxa"/>
            <w:gridSpan w:val="2"/>
            <w:vMerge/>
            <w:tcBorders>
              <w:top w:val="nil"/>
              <w:bottom w:val="single" w:sz="6" w:space="0" w:color="auto"/>
            </w:tcBorders>
          </w:tcPr>
          <w:p w:rsidR="00C83E3C" w:rsidRPr="004F79E5" w:rsidRDefault="00C83E3C">
            <w:pPr>
              <w:spacing w:before="40" w:after="900" w:line="280" w:lineRule="exact"/>
              <w:jc w:val="left"/>
              <w:rPr>
                <w:sz w:val="28"/>
              </w:rPr>
            </w:pPr>
          </w:p>
        </w:tc>
        <w:tc>
          <w:tcPr>
            <w:tcW w:w="1559" w:type="dxa"/>
            <w:tcBorders>
              <w:bottom w:val="single" w:sz="6" w:space="0" w:color="auto"/>
            </w:tcBorders>
          </w:tcPr>
          <w:p w:rsidR="00C83E3C" w:rsidRPr="004F79E5" w:rsidRDefault="00C83E3C">
            <w:pPr>
              <w:pStyle w:val="rtal"/>
            </w:pPr>
            <w:r w:rsidRPr="004F79E5">
              <w:t>RB2</w:t>
            </w:r>
          </w:p>
        </w:tc>
      </w:tr>
      <w:tr w:rsidR="00000000" w:rsidRPr="004F79E5">
        <w:tblPrEx>
          <w:tblCellMar>
            <w:top w:w="0" w:type="dxa"/>
            <w:bottom w:w="0" w:type="dxa"/>
          </w:tblCellMar>
        </w:tblPrEx>
        <w:trPr>
          <w:cantSplit/>
          <w:trHeight w:hRule="exact" w:val="660"/>
        </w:trPr>
        <w:tc>
          <w:tcPr>
            <w:tcW w:w="3012" w:type="dxa"/>
          </w:tcPr>
          <w:p w:rsidR="00C83E3C" w:rsidRPr="004F79E5" w:rsidRDefault="00C83E3C">
            <w:pPr>
              <w:pStyle w:val="StatusSida1"/>
            </w:pPr>
          </w:p>
        </w:tc>
        <w:tc>
          <w:tcPr>
            <w:tcW w:w="3012" w:type="dxa"/>
          </w:tcPr>
          <w:p w:rsidR="00C83E3C" w:rsidRPr="004F79E5" w:rsidRDefault="00C83E3C">
            <w:pPr>
              <w:pStyle w:val="UtskriftsdatumSida1"/>
              <w:rPr>
                <w:b/>
                <w:sz w:val="28"/>
              </w:rPr>
            </w:pPr>
          </w:p>
        </w:tc>
        <w:tc>
          <w:tcPr>
            <w:tcW w:w="1559" w:type="dxa"/>
          </w:tcPr>
          <w:p w:rsidR="00C83E3C" w:rsidRPr="004F79E5" w:rsidRDefault="00C83E3C"/>
        </w:tc>
      </w:tr>
    </w:tbl>
    <w:p w:rsidR="00C83E3C" w:rsidRPr="004F79E5" w:rsidRDefault="00C83E3C">
      <w:r w:rsidRPr="004F79E5">
        <w:t>Dnr 2000-268-DIR</w:t>
      </w:r>
    </w:p>
    <w:p w:rsidR="00C83E3C" w:rsidRPr="004F79E5" w:rsidRDefault="00C83E3C">
      <w:pPr>
        <w:pStyle w:val="Rubrik2"/>
      </w:pPr>
      <w:bookmarkStart w:id="19" w:name="Textstart"/>
      <w:bookmarkEnd w:id="19"/>
      <w:r w:rsidRPr="004F79E5">
        <w:t>Förslag till disposition av Riksbankens vinst för räkenskapsåret 1999</w:t>
      </w:r>
    </w:p>
    <w:p w:rsidR="00C83E3C" w:rsidRPr="004F79E5" w:rsidRDefault="00C83E3C">
      <w:r w:rsidRPr="004F79E5">
        <w:t>Fullmäktige i Sveriges riksbank har i enlighet med 10 kap. 3 § lagen (1988:1385) om Sveriges riksbank erhållit redovisning från direktionen över räkenskapsåret 1999. Fullmäktige har inför sitt ställningstagande om förslag till vinstdisposition för räkenskapsåret 1999 vid sitt sammanträde den 14 januari 2000 från direktionen vidare erhållit en analys av den vinstdispos</w:t>
      </w:r>
      <w:r w:rsidRPr="004F79E5">
        <w:t>i</w:t>
      </w:r>
      <w:r w:rsidRPr="004F79E5">
        <w:t>tionsprincip som Riksbanken tillämpar sedan år 1988. Principen innebär att 80 % av ett femårsgenomsnitt av Riks</w:t>
      </w:r>
      <w:r w:rsidRPr="004F79E5">
        <w:softHyphen/>
        <w:t>bankens resultat exklusive valutaku</w:t>
      </w:r>
      <w:r w:rsidRPr="004F79E5">
        <w:t>r</w:t>
      </w:r>
      <w:r w:rsidRPr="004F79E5">
        <w:t>s</w:t>
      </w:r>
      <w:r w:rsidRPr="004F79E5">
        <w:softHyphen/>
        <w:t>effekter årligen delas ut (se även 1988/89:FiU27). Analysen visar att de syften som principen avsåg har uppfyllts, nämligen en konsoli</w:t>
      </w:r>
      <w:r w:rsidRPr="004F79E5">
        <w:softHyphen/>
        <w:t>dering av Riksbankens eget kapital genom tillämpning av en vinstdispositionsprin</w:t>
      </w:r>
      <w:r w:rsidRPr="004F79E5">
        <w:softHyphen/>
        <w:t xml:space="preserve">cip som är tydlig och ger en jämn inleverans av vinstmedel till staten. </w:t>
      </w:r>
    </w:p>
    <w:p w:rsidR="00C83E3C" w:rsidRPr="004F79E5" w:rsidRDefault="00C83E3C">
      <w:pPr>
        <w:pStyle w:val="Normaltindrag"/>
      </w:pPr>
      <w:r w:rsidRPr="004F79E5">
        <w:t>Den uppbyggnad av det egna kapitalet som skett sedan år 1988 har till kn</w:t>
      </w:r>
      <w:r w:rsidRPr="004F79E5">
        <w:t>appt hälf</w:t>
      </w:r>
      <w:r w:rsidRPr="004F79E5">
        <w:softHyphen/>
        <w:t>ten inträffat genom principen om att 20 % av genomsnittsresult</w:t>
      </w:r>
      <w:r w:rsidRPr="004F79E5">
        <w:t>a</w:t>
      </w:r>
      <w:r w:rsidRPr="004F79E5">
        <w:t>tet fonderas. Övriga delar av förstärkningen av det egna kapitalet förklaras av  försvagningen av den svenska kronan, en effekt som reverseras i ett läge när kronans växelkurs för</w:t>
      </w:r>
      <w:r w:rsidRPr="004F79E5">
        <w:softHyphen/>
        <w:t>stärks, samt slutligen av den rent bokföringsmässiga förändringen att Riksbankens guldinnehav marknadsvärderats, vilket ökat bankens redovisade egna kapital. Full</w:t>
      </w:r>
      <w:r w:rsidRPr="004F79E5">
        <w:softHyphen/>
        <w:t>mäktige konstaterar, liksom direkti</w:t>
      </w:r>
      <w:r w:rsidRPr="004F79E5">
        <w:t>o</w:t>
      </w:r>
      <w:r w:rsidRPr="004F79E5">
        <w:t>nen, att den sedan år 1988 tillämpade regeln för vinstdispos</w:t>
      </w:r>
      <w:r w:rsidRPr="004F79E5">
        <w:t>itionen framdeles kommer att säkerställa det reala värdet av Riks</w:t>
      </w:r>
      <w:r w:rsidRPr="004F79E5">
        <w:softHyphen/>
        <w:t>bankens eget kapital, vilket är önskvärt. Fullmäktige anser således att Riksbankens uppnådda konsolidering inte lämnar utrymme för ökade inleveranser till staten.</w:t>
      </w:r>
    </w:p>
    <w:p w:rsidR="00C83E3C" w:rsidRPr="004F79E5" w:rsidRDefault="00C83E3C">
      <w:pPr>
        <w:pStyle w:val="Normaltindrag"/>
      </w:pPr>
      <w:r w:rsidRPr="004F79E5">
        <w:t>Fullmäktige anser sammanfattningsvis att de riktlinjer för vinstdispositi</w:t>
      </w:r>
      <w:r w:rsidRPr="004F79E5">
        <w:t>o</w:t>
      </w:r>
      <w:r w:rsidRPr="004F79E5">
        <w:t>nen som tidigare riksbanksfullmäktige antog år 1988 är lämpliga att tillämpa även för vinst</w:t>
      </w:r>
      <w:r w:rsidRPr="004F79E5">
        <w:softHyphen/>
        <w:t>dispositionen för år 1999.</w:t>
      </w:r>
    </w:p>
    <w:p w:rsidR="00C83E3C" w:rsidRPr="004F79E5" w:rsidRDefault="00C83E3C">
      <w:pPr>
        <w:pStyle w:val="Normaltindrag"/>
      </w:pPr>
      <w:r w:rsidRPr="004F79E5">
        <w:t>Fullmäktiges revisionsenhet har granskat underlaget för beräkningen av vinstdispo</w:t>
      </w:r>
      <w:r w:rsidRPr="004F79E5">
        <w:softHyphen/>
        <w:t xml:space="preserve">sitionsförslaget. Revisionsenheten har därvid inte haft något att anmärka. </w:t>
      </w:r>
    </w:p>
    <w:p w:rsidR="00C83E3C" w:rsidRPr="004F79E5" w:rsidRDefault="00C83E3C">
      <w:pPr>
        <w:pStyle w:val="Brdtext"/>
      </w:pPr>
    </w:p>
    <w:p w:rsidR="00C83E3C" w:rsidRPr="004F79E5" w:rsidRDefault="00C83E3C">
      <w:pPr>
        <w:pStyle w:val="Brdtext"/>
      </w:pPr>
      <w:r w:rsidRPr="004F79E5">
        <w:br w:type="column"/>
      </w:r>
    </w:p>
    <w:p w:rsidR="00C83E3C" w:rsidRPr="004F79E5" w:rsidRDefault="00C83E3C">
      <w:pPr>
        <w:pStyle w:val="Normaltindrag"/>
      </w:pPr>
      <w:r w:rsidRPr="004F79E5">
        <w:t xml:space="preserve">Fullmäktige har den 15 februari 2000 </w:t>
      </w:r>
      <w:r w:rsidRPr="004F79E5">
        <w:rPr>
          <w:i/>
        </w:rPr>
        <w:t>beslutat</w:t>
      </w:r>
      <w:r w:rsidRPr="004F79E5">
        <w:t xml:space="preserve"> avge följande förslag till disposition av Riksbankens vinst.</w:t>
      </w:r>
    </w:p>
    <w:p w:rsidR="00C83E3C" w:rsidRPr="004F79E5" w:rsidRDefault="00C83E3C">
      <w:pPr>
        <w:pStyle w:val="Normaltindrag"/>
      </w:pPr>
      <w:r w:rsidRPr="004F79E5">
        <w:t xml:space="preserve">Resultatet för år 1999 före bokslutsdispositioner uppgår till 3 925 miljoner kronor. </w:t>
      </w:r>
    </w:p>
    <w:p w:rsidR="00C83E3C" w:rsidRPr="004F79E5" w:rsidRDefault="00C83E3C">
      <w:r w:rsidRPr="004F79E5">
        <w:rPr>
          <w:i/>
        </w:rPr>
        <w:t>Ful</w:t>
      </w:r>
      <w:r w:rsidRPr="004F79E5">
        <w:rPr>
          <w:i/>
        </w:rPr>
        <w:t>l</w:t>
      </w:r>
      <w:r w:rsidRPr="004F79E5">
        <w:rPr>
          <w:i/>
        </w:rPr>
        <w:t>mäk</w:t>
      </w:r>
      <w:r w:rsidRPr="004F79E5">
        <w:rPr>
          <w:i/>
        </w:rPr>
        <w:softHyphen/>
        <w:t>tige föreslår</w:t>
      </w:r>
      <w:r w:rsidRPr="004F79E5">
        <w:t xml:space="preserve"> </w:t>
      </w:r>
    </w:p>
    <w:p w:rsidR="00C83E3C" w:rsidRPr="004F79E5" w:rsidRDefault="00C83E3C">
      <w:pPr>
        <w:pStyle w:val="hemtext"/>
      </w:pPr>
      <w:r w:rsidRPr="004F79E5">
        <w:t>att resultatet disponeras på följande sätt:</w:t>
      </w:r>
    </w:p>
    <w:tbl>
      <w:tblPr>
        <w:tblW w:w="0" w:type="auto"/>
        <w:tblInd w:w="-70" w:type="dxa"/>
        <w:tblLayout w:type="fixed"/>
        <w:tblCellMar>
          <w:left w:w="70" w:type="dxa"/>
          <w:right w:w="70" w:type="dxa"/>
        </w:tblCellMar>
        <w:tblLook w:val="0000" w:firstRow="0" w:lastRow="0" w:firstColumn="0" w:lastColumn="0" w:noHBand="0" w:noVBand="0"/>
      </w:tblPr>
      <w:tblGrid>
        <w:gridCol w:w="4181"/>
        <w:gridCol w:w="1276"/>
      </w:tblGrid>
      <w:tr w:rsidR="00000000" w:rsidRPr="004F79E5">
        <w:tblPrEx>
          <w:tblCellMar>
            <w:top w:w="0" w:type="dxa"/>
            <w:bottom w:w="0" w:type="dxa"/>
          </w:tblCellMar>
        </w:tblPrEx>
        <w:tc>
          <w:tcPr>
            <w:tcW w:w="4181" w:type="dxa"/>
          </w:tcPr>
          <w:p w:rsidR="00C83E3C" w:rsidRPr="004F79E5" w:rsidRDefault="00C83E3C">
            <w:pPr>
              <w:pStyle w:val="Brdtext"/>
              <w:jc w:val="left"/>
            </w:pPr>
            <w:r w:rsidRPr="004F79E5">
              <w:t>Till statsverket inlevereras (varav 40 mkr skulle kunna utbetalas för särskilt ändamål enligt nedan)</w:t>
            </w:r>
          </w:p>
        </w:tc>
        <w:tc>
          <w:tcPr>
            <w:tcW w:w="1276" w:type="dxa"/>
            <w:vAlign w:val="bottom"/>
          </w:tcPr>
          <w:p w:rsidR="00C83E3C" w:rsidRPr="004F79E5" w:rsidRDefault="00C83E3C">
            <w:pPr>
              <w:pStyle w:val="Brdtext"/>
              <w:jc w:val="right"/>
            </w:pPr>
            <w:r w:rsidRPr="004F79E5">
              <w:t>9 800 mkr</w:t>
            </w:r>
          </w:p>
        </w:tc>
      </w:tr>
      <w:tr w:rsidR="00000000" w:rsidRPr="004F79E5">
        <w:tblPrEx>
          <w:tblCellMar>
            <w:top w:w="0" w:type="dxa"/>
            <w:bottom w:w="0" w:type="dxa"/>
          </w:tblCellMar>
        </w:tblPrEx>
        <w:tc>
          <w:tcPr>
            <w:tcW w:w="4181" w:type="dxa"/>
          </w:tcPr>
          <w:p w:rsidR="00C83E3C" w:rsidRPr="004F79E5" w:rsidRDefault="00C83E3C">
            <w:pPr>
              <w:pStyle w:val="Brdtext"/>
            </w:pPr>
            <w:r w:rsidRPr="004F79E5">
              <w:t xml:space="preserve">Till Riksbankens dispositionsfond förs    </w:t>
            </w:r>
          </w:p>
        </w:tc>
        <w:tc>
          <w:tcPr>
            <w:tcW w:w="1276" w:type="dxa"/>
          </w:tcPr>
          <w:p w:rsidR="00C83E3C" w:rsidRPr="004F79E5" w:rsidRDefault="00C83E3C">
            <w:pPr>
              <w:pStyle w:val="Brdtext"/>
              <w:jc w:val="right"/>
            </w:pPr>
            <w:r w:rsidRPr="004F79E5">
              <w:t>2 978 mkr</w:t>
            </w:r>
          </w:p>
        </w:tc>
      </w:tr>
      <w:tr w:rsidR="00000000" w:rsidRPr="004F79E5">
        <w:tblPrEx>
          <w:tblCellMar>
            <w:top w:w="0" w:type="dxa"/>
            <w:bottom w:w="0" w:type="dxa"/>
          </w:tblCellMar>
        </w:tblPrEx>
        <w:tc>
          <w:tcPr>
            <w:tcW w:w="4181" w:type="dxa"/>
          </w:tcPr>
          <w:p w:rsidR="00C83E3C" w:rsidRPr="004F79E5" w:rsidRDefault="00C83E3C">
            <w:pPr>
              <w:pStyle w:val="Brdtext"/>
            </w:pPr>
            <w:r w:rsidRPr="004F79E5">
              <w:t>Från Riksbankens resultatutjä</w:t>
            </w:r>
            <w:r w:rsidRPr="004F79E5">
              <w:t>m</w:t>
            </w:r>
            <w:r w:rsidRPr="004F79E5">
              <w:t xml:space="preserve">ningsfond förs </w:t>
            </w:r>
          </w:p>
        </w:tc>
        <w:tc>
          <w:tcPr>
            <w:tcW w:w="1276" w:type="dxa"/>
          </w:tcPr>
          <w:p w:rsidR="00C83E3C" w:rsidRPr="004F79E5" w:rsidRDefault="00C83E3C">
            <w:pPr>
              <w:pStyle w:val="Brdtext"/>
              <w:jc w:val="right"/>
            </w:pPr>
            <w:r w:rsidRPr="004F79E5">
              <w:t>-8 853 mkr</w:t>
            </w:r>
          </w:p>
        </w:tc>
      </w:tr>
      <w:tr w:rsidR="00000000" w:rsidRPr="004F79E5">
        <w:tblPrEx>
          <w:tblCellMar>
            <w:top w:w="0" w:type="dxa"/>
            <w:bottom w:w="0" w:type="dxa"/>
          </w:tblCellMar>
        </w:tblPrEx>
        <w:tc>
          <w:tcPr>
            <w:tcW w:w="4181" w:type="dxa"/>
          </w:tcPr>
          <w:p w:rsidR="00C83E3C" w:rsidRPr="004F79E5" w:rsidRDefault="00C83E3C">
            <w:pPr>
              <w:pStyle w:val="Brdtext"/>
              <w:rPr>
                <w:i/>
              </w:rPr>
            </w:pPr>
            <w:r w:rsidRPr="004F79E5">
              <w:rPr>
                <w:i/>
              </w:rPr>
              <w:t>Summa</w:t>
            </w:r>
          </w:p>
        </w:tc>
        <w:tc>
          <w:tcPr>
            <w:tcW w:w="1276" w:type="dxa"/>
          </w:tcPr>
          <w:p w:rsidR="00C83E3C" w:rsidRPr="004F79E5" w:rsidRDefault="00C83E3C">
            <w:pPr>
              <w:pStyle w:val="Brdtext"/>
              <w:jc w:val="right"/>
              <w:rPr>
                <w:i/>
              </w:rPr>
            </w:pPr>
            <w:r w:rsidRPr="004F79E5">
              <w:rPr>
                <w:i/>
              </w:rPr>
              <w:t>3 925 mkr</w:t>
            </w:r>
          </w:p>
        </w:tc>
      </w:tr>
    </w:tbl>
    <w:p w:rsidR="00C83E3C" w:rsidRPr="004F79E5" w:rsidRDefault="00C83E3C">
      <w:r w:rsidRPr="004F79E5">
        <w:t>I samband med utarbetande av fullmäktiges förslag till vinstdisposition har det kommit till fullmäktiges kännedom att Regeringskansliet, som ett led i bered</w:t>
      </w:r>
      <w:r w:rsidRPr="004F79E5">
        <w:softHyphen/>
        <w:t>ningen av betänkandena från Kommissionen om judiska tillgångar i Sverige (SOU 1998:96, 1999:20), fört överläggningar med företrädare för Judiska Centralrådet i Sverige och Judiska Världskongressen (World Jewish Congress) om bildande i Sverige av ett institut för judiska studier, i syfte att bidra till den långsiktiga över</w:t>
      </w:r>
      <w:r w:rsidRPr="004F79E5">
        <w:softHyphen/>
        <w:t>levnaden för judiskt liv bl.a. i Sverige. Företr</w:t>
      </w:r>
      <w:r w:rsidRPr="004F79E5">
        <w:t>ä</w:t>
      </w:r>
      <w:r w:rsidRPr="004F79E5">
        <w:t>dare för Utrikesdepartementet har därvid framfört att staten, via riksd</w:t>
      </w:r>
      <w:r w:rsidRPr="004F79E5">
        <w:t>a</w:t>
      </w:r>
      <w:r w:rsidRPr="004F79E5">
        <w:t>gen/Riksbanken, skulle vara beredd att bidra med 40 miljoner krono</w:t>
      </w:r>
      <w:r w:rsidRPr="004F79E5">
        <w:t>r till upprättandet av ett sådant institut. Ett sådant bidrag skulle vara ett sätt att visa den svenska statens intresse av att främja judiskt kulturliv, bl.a. mot bak</w:t>
      </w:r>
      <w:r w:rsidRPr="004F79E5">
        <w:softHyphen/>
        <w:t>grund av vad som framförts i betänkandena att det inte kan uteslutas att Sverige under andra världskriget tog emot s.k. ”smittat” guld.</w:t>
      </w:r>
    </w:p>
    <w:p w:rsidR="00C83E3C" w:rsidRPr="004F79E5" w:rsidRDefault="00C83E3C">
      <w:pPr>
        <w:pStyle w:val="Normaltindrag"/>
      </w:pPr>
      <w:r w:rsidRPr="004F79E5">
        <w:t>Finansutskottet har vid sitt sammanträde den 18 januari 2000 enhälligt a</w:t>
      </w:r>
      <w:r w:rsidRPr="004F79E5">
        <w:t>n</w:t>
      </w:r>
      <w:r w:rsidRPr="004F79E5">
        <w:t>sett det vara motiverat att fullmäktige tar initiativ till att förelägga riksdagen förslag om detta bidrag. Riksbanken saknar dock möjlighet att inom ramen för riksbanks</w:t>
      </w:r>
      <w:r w:rsidRPr="004F79E5">
        <w:softHyphen/>
        <w:t>lagens bestämmelser lämna bidrag till ett sådant ändamål. Ful</w:t>
      </w:r>
      <w:r w:rsidRPr="004F79E5">
        <w:t>l</w:t>
      </w:r>
      <w:r w:rsidRPr="004F79E5">
        <w:t>mäktige anser därför att riksdagen, som Riksbankens ägare, bör kunna pröva att bemyndiga Riksbanken att i samband med inleveransen av årets vinstm</w:t>
      </w:r>
      <w:r w:rsidRPr="004F79E5">
        <w:t>e</w:t>
      </w:r>
      <w:r w:rsidRPr="004F79E5">
        <w:t>del enligt beräkningen ovan utbe</w:t>
      </w:r>
      <w:r w:rsidRPr="004F79E5">
        <w:softHyphen/>
        <w:t>tala 40 miljoner kronor till huvudmannen för det för</w:t>
      </w:r>
      <w:r w:rsidRPr="004F79E5">
        <w:t>e</w:t>
      </w:r>
      <w:r w:rsidRPr="004F79E5">
        <w:t>slagna institutet.</w:t>
      </w:r>
    </w:p>
    <w:p w:rsidR="00C83E3C" w:rsidRPr="004F79E5" w:rsidRDefault="00C83E3C">
      <w:pPr>
        <w:pStyle w:val="Rubrik4"/>
      </w:pPr>
      <w:r w:rsidRPr="004F79E5">
        <w:t>Övrigt</w:t>
      </w:r>
    </w:p>
    <w:p w:rsidR="00C83E3C" w:rsidRPr="004F79E5" w:rsidRDefault="00C83E3C">
      <w:r w:rsidRPr="004F79E5">
        <w:t>Fullmäktige har under 1999 bl.a. vidtagit följande åtgärder.</w:t>
      </w:r>
    </w:p>
    <w:p w:rsidR="00C83E3C" w:rsidRPr="004F79E5" w:rsidRDefault="00C83E3C">
      <w:pPr>
        <w:pStyle w:val="Normaltindrag"/>
      </w:pPr>
      <w:r w:rsidRPr="004F79E5">
        <w:t>Fullmäktige har sammanträtt vid tolv tillfällen under år 1999. I samband med ett sammanträde avlades ett besök vid AB Tumba Bruk. I september mottog fullmäk</w:t>
      </w:r>
      <w:r w:rsidRPr="004F79E5">
        <w:softHyphen/>
        <w:t>tige ett besök från Representantskapet i Norges Bank.</w:t>
      </w:r>
    </w:p>
    <w:p w:rsidR="00C83E3C" w:rsidRPr="004F79E5" w:rsidRDefault="00C83E3C">
      <w:pPr>
        <w:pStyle w:val="Normaltindrag"/>
      </w:pPr>
      <w:r w:rsidRPr="004F79E5">
        <w:t>Fullmäktiges ordförande och vice ordförande har regelmässigt deltagit i direktio</w:t>
      </w:r>
      <w:r w:rsidRPr="004F79E5">
        <w:softHyphen/>
        <w:t>nens sammanträden. Dessutom har ordföranden och vice ordföranden löpande inhämtat information om arbetet i direktionskretsen genom konta</w:t>
      </w:r>
      <w:r w:rsidRPr="004F79E5">
        <w:t>k</w:t>
      </w:r>
      <w:r w:rsidRPr="004F79E5">
        <w:t>ter med riksbankschefen. Fullmäktiges ordförande och vice ordförande har löpande redovisat sina iakttagelser för fullmäktige.</w:t>
      </w:r>
    </w:p>
    <w:p w:rsidR="00C83E3C" w:rsidRPr="004F79E5" w:rsidRDefault="00C83E3C">
      <w:pPr>
        <w:pStyle w:val="Normaltindrag"/>
      </w:pPr>
      <w:r w:rsidRPr="004F79E5">
        <w:t>Ledamöter av Riksbankens direktion har normalt deltagit i  fullmäktig</w:t>
      </w:r>
      <w:r w:rsidRPr="004F79E5">
        <w:t>e</w:t>
      </w:r>
      <w:r w:rsidRPr="004F79E5">
        <w:t>samman</w:t>
      </w:r>
      <w:r w:rsidRPr="004F79E5">
        <w:softHyphen/>
        <w:t>trädena. Fullmäktige har därvid informerat sig om direktionsled</w:t>
      </w:r>
      <w:r w:rsidRPr="004F79E5">
        <w:t>a</w:t>
      </w:r>
      <w:r w:rsidRPr="004F79E5">
        <w:t>möternas tjänste</w:t>
      </w:r>
      <w:r w:rsidRPr="004F79E5">
        <w:softHyphen/>
        <w:t>utövning. Redogörelser har löpande lämnats av direktionen för den aktuella penningpolitiken och arbetet med att övervaka det finansiella systemets stabilitet, liksom för utvecklingen inom betalningsväsendet. Ra</w:t>
      </w:r>
      <w:r w:rsidRPr="004F79E5">
        <w:t>p</w:t>
      </w:r>
      <w:r w:rsidRPr="004F79E5">
        <w:t>porter har också lämnats bl.a. om Riksbankens tertialuppföljningar av ver</w:t>
      </w:r>
      <w:r w:rsidRPr="004F79E5">
        <w:t>k</w:t>
      </w:r>
      <w:r w:rsidRPr="004F79E5">
        <w:t>samh</w:t>
      </w:r>
      <w:r w:rsidRPr="004F79E5">
        <w:t>e</w:t>
      </w:r>
      <w:r w:rsidRPr="004F79E5">
        <w:t>ten samt om förberedel</w:t>
      </w:r>
      <w:r w:rsidRPr="004F79E5">
        <w:softHyphen/>
        <w:t xml:space="preserve">serna inför millennieskiftet. </w:t>
      </w:r>
    </w:p>
    <w:p w:rsidR="00C83E3C" w:rsidRPr="004F79E5" w:rsidRDefault="00C83E3C">
      <w:pPr>
        <w:pStyle w:val="Normaltindrag"/>
      </w:pPr>
      <w:r w:rsidRPr="004F79E5">
        <w:t xml:space="preserve">Några av fullmäktiges viktigare ärenden under året redovisas nedan. </w:t>
      </w:r>
    </w:p>
    <w:p w:rsidR="00C83E3C" w:rsidRPr="004F79E5" w:rsidRDefault="00C83E3C">
      <w:pPr>
        <w:pStyle w:val="Normaltindrag"/>
      </w:pPr>
      <w:r w:rsidRPr="004F79E5">
        <w:t>Löner för direktionsledamöterna fastställdes av fullmäktige den 4 januari 1999. Direktionsledamöternas sidouppdrag har anmälts och behandlats då detta varit aktuellt vid fullmäktiges sammanträden under året.</w:t>
      </w:r>
    </w:p>
    <w:p w:rsidR="00C83E3C" w:rsidRPr="004F79E5" w:rsidRDefault="00C83E3C">
      <w:pPr>
        <w:pStyle w:val="Normaltindrag"/>
      </w:pPr>
      <w:r w:rsidRPr="004F79E5">
        <w:t>Vid sammanträdet den 4 januari 1999 fastställdes även arbetsordningen för Riks</w:t>
      </w:r>
      <w:r w:rsidRPr="004F79E5">
        <w:softHyphen/>
        <w:t xml:space="preserve">banken, som bl.a. anger den övergripande indelningen av Riksbanken i avdelningar samt reglerar förhållandet mellan fullmäktige och direktionen. Arbetsordningen har senare under året ändrats. Främst gällde det inrättandet av en ny avdelning i banken, riskkontrollavdelningen, vars verksamhet syftar till att stärka kontrollen av riskerna i bankens finansiella verksamhet. </w:t>
      </w:r>
    </w:p>
    <w:p w:rsidR="00C83E3C" w:rsidRPr="004F79E5" w:rsidRDefault="00C83E3C">
      <w:pPr>
        <w:pStyle w:val="Normaltindrag"/>
      </w:pPr>
      <w:r w:rsidRPr="004F79E5">
        <w:t>Fullmäktige fastställde den 4 januari 1999 principerna för hur fullmäktige skall bedriva sin verksamhet inklusive utövandet av sin kontroll</w:t>
      </w:r>
      <w:r w:rsidRPr="004F79E5">
        <w:t>funktion.</w:t>
      </w:r>
    </w:p>
    <w:p w:rsidR="00C83E3C" w:rsidRPr="004F79E5" w:rsidRDefault="00C83E3C">
      <w:pPr>
        <w:pStyle w:val="Normaltindrag"/>
      </w:pPr>
      <w:r w:rsidRPr="004F79E5">
        <w:t>Fullmäktige har som en del av sin kontrollfunktion en revisionsenhet till sitt förfo</w:t>
      </w:r>
      <w:r w:rsidRPr="004F79E5">
        <w:softHyphen/>
        <w:t>gande. Fullmäktige fastställde den 5 februari 1999 en revisionsplan för revisionsen</w:t>
      </w:r>
      <w:r w:rsidRPr="004F79E5">
        <w:softHyphen/>
        <w:t>heten. Inledningsvis bemannade internrevisionsavdelningen revisionsenheten. Efter övervägande under året och samråd med Riksdagens revisorer och intern</w:t>
      </w:r>
      <w:r w:rsidRPr="004F79E5">
        <w:softHyphen/>
        <w:t>revisionsavdelningen, beslutade fullmäktige att därefter bemanna revisionsenheten med konsult under den närmaste tiden. Samrådet avsåg bl.a. att få till stånd en fungerande arbetsfördelning mellan revisio</w:t>
      </w:r>
      <w:r w:rsidRPr="004F79E5">
        <w:t>n</w:t>
      </w:r>
      <w:r w:rsidRPr="004F79E5">
        <w:t>s</w:t>
      </w:r>
      <w:r w:rsidRPr="004F79E5">
        <w:softHyphen/>
        <w:t xml:space="preserve">organen. </w:t>
      </w:r>
    </w:p>
    <w:p w:rsidR="00C83E3C" w:rsidRPr="004F79E5" w:rsidRDefault="00C83E3C">
      <w:pPr>
        <w:pStyle w:val="Normaltindrag"/>
      </w:pPr>
      <w:r w:rsidRPr="004F79E5">
        <w:t>Fullmäktige beslutade den 18 juni 1999 att uppdra åt ordfö</w:t>
      </w:r>
      <w:r w:rsidRPr="004F79E5">
        <w:t>randen och v</w:t>
      </w:r>
      <w:r w:rsidRPr="004F79E5">
        <w:t>i</w:t>
      </w:r>
      <w:r w:rsidRPr="004F79E5">
        <w:t>ceordfö</w:t>
      </w:r>
      <w:r w:rsidRPr="004F79E5">
        <w:softHyphen/>
        <w:t>randen att upphandla sådan konsult. Dessa beslutade sedermera, efter upphand</w:t>
      </w:r>
      <w:r w:rsidRPr="004F79E5">
        <w:softHyphen/>
        <w:t>ling, att under ett år från den 1 september 1999 uppdra åt Ernst&amp;Young AB att ut</w:t>
      </w:r>
      <w:r w:rsidRPr="004F79E5">
        <w:softHyphen/>
        <w:t>föra revisionsenhetens verksamhet. Vid utgången av uppdraget avser fullmäktige att ta ställning till den fortsatta uppläggningen av granskningsarbetet. Ett gransknings</w:t>
      </w:r>
      <w:r w:rsidRPr="004F79E5">
        <w:softHyphen/>
        <w:t>arbete har utförts av revisionsenheten under 1999 och en väl fungerande arbets</w:t>
      </w:r>
      <w:r w:rsidRPr="004F79E5">
        <w:softHyphen/>
        <w:t>fördelning har nu uppnåtts mellan revisionsorganen.</w:t>
      </w:r>
    </w:p>
    <w:p w:rsidR="00C83E3C" w:rsidRPr="004F79E5" w:rsidRDefault="00C83E3C">
      <w:pPr>
        <w:pStyle w:val="Normaltindrag"/>
      </w:pPr>
      <w:r w:rsidRPr="004F79E5">
        <w:t>Ett beslut om utformningen av de m</w:t>
      </w:r>
      <w:r w:rsidRPr="004F79E5">
        <w:t xml:space="preserve">innesmynt med anledning av </w:t>
      </w:r>
      <w:r w:rsidRPr="004F79E5">
        <w:rPr>
          <w:spacing w:val="-6"/>
        </w:rPr>
        <w:t>millenn</w:t>
      </w:r>
      <w:r w:rsidRPr="004F79E5">
        <w:rPr>
          <w:spacing w:val="-6"/>
        </w:rPr>
        <w:t>i</w:t>
      </w:r>
      <w:r w:rsidRPr="004F79E5">
        <w:t>e</w:t>
      </w:r>
      <w:r w:rsidRPr="004F79E5">
        <w:softHyphen/>
        <w:t xml:space="preserve">skiftet, som direktionen beslutat utge, fattades vid sammanträdet den 18 juni 1999. </w:t>
      </w:r>
    </w:p>
    <w:p w:rsidR="00C83E3C" w:rsidRPr="004F79E5" w:rsidRDefault="00C83E3C">
      <w:pPr>
        <w:pStyle w:val="Normaltindrag"/>
      </w:pPr>
      <w:r w:rsidRPr="004F79E5">
        <w:t xml:space="preserve">Vid sammanträdet den 9 december 1999 beslutade fullmäktige att omvälja vice riksbankschefen Lars Nyberg till en mandatperiod om sex år från januari år 2000. </w:t>
      </w:r>
    </w:p>
    <w:p w:rsidR="00C83E3C" w:rsidRPr="004F79E5" w:rsidRDefault="00C83E3C">
      <w:pPr>
        <w:pStyle w:val="Normaltindrag"/>
      </w:pPr>
      <w:r w:rsidRPr="004F79E5">
        <w:t xml:space="preserve">Valet grundades bl.a. på en granskning av direktionsledamoten Nybergs utövande av tjänsten, som utfördes av revisionsenheten. </w:t>
      </w:r>
    </w:p>
    <w:p w:rsidR="00C83E3C" w:rsidRPr="004F79E5" w:rsidRDefault="00C83E3C">
      <w:pPr>
        <w:pStyle w:val="Normaltindrag"/>
      </w:pPr>
      <w:r w:rsidRPr="004F79E5">
        <w:t>I fullmäktiges löpande uppföljning av direktionsledamöterna har inte framkommit något som föranlett fullmäktige att rikta någon anmärkning mot deras tjänsteutöv</w:t>
      </w:r>
      <w:r w:rsidRPr="004F79E5">
        <w:softHyphen/>
        <w:t>ning.</w:t>
      </w:r>
    </w:p>
    <w:p w:rsidR="00C83E3C" w:rsidRPr="004F79E5" w:rsidRDefault="00C83E3C">
      <w:pPr>
        <w:pStyle w:val="Brdtext"/>
      </w:pPr>
      <w:r w:rsidRPr="004F79E5">
        <w:t>Beslut i detta ärende har fattats av ordförande Sven Hulterström, vice ordf</w:t>
      </w:r>
      <w:r w:rsidRPr="004F79E5">
        <w:t>ö</w:t>
      </w:r>
      <w:r w:rsidRPr="004F79E5">
        <w:t>r</w:t>
      </w:r>
      <w:r w:rsidRPr="004F79E5">
        <w:softHyphen/>
        <w:t>ande Johan Gernandt samt ledamöterna Marianne Carlström, Jörgen</w:t>
      </w:r>
      <w:r w:rsidRPr="004F79E5">
        <w:br/>
        <w:t>Andersson, Kjell Nordström, Susanne Eberstein, Britt Bohlin, Ingegerd Troed</w:t>
      </w:r>
      <w:r w:rsidRPr="004F79E5">
        <w:t>s</w:t>
      </w:r>
      <w:r w:rsidRPr="004F79E5">
        <w:t xml:space="preserve">son, Peter Egardt, Kenneth Kvist samt Göran Hägglund. </w:t>
      </w:r>
    </w:p>
    <w:p w:rsidR="00C83E3C" w:rsidRPr="004F79E5" w:rsidRDefault="00C83E3C">
      <w:pPr>
        <w:pStyle w:val="Brdtext"/>
      </w:pPr>
      <w:r w:rsidRPr="004F79E5">
        <w:t>Föredragande har varit Henrik Gardholm och Björn Hasselgren.</w:t>
      </w:r>
    </w:p>
    <w:p w:rsidR="00C83E3C" w:rsidRPr="004F79E5" w:rsidRDefault="00C83E3C">
      <w:pPr>
        <w:pStyle w:val="Stockholm"/>
      </w:pPr>
      <w:r w:rsidRPr="004F79E5">
        <w:t>Stockholm den 15 februari 2000</w:t>
      </w:r>
    </w:p>
    <w:p w:rsidR="00C83E3C" w:rsidRPr="004F79E5" w:rsidRDefault="00C83E3C">
      <w:pPr>
        <w:pStyle w:val="Vgnar"/>
      </w:pPr>
      <w:r w:rsidRPr="004F79E5">
        <w:t>På fullmäktiges vägnar</w:t>
      </w:r>
    </w:p>
    <w:p w:rsidR="00C83E3C" w:rsidRPr="004F79E5" w:rsidRDefault="00C83E3C">
      <w:pPr>
        <w:pStyle w:val="Ordfnamn"/>
      </w:pPr>
      <w:r w:rsidRPr="004F79E5">
        <w:t>Sven Hulterström</w:t>
      </w:r>
    </w:p>
    <w:p w:rsidR="00C83E3C" w:rsidRPr="004F79E5" w:rsidRDefault="00C83E3C">
      <w:pPr>
        <w:pStyle w:val="Ordfnamn"/>
      </w:pPr>
      <w:r w:rsidRPr="004F79E5">
        <w:tab/>
      </w:r>
      <w:r w:rsidRPr="004F79E5">
        <w:tab/>
      </w:r>
      <w:r w:rsidRPr="004F79E5">
        <w:tab/>
        <w:t>/Ann-Kristin Johnsson</w:t>
      </w:r>
    </w:p>
    <w:p w:rsidR="00C83E3C" w:rsidRPr="004F79E5" w:rsidRDefault="00C83E3C"/>
    <w:p w:rsidR="00C83E3C" w:rsidRPr="004F79E5" w:rsidRDefault="00C83E3C">
      <w:pPr>
        <w:pStyle w:val="Tryckort"/>
        <w:framePr w:wrap="around"/>
      </w:pPr>
      <w:r w:rsidRPr="004F79E5">
        <w:t>Elanders Gotab, Stockholm  2000</w:t>
      </w:r>
    </w:p>
    <w:p w:rsidR="00C83E3C" w:rsidRPr="004F79E5" w:rsidRDefault="00C83E3C">
      <w:pPr>
        <w:pStyle w:val="Normaltindrag"/>
      </w:pPr>
    </w:p>
    <w:sectPr w:rsidR="00C83E3C" w:rsidRPr="004F79E5">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E3C" w:rsidRPr="004F79E5" w:rsidRDefault="00C83E3C">
      <w:pPr>
        <w:spacing w:before="0" w:line="240" w:lineRule="auto"/>
      </w:pPr>
      <w:r w:rsidRPr="004F79E5">
        <w:separator/>
      </w:r>
    </w:p>
  </w:endnote>
  <w:endnote w:type="continuationSeparator" w:id="0">
    <w:p w:rsidR="00C83E3C" w:rsidRPr="004F79E5" w:rsidRDefault="00C83E3C">
      <w:pPr>
        <w:spacing w:before="0" w:line="240" w:lineRule="auto"/>
      </w:pPr>
      <w:r w:rsidRPr="004F79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E3C" w:rsidRPr="004F79E5" w:rsidRDefault="00C83E3C">
    <w:pPr>
      <w:pStyle w:val="SidfotH"/>
      <w:framePr w:wrap="around"/>
    </w:pPr>
    <w:r w:rsidRPr="004F79E5">
      <w:fldChar w:fldCharType="begin" w:fldLock="1"/>
    </w:r>
    <w:r w:rsidRPr="004F79E5">
      <w:instrText xml:space="preserve"> PAGE </w:instrText>
    </w:r>
    <w:r w:rsidRPr="004F79E5">
      <w:fldChar w:fldCharType="separate"/>
    </w:r>
    <w:r w:rsidRPr="004F79E5">
      <w:t>1</w:t>
    </w:r>
    <w:r w:rsidRPr="004F79E5">
      <w:fldChar w:fldCharType="end"/>
    </w:r>
  </w:p>
  <w:p w:rsidR="00C83E3C" w:rsidRPr="004F79E5" w:rsidRDefault="00C83E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E3C" w:rsidRPr="004F79E5" w:rsidRDefault="00C83E3C">
      <w:pPr>
        <w:pStyle w:val="Sidfot"/>
      </w:pPr>
    </w:p>
  </w:footnote>
  <w:footnote w:type="continuationSeparator" w:id="0">
    <w:p w:rsidR="00C83E3C" w:rsidRPr="004F79E5" w:rsidRDefault="00C83E3C">
      <w:pPr>
        <w:spacing w:before="0" w:line="240" w:lineRule="auto"/>
      </w:pPr>
      <w:r w:rsidRPr="004F79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E3C" w:rsidRPr="004F79E5" w:rsidRDefault="00C83E3C">
    <w:pPr>
      <w:pStyle w:val="SidhuvudKant"/>
      <w:framePr w:w="1758" w:h="2744" w:hRule="exact" w:wrap="around" w:vAnchor="page" w:hAnchor="page" w:x="7372" w:y="568" w:anchorLock="0"/>
    </w:pPr>
  </w:p>
  <w:p w:rsidR="00C83E3C" w:rsidRPr="004F79E5" w:rsidRDefault="00C83E3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9900"/>
  </w:docVars>
  <w:rsids>
    <w:rsidRoot w:val="0072430B"/>
    <w:rsid w:val="004F79E5"/>
    <w:rsid w:val="0072430B"/>
    <w:rsid w:val="00C83E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7241DA-753B-4F4C-880C-BE224400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1111</Words>
  <Characters>7294</Characters>
  <Application>Microsoft Office Word</Application>
  <DocSecurity>4</DocSecurity>
  <Lines>151</Lines>
  <Paragraphs>54</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Förslag till riksdagen</vt:lpstr>
      <vt:lpstr>    Förslag till disposition av Riksbankens vinst för räkenskapsåret 1999</vt:lpstr>
    </vt:vector>
  </TitlesOfParts>
  <Company>Riksdagen</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2000-02-23T16:45:00Z</cp:lastPrinted>
  <dcterms:created xsi:type="dcterms:W3CDTF">2025-12-15T22:09:00Z</dcterms:created>
  <dcterms:modified xsi:type="dcterms:W3CDTF">2025-12-15T22:09:00Z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RB</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