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D23" w:rsidRPr="003718A6" w:rsidRDefault="00A93D23">
      <w:pPr>
        <w:pStyle w:val="Hemstlrubrik"/>
        <w:shd w:val="clear" w:color="000000" w:fill="auto"/>
      </w:pPr>
      <w:r w:rsidRPr="003718A6">
        <w:t>Förslag till riksdagsbeslut</w:t>
      </w:r>
    </w:p>
    <w:p w:rsidR="00735F33" w:rsidRPr="003718A6" w:rsidRDefault="00735F33">
      <w:pPr>
        <w:pStyle w:val="Hemstlatt"/>
        <w:numPr>
          <w:ilvl w:val="0"/>
          <w:numId w:val="1"/>
        </w:numPr>
        <w:shd w:val="clear" w:color="000000" w:fill="auto"/>
      </w:pPr>
      <w:r w:rsidRPr="003718A6">
        <w:t>Riksdagen tillkännager för regeringen som sin mening vad i motionen anförs om att Sverige bör upphöra med krigsm</w:t>
      </w:r>
      <w:r w:rsidRPr="003718A6">
        <w:t>a</w:t>
      </w:r>
      <w:r w:rsidRPr="003718A6">
        <w:t>terielexport till de krigförande länder som har trupper i Irak.</w:t>
      </w:r>
    </w:p>
    <w:p w:rsidR="00735F33" w:rsidRPr="003718A6" w:rsidRDefault="00735F33">
      <w:pPr>
        <w:pStyle w:val="Hemstlatt"/>
        <w:numPr>
          <w:ilvl w:val="0"/>
          <w:numId w:val="1"/>
        </w:numPr>
        <w:shd w:val="clear" w:color="000000" w:fill="auto"/>
      </w:pPr>
      <w:r w:rsidRPr="003718A6">
        <w:t>Riksdagen tillkännager för regeringen som sin mening vad i motionen anförs om att det i det svenska regelverket för krigsmateriele</w:t>
      </w:r>
      <w:r w:rsidRPr="003718A6">
        <w:t>x</w:t>
      </w:r>
      <w:r w:rsidRPr="003718A6">
        <w:t>port klart ska anges att målen och principerna för den svenska utrikesp</w:t>
      </w:r>
      <w:r w:rsidRPr="003718A6">
        <w:t>o</w:t>
      </w:r>
      <w:r w:rsidRPr="003718A6">
        <w:t>litiken bör bestå i att Sverige ska värna om folkrätt och mänskliga rätti</w:t>
      </w:r>
      <w:r w:rsidRPr="003718A6">
        <w:t>g</w:t>
      </w:r>
      <w:r w:rsidRPr="003718A6">
        <w:t>heter.</w:t>
      </w:r>
    </w:p>
    <w:p w:rsidR="00735F33" w:rsidRPr="003718A6" w:rsidRDefault="00735F33">
      <w:pPr>
        <w:pStyle w:val="Hemstlatt"/>
        <w:numPr>
          <w:ilvl w:val="0"/>
          <w:numId w:val="1"/>
        </w:numPr>
        <w:shd w:val="clear" w:color="000000" w:fill="auto"/>
      </w:pPr>
      <w:r w:rsidRPr="003718A6">
        <w:t>Riksdagen tillkännager för regeringen som sin mening vad i motionen anförs om att regeringen bör tillsätta en ny utredning om den svenska krigsmaterielexporten som får till uppgift att utveckla restrikti</w:t>
      </w:r>
      <w:r w:rsidRPr="003718A6">
        <w:t>o</w:t>
      </w:r>
      <w:r w:rsidRPr="003718A6">
        <w:t>nerna så att möjligheterna att exportera krigsmateriel till krigförande, i</w:t>
      </w:r>
      <w:r w:rsidRPr="003718A6">
        <w:t>n</w:t>
      </w:r>
      <w:r w:rsidRPr="003718A6">
        <w:t>ternationella konflikthärdar och stater där MR-brott begås up</w:t>
      </w:r>
      <w:r w:rsidRPr="003718A6">
        <w:t>p</w:t>
      </w:r>
      <w:r w:rsidRPr="003718A6">
        <w:t>hör.</w:t>
      </w:r>
    </w:p>
    <w:p w:rsidR="00735F33" w:rsidRPr="003718A6" w:rsidRDefault="00735F33">
      <w:pPr>
        <w:pStyle w:val="Hemstlatt"/>
        <w:numPr>
          <w:ilvl w:val="0"/>
          <w:numId w:val="1"/>
        </w:numPr>
        <w:shd w:val="clear" w:color="000000" w:fill="auto"/>
      </w:pPr>
      <w:r w:rsidRPr="003718A6">
        <w:t>Riksdagen tillkännager för regeringen som sin mening vad i motionen anförs om att en ny utredning om den svenska krigsmaterie</w:t>
      </w:r>
      <w:r w:rsidRPr="003718A6">
        <w:t>l</w:t>
      </w:r>
      <w:r w:rsidRPr="003718A6">
        <w:t>exporten bör betona vikten av en restriktiv krigsmaterielexport, MR-perspektiv och internationella säkerhetspolitiska aspekter i stället för att betona de näringspolitiska aspekterna.</w:t>
      </w:r>
    </w:p>
    <w:p w:rsidR="00735F33" w:rsidRPr="003718A6" w:rsidRDefault="00735F33">
      <w:pPr>
        <w:pStyle w:val="Hemstlatt"/>
        <w:numPr>
          <w:ilvl w:val="0"/>
          <w:numId w:val="1"/>
        </w:numPr>
        <w:shd w:val="clear" w:color="000000" w:fill="auto"/>
      </w:pPr>
      <w:r w:rsidRPr="003718A6">
        <w:t xml:space="preserve">Riksdagen tillkännager för regeringen som sin mening vad i motionen anförs om </w:t>
      </w:r>
      <w:r w:rsidRPr="003718A6">
        <w:t>att det i direktiven till en ny utredning om krigsm</w:t>
      </w:r>
      <w:r w:rsidRPr="003718A6">
        <w:t>a</w:t>
      </w:r>
      <w:r w:rsidRPr="003718A6">
        <w:t>terielexporten ska ingå ett demokratikriterium när det gäller restrikti</w:t>
      </w:r>
      <w:r w:rsidRPr="003718A6">
        <w:t>o</w:t>
      </w:r>
      <w:r w:rsidRPr="003718A6">
        <w:t>nerna för den svenska krigsmaterielexporten.</w:t>
      </w:r>
    </w:p>
    <w:p w:rsidR="00735F33" w:rsidRPr="003718A6" w:rsidRDefault="00735F33">
      <w:pPr>
        <w:pStyle w:val="Hemstlatt"/>
        <w:numPr>
          <w:ilvl w:val="0"/>
          <w:numId w:val="1"/>
        </w:numPr>
        <w:shd w:val="clear" w:color="000000" w:fill="auto"/>
      </w:pPr>
      <w:r w:rsidRPr="003718A6">
        <w:t>Riksdagen tillkännager för regeringen som sin mening vad i motionen anförs om att bestämmelserna för följdleveranser för svensk krigsmaterielexport bör bli mer restriktiva och att en tidsgräns för hur länge dessa kan pågå måste sättas.</w:t>
      </w:r>
    </w:p>
    <w:p w:rsidR="00735F33" w:rsidRPr="003718A6" w:rsidRDefault="00735F33">
      <w:pPr>
        <w:pStyle w:val="Hemstlatt"/>
        <w:numPr>
          <w:ilvl w:val="0"/>
          <w:numId w:val="1"/>
        </w:numPr>
        <w:shd w:val="clear" w:color="000000" w:fill="auto"/>
      </w:pPr>
      <w:r w:rsidRPr="003718A6">
        <w:lastRenderedPageBreak/>
        <w:t>Riksdagen tillkännager för regeringen som sin mening vad i motionen anförs om att Sverige i EU bör driva en politik om ökad r</w:t>
      </w:r>
      <w:r w:rsidRPr="003718A6">
        <w:t>e</w:t>
      </w:r>
      <w:r w:rsidRPr="003718A6">
        <w:t>striktivitet när det gäller följdleveranser av krigsmateriel.</w:t>
      </w:r>
    </w:p>
    <w:p w:rsidR="00735F33" w:rsidRPr="003718A6" w:rsidRDefault="00735F33">
      <w:pPr>
        <w:pStyle w:val="Hemstlatt"/>
        <w:numPr>
          <w:ilvl w:val="0"/>
          <w:numId w:val="1"/>
        </w:numPr>
        <w:shd w:val="clear" w:color="000000" w:fill="auto"/>
      </w:pPr>
      <w:r w:rsidRPr="003718A6">
        <w:t>Riksdagen tillkännager för regeringen som sin mening vad i motionen anförs om att ett regelverk för den svenska krigsmaterielimpo</w:t>
      </w:r>
      <w:r w:rsidRPr="003718A6">
        <w:t>r</w:t>
      </w:r>
      <w:r w:rsidRPr="003718A6">
        <w:t>ten bör utarbetas.</w:t>
      </w:r>
    </w:p>
    <w:p w:rsidR="00735F33" w:rsidRPr="003718A6" w:rsidRDefault="00735F33">
      <w:pPr>
        <w:pStyle w:val="Hemstlatt"/>
        <w:numPr>
          <w:ilvl w:val="0"/>
          <w:numId w:val="1"/>
        </w:numPr>
        <w:shd w:val="clear" w:color="000000" w:fill="auto"/>
      </w:pPr>
      <w:r w:rsidRPr="003718A6">
        <w:t>Riksdagen tillkännager för regeringen som sin mening vad i motionen anförs om att ett regelverk för uthyrning av krigsmateriel till andra stater bör utarbetas.</w:t>
      </w:r>
    </w:p>
    <w:p w:rsidR="00735F33" w:rsidRPr="003718A6" w:rsidRDefault="00735F33">
      <w:pPr>
        <w:pStyle w:val="Hemstlatt"/>
        <w:numPr>
          <w:ilvl w:val="0"/>
          <w:numId w:val="1"/>
        </w:numPr>
        <w:shd w:val="clear" w:color="000000" w:fill="auto"/>
      </w:pPr>
      <w:r w:rsidRPr="003718A6">
        <w:t>Riksdagen tillkännager för regeringen som sin mening vad i motionen anförs om att uppgifter om den svenska krigsmaterielimporten samt uthyrningen av svensk krigsmateriel i fortsättningen bör ingå i r</w:t>
      </w:r>
      <w:r w:rsidRPr="003718A6">
        <w:t>e</w:t>
      </w:r>
      <w:r w:rsidRPr="003718A6">
        <w:t>geringens årliga skrivelse till riksdagen om den svenska handeln med strategiska produkter.</w:t>
      </w:r>
    </w:p>
    <w:p w:rsidR="00A93D23" w:rsidRPr="003718A6" w:rsidRDefault="00A93D23">
      <w:pPr>
        <w:pStyle w:val="Rubrik1"/>
        <w:shd w:val="clear" w:color="000000" w:fill="auto"/>
      </w:pPr>
      <w:r w:rsidRPr="003718A6">
        <w:t>Sverige unikt i världen</w:t>
      </w:r>
    </w:p>
    <w:p w:rsidR="00A93D23" w:rsidRPr="003718A6" w:rsidRDefault="00A93D23">
      <w:pPr>
        <w:shd w:val="clear" w:color="000000" w:fill="auto"/>
      </w:pPr>
      <w:r w:rsidRPr="003718A6">
        <w:t>Sverige anses vara unikt i världen. Sverige har stått utanför två världskrig trots att båda världskrigen rasade utanför landets gränser. Sverige har inte varit</w:t>
      </w:r>
      <w:r w:rsidR="00241840" w:rsidRPr="003718A6">
        <w:t xml:space="preserve"> i</w:t>
      </w:r>
      <w:r w:rsidRPr="003718A6">
        <w:t xml:space="preserve"> krig på nästan 200 år. Sverige har rykte om sig att vara ett fredsälska</w:t>
      </w:r>
      <w:r w:rsidRPr="003718A6">
        <w:t>n</w:t>
      </w:r>
      <w:r w:rsidRPr="003718A6">
        <w:t>de land med en fredsälskande befolkning.</w:t>
      </w:r>
    </w:p>
    <w:p w:rsidR="00A93D23" w:rsidRPr="003718A6" w:rsidRDefault="00A93D23">
      <w:pPr>
        <w:pStyle w:val="Normaltindrag"/>
        <w:shd w:val="clear" w:color="000000" w:fill="auto"/>
      </w:pPr>
      <w:r w:rsidRPr="003718A6">
        <w:t>Sverige anses vara ett av de länder som under sin efterkrigshistoria och under det kalla kriget bidragit till att dämpa och bilägga konflikter eller fö</w:t>
      </w:r>
      <w:r w:rsidRPr="003718A6">
        <w:t>r</w:t>
      </w:r>
      <w:r w:rsidRPr="003718A6">
        <w:t>hindra dem från att övergå i väpnade konfrontationer.</w:t>
      </w:r>
      <w:r w:rsidR="00CD64CB" w:rsidRPr="003718A6">
        <w:t xml:space="preserve"> </w:t>
      </w:r>
      <w:r w:rsidRPr="003718A6">
        <w:t>Men Sverige var under det kalla kriget en framträdande vapenexportör. Vapenexporten var, förklar</w:t>
      </w:r>
      <w:r w:rsidRPr="003718A6">
        <w:t>a</w:t>
      </w:r>
      <w:r w:rsidRPr="003718A6">
        <w:t>de regeringarna under det kalla kriget, nödvändig för att Sverige skulle kunna finansiera en neutral stats militära uppgifter. Man ville undvika att dras in i någon av det kalla krigets militärpakter. En neutral stat skulle rusta sig själv</w:t>
      </w:r>
      <w:r w:rsidR="00241840" w:rsidRPr="003718A6">
        <w:t>t</w:t>
      </w:r>
      <w:r w:rsidRPr="003718A6">
        <w:t xml:space="preserve"> – inte genom import av krigsmateriel från andra. Som neutralt land kappru</w:t>
      </w:r>
      <w:r w:rsidRPr="003718A6">
        <w:t>s</w:t>
      </w:r>
      <w:r w:rsidRPr="003718A6">
        <w:t xml:space="preserve">tade alltså även Sverige, fast vid sidan av den stora kapplöpningen mellan stormakterna USA och Sovjetunionen, vid sidan av Warszawapakten och </w:t>
      </w:r>
      <w:r w:rsidR="00ED258A" w:rsidRPr="003718A6">
        <w:t>Nato</w:t>
      </w:r>
      <w:r w:rsidRPr="003718A6">
        <w:t>.</w:t>
      </w:r>
    </w:p>
    <w:p w:rsidR="00A93D23" w:rsidRPr="003718A6" w:rsidRDefault="00A93D23">
      <w:pPr>
        <w:pStyle w:val="Normaltindrag"/>
        <w:shd w:val="clear" w:color="000000" w:fill="auto"/>
      </w:pPr>
      <w:r w:rsidRPr="003718A6">
        <w:t xml:space="preserve">När det kalla kriget var slut och Sovjetunionen upplösts inträdde </w:t>
      </w:r>
      <w:r w:rsidR="00CD64CB" w:rsidRPr="003718A6">
        <w:t>e</w:t>
      </w:r>
      <w:r w:rsidRPr="003718A6">
        <w:t>n kort period då rustningarna avtog. Möjligheterna till en mänskligare världsordning med minskade klyftor mellan och inom länderna tycktes för ett ögonblick öka. De enorma resurser som gått till oerhörda rustningar skulle kunna a</w:t>
      </w:r>
      <w:r w:rsidRPr="003718A6">
        <w:t>n</w:t>
      </w:r>
      <w:r w:rsidRPr="003718A6">
        <w:t>vändas för andra ändamål. Kvar fanns ju endast en stormakt – USA. Storma</w:t>
      </w:r>
      <w:r w:rsidRPr="003718A6">
        <w:t>k</w:t>
      </w:r>
      <w:r w:rsidRPr="003718A6">
        <w:t>ten USA:s stora fiende Sovjetunionen var borta.</w:t>
      </w:r>
    </w:p>
    <w:p w:rsidR="00A93D23" w:rsidRPr="003718A6" w:rsidRDefault="00A93D23">
      <w:pPr>
        <w:pStyle w:val="Normaltindrag"/>
        <w:shd w:val="clear" w:color="000000" w:fill="auto"/>
      </w:pPr>
      <w:r w:rsidRPr="003718A6">
        <w:t>I</w:t>
      </w:r>
      <w:r w:rsidR="00241840" w:rsidRPr="003718A6">
        <w:t xml:space="preserve"> </w:t>
      </w:r>
      <w:r w:rsidRPr="003718A6">
        <w:t>dag är situationen dock en annan. USA har fått nya fiender. Nya ko</w:t>
      </w:r>
      <w:r w:rsidRPr="003718A6">
        <w:t>n</w:t>
      </w:r>
      <w:r w:rsidRPr="003718A6">
        <w:t>flikthärdar har uppstått.</w:t>
      </w:r>
    </w:p>
    <w:p w:rsidR="00A93D23" w:rsidRPr="003718A6" w:rsidRDefault="00A93D23">
      <w:pPr>
        <w:pStyle w:val="Normaltindrag"/>
        <w:shd w:val="clear" w:color="000000" w:fill="auto"/>
      </w:pPr>
      <w:r w:rsidRPr="003718A6">
        <w:t>Samtidigt som FN proklamerar som mål att man skall halvera fattigdomen till 2015 ökar rustningarna. Den svenska riksdagen</w:t>
      </w:r>
      <w:r w:rsidR="00AE7C03" w:rsidRPr="003718A6">
        <w:t>,</w:t>
      </w:r>
      <w:r w:rsidRPr="003718A6">
        <w:t xml:space="preserve"> som för några år sedan antog proposition 2002/03:122 </w:t>
      </w:r>
      <w:r w:rsidR="00AE7C03" w:rsidRPr="003718A6">
        <w:t xml:space="preserve">Sveriges </w:t>
      </w:r>
      <w:r w:rsidR="00241840" w:rsidRPr="003718A6">
        <w:t>politik för global utvec</w:t>
      </w:r>
      <w:r w:rsidRPr="003718A6">
        <w:t>kling som gick ut på att man skulle öka samstämmigheten mellan olika politikområden</w:t>
      </w:r>
      <w:r w:rsidR="00AE7C03" w:rsidRPr="003718A6">
        <w:t>,</w:t>
      </w:r>
      <w:r w:rsidRPr="003718A6">
        <w:t xml:space="preserve"> började samtidigt öka sin krigsmaterielexport.</w:t>
      </w:r>
    </w:p>
    <w:p w:rsidR="00A93D23" w:rsidRPr="003718A6" w:rsidRDefault="00A93D23">
      <w:pPr>
        <w:pStyle w:val="Rubrik1"/>
        <w:shd w:val="clear" w:color="000000" w:fill="auto"/>
      </w:pPr>
      <w:r w:rsidRPr="003718A6">
        <w:t>Svenskt krigsmaterielsamarbete</w:t>
      </w:r>
    </w:p>
    <w:p w:rsidR="00A93D23" w:rsidRPr="003718A6" w:rsidRDefault="001F3549">
      <w:pPr>
        <w:shd w:val="clear" w:color="000000" w:fill="auto"/>
      </w:pPr>
      <w:r w:rsidRPr="003718A6">
        <w:t xml:space="preserve">Under riksdagsåret </w:t>
      </w:r>
      <w:r w:rsidR="00A93D23" w:rsidRPr="003718A6">
        <w:t>2000/01 lade den svenska regeringen en proposition om ett ramavtal om åtgärder för att underlätta omstrukturering och drift av den europeiska försvarsindustrin. Det var ett</w:t>
      </w:r>
      <w:r w:rsidR="00241840" w:rsidRPr="003718A6">
        <w:t xml:space="preserve"> avtal som ingicks med fem Nato</w:t>
      </w:r>
      <w:r w:rsidR="00A93D23" w:rsidRPr="003718A6">
        <w:t>lä</w:t>
      </w:r>
      <w:r w:rsidR="00A93D23" w:rsidRPr="003718A6">
        <w:t>n</w:t>
      </w:r>
      <w:r w:rsidR="00A93D23" w:rsidRPr="003718A6">
        <w:t>der</w:t>
      </w:r>
      <w:r w:rsidR="00241840" w:rsidRPr="003718A6">
        <w:t xml:space="preserve"> – </w:t>
      </w:r>
      <w:r w:rsidR="00A93D23" w:rsidRPr="003718A6">
        <w:t>Frankrike, Italien, Spanien, Storbritannien och Tyskland.</w:t>
      </w:r>
    </w:p>
    <w:p w:rsidR="00A93D23" w:rsidRPr="003718A6" w:rsidRDefault="00A93D23">
      <w:pPr>
        <w:pStyle w:val="Normaltindrag"/>
        <w:shd w:val="clear" w:color="000000" w:fill="auto"/>
      </w:pPr>
      <w:r w:rsidRPr="003718A6">
        <w:t xml:space="preserve">Syftet med avtalet var </w:t>
      </w:r>
      <w:r w:rsidR="00C57C05" w:rsidRPr="003718A6">
        <w:t xml:space="preserve">att </w:t>
      </w:r>
      <w:r w:rsidRPr="003718A6">
        <w:t xml:space="preserve">förhindra att </w:t>
      </w:r>
      <w:r w:rsidR="00C57C05" w:rsidRPr="003718A6">
        <w:t>Sverige</w:t>
      </w:r>
      <w:r w:rsidRPr="003718A6">
        <w:t xml:space="preserve"> förlorade i konkurrenskraft när det gällde krigsmaterielexporten</w:t>
      </w:r>
      <w:r w:rsidR="00C57C05" w:rsidRPr="003718A6">
        <w:t>. Motivet för att ingå avtalet var alltså främst</w:t>
      </w:r>
      <w:r w:rsidRPr="003718A6">
        <w:t xml:space="preserve"> att bevara och </w:t>
      </w:r>
      <w:r w:rsidR="00C57C05" w:rsidRPr="003718A6">
        <w:t>helst f</w:t>
      </w:r>
      <w:r w:rsidRPr="003718A6">
        <w:t>inna nya exportmarknader</w:t>
      </w:r>
      <w:r w:rsidR="00C57C05" w:rsidRPr="003718A6">
        <w:t xml:space="preserve"> och vinna nya </w:t>
      </w:r>
      <w:r w:rsidR="007A4450" w:rsidRPr="003718A6">
        <w:t>mar</w:t>
      </w:r>
      <w:r w:rsidR="007A4450" w:rsidRPr="003718A6">
        <w:t>k</w:t>
      </w:r>
      <w:r w:rsidR="007A4450" w:rsidRPr="003718A6">
        <w:t>nadsandelar</w:t>
      </w:r>
      <w:r w:rsidRPr="003718A6">
        <w:t xml:space="preserve">. </w:t>
      </w:r>
      <w:r w:rsidR="007F3C67" w:rsidRPr="003718A6">
        <w:t>Sveriges officiella ståndpunkt var – och är fortfarande – att e</w:t>
      </w:r>
      <w:r w:rsidR="007F3C67" w:rsidRPr="003718A6">
        <w:t>x</w:t>
      </w:r>
      <w:r w:rsidR="007F3C67" w:rsidRPr="003718A6">
        <w:t>port på krigsmateriel inte skall motiveras utifrån andra än försvarspolitiska utgångspunkter – inte från sysselsättnings- eller näringspolitiska utgång</w:t>
      </w:r>
      <w:r w:rsidR="007F3C67" w:rsidRPr="003718A6">
        <w:t>s</w:t>
      </w:r>
      <w:r w:rsidR="007F3C67" w:rsidRPr="003718A6">
        <w:t>punkter.</w:t>
      </w:r>
    </w:p>
    <w:p w:rsidR="007F3C67" w:rsidRPr="003718A6" w:rsidRDefault="007F3C67">
      <w:pPr>
        <w:pStyle w:val="Normaltindrag"/>
        <w:shd w:val="clear" w:color="000000" w:fill="auto"/>
      </w:pPr>
      <w:r w:rsidRPr="003718A6">
        <w:t>Genom att ingå det nya avtalet tenderade dock Sverige att i praktiken b</w:t>
      </w:r>
      <w:r w:rsidRPr="003718A6">
        <w:t>e</w:t>
      </w:r>
      <w:r w:rsidRPr="003718A6">
        <w:t xml:space="preserve">handla krigsmateriel som vilken vara som helst när det gällde kampen om exportmarknader och marknadsandelar. Det blev viktigare att tjäna pengar på </w:t>
      </w:r>
      <w:r w:rsidR="002A1BFB" w:rsidRPr="003718A6">
        <w:t>krigsmaterielexporten än att se till om den verkligen var nödvändig för Sver</w:t>
      </w:r>
      <w:r w:rsidR="002A1BFB" w:rsidRPr="003718A6">
        <w:t>i</w:t>
      </w:r>
      <w:r w:rsidR="002A1BFB" w:rsidRPr="003718A6">
        <w:t xml:space="preserve">ges försvar eller att se till </w:t>
      </w:r>
      <w:r w:rsidR="00F31733" w:rsidRPr="003718A6">
        <w:t xml:space="preserve">de </w:t>
      </w:r>
      <w:r w:rsidR="002A1BFB" w:rsidRPr="003718A6">
        <w:t>etiska aspekter</w:t>
      </w:r>
      <w:r w:rsidR="00F31733" w:rsidRPr="003718A6">
        <w:t>na</w:t>
      </w:r>
      <w:r w:rsidR="002A1BFB" w:rsidRPr="003718A6">
        <w:t xml:space="preserve"> av krigsmaterielexporten</w:t>
      </w:r>
      <w:r w:rsidR="007A4450" w:rsidRPr="003718A6">
        <w:t>.</w:t>
      </w:r>
    </w:p>
    <w:p w:rsidR="00A93D23" w:rsidRPr="003718A6" w:rsidRDefault="00A93D23">
      <w:pPr>
        <w:pStyle w:val="Normaltindrag"/>
        <w:shd w:val="clear" w:color="000000" w:fill="auto"/>
      </w:pPr>
      <w:r w:rsidRPr="003718A6">
        <w:t>Avtalet stod visserligen i strid med vad OSSE:s parlamentariska försa</w:t>
      </w:r>
      <w:r w:rsidRPr="003718A6">
        <w:t>m</w:t>
      </w:r>
      <w:r w:rsidRPr="003718A6">
        <w:t xml:space="preserve">ling sagt </w:t>
      </w:r>
      <w:r w:rsidR="004C1CB0" w:rsidRPr="003718A6">
        <w:t xml:space="preserve">ett halvår dessförinnan, den </w:t>
      </w:r>
      <w:r w:rsidR="00834565" w:rsidRPr="003718A6">
        <w:t>10 juli</w:t>
      </w:r>
      <w:r w:rsidR="008B5F55" w:rsidRPr="003718A6">
        <w:t>, och d</w:t>
      </w:r>
      <w:r w:rsidR="00834565" w:rsidRPr="003718A6">
        <w:t xml:space="preserve">är </w:t>
      </w:r>
      <w:r w:rsidRPr="003718A6">
        <w:t>k</w:t>
      </w:r>
      <w:r w:rsidR="008D0BC0" w:rsidRPr="003718A6">
        <w:t>unde</w:t>
      </w:r>
      <w:r w:rsidRPr="003718A6">
        <w:t xml:space="preserve"> </w:t>
      </w:r>
      <w:r w:rsidR="00834565" w:rsidRPr="003718A6">
        <w:t xml:space="preserve">man </w:t>
      </w:r>
      <w:r w:rsidRPr="003718A6">
        <w:t>läsa att me</w:t>
      </w:r>
      <w:r w:rsidRPr="003718A6">
        <w:t>d</w:t>
      </w:r>
      <w:r w:rsidRPr="003718A6">
        <w:t>lemsländerna ”uppmanar OSSE-staterna att begränsa en politik som underlä</w:t>
      </w:r>
      <w:r w:rsidRPr="003718A6">
        <w:t>t</w:t>
      </w:r>
      <w:r w:rsidRPr="003718A6">
        <w:t>tar krigsmaterielexport och den aggressiva marknadsföring av konventionella vapen som följer av en sådan”</w:t>
      </w:r>
      <w:r w:rsidR="00241840" w:rsidRPr="003718A6">
        <w:t>.</w:t>
      </w:r>
      <w:r w:rsidRPr="003718A6">
        <w:t xml:space="preserve"> </w:t>
      </w:r>
      <w:r w:rsidR="00241840" w:rsidRPr="003718A6">
        <w:t>(”</w:t>
      </w:r>
      <w:r w:rsidRPr="003718A6">
        <w:t>Urges the OSSE participating States to limit policies which subsidize arms export and the resulting aggressive marke</w:t>
      </w:r>
      <w:r w:rsidR="007F163F" w:rsidRPr="003718A6">
        <w:t>ting of conventional weapons.”). M</w:t>
      </w:r>
      <w:r w:rsidRPr="003718A6">
        <w:t>en för de länder som ingick ramavtalet om att underlätta en omstrukturering av den europeiska försvarsindustrin hade u</w:t>
      </w:r>
      <w:r w:rsidRPr="003718A6">
        <w:t>p</w:t>
      </w:r>
      <w:r w:rsidRPr="003718A6">
        <w:t>penbarligen OSSE-deklarationen ingen som helst betydelse.</w:t>
      </w:r>
    </w:p>
    <w:p w:rsidR="00A93D23" w:rsidRPr="003718A6" w:rsidRDefault="00A93D23">
      <w:pPr>
        <w:pStyle w:val="Normaltindrag"/>
        <w:shd w:val="clear" w:color="000000" w:fill="auto"/>
      </w:pPr>
      <w:r w:rsidRPr="003718A6">
        <w:t>Följande år fortsatte Sverige att utveckla sitt internationella samarbete när det gällde krigsmaterielproduktion och krigsmaterielexport med att ingå ett likartat avtal med de nordiska länderna (Danmark, Finland och Norge). Det svenska krigsmaterielsamarbetet kom alltså att inkludera ytterligare två Nat</w:t>
      </w:r>
      <w:r w:rsidRPr="003718A6">
        <w:t>o</w:t>
      </w:r>
      <w:r w:rsidRPr="003718A6">
        <w:t>länder.</w:t>
      </w:r>
    </w:p>
    <w:p w:rsidR="00241840" w:rsidRPr="003718A6" w:rsidRDefault="00A93D23">
      <w:pPr>
        <w:pStyle w:val="Normaltindrag"/>
        <w:shd w:val="clear" w:color="000000" w:fill="auto"/>
        <w:rPr>
          <w:i/>
        </w:rPr>
      </w:pPr>
      <w:r w:rsidRPr="003718A6">
        <w:t xml:space="preserve">I sina slutord skriver man i </w:t>
      </w:r>
      <w:r w:rsidR="00572E92" w:rsidRPr="003718A6">
        <w:t>bilaga 2,</w:t>
      </w:r>
      <w:r w:rsidRPr="003718A6">
        <w:rPr>
          <w:i/>
        </w:rPr>
        <w:t xml:space="preserve"> </w:t>
      </w:r>
      <w:r w:rsidRPr="003718A6">
        <w:t xml:space="preserve">Inspektionen för strategiska produkter om tendenser i den svenska och internationella exportkontrollen, </w:t>
      </w:r>
      <w:r w:rsidR="00572E92" w:rsidRPr="003718A6">
        <w:t>att</w:t>
      </w:r>
      <w:r w:rsidR="009D2014" w:rsidRPr="003718A6">
        <w:t xml:space="preserve"> </w:t>
      </w:r>
    </w:p>
    <w:p w:rsidR="00A93D23" w:rsidRPr="003718A6" w:rsidRDefault="00A93D23">
      <w:pPr>
        <w:pStyle w:val="Citat"/>
        <w:shd w:val="clear" w:color="000000" w:fill="auto"/>
      </w:pPr>
      <w:r w:rsidRPr="003718A6">
        <w:t>Det är tack vare denna kompetens Sverige har möjlighet a</w:t>
      </w:r>
      <w:r w:rsidR="00262D89" w:rsidRPr="003718A6">
        <w:t>t</w:t>
      </w:r>
      <w:r w:rsidRPr="003718A6">
        <w:t>t genom export byta egen spetsteknologi mot sådan teknologi vi själva inte kan utveckla. Detta leder till ömsesidiga beroenden – ett perspektiv som blir väsentligt också i exportkontrollen.</w:t>
      </w:r>
    </w:p>
    <w:p w:rsidR="00A93D23" w:rsidRPr="003718A6" w:rsidRDefault="00A93D23">
      <w:pPr>
        <w:shd w:val="clear" w:color="000000" w:fill="auto"/>
      </w:pPr>
      <w:r w:rsidRPr="003718A6">
        <w:t xml:space="preserve">Man förklarar även att de länder man avser att samarbeta med ”identifierats av regeringen”. De nämns dock inte vid namn i texten. Man kan undra varför, men </w:t>
      </w:r>
      <w:r w:rsidR="00E21BB8" w:rsidRPr="003718A6">
        <w:t xml:space="preserve">av </w:t>
      </w:r>
      <w:r w:rsidRPr="003718A6">
        <w:t>vad som framgå</w:t>
      </w:r>
      <w:r w:rsidR="00E21BB8" w:rsidRPr="003718A6">
        <w:t>r</w:t>
      </w:r>
      <w:r w:rsidRPr="003718A6">
        <w:t xml:space="preserve"> av ovanstående torde de flesta vara medlemmar av Nato.</w:t>
      </w:r>
    </w:p>
    <w:p w:rsidR="00A93D23" w:rsidRPr="003718A6" w:rsidRDefault="00A93D23">
      <w:pPr>
        <w:pStyle w:val="Rubrik1"/>
        <w:shd w:val="clear" w:color="000000" w:fill="auto"/>
      </w:pPr>
      <w:r w:rsidRPr="003718A6">
        <w:t>Kraftig ökning av krigsmaterielexporten på kort tid</w:t>
      </w:r>
    </w:p>
    <w:p w:rsidR="00A93D23" w:rsidRPr="003718A6" w:rsidRDefault="00A93D23">
      <w:pPr>
        <w:shd w:val="clear" w:color="000000" w:fill="auto"/>
      </w:pPr>
      <w:r w:rsidRPr="003718A6">
        <w:t xml:space="preserve">Under </w:t>
      </w:r>
      <w:r w:rsidR="00241840" w:rsidRPr="003718A6">
        <w:t xml:space="preserve">en </w:t>
      </w:r>
      <w:r w:rsidRPr="003718A6">
        <w:t>lång följd av år hade den svenska krigsmaterielexporten legat kring 3 miljarder</w:t>
      </w:r>
      <w:r w:rsidR="00241840" w:rsidRPr="003718A6">
        <w:t xml:space="preserve"> kronor</w:t>
      </w:r>
      <w:r w:rsidRPr="003718A6">
        <w:t>.</w:t>
      </w:r>
    </w:p>
    <w:p w:rsidR="00A93D23" w:rsidRPr="003718A6" w:rsidRDefault="00437DCA">
      <w:pPr>
        <w:pStyle w:val="Normaltindrag"/>
        <w:shd w:val="clear" w:color="000000" w:fill="auto"/>
      </w:pPr>
      <w:r w:rsidRPr="003718A6">
        <w:t>Fram till och med</w:t>
      </w:r>
      <w:r w:rsidR="00A93D23" w:rsidRPr="003718A6">
        <w:t xml:space="preserve"> 2002 var krigsmaterielexport</w:t>
      </w:r>
      <w:r w:rsidRPr="003718A6">
        <w:t>en</w:t>
      </w:r>
      <w:r w:rsidR="00A93D23" w:rsidRPr="003718A6">
        <w:t xml:space="preserve"> ungefär på samma nivå</w:t>
      </w:r>
      <w:r w:rsidR="008C3996" w:rsidRPr="003718A6">
        <w:t>, men</w:t>
      </w:r>
      <w:r w:rsidRPr="003718A6">
        <w:t xml:space="preserve"> </w:t>
      </w:r>
      <w:r w:rsidR="008C3996" w:rsidRPr="003718A6">
        <w:t>u</w:t>
      </w:r>
      <w:r w:rsidR="00A93D23" w:rsidRPr="003718A6">
        <w:t>nder 2003 steg den kraftig – nästan dubblerades. Därefter kan man avläsa en kontinuerligt och kraftigt uppåtgående trend.</w:t>
      </w:r>
    </w:p>
    <w:p w:rsidR="00C94A13" w:rsidRPr="003718A6" w:rsidRDefault="00C94A13">
      <w:pPr>
        <w:shd w:val="clear" w:color="000000" w:fill="auto"/>
        <w:rPr>
          <w:b/>
        </w:rPr>
      </w:pPr>
      <w:r w:rsidRPr="003718A6">
        <w:rPr>
          <w:b/>
        </w:rPr>
        <w:t>Den svenska krigsmaterielexporten 1993–2006 i miljoner kronor</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2"/>
        <w:gridCol w:w="878"/>
        <w:gridCol w:w="878"/>
        <w:gridCol w:w="878"/>
        <w:gridCol w:w="879"/>
        <w:gridCol w:w="878"/>
        <w:gridCol w:w="891"/>
      </w:tblGrid>
      <w:tr w:rsidR="00F2782D" w:rsidRPr="003718A6" w:rsidTr="00F2782D">
        <w:tc>
          <w:tcPr>
            <w:tcW w:w="644"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1993</w:t>
            </w:r>
          </w:p>
        </w:tc>
        <w:tc>
          <w:tcPr>
            <w:tcW w:w="842"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1994</w:t>
            </w:r>
          </w:p>
        </w:tc>
        <w:tc>
          <w:tcPr>
            <w:tcW w:w="843"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1995</w:t>
            </w:r>
          </w:p>
        </w:tc>
        <w:tc>
          <w:tcPr>
            <w:tcW w:w="843"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1996</w:t>
            </w:r>
          </w:p>
        </w:tc>
        <w:tc>
          <w:tcPr>
            <w:tcW w:w="844"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1997</w:t>
            </w:r>
          </w:p>
        </w:tc>
        <w:tc>
          <w:tcPr>
            <w:tcW w:w="843"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1998</w:t>
            </w:r>
          </w:p>
        </w:tc>
        <w:tc>
          <w:tcPr>
            <w:tcW w:w="855"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1999</w:t>
            </w:r>
          </w:p>
        </w:tc>
      </w:tr>
      <w:tr w:rsidR="00F2782D" w:rsidRPr="003718A6" w:rsidTr="00F2782D">
        <w:tc>
          <w:tcPr>
            <w:tcW w:w="644" w:type="dxa"/>
            <w:tcBorders>
              <w:top w:val="single" w:sz="4" w:space="0" w:color="auto"/>
            </w:tcBorders>
          </w:tcPr>
          <w:p w:rsidR="00F2782D" w:rsidRPr="003718A6" w:rsidRDefault="00F2782D">
            <w:pPr>
              <w:pStyle w:val="Normaltindrag"/>
              <w:shd w:val="clear" w:color="000000" w:fill="auto"/>
              <w:ind w:firstLine="0"/>
              <w:jc w:val="right"/>
              <w:rPr>
                <w:b/>
                <w:i/>
              </w:rPr>
            </w:pPr>
            <w:r w:rsidRPr="003718A6">
              <w:t>2 863</w:t>
            </w:r>
          </w:p>
        </w:tc>
        <w:tc>
          <w:tcPr>
            <w:tcW w:w="842" w:type="dxa"/>
            <w:tcBorders>
              <w:top w:val="single" w:sz="4" w:space="0" w:color="auto"/>
            </w:tcBorders>
          </w:tcPr>
          <w:p w:rsidR="00F2782D" w:rsidRPr="003718A6" w:rsidRDefault="00F2782D">
            <w:pPr>
              <w:pStyle w:val="Normaltindrag"/>
              <w:shd w:val="clear" w:color="000000" w:fill="auto"/>
              <w:ind w:firstLine="0"/>
              <w:jc w:val="right"/>
              <w:rPr>
                <w:b/>
                <w:i/>
              </w:rPr>
            </w:pPr>
            <w:r w:rsidRPr="003718A6">
              <w:t>3 181</w:t>
            </w:r>
          </w:p>
        </w:tc>
        <w:tc>
          <w:tcPr>
            <w:tcW w:w="843" w:type="dxa"/>
            <w:tcBorders>
              <w:top w:val="single" w:sz="4" w:space="0" w:color="auto"/>
            </w:tcBorders>
          </w:tcPr>
          <w:p w:rsidR="00F2782D" w:rsidRPr="003718A6" w:rsidRDefault="00F2782D">
            <w:pPr>
              <w:pStyle w:val="Normaltindrag"/>
              <w:shd w:val="clear" w:color="000000" w:fill="auto"/>
              <w:ind w:firstLine="0"/>
              <w:jc w:val="right"/>
              <w:rPr>
                <w:b/>
                <w:i/>
              </w:rPr>
            </w:pPr>
            <w:r w:rsidRPr="003718A6">
              <w:t>3 313</w:t>
            </w:r>
          </w:p>
        </w:tc>
        <w:tc>
          <w:tcPr>
            <w:tcW w:w="843" w:type="dxa"/>
            <w:tcBorders>
              <w:top w:val="single" w:sz="4" w:space="0" w:color="auto"/>
            </w:tcBorders>
          </w:tcPr>
          <w:p w:rsidR="00F2782D" w:rsidRPr="003718A6" w:rsidRDefault="00F2782D">
            <w:pPr>
              <w:pStyle w:val="Normaltindrag"/>
              <w:shd w:val="clear" w:color="000000" w:fill="auto"/>
              <w:ind w:firstLine="0"/>
              <w:jc w:val="right"/>
              <w:rPr>
                <w:b/>
                <w:i/>
              </w:rPr>
            </w:pPr>
            <w:r w:rsidRPr="003718A6">
              <w:t>3 087</w:t>
            </w:r>
          </w:p>
        </w:tc>
        <w:tc>
          <w:tcPr>
            <w:tcW w:w="844" w:type="dxa"/>
            <w:tcBorders>
              <w:top w:val="single" w:sz="4" w:space="0" w:color="auto"/>
            </w:tcBorders>
          </w:tcPr>
          <w:p w:rsidR="00F2782D" w:rsidRPr="003718A6" w:rsidRDefault="00F2782D">
            <w:pPr>
              <w:pStyle w:val="Normaltindrag"/>
              <w:shd w:val="clear" w:color="000000" w:fill="auto"/>
              <w:ind w:firstLine="0"/>
              <w:jc w:val="right"/>
              <w:rPr>
                <w:b/>
                <w:i/>
              </w:rPr>
            </w:pPr>
            <w:r w:rsidRPr="003718A6">
              <w:t>3 101</w:t>
            </w:r>
          </w:p>
        </w:tc>
        <w:tc>
          <w:tcPr>
            <w:tcW w:w="843" w:type="dxa"/>
            <w:tcBorders>
              <w:top w:val="single" w:sz="4" w:space="0" w:color="auto"/>
            </w:tcBorders>
          </w:tcPr>
          <w:p w:rsidR="00F2782D" w:rsidRPr="003718A6" w:rsidRDefault="00F2782D">
            <w:pPr>
              <w:pStyle w:val="Normaltindrag"/>
              <w:shd w:val="clear" w:color="000000" w:fill="auto"/>
              <w:ind w:firstLine="0"/>
              <w:jc w:val="right"/>
              <w:rPr>
                <w:b/>
                <w:i/>
              </w:rPr>
            </w:pPr>
            <w:r w:rsidRPr="003718A6">
              <w:t>3 514</w:t>
            </w:r>
          </w:p>
        </w:tc>
        <w:tc>
          <w:tcPr>
            <w:tcW w:w="855" w:type="dxa"/>
            <w:tcBorders>
              <w:top w:val="single" w:sz="4" w:space="0" w:color="auto"/>
            </w:tcBorders>
          </w:tcPr>
          <w:p w:rsidR="00F2782D" w:rsidRPr="003718A6" w:rsidRDefault="00F2782D">
            <w:pPr>
              <w:pStyle w:val="Normaltindrag"/>
              <w:shd w:val="clear" w:color="000000" w:fill="auto"/>
              <w:ind w:firstLine="0"/>
              <w:jc w:val="right"/>
              <w:rPr>
                <w:b/>
                <w:i/>
              </w:rPr>
            </w:pPr>
            <w:r w:rsidRPr="003718A6">
              <w:t>3 654</w:t>
            </w:r>
          </w:p>
        </w:tc>
      </w:tr>
      <w:tr w:rsidR="00F2782D" w:rsidRPr="003718A6" w:rsidTr="00F2782D">
        <w:tc>
          <w:tcPr>
            <w:tcW w:w="644"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2000</w:t>
            </w:r>
          </w:p>
        </w:tc>
        <w:tc>
          <w:tcPr>
            <w:tcW w:w="842"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2001</w:t>
            </w:r>
          </w:p>
        </w:tc>
        <w:tc>
          <w:tcPr>
            <w:tcW w:w="843"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2002</w:t>
            </w:r>
          </w:p>
        </w:tc>
        <w:tc>
          <w:tcPr>
            <w:tcW w:w="843"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2003</w:t>
            </w:r>
          </w:p>
        </w:tc>
        <w:tc>
          <w:tcPr>
            <w:tcW w:w="844"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2004</w:t>
            </w:r>
          </w:p>
        </w:tc>
        <w:tc>
          <w:tcPr>
            <w:tcW w:w="843"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2005</w:t>
            </w:r>
          </w:p>
        </w:tc>
        <w:tc>
          <w:tcPr>
            <w:tcW w:w="855" w:type="dxa"/>
            <w:tcBorders>
              <w:bottom w:val="single" w:sz="4" w:space="0" w:color="auto"/>
            </w:tcBorders>
          </w:tcPr>
          <w:p w:rsidR="00F2782D" w:rsidRPr="003718A6" w:rsidRDefault="00F2782D">
            <w:pPr>
              <w:pStyle w:val="Normaltindrag"/>
              <w:shd w:val="clear" w:color="000000" w:fill="auto"/>
              <w:spacing w:before="120"/>
              <w:ind w:firstLine="0"/>
              <w:jc w:val="right"/>
            </w:pPr>
            <w:r w:rsidRPr="003718A6">
              <w:rPr>
                <w:b/>
                <w:i/>
              </w:rPr>
              <w:t>2006</w:t>
            </w:r>
          </w:p>
        </w:tc>
      </w:tr>
      <w:tr w:rsidR="00F2782D" w:rsidRPr="003718A6" w:rsidTr="00F2782D">
        <w:tc>
          <w:tcPr>
            <w:tcW w:w="644" w:type="dxa"/>
            <w:tcBorders>
              <w:top w:val="single" w:sz="4" w:space="0" w:color="auto"/>
            </w:tcBorders>
          </w:tcPr>
          <w:p w:rsidR="00F2782D" w:rsidRPr="003718A6" w:rsidRDefault="00F2782D">
            <w:pPr>
              <w:pStyle w:val="Normaltindrag"/>
              <w:shd w:val="clear" w:color="000000" w:fill="auto"/>
              <w:ind w:firstLine="0"/>
              <w:jc w:val="right"/>
              <w:rPr>
                <w:b/>
                <w:i/>
              </w:rPr>
            </w:pPr>
            <w:r w:rsidRPr="003718A6">
              <w:t>4 371</w:t>
            </w:r>
          </w:p>
        </w:tc>
        <w:tc>
          <w:tcPr>
            <w:tcW w:w="842" w:type="dxa"/>
            <w:tcBorders>
              <w:top w:val="single" w:sz="4" w:space="0" w:color="auto"/>
            </w:tcBorders>
          </w:tcPr>
          <w:p w:rsidR="00F2782D" w:rsidRPr="003718A6" w:rsidRDefault="00F2782D">
            <w:pPr>
              <w:pStyle w:val="Normaltindrag"/>
              <w:shd w:val="clear" w:color="000000" w:fill="auto"/>
              <w:ind w:firstLine="0"/>
              <w:jc w:val="right"/>
              <w:rPr>
                <w:b/>
                <w:i/>
              </w:rPr>
            </w:pPr>
            <w:r w:rsidRPr="003718A6">
              <w:t>3 060</w:t>
            </w:r>
          </w:p>
        </w:tc>
        <w:tc>
          <w:tcPr>
            <w:tcW w:w="843" w:type="dxa"/>
            <w:tcBorders>
              <w:top w:val="single" w:sz="4" w:space="0" w:color="auto"/>
            </w:tcBorders>
          </w:tcPr>
          <w:p w:rsidR="00F2782D" w:rsidRPr="003718A6" w:rsidRDefault="00F2782D">
            <w:pPr>
              <w:pStyle w:val="Normaltindrag"/>
              <w:shd w:val="clear" w:color="000000" w:fill="auto"/>
              <w:ind w:firstLine="0"/>
              <w:jc w:val="right"/>
              <w:rPr>
                <w:b/>
                <w:i/>
              </w:rPr>
            </w:pPr>
            <w:r w:rsidRPr="003718A6">
              <w:t>3 440</w:t>
            </w:r>
          </w:p>
        </w:tc>
        <w:tc>
          <w:tcPr>
            <w:tcW w:w="843" w:type="dxa"/>
            <w:tcBorders>
              <w:top w:val="single" w:sz="4" w:space="0" w:color="auto"/>
            </w:tcBorders>
          </w:tcPr>
          <w:p w:rsidR="00F2782D" w:rsidRPr="003718A6" w:rsidRDefault="00F2782D">
            <w:pPr>
              <w:pStyle w:val="Normaltindrag"/>
              <w:shd w:val="clear" w:color="000000" w:fill="auto"/>
              <w:ind w:firstLine="0"/>
              <w:jc w:val="right"/>
              <w:rPr>
                <w:b/>
                <w:i/>
              </w:rPr>
            </w:pPr>
            <w:r w:rsidRPr="003718A6">
              <w:t>6 479</w:t>
            </w:r>
          </w:p>
        </w:tc>
        <w:tc>
          <w:tcPr>
            <w:tcW w:w="844" w:type="dxa"/>
            <w:tcBorders>
              <w:top w:val="single" w:sz="4" w:space="0" w:color="auto"/>
            </w:tcBorders>
          </w:tcPr>
          <w:p w:rsidR="00F2782D" w:rsidRPr="003718A6" w:rsidRDefault="00F2782D">
            <w:pPr>
              <w:pStyle w:val="Normaltindrag"/>
              <w:shd w:val="clear" w:color="000000" w:fill="auto"/>
              <w:ind w:firstLine="0"/>
              <w:jc w:val="right"/>
              <w:rPr>
                <w:b/>
                <w:i/>
              </w:rPr>
            </w:pPr>
            <w:r w:rsidRPr="003718A6">
              <w:t>7 291</w:t>
            </w:r>
          </w:p>
        </w:tc>
        <w:tc>
          <w:tcPr>
            <w:tcW w:w="843" w:type="dxa"/>
            <w:tcBorders>
              <w:top w:val="single" w:sz="4" w:space="0" w:color="auto"/>
            </w:tcBorders>
          </w:tcPr>
          <w:p w:rsidR="00F2782D" w:rsidRPr="003718A6" w:rsidRDefault="00F2782D">
            <w:pPr>
              <w:pStyle w:val="Normaltindrag"/>
              <w:shd w:val="clear" w:color="000000" w:fill="auto"/>
              <w:ind w:firstLine="0"/>
              <w:jc w:val="right"/>
              <w:rPr>
                <w:b/>
                <w:i/>
              </w:rPr>
            </w:pPr>
            <w:r w:rsidRPr="003718A6">
              <w:t>8 629</w:t>
            </w:r>
          </w:p>
        </w:tc>
        <w:tc>
          <w:tcPr>
            <w:tcW w:w="855" w:type="dxa"/>
            <w:tcBorders>
              <w:top w:val="single" w:sz="4" w:space="0" w:color="auto"/>
            </w:tcBorders>
          </w:tcPr>
          <w:p w:rsidR="00F2782D" w:rsidRPr="003718A6" w:rsidRDefault="00F2782D">
            <w:pPr>
              <w:pStyle w:val="Normaltindrag"/>
              <w:shd w:val="clear" w:color="000000" w:fill="auto"/>
              <w:ind w:firstLine="0"/>
              <w:jc w:val="right"/>
              <w:rPr>
                <w:b/>
                <w:i/>
              </w:rPr>
            </w:pPr>
            <w:r w:rsidRPr="003718A6">
              <w:t>10 372</w:t>
            </w:r>
          </w:p>
        </w:tc>
      </w:tr>
    </w:tbl>
    <w:p w:rsidR="00A93D23" w:rsidRPr="003718A6" w:rsidRDefault="00A93D23">
      <w:pPr>
        <w:shd w:val="clear" w:color="000000" w:fill="auto"/>
      </w:pPr>
      <w:r w:rsidRPr="003718A6">
        <w:t>I</w:t>
      </w:r>
      <w:r w:rsidR="00D622F6" w:rsidRPr="003718A6">
        <w:t xml:space="preserve"> </w:t>
      </w:r>
      <w:r w:rsidRPr="003718A6">
        <w:t>dag kan inte denna kraftiga ökning förklaras med att Sverige upprätthåll</w:t>
      </w:r>
      <w:r w:rsidR="001B0C84" w:rsidRPr="003718A6">
        <w:t>er</w:t>
      </w:r>
      <w:r w:rsidRPr="003718A6">
        <w:t xml:space="preserve"> en oberoende krigsmaterielproduktion i akt och mening att inta en neutral hållning under ett kallt krig – eftersom något sådant inte föreligger. Sveriges säkerhetspolitiska läge har inte förändrats till en situation som skulle kunna betraktas som snarlik </w:t>
      </w:r>
      <w:r w:rsidR="001B0C84" w:rsidRPr="003718A6">
        <w:t>den under</w:t>
      </w:r>
      <w:r w:rsidRPr="003718A6">
        <w:t xml:space="preserve"> det kalla kriget. Tvärtom är Sveriges säke</w:t>
      </w:r>
      <w:r w:rsidRPr="003718A6">
        <w:t>r</w:t>
      </w:r>
      <w:r w:rsidRPr="003718A6">
        <w:t>hetspolitiska läge sådan</w:t>
      </w:r>
      <w:r w:rsidR="00241840" w:rsidRPr="003718A6">
        <w:t>t</w:t>
      </w:r>
      <w:r w:rsidRPr="003718A6">
        <w:t xml:space="preserve"> att man inte kan uppfatta något hot inom en öve</w:t>
      </w:r>
      <w:r w:rsidRPr="003718A6">
        <w:t>r</w:t>
      </w:r>
      <w:r w:rsidRPr="003718A6">
        <w:t>skådlig framtid.</w:t>
      </w:r>
    </w:p>
    <w:p w:rsidR="00A93D23" w:rsidRPr="003718A6" w:rsidRDefault="00A93D23">
      <w:pPr>
        <w:pStyle w:val="Normaltindrag"/>
        <w:shd w:val="clear" w:color="000000" w:fill="auto"/>
      </w:pPr>
      <w:r w:rsidRPr="003718A6">
        <w:t>Sammanfattningsvis</w:t>
      </w:r>
      <w:r w:rsidR="00B23D05" w:rsidRPr="003718A6">
        <w:t xml:space="preserve"> kan alltså konstateras att</w:t>
      </w:r>
      <w:r w:rsidRPr="003718A6">
        <w:t xml:space="preserve"> Sverige ingick ett ramavtal med fem Natoländer och ett avtal med nordiska länder och blev naturligtvis därmed också mer uppknutet till Nato och kom ett litet stycke längre bort från sin alliansfrihet än tidigare.</w:t>
      </w:r>
    </w:p>
    <w:p w:rsidR="00A93D23" w:rsidRPr="003718A6" w:rsidRDefault="00A93D23">
      <w:pPr>
        <w:pStyle w:val="Normaltindrag"/>
        <w:shd w:val="clear" w:color="000000" w:fill="auto"/>
      </w:pPr>
      <w:r w:rsidRPr="003718A6">
        <w:t>Ett något udda påpeka</w:t>
      </w:r>
      <w:r w:rsidR="00241840" w:rsidRPr="003718A6">
        <w:t>n</w:t>
      </w:r>
      <w:r w:rsidRPr="003718A6">
        <w:t>de som gjordes i regeringens proposition om ra</w:t>
      </w:r>
      <w:r w:rsidRPr="003718A6">
        <w:t>m</w:t>
      </w:r>
      <w:r w:rsidRPr="003718A6">
        <w:t xml:space="preserve">avtalet var </w:t>
      </w:r>
      <w:r w:rsidR="00B23D05" w:rsidRPr="003718A6">
        <w:t xml:space="preserve">att </w:t>
      </w:r>
      <w:r w:rsidRPr="003718A6">
        <w:t xml:space="preserve">man i samma andetag som </w:t>
      </w:r>
      <w:r w:rsidR="00B23D05" w:rsidRPr="003718A6">
        <w:t xml:space="preserve">man </w:t>
      </w:r>
      <w:r w:rsidRPr="003718A6">
        <w:t>deklarerade att man måste ingå detta avtal för att stå sig i konkurrensen med USA</w:t>
      </w:r>
      <w:r w:rsidR="00B23D05" w:rsidRPr="003718A6">
        <w:t>,</w:t>
      </w:r>
      <w:r w:rsidRPr="003718A6">
        <w:t xml:space="preserve"> förklarade att man skulle samarbeta med konkurrenten USA när det gällde krigsmaterielproduktion. Samtidigt medverkade uppenbarligen det nya ramavtalet och det ökade sa</w:t>
      </w:r>
      <w:r w:rsidRPr="003718A6">
        <w:t>m</w:t>
      </w:r>
      <w:r w:rsidRPr="003718A6">
        <w:t>arbetet till en snabbt växande krigsmaterielexport. För Sveriges krigsmater</w:t>
      </w:r>
      <w:r w:rsidRPr="003718A6">
        <w:t>i</w:t>
      </w:r>
      <w:r w:rsidRPr="003718A6">
        <w:t xml:space="preserve">elexportörer (som egentligen till största delen inte längre är några svenskägda företag) torde detta ha varit </w:t>
      </w:r>
      <w:r w:rsidR="00B23D05" w:rsidRPr="003718A6">
        <w:t xml:space="preserve">det </w:t>
      </w:r>
      <w:r w:rsidRPr="003718A6">
        <w:t>allra viktigaste.</w:t>
      </w:r>
    </w:p>
    <w:p w:rsidR="00A93D23" w:rsidRPr="003718A6" w:rsidRDefault="00A93D23">
      <w:pPr>
        <w:pStyle w:val="Rubrik1"/>
        <w:shd w:val="clear" w:color="000000" w:fill="auto"/>
      </w:pPr>
      <w:r w:rsidRPr="003718A6">
        <w:t>Krigsmaterielexport till krigförande stater</w:t>
      </w:r>
    </w:p>
    <w:p w:rsidR="00A93D23" w:rsidRPr="003718A6" w:rsidRDefault="00A93D23">
      <w:pPr>
        <w:shd w:val="clear" w:color="000000" w:fill="auto"/>
      </w:pPr>
      <w:r w:rsidRPr="003718A6">
        <w:t>Enligt det regelverk som den svenska riksdagen antagit får Sverige inte e</w:t>
      </w:r>
      <w:r w:rsidRPr="003718A6">
        <w:t>x</w:t>
      </w:r>
      <w:r w:rsidRPr="003718A6">
        <w:t xml:space="preserve">portera till länder där det pågår krig eller väpnade konflikter. Enligt svenska regeringar – både den föregående </w:t>
      </w:r>
      <w:r w:rsidR="000D6077" w:rsidRPr="003718A6">
        <w:t>och</w:t>
      </w:r>
      <w:r w:rsidRPr="003718A6">
        <w:t xml:space="preserve"> den nuvarande – pågår det inget krig i Irak. Att hundratusentals irakier dött under de senaste åren förändrar uppe</w:t>
      </w:r>
      <w:r w:rsidRPr="003718A6">
        <w:t>n</w:t>
      </w:r>
      <w:r w:rsidRPr="003718A6">
        <w:t>barligen inte bilden</w:t>
      </w:r>
      <w:r w:rsidR="000D6077" w:rsidRPr="003718A6">
        <w:t>.</w:t>
      </w:r>
      <w:r w:rsidRPr="003718A6">
        <w:t xml:space="preserve"> </w:t>
      </w:r>
      <w:r w:rsidR="000D6077" w:rsidRPr="003718A6">
        <w:t>Tydligen pågår det i</w:t>
      </w:r>
      <w:r w:rsidRPr="003718A6">
        <w:t>nte heller någon väpnad konflikt</w:t>
      </w:r>
      <w:r w:rsidR="000D6077" w:rsidRPr="003718A6">
        <w:t>,</w:t>
      </w:r>
      <w:r w:rsidRPr="003718A6">
        <w:t xml:space="preserve"> fast människor dör just för att de angrips av olika typer av väpnade styrkor eller angriper varandra med vapen.</w:t>
      </w:r>
    </w:p>
    <w:p w:rsidR="00A93D23" w:rsidRPr="003718A6" w:rsidRDefault="00A93D23">
      <w:pPr>
        <w:pStyle w:val="Normaltindrag"/>
        <w:shd w:val="clear" w:color="000000" w:fill="auto"/>
      </w:pPr>
      <w:r w:rsidRPr="003718A6">
        <w:t>Trots att det pågår ett blodigt krig exporterar Sverige vapen till stater som illegalt ockuperar Irak. Den svenska krigsmaterielexporten har i huvudsak gått till USA och Storbritannien, men också till andra länder som ingår i USA-koalitionen.</w:t>
      </w:r>
    </w:p>
    <w:p w:rsidR="00D7717C" w:rsidRPr="003718A6" w:rsidRDefault="00D7717C">
      <w:pPr>
        <w:shd w:val="clear" w:color="000000" w:fill="auto"/>
        <w:spacing w:line="200" w:lineRule="exact"/>
        <w:rPr>
          <w:b/>
        </w:rPr>
      </w:pPr>
      <w:r w:rsidRPr="003718A6">
        <w:rPr>
          <w:b/>
        </w:rPr>
        <w:t>Den svenska krigsmaterielexporten i miljoner kronor till stater som hade trupper i Irak 2006</w:t>
      </w:r>
    </w:p>
    <w:p w:rsidR="00A93D23" w:rsidRPr="003718A6" w:rsidRDefault="002422B5">
      <w:pPr>
        <w:shd w:val="clear" w:color="000000" w:fill="auto"/>
        <w:spacing w:before="60"/>
      </w:pPr>
      <w:r w:rsidRPr="003718A6">
        <w:t>Danmark</w:t>
      </w:r>
      <w:r w:rsidRPr="003718A6">
        <w:tab/>
      </w:r>
      <w:r w:rsidRPr="003718A6">
        <w:tab/>
        <w:t xml:space="preserve"> 95,4</w:t>
      </w:r>
    </w:p>
    <w:p w:rsidR="00A93D23" w:rsidRPr="003718A6" w:rsidRDefault="002422B5">
      <w:pPr>
        <w:shd w:val="clear" w:color="000000" w:fill="auto"/>
        <w:spacing w:before="60"/>
      </w:pPr>
      <w:r w:rsidRPr="003718A6">
        <w:t>Estland</w:t>
      </w:r>
      <w:r w:rsidRPr="003718A6">
        <w:tab/>
      </w:r>
      <w:r w:rsidRPr="003718A6">
        <w:tab/>
        <w:t xml:space="preserve"> 9,5</w:t>
      </w:r>
    </w:p>
    <w:p w:rsidR="00A93D23" w:rsidRPr="003718A6" w:rsidRDefault="002422B5">
      <w:pPr>
        <w:shd w:val="clear" w:color="000000" w:fill="auto"/>
        <w:spacing w:before="60"/>
      </w:pPr>
      <w:r w:rsidRPr="003718A6">
        <w:t>Lettland</w:t>
      </w:r>
      <w:r w:rsidRPr="003718A6">
        <w:tab/>
      </w:r>
      <w:r w:rsidRPr="003718A6">
        <w:tab/>
        <w:t xml:space="preserve"> 35,6</w:t>
      </w:r>
    </w:p>
    <w:p w:rsidR="00A93D23" w:rsidRPr="003718A6" w:rsidRDefault="002422B5">
      <w:pPr>
        <w:shd w:val="clear" w:color="000000" w:fill="auto"/>
        <w:spacing w:before="60"/>
      </w:pPr>
      <w:r w:rsidRPr="003718A6">
        <w:t>Litauen</w:t>
      </w:r>
      <w:r w:rsidRPr="003718A6">
        <w:tab/>
      </w:r>
      <w:r w:rsidRPr="003718A6">
        <w:tab/>
        <w:t xml:space="preserve"> 1,7</w:t>
      </w:r>
    </w:p>
    <w:p w:rsidR="00A93D23" w:rsidRPr="003718A6" w:rsidRDefault="002422B5">
      <w:pPr>
        <w:shd w:val="clear" w:color="000000" w:fill="auto"/>
        <w:spacing w:before="60"/>
      </w:pPr>
      <w:r w:rsidRPr="003718A6">
        <w:t>Polen</w:t>
      </w:r>
      <w:r w:rsidRPr="003718A6">
        <w:tab/>
      </w:r>
      <w:r w:rsidRPr="003718A6">
        <w:tab/>
        <w:t xml:space="preserve"> 56,7</w:t>
      </w:r>
    </w:p>
    <w:p w:rsidR="00A93D23" w:rsidRPr="003718A6" w:rsidRDefault="002422B5">
      <w:pPr>
        <w:shd w:val="clear" w:color="000000" w:fill="auto"/>
        <w:spacing w:before="60"/>
      </w:pPr>
      <w:r w:rsidRPr="003718A6">
        <w:t>Storbritannien</w:t>
      </w:r>
      <w:r w:rsidRPr="003718A6">
        <w:tab/>
        <w:t xml:space="preserve"> </w:t>
      </w:r>
      <w:r w:rsidR="007660F5" w:rsidRPr="003718A6">
        <w:tab/>
      </w:r>
      <w:r w:rsidRPr="003718A6">
        <w:t>156,1</w:t>
      </w:r>
    </w:p>
    <w:p w:rsidR="00A93D23" w:rsidRPr="003718A6" w:rsidRDefault="00A93D23">
      <w:pPr>
        <w:shd w:val="clear" w:color="000000" w:fill="auto"/>
        <w:spacing w:before="60"/>
      </w:pPr>
      <w:r w:rsidRPr="003718A6">
        <w:t>Tjeckien</w:t>
      </w:r>
      <w:r w:rsidRPr="003718A6">
        <w:tab/>
      </w:r>
      <w:r w:rsidRPr="003718A6">
        <w:tab/>
        <w:t xml:space="preserve"> 265,1</w:t>
      </w:r>
    </w:p>
    <w:p w:rsidR="00A93D23" w:rsidRPr="003718A6" w:rsidRDefault="002422B5">
      <w:pPr>
        <w:shd w:val="clear" w:color="000000" w:fill="auto"/>
        <w:spacing w:before="60"/>
      </w:pPr>
      <w:r w:rsidRPr="003718A6">
        <w:t>Bulgarien</w:t>
      </w:r>
      <w:r w:rsidRPr="003718A6">
        <w:tab/>
      </w:r>
      <w:r w:rsidRPr="003718A6">
        <w:tab/>
        <w:t xml:space="preserve"> 0,5</w:t>
      </w:r>
    </w:p>
    <w:p w:rsidR="00A93D23" w:rsidRPr="003718A6" w:rsidRDefault="00A93D23">
      <w:pPr>
        <w:shd w:val="clear" w:color="000000" w:fill="auto"/>
        <w:spacing w:before="60"/>
      </w:pPr>
      <w:r w:rsidRPr="003718A6">
        <w:t>Rumänien</w:t>
      </w:r>
      <w:r w:rsidRPr="003718A6">
        <w:tab/>
      </w:r>
      <w:r w:rsidRPr="003718A6">
        <w:tab/>
        <w:t xml:space="preserve"> 0,</w:t>
      </w:r>
      <w:r w:rsidR="002422B5" w:rsidRPr="003718A6">
        <w:t>3</w:t>
      </w:r>
    </w:p>
    <w:p w:rsidR="00A93D23" w:rsidRPr="003718A6" w:rsidRDefault="002422B5">
      <w:pPr>
        <w:shd w:val="clear" w:color="000000" w:fill="auto"/>
        <w:spacing w:before="60"/>
      </w:pPr>
      <w:r w:rsidRPr="003718A6">
        <w:t>Republiken Korea</w:t>
      </w:r>
      <w:r w:rsidRPr="003718A6">
        <w:tab/>
        <w:t xml:space="preserve"> 83,6</w:t>
      </w:r>
    </w:p>
    <w:p w:rsidR="00A93D23" w:rsidRPr="003718A6" w:rsidRDefault="002422B5">
      <w:pPr>
        <w:shd w:val="clear" w:color="000000" w:fill="auto"/>
        <w:spacing w:before="60"/>
      </w:pPr>
      <w:r w:rsidRPr="003718A6">
        <w:t>Kazakstan</w:t>
      </w:r>
      <w:r w:rsidRPr="003718A6">
        <w:tab/>
      </w:r>
      <w:r w:rsidRPr="003718A6">
        <w:tab/>
        <w:t xml:space="preserve"> 0,2</w:t>
      </w:r>
    </w:p>
    <w:p w:rsidR="00A93D23" w:rsidRPr="003718A6" w:rsidRDefault="00A93D23">
      <w:pPr>
        <w:shd w:val="clear" w:color="000000" w:fill="auto"/>
        <w:spacing w:before="60"/>
      </w:pPr>
      <w:r w:rsidRPr="003718A6">
        <w:t>Australien</w:t>
      </w:r>
      <w:r w:rsidRPr="003718A6">
        <w:tab/>
      </w:r>
      <w:r w:rsidRPr="003718A6">
        <w:tab/>
        <w:t xml:space="preserve"> 353,9</w:t>
      </w:r>
    </w:p>
    <w:p w:rsidR="00A93D23" w:rsidRPr="003718A6" w:rsidRDefault="00A93D23">
      <w:pPr>
        <w:shd w:val="clear" w:color="000000" w:fill="auto"/>
        <w:spacing w:before="60"/>
        <w:rPr>
          <w:u w:val="single"/>
        </w:rPr>
      </w:pPr>
      <w:r w:rsidRPr="003718A6">
        <w:rPr>
          <w:u w:val="single"/>
        </w:rPr>
        <w:t>USA</w:t>
      </w:r>
      <w:r w:rsidRPr="003718A6">
        <w:rPr>
          <w:u w:val="single"/>
        </w:rPr>
        <w:tab/>
      </w:r>
      <w:r w:rsidRPr="003718A6">
        <w:rPr>
          <w:u w:val="single"/>
        </w:rPr>
        <w:tab/>
        <w:t xml:space="preserve"> 953,1</w:t>
      </w:r>
    </w:p>
    <w:p w:rsidR="00A93D23" w:rsidRPr="003718A6" w:rsidRDefault="007A4450">
      <w:pPr>
        <w:shd w:val="clear" w:color="000000" w:fill="auto"/>
        <w:spacing w:before="60"/>
        <w:ind w:left="1304" w:firstLine="1304"/>
      </w:pPr>
      <w:r w:rsidRPr="003718A6">
        <w:t>2 011,7</w:t>
      </w:r>
    </w:p>
    <w:p w:rsidR="00A93D23" w:rsidRPr="003718A6" w:rsidRDefault="00A93D23">
      <w:pPr>
        <w:shd w:val="clear" w:color="000000" w:fill="auto"/>
      </w:pPr>
      <w:r w:rsidRPr="003718A6">
        <w:t>Av 21 länder som i</w:t>
      </w:r>
      <w:r w:rsidR="00241840" w:rsidRPr="003718A6">
        <w:t xml:space="preserve"> </w:t>
      </w:r>
      <w:r w:rsidRPr="003718A6">
        <w:t xml:space="preserve">dag ingår i den illegala koalition </w:t>
      </w:r>
      <w:r w:rsidR="00241840" w:rsidRPr="003718A6">
        <w:t>som</w:t>
      </w:r>
      <w:r w:rsidRPr="003718A6">
        <w:t xml:space="preserve"> har trupper i Irak exporterar Sverige krigsmateriel till 13 av dem. Till några av dem är exporten av ringa omfattning, men till de mest aktiva av de ockuperande länderna är exporten desto större – framför allt USA och Storbritannien. Sammantaget går 20 procent av den svenska krigsmaterielexporten till länder som begick det folkrättsbrott som det innebar att angripa Irak – ett folkrättsbrott som USA och dess allierade försökte rättfärdiga med uppenbara lögner om att Irak hade massförstörelsevapen och att Saddam Hussein samarbetade med al-Qaida.</w:t>
      </w:r>
    </w:p>
    <w:p w:rsidR="00A93D23" w:rsidRPr="003718A6" w:rsidRDefault="00A93D23">
      <w:pPr>
        <w:pStyle w:val="Normaltindrag"/>
        <w:shd w:val="clear" w:color="000000" w:fill="auto"/>
      </w:pPr>
      <w:r w:rsidRPr="003718A6">
        <w:t>Vänsterpartiet anser att Sverige bör upphöra med krigsmaterielexport till de krigförande länder som har trupper i Irak. Detta vill vi att riksdagen skall ge regeringen till</w:t>
      </w:r>
      <w:r w:rsidR="00241840" w:rsidRPr="003718A6">
        <w:t xml:space="preserve"> </w:t>
      </w:r>
      <w:r w:rsidRPr="003718A6">
        <w:t>känna.</w:t>
      </w:r>
    </w:p>
    <w:p w:rsidR="00A93D23" w:rsidRPr="003718A6" w:rsidRDefault="00A93D23">
      <w:pPr>
        <w:pStyle w:val="Rubrik1"/>
        <w:shd w:val="clear" w:color="000000" w:fill="auto"/>
      </w:pPr>
      <w:r w:rsidRPr="003718A6">
        <w:t>Det svenska regelverket för krigsmaterielexport</w:t>
      </w:r>
    </w:p>
    <w:p w:rsidR="00A93D23" w:rsidRPr="003718A6" w:rsidRDefault="00A93D23">
      <w:pPr>
        <w:shd w:val="clear" w:color="000000" w:fill="auto"/>
      </w:pPr>
      <w:r w:rsidRPr="003718A6">
        <w:t>Hur kommer det sig att Sverige kan bryta mot sitt eget regelverk när det gäller export av krigsmateriel till krigförande länder och konflikthärdar samt länder där det förekommer brott mot mänskliga rättigheter (exempelvis Saudiarab</w:t>
      </w:r>
      <w:r w:rsidRPr="003718A6">
        <w:t>i</w:t>
      </w:r>
      <w:r w:rsidRPr="003718A6">
        <w:t>en, Tunisien och Thailand)? Hur kan Sverige bryta mot sitt eget regelverk när det gäller export av krigsmateriel till länder som deltar i de anfallskrig och militära operationer som inletts i strid med internationell lag som i Irak?</w:t>
      </w:r>
    </w:p>
    <w:p w:rsidR="00A93D23" w:rsidRPr="003718A6" w:rsidRDefault="00A93D23">
      <w:pPr>
        <w:pStyle w:val="Normaltindrag"/>
        <w:shd w:val="clear" w:color="000000" w:fill="auto"/>
      </w:pPr>
      <w:r w:rsidRPr="003718A6">
        <w:t>En av orsakerna till detta är att grunden för dessa två viktiga stadganden (om att inte exportera krigsmateriel till krigförande länder, konflikthärdar och länder där det begås brott mot mänskliga rättigheter) är att i de svenska rik</w:t>
      </w:r>
      <w:r w:rsidRPr="003718A6">
        <w:t>t</w:t>
      </w:r>
      <w:r w:rsidRPr="003718A6">
        <w:t>linjerna ingår en inledande paragraf som anses överordnad och gör alla andra stadganden betydelselösa.</w:t>
      </w:r>
    </w:p>
    <w:p w:rsidR="00A93D23" w:rsidRPr="003718A6" w:rsidRDefault="00A93D23">
      <w:pPr>
        <w:pStyle w:val="Normaltindrag"/>
        <w:shd w:val="clear" w:color="000000" w:fill="auto"/>
      </w:pPr>
      <w:r w:rsidRPr="003718A6">
        <w:t>De svenska riktlinjerna för k</w:t>
      </w:r>
      <w:r w:rsidR="00E848DB" w:rsidRPr="003718A6">
        <w:t>rigsmaterielexporten inleds med</w:t>
      </w:r>
      <w:r w:rsidR="00241840" w:rsidRPr="003718A6">
        <w:t xml:space="preserve"> följande</w:t>
      </w:r>
      <w:r w:rsidR="00E848DB" w:rsidRPr="003718A6">
        <w:t>:</w:t>
      </w:r>
    </w:p>
    <w:p w:rsidR="00A93D23" w:rsidRPr="003718A6" w:rsidRDefault="00CF03D6">
      <w:pPr>
        <w:pStyle w:val="Citat"/>
        <w:shd w:val="clear" w:color="000000" w:fill="auto"/>
      </w:pPr>
      <w:r w:rsidRPr="003718A6">
        <w:t xml:space="preserve">Tillstånd </w:t>
      </w:r>
      <w:r w:rsidR="00A93D23" w:rsidRPr="003718A6">
        <w:t>till utförsel av krigsmateriel, eller annan samverkan med någon i utlandet avseende krigsmateriel, bör medges endast om sådan utförsel eller samverkan</w:t>
      </w:r>
    </w:p>
    <w:p w:rsidR="00A93D23" w:rsidRPr="003718A6" w:rsidRDefault="00A93D23">
      <w:pPr>
        <w:pStyle w:val="Citat"/>
        <w:shd w:val="clear" w:color="000000" w:fill="auto"/>
        <w:spacing w:before="0"/>
      </w:pPr>
      <w:r w:rsidRPr="003718A6">
        <w:t>1.</w:t>
      </w:r>
      <w:r w:rsidR="00241840" w:rsidRPr="003718A6">
        <w:t> </w:t>
      </w:r>
      <w:r w:rsidRPr="003718A6">
        <w:t>bedöms erforderliga för att tillgodose det svenska försvarets behov av materiel eller kunnande eller i övrigt är säkerhetspolitiskt önskvärd, samt</w:t>
      </w:r>
    </w:p>
    <w:p w:rsidR="00A93D23" w:rsidRPr="003718A6" w:rsidRDefault="00A93D23">
      <w:pPr>
        <w:pStyle w:val="Citat"/>
        <w:shd w:val="clear" w:color="000000" w:fill="auto"/>
        <w:spacing w:before="0"/>
      </w:pPr>
      <w:r w:rsidRPr="003718A6">
        <w:t>2.</w:t>
      </w:r>
      <w:r w:rsidR="00241840" w:rsidRPr="003718A6">
        <w:t> </w:t>
      </w:r>
      <w:r w:rsidRPr="003718A6">
        <w:t>inte står i strid med principerna och målen för Sveriges utrikespolitik.</w:t>
      </w:r>
    </w:p>
    <w:p w:rsidR="00A93D23" w:rsidRPr="003718A6" w:rsidRDefault="00A93D23">
      <w:pPr>
        <w:shd w:val="clear" w:color="000000" w:fill="auto"/>
      </w:pPr>
      <w:r w:rsidRPr="003718A6">
        <w:t xml:space="preserve">Genom att tolka denna del av riktlinjerna som överordnad allt annat som sägs i </w:t>
      </w:r>
      <w:r w:rsidR="003E505B" w:rsidRPr="003718A6">
        <w:t>r</w:t>
      </w:r>
      <w:r w:rsidRPr="003718A6">
        <w:t>iktlinjerna hamnar de demokratiska och mänskliga rättigheterna i skymu</w:t>
      </w:r>
      <w:r w:rsidRPr="003718A6">
        <w:t>n</w:t>
      </w:r>
      <w:r w:rsidRPr="003718A6">
        <w:t>dan. Den svenska försvarspolitiken anses överordnad den världsomspännande kampen för demokrati och mänskliga rättigheter. Ett sådant synsätt kan få förödande konsekvenser.</w:t>
      </w:r>
    </w:p>
    <w:p w:rsidR="00A93D23" w:rsidRPr="003718A6" w:rsidRDefault="00A93D23">
      <w:pPr>
        <w:pStyle w:val="Normaltindrag"/>
        <w:shd w:val="clear" w:color="000000" w:fill="auto"/>
      </w:pPr>
      <w:r w:rsidRPr="003718A6">
        <w:t>Regelverket är emellertid värdelöst på annat sätt</w:t>
      </w:r>
      <w:r w:rsidR="00241840" w:rsidRPr="003718A6">
        <w:t xml:space="preserve">. </w:t>
      </w:r>
      <w:r w:rsidRPr="003718A6">
        <w:t>När USA och dess alli</w:t>
      </w:r>
      <w:r w:rsidRPr="003718A6">
        <w:t>e</w:t>
      </w:r>
      <w:r w:rsidRPr="003718A6">
        <w:t xml:space="preserve">rade angrep Irak förklarade Sveriges </w:t>
      </w:r>
      <w:r w:rsidR="007A4450" w:rsidRPr="003718A6">
        <w:t>dåvarande</w:t>
      </w:r>
      <w:r w:rsidR="003E505B" w:rsidRPr="003718A6">
        <w:t xml:space="preserve"> </w:t>
      </w:r>
      <w:r w:rsidRPr="003718A6">
        <w:t>statsminister</w:t>
      </w:r>
      <w:r w:rsidR="003E505B" w:rsidRPr="003718A6">
        <w:t>,</w:t>
      </w:r>
      <w:r w:rsidRPr="003718A6">
        <w:t xml:space="preserve"> Göran Persson</w:t>
      </w:r>
      <w:r w:rsidR="003E505B" w:rsidRPr="003718A6">
        <w:t>,</w:t>
      </w:r>
      <w:r w:rsidRPr="003718A6">
        <w:t xml:space="preserve"> att angreppet på Irak var ett folkrättsbrott. Om detta uttalande hade tagits på allvar borde det knappast legat i linje med Sveriges utrikespolitiska principer och mål</w:t>
      </w:r>
      <w:r w:rsidR="00766F61" w:rsidRPr="003718A6">
        <w:t xml:space="preserve"> –</w:t>
      </w:r>
      <w:r w:rsidRPr="003718A6">
        <w:t xml:space="preserve"> att exportera krigsmateriel till den anfallande parten i kriget. Göran Persson kan dock knappast göras ansvarig för krigsmaterielexporten, eftersom regeringen endast kan </w:t>
      </w:r>
      <w:r w:rsidR="00AD6600" w:rsidRPr="003718A6">
        <w:t xml:space="preserve">ta </w:t>
      </w:r>
      <w:r w:rsidR="007A4450" w:rsidRPr="003718A6">
        <w:t>ställning</w:t>
      </w:r>
      <w:r w:rsidRPr="003718A6">
        <w:t xml:space="preserve"> i krigsmaterielfrågor om Inspektionen för strategiska produkter (ISP) själv vänder sig till regeringen och frågar om råd</w:t>
      </w:r>
      <w:r w:rsidR="00241840" w:rsidRPr="003718A6">
        <w:t>, o</w:t>
      </w:r>
      <w:r w:rsidRPr="003718A6">
        <w:t xml:space="preserve">ch det gjorde inte ISP i det här fallet. Det hade kanske varit klädsamt om den gjort det. Ännu bättre hade </w:t>
      </w:r>
      <w:r w:rsidR="00241840" w:rsidRPr="003718A6">
        <w:t xml:space="preserve">det </w:t>
      </w:r>
      <w:r w:rsidRPr="003718A6">
        <w:t xml:space="preserve">naturligtvis varit om Exportkontrollrådets </w:t>
      </w:r>
      <w:r w:rsidRPr="003718A6">
        <w:rPr>
          <w:spacing w:val="-2"/>
        </w:rPr>
        <w:t xml:space="preserve">majoritet haft en bättre kännedom </w:t>
      </w:r>
      <w:r w:rsidR="00241840" w:rsidRPr="003718A6">
        <w:rPr>
          <w:spacing w:val="-2"/>
        </w:rPr>
        <w:t xml:space="preserve">om </w:t>
      </w:r>
      <w:r w:rsidRPr="003718A6">
        <w:rPr>
          <w:spacing w:val="-2"/>
        </w:rPr>
        <w:t>vari de svenska utrikespolitiska princ</w:t>
      </w:r>
      <w:r w:rsidRPr="003718A6">
        <w:rPr>
          <w:spacing w:val="-2"/>
        </w:rPr>
        <w:t>i</w:t>
      </w:r>
      <w:r w:rsidRPr="003718A6">
        <w:rPr>
          <w:spacing w:val="-2"/>
        </w:rPr>
        <w:t xml:space="preserve">perna och målen bestod </w:t>
      </w:r>
      <w:r w:rsidR="00241840" w:rsidRPr="003718A6">
        <w:rPr>
          <w:spacing w:val="-2"/>
        </w:rPr>
        <w:t>–</w:t>
      </w:r>
      <w:r w:rsidRPr="003718A6">
        <w:rPr>
          <w:spacing w:val="-2"/>
        </w:rPr>
        <w:t xml:space="preserve"> nämligen att värna folkrätt och mänskliga rättigheter.</w:t>
      </w:r>
    </w:p>
    <w:p w:rsidR="00A93D23" w:rsidRPr="003718A6" w:rsidRDefault="00A93D23">
      <w:pPr>
        <w:pStyle w:val="Normaltindrag"/>
        <w:shd w:val="clear" w:color="000000" w:fill="auto"/>
      </w:pPr>
      <w:r w:rsidRPr="003718A6">
        <w:t xml:space="preserve">I en lång rad deklareras </w:t>
      </w:r>
      <w:r w:rsidR="00241840" w:rsidRPr="003718A6">
        <w:t>vilka</w:t>
      </w:r>
      <w:r w:rsidRPr="003718A6">
        <w:t xml:space="preserve"> Sveriges utrikespolitiska principer och mål är. I otaliga sammanhang har Sveriges officiella företrädare förklarat att de </w:t>
      </w:r>
      <w:r w:rsidR="00241840" w:rsidRPr="003718A6">
        <w:t>handlar om</w:t>
      </w:r>
      <w:r w:rsidRPr="003718A6">
        <w:t xml:space="preserve"> att värna om folkrätt och mänskliga rättigheter. I de svenska rik</w:t>
      </w:r>
      <w:r w:rsidRPr="003718A6">
        <w:t>t</w:t>
      </w:r>
      <w:r w:rsidRPr="003718A6">
        <w:t>linjerna för svensk krigsmaterielexport anges dock inte detta.</w:t>
      </w:r>
    </w:p>
    <w:p w:rsidR="00A93D23" w:rsidRPr="003718A6" w:rsidRDefault="00A93D23">
      <w:pPr>
        <w:pStyle w:val="Normaltindrag"/>
        <w:shd w:val="clear" w:color="000000" w:fill="auto"/>
      </w:pPr>
      <w:r w:rsidRPr="003718A6">
        <w:t>Vänsterpartiet anser att det i det svenska regelverket för krigsmateriele</w:t>
      </w:r>
      <w:r w:rsidRPr="003718A6">
        <w:t>x</w:t>
      </w:r>
      <w:r w:rsidRPr="003718A6">
        <w:t xml:space="preserve">port klart </w:t>
      </w:r>
      <w:r w:rsidR="005057F2" w:rsidRPr="003718A6">
        <w:t xml:space="preserve">skall </w:t>
      </w:r>
      <w:r w:rsidRPr="003718A6">
        <w:t>anges att målen och principerna för den svenska utrikespolit</w:t>
      </w:r>
      <w:r w:rsidRPr="003718A6">
        <w:t>i</w:t>
      </w:r>
      <w:r w:rsidRPr="003718A6">
        <w:t>ken består i att Sverige skall värna om folkrätt och mänskliga rättigheter. Detta vill vi att riksdagen skall ge regeringen till känna.</w:t>
      </w:r>
    </w:p>
    <w:p w:rsidR="00A93D23" w:rsidRPr="003718A6" w:rsidRDefault="00A93D23">
      <w:pPr>
        <w:pStyle w:val="Rubrik1"/>
        <w:shd w:val="clear" w:color="000000" w:fill="auto"/>
      </w:pPr>
      <w:r w:rsidRPr="003718A6">
        <w:t>Näringspolitik eller utrikes- och säkerhetspolitik</w:t>
      </w:r>
    </w:p>
    <w:p w:rsidR="00A93D23" w:rsidRPr="003718A6" w:rsidRDefault="00A93D23">
      <w:pPr>
        <w:shd w:val="clear" w:color="000000" w:fill="auto"/>
      </w:pPr>
      <w:r w:rsidRPr="003718A6">
        <w:t>Det är uppenbart att det regelverk som Sverige har när det gäller exporten av krigsmateriel inte fungerar. Krigsmateriel exporteras till krigförande länder som bryter mot folkrätten, man exporterar till konflikthärdar och till stater som bryter mot mänskliga rättigheter.</w:t>
      </w:r>
    </w:p>
    <w:p w:rsidR="00A93D23" w:rsidRPr="003718A6" w:rsidRDefault="00A93D23">
      <w:pPr>
        <w:pStyle w:val="Normaltindrag"/>
        <w:shd w:val="clear" w:color="000000" w:fill="auto"/>
      </w:pPr>
      <w:r w:rsidRPr="003718A6">
        <w:t>År 2005 presenterade K</w:t>
      </w:r>
      <w:r w:rsidR="00241840" w:rsidRPr="003718A6">
        <w:t>r</w:t>
      </w:r>
      <w:r w:rsidRPr="003718A6">
        <w:t>igsmateriel</w:t>
      </w:r>
      <w:r w:rsidR="00241840" w:rsidRPr="003718A6">
        <w:t>ut</w:t>
      </w:r>
      <w:r w:rsidRPr="003718A6">
        <w:t>redningen (KRUT) Reformerat r</w:t>
      </w:r>
      <w:r w:rsidRPr="003718A6">
        <w:t>e</w:t>
      </w:r>
      <w:r w:rsidRPr="003718A6">
        <w:t xml:space="preserve">gelverk för handel med försvarsmateriel (SOU 2005:9) som förespråkade en fullständig omläggning av den svenska krigsmaterielexporten. Vänsterpartiet </w:t>
      </w:r>
      <w:r w:rsidRPr="003718A6">
        <w:rPr>
          <w:spacing w:val="-2"/>
        </w:rPr>
        <w:t>levererade kritik mot KRUT:s slutsatser i en motion (2004/05:U15) i samband med 2005 års regeringsskrivelse om krigsmaterielexporten (</w:t>
      </w:r>
      <w:r w:rsidR="00241840" w:rsidRPr="003718A6">
        <w:rPr>
          <w:spacing w:val="-2"/>
        </w:rPr>
        <w:t>s</w:t>
      </w:r>
      <w:r w:rsidRPr="003718A6">
        <w:rPr>
          <w:spacing w:val="-2"/>
        </w:rPr>
        <w:t>kr. 2004/05:114)</w:t>
      </w:r>
      <w:r w:rsidRPr="003718A6">
        <w:t>. Utredningen fick också häftig kritik av en rad fredsorganisationer.</w:t>
      </w:r>
    </w:p>
    <w:p w:rsidR="00A93D23" w:rsidRPr="003718A6" w:rsidRDefault="00A93D23">
      <w:pPr>
        <w:pStyle w:val="Normaltindrag"/>
        <w:shd w:val="clear" w:color="000000" w:fill="auto"/>
      </w:pPr>
      <w:r w:rsidRPr="003718A6">
        <w:t>Utredningen föreslog att den svenska krigsmaterielexporten inte längre skulle vägledas av och styras utifrån försvarspolitiska utgångspunkter utan utifrån näringspolitiska. Det framgick tydligt att tidigare aspekter som fanns med i det tidigare regelverket</w:t>
      </w:r>
      <w:r w:rsidR="00241840" w:rsidRPr="003718A6">
        <w:t>,</w:t>
      </w:r>
      <w:r w:rsidRPr="003718A6">
        <w:t xml:space="preserve"> såsom olämpligheten i att exportera krigsmat</w:t>
      </w:r>
      <w:r w:rsidRPr="003718A6">
        <w:t>e</w:t>
      </w:r>
      <w:r w:rsidRPr="003718A6">
        <w:t>riel till krigförande länder, konflikthärdar och stater där det förekom brott mot mänskliga rättigheter tilldelades ringa betydelse i KRUT.</w:t>
      </w:r>
    </w:p>
    <w:p w:rsidR="00A93D23" w:rsidRPr="003718A6" w:rsidRDefault="00A93D23">
      <w:pPr>
        <w:pStyle w:val="Normaltindrag"/>
        <w:shd w:val="clear" w:color="000000" w:fill="auto"/>
      </w:pPr>
      <w:r w:rsidRPr="003718A6">
        <w:t>Utredningen tillsattes i avsikt att bringa praxis i överensstämmelse med avsikterna i det ursprungliga regelverket. Praxis har under en lång tid avläg</w:t>
      </w:r>
      <w:r w:rsidRPr="003718A6">
        <w:t>s</w:t>
      </w:r>
      <w:r w:rsidRPr="003718A6">
        <w:t>nat sig från avsikterna i det ursprungliga regelverket</w:t>
      </w:r>
      <w:r w:rsidR="00241840" w:rsidRPr="003718A6">
        <w:t>,</w:t>
      </w:r>
      <w:r w:rsidRPr="003718A6">
        <w:t xml:space="preserve"> vilka var att förhindra krigsmaterielexport till krigförande</w:t>
      </w:r>
      <w:r w:rsidR="00241840" w:rsidRPr="003718A6">
        <w:t xml:space="preserve"> länder</w:t>
      </w:r>
      <w:r w:rsidRPr="003718A6">
        <w:t>, konflikthärdar och stater där MR-brott begås. Men utredningens slutsatser gick i rakt motsatt riktning.</w:t>
      </w:r>
    </w:p>
    <w:p w:rsidR="00A93D23" w:rsidRPr="003718A6" w:rsidRDefault="00A93D23">
      <w:pPr>
        <w:pStyle w:val="Normaltindrag"/>
        <w:shd w:val="clear" w:color="000000" w:fill="auto"/>
      </w:pPr>
      <w:r w:rsidRPr="003718A6">
        <w:t>Vänsterpartiet föreslår att regeringen tillsätter en ny utredning om den svenska krigsmaterielexporten som har till uppgift att söka utveckla restri</w:t>
      </w:r>
      <w:r w:rsidRPr="003718A6">
        <w:t>k</w:t>
      </w:r>
      <w:r w:rsidRPr="003718A6">
        <w:t>tionerna så att möjligheterna att exportera krigsmateriel till krigförande</w:t>
      </w:r>
      <w:r w:rsidR="00241840" w:rsidRPr="003718A6">
        <w:t xml:space="preserve"> lä</w:t>
      </w:r>
      <w:r w:rsidR="00241840" w:rsidRPr="003718A6">
        <w:t>n</w:t>
      </w:r>
      <w:r w:rsidR="00241840" w:rsidRPr="003718A6">
        <w:t>der</w:t>
      </w:r>
      <w:r w:rsidRPr="003718A6">
        <w:t>, internationella konflikthärdar och stater där MR-brott begås upphör. Detta vill vi att riksdagen skall ge regeringen till känna.</w:t>
      </w:r>
    </w:p>
    <w:p w:rsidR="00A93D23" w:rsidRPr="003718A6" w:rsidRDefault="00A93D23">
      <w:pPr>
        <w:pStyle w:val="Normaltindrag"/>
        <w:shd w:val="clear" w:color="000000" w:fill="auto"/>
      </w:pPr>
      <w:r w:rsidRPr="003718A6">
        <w:t>KRUT:s förslag att mjuka upp de svenska riktlinjerna för krigsmateriele</w:t>
      </w:r>
      <w:r w:rsidRPr="003718A6">
        <w:t>x</w:t>
      </w:r>
      <w:r w:rsidRPr="003718A6">
        <w:t>port och låta näringspolitiska utgångspunkter vara vägledande kan få fö</w:t>
      </w:r>
      <w:r w:rsidRPr="003718A6">
        <w:t>r</w:t>
      </w:r>
      <w:r w:rsidRPr="003718A6">
        <w:t>ödande konsekvenser av annan art som inte framgår av utredningen.</w:t>
      </w:r>
    </w:p>
    <w:p w:rsidR="00A93D23" w:rsidRPr="003718A6" w:rsidRDefault="00A93D23">
      <w:pPr>
        <w:pStyle w:val="Normaltindrag"/>
        <w:shd w:val="clear" w:color="000000" w:fill="auto"/>
      </w:pPr>
      <w:r w:rsidRPr="003718A6">
        <w:t xml:space="preserve">Om krigsmaterielexporten skall betraktas som i första hand </w:t>
      </w:r>
      <w:r w:rsidR="005057F2" w:rsidRPr="003718A6">
        <w:t xml:space="preserve">en </w:t>
      </w:r>
      <w:r w:rsidRPr="003718A6">
        <w:t>näringspol</w:t>
      </w:r>
      <w:r w:rsidRPr="003718A6">
        <w:t>i</w:t>
      </w:r>
      <w:r w:rsidRPr="003718A6">
        <w:t>tisk fråga bör rimligen krigsmaterielexportfrågorna överföras till att behandlas av riksdagens näringsutskott och inte av utrikesutskottet. De säkerhetspoliti</w:t>
      </w:r>
      <w:r w:rsidRPr="003718A6">
        <w:t>s</w:t>
      </w:r>
      <w:r w:rsidRPr="003718A6">
        <w:t>ka aspekterna på krigsmaterielexporten skulle bli av underordnad betydelse och sannolikt inte tillräckligt belysta. I känsliga internationella situationer skulle en otillräcklig belysning av utrikes- och säkerhetspolitiska aspekter på den svenska krigsmaterielexporten kunna få allvarliga konsekvenser.</w:t>
      </w:r>
    </w:p>
    <w:p w:rsidR="00A93D23" w:rsidRPr="003718A6" w:rsidRDefault="00A93D23">
      <w:pPr>
        <w:pStyle w:val="Normaltindrag"/>
        <w:shd w:val="clear" w:color="000000" w:fill="auto"/>
      </w:pPr>
      <w:r w:rsidRPr="003718A6">
        <w:t>Vänsterpartiet föreslår en ny utredning om den svenska krigsmateriele</w:t>
      </w:r>
      <w:r w:rsidRPr="003718A6">
        <w:t>x</w:t>
      </w:r>
      <w:r w:rsidRPr="003718A6">
        <w:t>porten som i stället för att betona de näringspolitiska aspekterna betonar vi</w:t>
      </w:r>
      <w:r w:rsidRPr="003718A6">
        <w:t>k</w:t>
      </w:r>
      <w:r w:rsidRPr="003718A6">
        <w:t>ten av en restriktiv krigsmaterielexport, MR-perspektiv och internationella säkerhetspolitiska aspekter. Detta vill vi att riksdagen skall ge regeringen till känna.</w:t>
      </w:r>
    </w:p>
    <w:p w:rsidR="00A93D23" w:rsidRPr="003718A6" w:rsidRDefault="00A93D23">
      <w:pPr>
        <w:pStyle w:val="Rubrik1"/>
        <w:shd w:val="clear" w:color="000000" w:fill="auto"/>
      </w:pPr>
      <w:r w:rsidRPr="003718A6">
        <w:t>Krigsmaterielexport till odemokratiska stater</w:t>
      </w:r>
    </w:p>
    <w:p w:rsidR="00A93D23" w:rsidRPr="003718A6" w:rsidRDefault="00A93D23">
      <w:pPr>
        <w:shd w:val="clear" w:color="000000" w:fill="auto"/>
      </w:pPr>
      <w:r w:rsidRPr="003718A6">
        <w:t>En genomgång av de länder till vilka Sverige exporterar krigsmateriel visar att en del av dem saknar demokratiskt styrelseskick. Detta innebär att det som den svenska utvecklingspolitiken syftar till när det gäller rättighetsperspekt</w:t>
      </w:r>
      <w:r w:rsidRPr="003718A6">
        <w:t>i</w:t>
      </w:r>
      <w:r w:rsidRPr="003718A6">
        <w:t>vet motverkas. Att exportera krigsmateriel till länder med icke</w:t>
      </w:r>
      <w:r w:rsidR="007660F5" w:rsidRPr="003718A6">
        <w:t xml:space="preserve"> </w:t>
      </w:r>
      <w:r w:rsidRPr="003718A6">
        <w:t>demokratiska regimer kan självklart inte främja vare sig fattigdomsbekämpning eller r</w:t>
      </w:r>
      <w:r w:rsidRPr="003718A6">
        <w:t>e</w:t>
      </w:r>
      <w:r w:rsidRPr="003718A6">
        <w:t>spekten för mänskliga rättigheter. Därför bör ett demokratikriterium finnas med i ett framtida förbättrat regelverk för den svenska krigsmaterielexporten. I KRUT avfärdas hela problematiken med exporten till icke</w:t>
      </w:r>
      <w:r w:rsidR="007660F5" w:rsidRPr="003718A6">
        <w:t xml:space="preserve"> </w:t>
      </w:r>
      <w:r w:rsidRPr="003718A6">
        <w:t>demokratiska regimer med att uppgiften är för svår och begreppet demokrati alltför svård</w:t>
      </w:r>
      <w:r w:rsidRPr="003718A6">
        <w:t>e</w:t>
      </w:r>
      <w:r w:rsidRPr="003718A6">
        <w:t>finier</w:t>
      </w:r>
      <w:r w:rsidR="00241840" w:rsidRPr="003718A6">
        <w:t>at. Det är ett alltför lättvind</w:t>
      </w:r>
      <w:r w:rsidRPr="003718A6">
        <w:t>igt sätt att hantera en så betydelsefull fråga – i all synnerhet som en del regimer som importerar krigsmateriel på ett mycket tydligt sätt är odemokratiska och knappast ens själva benämner sig som d</w:t>
      </w:r>
      <w:r w:rsidRPr="003718A6">
        <w:t>e</w:t>
      </w:r>
      <w:r w:rsidRPr="003718A6">
        <w:t>mokratiska.</w:t>
      </w:r>
    </w:p>
    <w:p w:rsidR="00A93D23" w:rsidRPr="003718A6" w:rsidRDefault="00A93D23">
      <w:pPr>
        <w:pStyle w:val="Normaltindrag"/>
        <w:shd w:val="clear" w:color="000000" w:fill="auto"/>
      </w:pPr>
      <w:r w:rsidRPr="003718A6">
        <w:t>Vänsterpartiet anser att det i direktiven till en ny utredning av krigsmater</w:t>
      </w:r>
      <w:r w:rsidRPr="003718A6">
        <w:t>i</w:t>
      </w:r>
      <w:r w:rsidRPr="003718A6">
        <w:t>elexporten ska</w:t>
      </w:r>
      <w:r w:rsidR="005057F2" w:rsidRPr="003718A6">
        <w:t>ll</w:t>
      </w:r>
      <w:r w:rsidRPr="003718A6">
        <w:t xml:space="preserve"> ingå ett demokratikriterium när det gäller restriktionerna för den svenska krigsmaterielexporten. Detta vill vi att riksdagen skall ge rege</w:t>
      </w:r>
      <w:r w:rsidRPr="003718A6">
        <w:t>r</w:t>
      </w:r>
      <w:r w:rsidRPr="003718A6">
        <w:t>ingen till känna.</w:t>
      </w:r>
    </w:p>
    <w:p w:rsidR="00A93D23" w:rsidRPr="003718A6" w:rsidRDefault="00A93D23">
      <w:pPr>
        <w:pStyle w:val="Rubrik1"/>
        <w:shd w:val="clear" w:color="000000" w:fill="auto"/>
      </w:pPr>
      <w:r w:rsidRPr="003718A6">
        <w:t>Följdleveranser</w:t>
      </w:r>
    </w:p>
    <w:p w:rsidR="00A93D23" w:rsidRPr="003718A6" w:rsidRDefault="00A93D23">
      <w:pPr>
        <w:shd w:val="clear" w:color="000000" w:fill="auto"/>
        <w:rPr>
          <w:snapToGrid w:val="0"/>
        </w:rPr>
      </w:pPr>
      <w:r w:rsidRPr="003718A6">
        <w:t>Det nuvarande regelverket när det gäller krigsmateriel är avsett att vara r</w:t>
      </w:r>
      <w:r w:rsidRPr="003718A6">
        <w:t>e</w:t>
      </w:r>
      <w:r w:rsidRPr="003718A6">
        <w:t>striktivt. Trots detta har det funnits stora kryphål i regelverket. Dessa har främst handlat om följdleveranser. Med hänvisning till att Sverige måste uppfylla ingångna avtal och uppvisa pålitlighet när det gällde leveranser av krigsmateriel har Sverige exporterat krigsmateriel som följdleveranser till flera länder där omfattande och grova brott mot mänskliga rättigheter begåtts. Dessa leveranser har ibland pågått i decennier och utgjort en skamfläck när det gäller Sveriges internationella anseende. På konstitutionsutskottets initi</w:t>
      </w:r>
      <w:r w:rsidRPr="003718A6">
        <w:t>a</w:t>
      </w:r>
      <w:r w:rsidRPr="003718A6">
        <w:t>tiv (bet. 1996/97:KU25) gjorde regeringen en utredning</w:t>
      </w:r>
      <w:r w:rsidRPr="003718A6">
        <w:rPr>
          <w:snapToGrid w:val="0"/>
        </w:rPr>
        <w:t xml:space="preserve"> om följdleveranser.</w:t>
      </w:r>
    </w:p>
    <w:p w:rsidR="00A93D23" w:rsidRPr="003718A6" w:rsidRDefault="00A93D23">
      <w:pPr>
        <w:pStyle w:val="Normaltindrag"/>
        <w:shd w:val="clear" w:color="000000" w:fill="auto"/>
      </w:pPr>
      <w:r w:rsidRPr="003718A6">
        <w:rPr>
          <w:snapToGrid w:val="0"/>
        </w:rPr>
        <w:t>I den utredningen</w:t>
      </w:r>
      <w:r w:rsidRPr="003718A6">
        <w:t xml:space="preserve"> redovisades en rad europeiska länders riktlinjer när det gällde följdleveranser. Det var en ganska variationsrik bild som gavs. Då hade </w:t>
      </w:r>
      <w:r w:rsidR="00241840" w:rsidRPr="003718A6">
        <w:t xml:space="preserve">till exempel </w:t>
      </w:r>
      <w:r w:rsidRPr="003718A6">
        <w:t>Storbritannien en bestämmelse om följdleveranser, där man a</w:t>
      </w:r>
      <w:r w:rsidRPr="003718A6">
        <w:t>n</w:t>
      </w:r>
      <w:r w:rsidRPr="003718A6">
        <w:t>gav att efter två år måste ny prövning göras för att krigsmaterielföretagen skulle få genomföra följdleveranser. Det var tveklöst en avsevärd skillnad mellan dessa och de svenska bestämmelserna. Likafullt drog utredningen den märkliga slutsatsen att bestämmelserna var likartade i hela Europa. I utre</w:t>
      </w:r>
      <w:r w:rsidRPr="003718A6">
        <w:t>d</w:t>
      </w:r>
      <w:r w:rsidRPr="003718A6">
        <w:t>ningen förelåg alltså ett stort gap mellan fakta och slutsatser.</w:t>
      </w:r>
    </w:p>
    <w:p w:rsidR="00A93D23" w:rsidRPr="003718A6" w:rsidRDefault="00A93D23">
      <w:pPr>
        <w:pStyle w:val="Normaltindrag"/>
        <w:shd w:val="clear" w:color="000000" w:fill="auto"/>
      </w:pPr>
      <w:r w:rsidRPr="003718A6">
        <w:t>När det gäller bestämmelserna för följdleveranser för svensk krigsmater</w:t>
      </w:r>
      <w:r w:rsidRPr="003718A6">
        <w:t>i</w:t>
      </w:r>
      <w:r w:rsidRPr="003718A6">
        <w:t>elexport bör dessa bli mer restriktiva och en tidsgräns för hur länge dessa kan pågå</w:t>
      </w:r>
      <w:r w:rsidR="003B5F54" w:rsidRPr="003718A6">
        <w:t xml:space="preserve"> måste sättas</w:t>
      </w:r>
      <w:r w:rsidRPr="003718A6">
        <w:t xml:space="preserve">. </w:t>
      </w:r>
      <w:r w:rsidRPr="003718A6">
        <w:rPr>
          <w:color w:val="000000"/>
        </w:rPr>
        <w:t>Detta vill vi att riksdagen skall ge regeringen till</w:t>
      </w:r>
      <w:r w:rsidR="007660F5" w:rsidRPr="003718A6">
        <w:rPr>
          <w:color w:val="000000"/>
        </w:rPr>
        <w:t xml:space="preserve"> </w:t>
      </w:r>
      <w:r w:rsidRPr="003718A6">
        <w:rPr>
          <w:color w:val="000000"/>
        </w:rPr>
        <w:t>känna.</w:t>
      </w:r>
    </w:p>
    <w:p w:rsidR="00A93D23" w:rsidRPr="003718A6" w:rsidRDefault="00A93D23">
      <w:pPr>
        <w:pStyle w:val="Normaltindrag"/>
        <w:shd w:val="clear" w:color="000000" w:fill="auto"/>
      </w:pPr>
      <w:r w:rsidRPr="003718A6">
        <w:t>Följdleveranser är inget enskilt svenskt fenomen. De berör i allt högre grad Europas och EU:s export av krigsmateriel. Sverige bör därför i EU driva en politik om ökad restriktivitet när det gäller följdleveranser av krigsmateriel. Detta vill vi att riksdagen skall ge regeringen till känna.</w:t>
      </w:r>
    </w:p>
    <w:p w:rsidR="00364551" w:rsidRPr="003718A6" w:rsidRDefault="00364551">
      <w:pPr>
        <w:pStyle w:val="Rubrik1"/>
        <w:shd w:val="clear" w:color="000000" w:fill="auto"/>
      </w:pPr>
      <w:r w:rsidRPr="003718A6">
        <w:t>Importen och uthyrningen av krigsmateriel</w:t>
      </w:r>
    </w:p>
    <w:p w:rsidR="00A93D23" w:rsidRPr="003718A6" w:rsidRDefault="00A93D23">
      <w:pPr>
        <w:pStyle w:val="Normaltindrag"/>
        <w:shd w:val="clear" w:color="000000" w:fill="auto"/>
        <w:ind w:firstLine="0"/>
      </w:pPr>
      <w:r w:rsidRPr="003718A6">
        <w:t>Den svenska krigsmaterielexporten är en viktig del av den svenska utrikesp</w:t>
      </w:r>
      <w:r w:rsidRPr="003718A6">
        <w:t>o</w:t>
      </w:r>
      <w:r w:rsidRPr="003718A6">
        <w:t>litiken. Det är av stor politisk betydelse vilka stater Sverige har eller inte har samröre med – om de länder man exporterar till respekterar folkrätt och mänskliga rättigheter eller inte. Den svenska handeln med krigsmateriel han</w:t>
      </w:r>
      <w:r w:rsidRPr="003718A6">
        <w:t>d</w:t>
      </w:r>
      <w:r w:rsidRPr="003718A6">
        <w:t xml:space="preserve">lar dock inte bara om svensk export av krigsmateriel. Den handlar också </w:t>
      </w:r>
      <w:r w:rsidR="003B5F54" w:rsidRPr="003718A6">
        <w:t xml:space="preserve">om </w:t>
      </w:r>
      <w:r w:rsidRPr="003718A6">
        <w:t xml:space="preserve">svensk import av krigsmateriel. Importen av krigsmateriel är också en viktig del av den svenska utrikespolitiken. Sverige har importerat krigsmateriel från Israel – ett land som intar en ytterligt känslig och kontroversiell position i det konfliktfyllda Mellanöstern. Av den anledningen menar </w:t>
      </w:r>
      <w:r w:rsidR="003D6306" w:rsidRPr="003718A6">
        <w:t>V</w:t>
      </w:r>
      <w:r w:rsidRPr="003718A6">
        <w:t xml:space="preserve">änsterpartiet att ett regelverk </w:t>
      </w:r>
      <w:r w:rsidR="003B5F54" w:rsidRPr="003718A6">
        <w:t xml:space="preserve">även </w:t>
      </w:r>
      <w:r w:rsidRPr="003718A6">
        <w:t xml:space="preserve">för </w:t>
      </w:r>
      <w:r w:rsidR="003B5F54" w:rsidRPr="003718A6">
        <w:t xml:space="preserve">den </w:t>
      </w:r>
      <w:r w:rsidRPr="003718A6">
        <w:t>svenska krigsmaterielimporten bör utarbetas. Detta vill vi att riksdagen skall ge regeringen till känna.</w:t>
      </w:r>
    </w:p>
    <w:p w:rsidR="00A93D23" w:rsidRPr="003718A6" w:rsidRDefault="00A93D23">
      <w:pPr>
        <w:pStyle w:val="Normaltindrag"/>
        <w:shd w:val="clear" w:color="000000" w:fill="auto"/>
      </w:pPr>
      <w:r w:rsidRPr="003718A6">
        <w:t>Bara några månader för</w:t>
      </w:r>
      <w:r w:rsidR="003B5F54" w:rsidRPr="003718A6">
        <w:t>e</w:t>
      </w:r>
      <w:r w:rsidRPr="003718A6">
        <w:t xml:space="preserve"> Irakkriget och i en situation då det fanns anle</w:t>
      </w:r>
      <w:r w:rsidRPr="003718A6">
        <w:t>d</w:t>
      </w:r>
      <w:r w:rsidRPr="003718A6">
        <w:t>ning att befara att det verkligen skulle bli ett krig i Irak hyrde den brittiska krigsmakten avancerad militär utrustning från Sverige. Utan att höra rege</w:t>
      </w:r>
      <w:r w:rsidRPr="003718A6">
        <w:t>r</w:t>
      </w:r>
      <w:r w:rsidRPr="003718A6">
        <w:t>ingen hyrde den svenska krigsmakten ut denna utrustning till Storbritannien. Det utarbeta</w:t>
      </w:r>
      <w:r w:rsidR="003B5F54" w:rsidRPr="003718A6">
        <w:t>de</w:t>
      </w:r>
      <w:r w:rsidRPr="003718A6">
        <w:t xml:space="preserve">s </w:t>
      </w:r>
      <w:r w:rsidR="003B5F54" w:rsidRPr="003718A6">
        <w:t xml:space="preserve">likaledes </w:t>
      </w:r>
      <w:r w:rsidRPr="003718A6">
        <w:t>ett regelverk för uthyrning av krigsmateriel. På samma sätt som det i</w:t>
      </w:r>
      <w:r w:rsidR="003B5F54" w:rsidRPr="003718A6">
        <w:t xml:space="preserve"> </w:t>
      </w:r>
      <w:r w:rsidRPr="003718A6">
        <w:t xml:space="preserve">dag finns ett regelverk för export av krigsmateriel bör det finnas ett för uthyrning av krigsmateriel. Detta vill vi att riksdagen skall </w:t>
      </w:r>
      <w:r w:rsidR="003B5F54" w:rsidRPr="003718A6">
        <w:t xml:space="preserve">ge </w:t>
      </w:r>
      <w:r w:rsidRPr="003718A6">
        <w:t>regeringen till</w:t>
      </w:r>
      <w:r w:rsidR="003B5F54" w:rsidRPr="003718A6">
        <w:t xml:space="preserve"> </w:t>
      </w:r>
      <w:r w:rsidRPr="003718A6">
        <w:t>känna.</w:t>
      </w:r>
    </w:p>
    <w:p w:rsidR="00A93D23" w:rsidRPr="003718A6" w:rsidRDefault="00A93D23">
      <w:pPr>
        <w:pStyle w:val="Normaltindrag"/>
        <w:shd w:val="clear" w:color="000000" w:fill="auto"/>
      </w:pPr>
      <w:r w:rsidRPr="003718A6">
        <w:t>Hur krigsmaterielimp</w:t>
      </w:r>
      <w:r w:rsidR="006724DE" w:rsidRPr="003718A6">
        <w:t>orten</w:t>
      </w:r>
      <w:r w:rsidRPr="003718A6">
        <w:t xml:space="preserve"> </w:t>
      </w:r>
      <w:r w:rsidR="006724DE" w:rsidRPr="003718A6">
        <w:t xml:space="preserve">från andra stater och </w:t>
      </w:r>
      <w:r w:rsidRPr="003718A6">
        <w:t xml:space="preserve">uthyrningen av </w:t>
      </w:r>
      <w:r w:rsidR="006724DE" w:rsidRPr="003718A6">
        <w:t xml:space="preserve">svensk </w:t>
      </w:r>
      <w:r w:rsidRPr="003718A6">
        <w:t>krigsmateriel</w:t>
      </w:r>
      <w:r w:rsidR="003B5F54" w:rsidRPr="003718A6">
        <w:t xml:space="preserve"> till andra stater utveckla</w:t>
      </w:r>
      <w:r w:rsidR="006724DE" w:rsidRPr="003718A6">
        <w:t>s bör i fortsättningen ingå i regeringens årliga skrivelse till riksdagen. Detta vill vi att riksdagen skall ge regeringen till</w:t>
      </w:r>
      <w:r w:rsidR="003B5F54" w:rsidRPr="003718A6">
        <w:t xml:space="preserve"> </w:t>
      </w:r>
      <w:r w:rsidR="006724DE" w:rsidRPr="003718A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18A6">
        <w:trPr>
          <w:cantSplit/>
        </w:trPr>
        <w:tc>
          <w:tcPr>
            <w:tcW w:w="3046" w:type="dxa"/>
          </w:tcPr>
          <w:p w:rsidR="00735F33" w:rsidRPr="003718A6" w:rsidRDefault="00735F33">
            <w:pPr>
              <w:pStyle w:val="UnderskriftDatum"/>
              <w:shd w:val="clear" w:color="000000" w:fill="auto"/>
              <w:spacing w:before="240"/>
            </w:pPr>
            <w:r w:rsidRPr="003718A6">
              <w:t>Stockholm den 4 april 2007</w:t>
            </w:r>
          </w:p>
        </w:tc>
        <w:tc>
          <w:tcPr>
            <w:tcW w:w="3047" w:type="dxa"/>
          </w:tcPr>
          <w:p w:rsidR="00735F33" w:rsidRPr="003718A6" w:rsidRDefault="00735F33">
            <w:pPr>
              <w:pStyle w:val="Underskrifter"/>
              <w:shd w:val="clear" w:color="000000" w:fill="auto"/>
              <w:spacing w:before="240"/>
            </w:pPr>
          </w:p>
        </w:tc>
      </w:tr>
      <w:tr w:rsidR="00000000" w:rsidRPr="003718A6">
        <w:trPr>
          <w:cantSplit/>
        </w:trPr>
        <w:tc>
          <w:tcPr>
            <w:tcW w:w="3046" w:type="dxa"/>
          </w:tcPr>
          <w:p w:rsidR="00735F33" w:rsidRPr="003718A6" w:rsidRDefault="00735F33">
            <w:pPr>
              <w:pStyle w:val="Underskrifter"/>
              <w:shd w:val="clear" w:color="000000" w:fill="auto"/>
            </w:pPr>
            <w:r w:rsidRPr="003718A6">
              <w:t>Hans Linde (v)</w:t>
            </w:r>
          </w:p>
        </w:tc>
        <w:tc>
          <w:tcPr>
            <w:tcW w:w="3046" w:type="dxa"/>
          </w:tcPr>
          <w:p w:rsidR="00735F33" w:rsidRPr="003718A6" w:rsidRDefault="00735F33">
            <w:pPr>
              <w:pStyle w:val="Underskrifter"/>
              <w:shd w:val="clear" w:color="000000" w:fill="auto"/>
            </w:pPr>
          </w:p>
        </w:tc>
      </w:tr>
      <w:tr w:rsidR="00000000" w:rsidRPr="003718A6">
        <w:trPr>
          <w:cantSplit/>
        </w:trPr>
        <w:tc>
          <w:tcPr>
            <w:tcW w:w="3046" w:type="dxa"/>
          </w:tcPr>
          <w:p w:rsidR="00735F33" w:rsidRPr="003718A6" w:rsidRDefault="00735F33">
            <w:pPr>
              <w:pStyle w:val="Underskrifter"/>
              <w:shd w:val="clear" w:color="000000" w:fill="auto"/>
            </w:pPr>
            <w:r w:rsidRPr="003718A6">
              <w:t>Marianne Berg (v)</w:t>
            </w:r>
          </w:p>
        </w:tc>
        <w:tc>
          <w:tcPr>
            <w:tcW w:w="3046" w:type="dxa"/>
          </w:tcPr>
          <w:p w:rsidR="00735F33" w:rsidRPr="003718A6" w:rsidRDefault="00735F33">
            <w:pPr>
              <w:pStyle w:val="Underskrifter"/>
              <w:shd w:val="clear" w:color="000000" w:fill="auto"/>
            </w:pPr>
            <w:r w:rsidRPr="003718A6">
              <w:t>Jacob Johnson (v)</w:t>
            </w:r>
          </w:p>
        </w:tc>
      </w:tr>
      <w:tr w:rsidR="00000000" w:rsidRPr="003718A6">
        <w:trPr>
          <w:cantSplit/>
        </w:trPr>
        <w:tc>
          <w:tcPr>
            <w:tcW w:w="3046" w:type="dxa"/>
          </w:tcPr>
          <w:p w:rsidR="00735F33" w:rsidRPr="003718A6" w:rsidRDefault="00735F33">
            <w:pPr>
              <w:pStyle w:val="Underskrifter"/>
              <w:shd w:val="clear" w:color="000000" w:fill="auto"/>
            </w:pPr>
            <w:r w:rsidRPr="003718A6">
              <w:t>Kalle Larsson (v)</w:t>
            </w:r>
          </w:p>
        </w:tc>
        <w:tc>
          <w:tcPr>
            <w:tcW w:w="3046" w:type="dxa"/>
          </w:tcPr>
          <w:p w:rsidR="00735F33" w:rsidRPr="003718A6" w:rsidRDefault="00735F33">
            <w:pPr>
              <w:pStyle w:val="Underskrifter"/>
              <w:shd w:val="clear" w:color="000000" w:fill="auto"/>
            </w:pPr>
            <w:r w:rsidRPr="003718A6">
              <w:t>Lena Olsson (v)</w:t>
            </w:r>
          </w:p>
        </w:tc>
      </w:tr>
      <w:tr w:rsidR="00000000" w:rsidRPr="003718A6">
        <w:trPr>
          <w:cantSplit/>
        </w:trPr>
        <w:tc>
          <w:tcPr>
            <w:tcW w:w="3046" w:type="dxa"/>
          </w:tcPr>
          <w:p w:rsidR="00735F33" w:rsidRPr="003718A6" w:rsidRDefault="00735F33">
            <w:pPr>
              <w:pStyle w:val="Underskrifter"/>
              <w:shd w:val="clear" w:color="000000" w:fill="auto"/>
            </w:pPr>
            <w:r w:rsidRPr="003718A6">
              <w:t>Pernilla Zethraeus (v)</w:t>
            </w:r>
          </w:p>
        </w:tc>
        <w:tc>
          <w:tcPr>
            <w:tcW w:w="3046" w:type="dxa"/>
          </w:tcPr>
          <w:p w:rsidR="00735F33" w:rsidRPr="003718A6" w:rsidRDefault="00735F33">
            <w:pPr>
              <w:pStyle w:val="Underskrifter"/>
              <w:shd w:val="clear" w:color="000000" w:fill="auto"/>
            </w:pPr>
            <w:r w:rsidRPr="003718A6">
              <w:t>Alice Åström (v)</w:t>
            </w:r>
          </w:p>
        </w:tc>
      </w:tr>
    </w:tbl>
    <w:p w:rsidR="00A93D23" w:rsidRPr="003718A6" w:rsidRDefault="00A93D23">
      <w:pPr>
        <w:pStyle w:val="Normaltindrag"/>
        <w:shd w:val="clear" w:color="000000" w:fill="auto"/>
      </w:pPr>
    </w:p>
    <w:sectPr w:rsidR="00A93D23" w:rsidRPr="003718A6" w:rsidSect="00CF03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F33" w:rsidRPr="003718A6" w:rsidRDefault="00735F33">
      <w:r w:rsidRPr="003718A6">
        <w:separator/>
      </w:r>
    </w:p>
  </w:endnote>
  <w:endnote w:type="continuationSeparator" w:id="0">
    <w:p w:rsidR="00735F33" w:rsidRPr="003718A6" w:rsidRDefault="00735F33">
      <w:r w:rsidRPr="003718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8A" w:rsidRPr="003718A6" w:rsidRDefault="003718A6" w:rsidP="00CF03D6">
    <w:pPr>
      <w:pStyle w:val="Sidfot"/>
    </w:pPr>
    <w:r w:rsidRPr="003718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1081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D6" w:rsidRDefault="00735F33">
                          <w:pPr>
                            <w:pStyle w:val="NormalS5sidnrV"/>
                          </w:pPr>
                          <w:r>
                            <w:fldChar w:fldCharType="begin"/>
                          </w:r>
                          <w:r w:rsidR="00CF03D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3D6" w:rsidRDefault="00735F33">
                    <w:pPr>
                      <w:pStyle w:val="NormalS5sidnrV"/>
                    </w:pPr>
                    <w:r>
                      <w:fldChar w:fldCharType="begin"/>
                    </w:r>
                    <w:r w:rsidR="00CF03D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8A" w:rsidRPr="003718A6" w:rsidRDefault="003718A6" w:rsidP="00CF03D6">
    <w:pPr>
      <w:pStyle w:val="Sidfot"/>
    </w:pPr>
    <w:r w:rsidRPr="003718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9478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D6" w:rsidRDefault="00735F33">
                          <w:pPr>
                            <w:pStyle w:val="NormalS5sidnrH"/>
                            <w:ind w:right="0"/>
                          </w:pPr>
                          <w:r>
                            <w:fldChar w:fldCharType="begin"/>
                          </w:r>
                          <w:r w:rsidR="00CF03D6">
                            <w:instrText xml:space="preserve"> PAGE *\charformat</w:instrText>
                          </w:r>
                          <w:r>
                            <w:fldChar w:fldCharType="separate"/>
                          </w:r>
                          <w:r w:rsidR="00C70B5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3D6" w:rsidRDefault="00735F33">
                    <w:pPr>
                      <w:pStyle w:val="NormalS5sidnrH"/>
                      <w:ind w:right="0"/>
                    </w:pPr>
                    <w:r>
                      <w:fldChar w:fldCharType="begin"/>
                    </w:r>
                    <w:r w:rsidR="00CF03D6">
                      <w:instrText xml:space="preserve"> PAGE *\charformat</w:instrText>
                    </w:r>
                    <w:r>
                      <w:fldChar w:fldCharType="separate"/>
                    </w:r>
                    <w:r w:rsidR="00C70B5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8A" w:rsidRPr="003718A6" w:rsidRDefault="003718A6" w:rsidP="00CF03D6">
    <w:pPr>
      <w:pStyle w:val="Sidfot"/>
    </w:pPr>
    <w:r w:rsidRPr="003718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534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D6" w:rsidRDefault="00735F33">
                          <w:pPr>
                            <w:pStyle w:val="NormalS5sidnrH"/>
                            <w:ind w:right="0"/>
                          </w:pPr>
                          <w:r>
                            <w:fldChar w:fldCharType="begin"/>
                          </w:r>
                          <w:r w:rsidR="00CF03D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3D6" w:rsidRDefault="00735F33">
                    <w:pPr>
                      <w:pStyle w:val="NormalS5sidnrH"/>
                      <w:ind w:right="0"/>
                    </w:pPr>
                    <w:r>
                      <w:fldChar w:fldCharType="begin"/>
                    </w:r>
                    <w:r w:rsidR="00CF03D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F33" w:rsidRPr="003718A6" w:rsidRDefault="00735F33">
      <w:r w:rsidRPr="003718A6">
        <w:separator/>
      </w:r>
    </w:p>
  </w:footnote>
  <w:footnote w:type="continuationSeparator" w:id="0">
    <w:p w:rsidR="00735F33" w:rsidRPr="003718A6" w:rsidRDefault="00735F33">
      <w:r w:rsidRPr="003718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8A" w:rsidRPr="003718A6" w:rsidRDefault="003718A6" w:rsidP="00CF03D6">
    <w:pPr>
      <w:pStyle w:val="Sidhuvud"/>
    </w:pPr>
    <w:r w:rsidRPr="003718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296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D6" w:rsidRDefault="00735F33">
                          <w:pPr>
                            <w:pStyle w:val="KantRubrikS5V"/>
                          </w:pPr>
                          <w:r>
                            <w:fldChar w:fldCharType="begin"/>
                          </w:r>
                          <w:r w:rsidR="00CF03D6">
                            <w:instrText xml:space="preserve"> DOCPROPERTY "YearUser" *\charformat </w:instrText>
                          </w:r>
                          <w:r>
                            <w:fldChar w:fldCharType="separate"/>
                          </w:r>
                          <w:r w:rsidR="00C70B50">
                            <w:t>2006/07</w:t>
                          </w:r>
                          <w:r>
                            <w:fldChar w:fldCharType="end"/>
                          </w:r>
                          <w:r w:rsidR="00CF03D6">
                            <w:t>:</w:t>
                          </w:r>
                          <w:r>
                            <w:fldChar w:fldCharType="begin"/>
                          </w:r>
                          <w:r w:rsidR="00CF03D6">
                            <w:instrText xml:space="preserve"> DOCPROPERTY "Motionsnummer" *\charformat </w:instrText>
                          </w:r>
                          <w:r>
                            <w:fldChar w:fldCharType="separate"/>
                          </w:r>
                          <w:r w:rsidR="00C70B50">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3D6" w:rsidRDefault="00735F33">
                    <w:pPr>
                      <w:pStyle w:val="KantRubrikS5V"/>
                    </w:pPr>
                    <w:r>
                      <w:fldChar w:fldCharType="begin"/>
                    </w:r>
                    <w:r w:rsidR="00CF03D6">
                      <w:instrText xml:space="preserve"> DOCPROPERTY "YearUser" *\charformat </w:instrText>
                    </w:r>
                    <w:r>
                      <w:fldChar w:fldCharType="separate"/>
                    </w:r>
                    <w:r w:rsidR="00C70B50">
                      <w:t>2006/07</w:t>
                    </w:r>
                    <w:r>
                      <w:fldChar w:fldCharType="end"/>
                    </w:r>
                    <w:r w:rsidR="00CF03D6">
                      <w:t>:</w:t>
                    </w:r>
                    <w:r>
                      <w:fldChar w:fldCharType="begin"/>
                    </w:r>
                    <w:r w:rsidR="00CF03D6">
                      <w:instrText xml:space="preserve"> DOCPROPERTY "Motionsnummer" *\charformat </w:instrText>
                    </w:r>
                    <w:r>
                      <w:fldChar w:fldCharType="separate"/>
                    </w:r>
                    <w:r w:rsidR="00C70B50">
                      <w:t>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8A" w:rsidRPr="003718A6" w:rsidRDefault="003718A6" w:rsidP="00CF03D6">
    <w:pPr>
      <w:pStyle w:val="Sidhuvud"/>
    </w:pPr>
    <w:r w:rsidRPr="003718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776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D6" w:rsidRDefault="00735F33">
                          <w:pPr>
                            <w:pStyle w:val="KantRubrikS5H"/>
                            <w:ind w:right="0"/>
                          </w:pPr>
                          <w:r>
                            <w:fldChar w:fldCharType="begin"/>
                          </w:r>
                          <w:r w:rsidR="00CF03D6">
                            <w:instrText xml:space="preserve"> DOCPROPERTY "YearUser" *\charformat </w:instrText>
                          </w:r>
                          <w:r>
                            <w:fldChar w:fldCharType="separate"/>
                          </w:r>
                          <w:r w:rsidR="00C70B50">
                            <w:t>2006/07</w:t>
                          </w:r>
                          <w:r>
                            <w:fldChar w:fldCharType="end"/>
                          </w:r>
                          <w:r w:rsidR="00CF03D6">
                            <w:t>:</w:t>
                          </w:r>
                          <w:r>
                            <w:fldChar w:fldCharType="begin"/>
                          </w:r>
                          <w:r w:rsidR="00CF03D6">
                            <w:instrText xml:space="preserve"> DOCPROPERTY "Motionsnummer" *\charformat </w:instrText>
                          </w:r>
                          <w:r>
                            <w:fldChar w:fldCharType="separate"/>
                          </w:r>
                          <w:r w:rsidR="00C70B50">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3D6" w:rsidRDefault="00735F33">
                    <w:pPr>
                      <w:pStyle w:val="KantRubrikS5H"/>
                      <w:ind w:right="0"/>
                    </w:pPr>
                    <w:r>
                      <w:fldChar w:fldCharType="begin"/>
                    </w:r>
                    <w:r w:rsidR="00CF03D6">
                      <w:instrText xml:space="preserve"> DOCPROPERTY "YearUser" *\charformat </w:instrText>
                    </w:r>
                    <w:r>
                      <w:fldChar w:fldCharType="separate"/>
                    </w:r>
                    <w:r w:rsidR="00C70B50">
                      <w:t>2006/07</w:t>
                    </w:r>
                    <w:r>
                      <w:fldChar w:fldCharType="end"/>
                    </w:r>
                    <w:r w:rsidR="00CF03D6">
                      <w:t>:</w:t>
                    </w:r>
                    <w:r>
                      <w:fldChar w:fldCharType="begin"/>
                    </w:r>
                    <w:r w:rsidR="00CF03D6">
                      <w:instrText xml:space="preserve"> DOCPROPERTY "Motionsnummer" *\charformat </w:instrText>
                    </w:r>
                    <w:r>
                      <w:fldChar w:fldCharType="separate"/>
                    </w:r>
                    <w:r w:rsidR="00C70B50">
                      <w:t>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F33" w:rsidRPr="003718A6" w:rsidRDefault="00735F33">
    <w:pPr>
      <w:pStyle w:val="FSHNormal"/>
      <w:tabs>
        <w:tab w:val="right" w:pos="5840"/>
      </w:tabs>
    </w:pPr>
    <w:r w:rsidRPr="003718A6">
      <w:br/>
    </w:r>
    <w:r w:rsidRPr="003718A6">
      <w:fldChar w:fldCharType="begin" w:fldLock="1"/>
    </w:r>
    <w:r w:rsidRPr="003718A6">
      <w:instrText xml:space="preserve"> DOCPROPERTY</w:instrText>
    </w:r>
    <w:r w:rsidRPr="003718A6">
      <w:rPr>
        <w:sz w:val="18"/>
      </w:rPr>
      <w:instrText xml:space="preserve"> "YearUser" *\charformat </w:instrText>
    </w:r>
    <w:r w:rsidRPr="003718A6">
      <w:fldChar w:fldCharType="separate"/>
    </w:r>
    <w:r w:rsidRPr="003718A6">
      <w:t>2006/07</w:t>
    </w:r>
    <w:r w:rsidRPr="003718A6">
      <w:fldChar w:fldCharType="end"/>
    </w:r>
    <w:r w:rsidRPr="003718A6">
      <w:t xml:space="preserve"> </w:t>
    </w:r>
    <w:r w:rsidRPr="003718A6">
      <w:tab/>
      <w:t xml:space="preserve">mnr: </w:t>
    </w:r>
    <w:r w:rsidRPr="003718A6">
      <w:fldChar w:fldCharType="begin" w:fldLock="1"/>
    </w:r>
    <w:r w:rsidRPr="003718A6">
      <w:instrText xml:space="preserve"> DOCPROPERTY</w:instrText>
    </w:r>
    <w:r w:rsidRPr="003718A6">
      <w:rPr>
        <w:sz w:val="18"/>
      </w:rPr>
      <w:instrText xml:space="preserve"> "Motionsnummer" *\charformat </w:instrText>
    </w:r>
    <w:r w:rsidRPr="003718A6">
      <w:fldChar w:fldCharType="separate"/>
    </w:r>
    <w:r w:rsidRPr="003718A6">
      <w:t>U7</w:t>
    </w:r>
    <w:r w:rsidRPr="003718A6">
      <w:fldChar w:fldCharType="end"/>
    </w:r>
    <w:r w:rsidRPr="003718A6">
      <w:br/>
    </w:r>
    <w:r w:rsidRPr="003718A6">
      <w:fldChar w:fldCharType="begin" w:fldLock="1"/>
    </w:r>
    <w:r w:rsidRPr="003718A6">
      <w:instrText xml:space="preserve"> DOCPROPERTY</w:instrText>
    </w:r>
    <w:r w:rsidRPr="003718A6">
      <w:rPr>
        <w:sz w:val="18"/>
      </w:rPr>
      <w:instrText xml:space="preserve"> "Samling" *\charformat </w:instrText>
    </w:r>
    <w:r w:rsidRPr="003718A6">
      <w:fldChar w:fldCharType="end"/>
    </w:r>
    <w:r w:rsidRPr="003718A6">
      <w:tab/>
      <w:t xml:space="preserve">pnr: </w:t>
    </w:r>
    <w:r w:rsidRPr="003718A6">
      <w:fldChar w:fldCharType="begin" w:fldLock="1"/>
    </w:r>
    <w:r w:rsidRPr="003718A6">
      <w:instrText xml:space="preserve"> DOCPROPERTY</w:instrText>
    </w:r>
    <w:r w:rsidRPr="003718A6">
      <w:rPr>
        <w:sz w:val="18"/>
      </w:rPr>
      <w:instrText xml:space="preserve"> "Partinummer" *\charformat </w:instrText>
    </w:r>
    <w:r w:rsidRPr="003718A6">
      <w:fldChar w:fldCharType="separate"/>
    </w:r>
    <w:r w:rsidRPr="003718A6">
      <w:t>v37</w:t>
    </w:r>
    <w:r w:rsidRPr="003718A6">
      <w:fldChar w:fldCharType="end"/>
    </w:r>
  </w:p>
  <w:p w:rsidR="00735F33" w:rsidRPr="003718A6" w:rsidRDefault="00735F33">
    <w:pPr>
      <w:pStyle w:val="FSHRub1"/>
    </w:pPr>
    <w:r w:rsidRPr="003718A6">
      <w:t>Motion till riksdagen</w:t>
    </w:r>
    <w:r w:rsidRPr="003718A6">
      <w:br/>
    </w:r>
    <w:r w:rsidRPr="003718A6">
      <w:fldChar w:fldCharType="begin" w:fldLock="1"/>
    </w:r>
    <w:r w:rsidRPr="003718A6">
      <w:instrText xml:space="preserve"> DOCPROPERTY "YearUser" *\charformat </w:instrText>
    </w:r>
    <w:r w:rsidRPr="003718A6">
      <w:fldChar w:fldCharType="separate"/>
    </w:r>
    <w:r w:rsidRPr="003718A6">
      <w:t>2006/07</w:t>
    </w:r>
    <w:r w:rsidRPr="003718A6">
      <w:fldChar w:fldCharType="end"/>
    </w:r>
    <w:r w:rsidRPr="003718A6">
      <w:t>:</w:t>
    </w:r>
    <w:r w:rsidRPr="003718A6">
      <w:fldChar w:fldCharType="begin" w:fldLock="1"/>
    </w:r>
    <w:r w:rsidRPr="003718A6">
      <w:instrText xml:space="preserve"> DOCPROPERTY "Motionsnummer" *\charformat </w:instrText>
    </w:r>
    <w:r w:rsidRPr="003718A6">
      <w:fldChar w:fldCharType="separate"/>
    </w:r>
    <w:r w:rsidRPr="003718A6">
      <w:t>U7</w:t>
    </w:r>
    <w:r w:rsidRPr="003718A6">
      <w:fldChar w:fldCharType="end"/>
    </w:r>
  </w:p>
  <w:p w:rsidR="00735F33" w:rsidRPr="003718A6" w:rsidRDefault="00735F33">
    <w:pPr>
      <w:pStyle w:val="FSHNormalS5"/>
    </w:pPr>
    <w:r w:rsidRPr="003718A6">
      <w:fldChar w:fldCharType="begin" w:fldLock="1"/>
    </w:r>
    <w:r w:rsidRPr="003718A6">
      <w:instrText xml:space="preserve"> DOCPROPERTY "MotionarText" *\charformat </w:instrText>
    </w:r>
    <w:r w:rsidRPr="003718A6">
      <w:fldChar w:fldCharType="separate"/>
    </w:r>
    <w:r w:rsidRPr="003718A6">
      <w:t>av Hans Linde m.fl. (v)</w:t>
    </w:r>
    <w:r w:rsidRPr="003718A6">
      <w:fldChar w:fldCharType="end"/>
    </w:r>
    <w:r w:rsidRPr="003718A6">
      <w:br/>
    </w:r>
    <w:r w:rsidRPr="003718A6">
      <w:fldChar w:fldCharType="begin" w:fldLock="1"/>
    </w:r>
    <w:r w:rsidRPr="003718A6">
      <w:instrText xml:space="preserve"> DOCPROPERTY "SvarFrasKort" *\charformat </w:instrText>
    </w:r>
    <w:r w:rsidRPr="003718A6">
      <w:fldChar w:fldCharType="separate"/>
    </w:r>
    <w:r w:rsidRPr="003718A6">
      <w:t>med anledning av skr. 2006/07:114</w:t>
    </w:r>
    <w:r w:rsidRPr="003718A6">
      <w:fldChar w:fldCharType="end"/>
    </w:r>
  </w:p>
  <w:p w:rsidR="00735F33" w:rsidRPr="003718A6" w:rsidRDefault="00735F33">
    <w:pPr>
      <w:pStyle w:val="FSHTitel"/>
    </w:pPr>
    <w:r w:rsidRPr="003718A6">
      <w:fldChar w:fldCharType="begin" w:fldLock="1"/>
    </w:r>
    <w:r w:rsidRPr="003718A6">
      <w:instrText xml:space="preserve"> DOCPROPERTY</w:instrText>
    </w:r>
    <w:r w:rsidRPr="003718A6">
      <w:rPr>
        <w:sz w:val="18"/>
      </w:rPr>
      <w:instrText xml:space="preserve"> "RubrikSvar" *\charformat </w:instrText>
    </w:r>
    <w:r w:rsidRPr="003718A6">
      <w:fldChar w:fldCharType="separate"/>
    </w:r>
    <w:r w:rsidRPr="003718A6">
      <w:t>Strategisk exportkontroll 2006 – krigsmateriel och produkter med dubbla användningsområden</w:t>
    </w:r>
    <w:r w:rsidRPr="003718A6">
      <w:fldChar w:fldCharType="end"/>
    </w:r>
  </w:p>
  <w:p w:rsidR="00735F33" w:rsidRPr="003718A6" w:rsidRDefault="00735F33">
    <w:pPr>
      <w:pStyle w:val="Normal00"/>
    </w:pPr>
  </w:p>
  <w:p w:rsidR="00CF03D6" w:rsidRPr="003718A6" w:rsidRDefault="00CF03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83434A"/>
    <w:multiLevelType w:val="hybridMultilevel"/>
    <w:tmpl w:val="147A0618"/>
    <w:lvl w:ilvl="0" w:tplc="ECF40B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E56264E"/>
    <w:multiLevelType w:val="multilevel"/>
    <w:tmpl w:val="060A0AA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D8C46574">
      <w:start w:val="1"/>
      <w:numFmt w:val="decimal"/>
      <w:lvlText w:val="%1."/>
      <w:lvlJc w:val="left"/>
      <w:pPr>
        <w:tabs>
          <w:tab w:val="num" w:pos="340"/>
        </w:tabs>
        <w:ind w:left="340" w:hanging="340"/>
      </w:pPr>
      <w:rPr>
        <w:rFonts w:cs="Times New Roman"/>
      </w:rPr>
    </w:lvl>
    <w:lvl w:ilvl="1" w:tplc="6D46B7BA" w:tentative="1">
      <w:start w:val="1"/>
      <w:numFmt w:val="lowerLetter"/>
      <w:lvlText w:val="%2."/>
      <w:lvlJc w:val="left"/>
      <w:pPr>
        <w:tabs>
          <w:tab w:val="num" w:pos="1440"/>
        </w:tabs>
        <w:ind w:left="1440" w:hanging="360"/>
      </w:pPr>
      <w:rPr>
        <w:rFonts w:cs="Times New Roman"/>
      </w:rPr>
    </w:lvl>
    <w:lvl w:ilvl="2" w:tplc="FCE819C6" w:tentative="1">
      <w:start w:val="1"/>
      <w:numFmt w:val="lowerRoman"/>
      <w:lvlText w:val="%3."/>
      <w:lvlJc w:val="right"/>
      <w:pPr>
        <w:tabs>
          <w:tab w:val="num" w:pos="2160"/>
        </w:tabs>
        <w:ind w:left="2160" w:hanging="180"/>
      </w:pPr>
      <w:rPr>
        <w:rFonts w:cs="Times New Roman"/>
      </w:rPr>
    </w:lvl>
    <w:lvl w:ilvl="3" w:tplc="25AEF882" w:tentative="1">
      <w:start w:val="1"/>
      <w:numFmt w:val="decimal"/>
      <w:lvlText w:val="%4."/>
      <w:lvlJc w:val="left"/>
      <w:pPr>
        <w:tabs>
          <w:tab w:val="num" w:pos="2880"/>
        </w:tabs>
        <w:ind w:left="2880" w:hanging="360"/>
      </w:pPr>
      <w:rPr>
        <w:rFonts w:cs="Times New Roman"/>
      </w:rPr>
    </w:lvl>
    <w:lvl w:ilvl="4" w:tplc="2CBA2CC2" w:tentative="1">
      <w:start w:val="1"/>
      <w:numFmt w:val="lowerLetter"/>
      <w:lvlText w:val="%5."/>
      <w:lvlJc w:val="left"/>
      <w:pPr>
        <w:tabs>
          <w:tab w:val="num" w:pos="3600"/>
        </w:tabs>
        <w:ind w:left="3600" w:hanging="360"/>
      </w:pPr>
      <w:rPr>
        <w:rFonts w:cs="Times New Roman"/>
      </w:rPr>
    </w:lvl>
    <w:lvl w:ilvl="5" w:tplc="8ACC4AAC" w:tentative="1">
      <w:start w:val="1"/>
      <w:numFmt w:val="lowerRoman"/>
      <w:lvlText w:val="%6."/>
      <w:lvlJc w:val="right"/>
      <w:pPr>
        <w:tabs>
          <w:tab w:val="num" w:pos="4320"/>
        </w:tabs>
        <w:ind w:left="4320" w:hanging="180"/>
      </w:pPr>
      <w:rPr>
        <w:rFonts w:cs="Times New Roman"/>
      </w:rPr>
    </w:lvl>
    <w:lvl w:ilvl="6" w:tplc="30D26356" w:tentative="1">
      <w:start w:val="1"/>
      <w:numFmt w:val="decimal"/>
      <w:lvlText w:val="%7."/>
      <w:lvlJc w:val="left"/>
      <w:pPr>
        <w:tabs>
          <w:tab w:val="num" w:pos="5040"/>
        </w:tabs>
        <w:ind w:left="5040" w:hanging="360"/>
      </w:pPr>
      <w:rPr>
        <w:rFonts w:cs="Times New Roman"/>
      </w:rPr>
    </w:lvl>
    <w:lvl w:ilvl="7" w:tplc="5254E102" w:tentative="1">
      <w:start w:val="1"/>
      <w:numFmt w:val="lowerLetter"/>
      <w:lvlText w:val="%8."/>
      <w:lvlJc w:val="left"/>
      <w:pPr>
        <w:tabs>
          <w:tab w:val="num" w:pos="5760"/>
        </w:tabs>
        <w:ind w:left="5760" w:hanging="360"/>
      </w:pPr>
      <w:rPr>
        <w:rFonts w:cs="Times New Roman"/>
      </w:rPr>
    </w:lvl>
    <w:lvl w:ilvl="8" w:tplc="B7560730" w:tentative="1">
      <w:start w:val="1"/>
      <w:numFmt w:val="lowerRoman"/>
      <w:lvlText w:val="%9."/>
      <w:lvlJc w:val="right"/>
      <w:pPr>
        <w:tabs>
          <w:tab w:val="num" w:pos="6480"/>
        </w:tabs>
        <w:ind w:left="6480" w:hanging="180"/>
      </w:pPr>
      <w:rPr>
        <w:rFonts w:cs="Times New Roman"/>
      </w:rPr>
    </w:lvl>
  </w:abstractNum>
  <w:num w:numId="1" w16cid:durableId="956566037">
    <w:abstractNumId w:val="8"/>
  </w:num>
  <w:num w:numId="2" w16cid:durableId="2078935088">
    <w:abstractNumId w:val="9"/>
  </w:num>
  <w:num w:numId="3" w16cid:durableId="1381053072">
    <w:abstractNumId w:val="8"/>
  </w:num>
  <w:num w:numId="4" w16cid:durableId="1994143110">
    <w:abstractNumId w:val="9"/>
  </w:num>
  <w:num w:numId="5" w16cid:durableId="411852639">
    <w:abstractNumId w:val="15"/>
  </w:num>
  <w:num w:numId="6" w16cid:durableId="2006474682">
    <w:abstractNumId w:val="10"/>
  </w:num>
  <w:num w:numId="7" w16cid:durableId="459298837">
    <w:abstractNumId w:val="12"/>
  </w:num>
  <w:num w:numId="8" w16cid:durableId="1404331223">
    <w:abstractNumId w:val="14"/>
  </w:num>
  <w:num w:numId="9" w16cid:durableId="1663779961">
    <w:abstractNumId w:val="8"/>
  </w:num>
  <w:num w:numId="10" w16cid:durableId="540898643">
    <w:abstractNumId w:val="3"/>
  </w:num>
  <w:num w:numId="11" w16cid:durableId="1079014958">
    <w:abstractNumId w:val="2"/>
  </w:num>
  <w:num w:numId="12" w16cid:durableId="58066079">
    <w:abstractNumId w:val="1"/>
  </w:num>
  <w:num w:numId="13" w16cid:durableId="1690794006">
    <w:abstractNumId w:val="0"/>
  </w:num>
  <w:num w:numId="14" w16cid:durableId="691344020">
    <w:abstractNumId w:val="9"/>
  </w:num>
  <w:num w:numId="15" w16cid:durableId="1773820729">
    <w:abstractNumId w:val="7"/>
  </w:num>
  <w:num w:numId="16" w16cid:durableId="1910726987">
    <w:abstractNumId w:val="6"/>
  </w:num>
  <w:num w:numId="17" w16cid:durableId="1330644922">
    <w:abstractNumId w:val="5"/>
  </w:num>
  <w:num w:numId="18" w16cid:durableId="353918775">
    <w:abstractNumId w:val="4"/>
  </w:num>
  <w:num w:numId="19" w16cid:durableId="185141469">
    <w:abstractNumId w:val="13"/>
  </w:num>
  <w:num w:numId="20" w16cid:durableId="715004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4"/>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3718A6"/>
    <w:rsid w:val="00002742"/>
    <w:rsid w:val="000220F8"/>
    <w:rsid w:val="00034058"/>
    <w:rsid w:val="00040D14"/>
    <w:rsid w:val="0004381F"/>
    <w:rsid w:val="000449B6"/>
    <w:rsid w:val="0005678A"/>
    <w:rsid w:val="00060CA6"/>
    <w:rsid w:val="00064BC3"/>
    <w:rsid w:val="00066474"/>
    <w:rsid w:val="000665E6"/>
    <w:rsid w:val="00066775"/>
    <w:rsid w:val="00072FB9"/>
    <w:rsid w:val="000758AB"/>
    <w:rsid w:val="0007598F"/>
    <w:rsid w:val="000A0B37"/>
    <w:rsid w:val="000B2040"/>
    <w:rsid w:val="000D6077"/>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B0C84"/>
    <w:rsid w:val="001E0043"/>
    <w:rsid w:val="001F3549"/>
    <w:rsid w:val="001F4981"/>
    <w:rsid w:val="00201DFB"/>
    <w:rsid w:val="00204A63"/>
    <w:rsid w:val="00212FF1"/>
    <w:rsid w:val="002166B7"/>
    <w:rsid w:val="00230193"/>
    <w:rsid w:val="00241840"/>
    <w:rsid w:val="002422B5"/>
    <w:rsid w:val="00244D0B"/>
    <w:rsid w:val="00247CD3"/>
    <w:rsid w:val="0025068A"/>
    <w:rsid w:val="00262D89"/>
    <w:rsid w:val="002818D3"/>
    <w:rsid w:val="002911A7"/>
    <w:rsid w:val="002943C8"/>
    <w:rsid w:val="00295E6D"/>
    <w:rsid w:val="002A1BFB"/>
    <w:rsid w:val="002A2A6B"/>
    <w:rsid w:val="002C2373"/>
    <w:rsid w:val="002D11A8"/>
    <w:rsid w:val="002F6D96"/>
    <w:rsid w:val="002F7FA1"/>
    <w:rsid w:val="00303F68"/>
    <w:rsid w:val="00314F87"/>
    <w:rsid w:val="0032051D"/>
    <w:rsid w:val="0032153F"/>
    <w:rsid w:val="003303B5"/>
    <w:rsid w:val="003366E9"/>
    <w:rsid w:val="00336C9B"/>
    <w:rsid w:val="00342FB4"/>
    <w:rsid w:val="0036065A"/>
    <w:rsid w:val="00364551"/>
    <w:rsid w:val="003718A6"/>
    <w:rsid w:val="003866EC"/>
    <w:rsid w:val="00391AF5"/>
    <w:rsid w:val="003B418B"/>
    <w:rsid w:val="003B5F54"/>
    <w:rsid w:val="003D6306"/>
    <w:rsid w:val="003E505B"/>
    <w:rsid w:val="003F100A"/>
    <w:rsid w:val="00437DCA"/>
    <w:rsid w:val="00445271"/>
    <w:rsid w:val="00447A04"/>
    <w:rsid w:val="004527C3"/>
    <w:rsid w:val="004809E7"/>
    <w:rsid w:val="00487F7A"/>
    <w:rsid w:val="004971B2"/>
    <w:rsid w:val="004A0504"/>
    <w:rsid w:val="004B5278"/>
    <w:rsid w:val="004C1CB0"/>
    <w:rsid w:val="004C7A3F"/>
    <w:rsid w:val="004D7823"/>
    <w:rsid w:val="004E38D9"/>
    <w:rsid w:val="004F094C"/>
    <w:rsid w:val="004F22DC"/>
    <w:rsid w:val="005000F2"/>
    <w:rsid w:val="005057B1"/>
    <w:rsid w:val="005057F2"/>
    <w:rsid w:val="00531020"/>
    <w:rsid w:val="00545150"/>
    <w:rsid w:val="00545421"/>
    <w:rsid w:val="0055072A"/>
    <w:rsid w:val="005525A5"/>
    <w:rsid w:val="005544CE"/>
    <w:rsid w:val="00567774"/>
    <w:rsid w:val="00572E92"/>
    <w:rsid w:val="005B145B"/>
    <w:rsid w:val="005C441C"/>
    <w:rsid w:val="005D3F50"/>
    <w:rsid w:val="005D72CF"/>
    <w:rsid w:val="00601C6D"/>
    <w:rsid w:val="00603CD4"/>
    <w:rsid w:val="006346C1"/>
    <w:rsid w:val="006443A4"/>
    <w:rsid w:val="0064771D"/>
    <w:rsid w:val="00653DD0"/>
    <w:rsid w:val="006724DE"/>
    <w:rsid w:val="00677B63"/>
    <w:rsid w:val="00692511"/>
    <w:rsid w:val="006A1005"/>
    <w:rsid w:val="006B6262"/>
    <w:rsid w:val="00727C6F"/>
    <w:rsid w:val="00735F33"/>
    <w:rsid w:val="0074086B"/>
    <w:rsid w:val="00740D6D"/>
    <w:rsid w:val="00743F76"/>
    <w:rsid w:val="00762ABA"/>
    <w:rsid w:val="007660F5"/>
    <w:rsid w:val="00766F61"/>
    <w:rsid w:val="00770030"/>
    <w:rsid w:val="00774959"/>
    <w:rsid w:val="007852B2"/>
    <w:rsid w:val="00794149"/>
    <w:rsid w:val="007A4450"/>
    <w:rsid w:val="007A4BA7"/>
    <w:rsid w:val="007A7385"/>
    <w:rsid w:val="007B67A7"/>
    <w:rsid w:val="007C6092"/>
    <w:rsid w:val="007E119E"/>
    <w:rsid w:val="007F163F"/>
    <w:rsid w:val="007F3C67"/>
    <w:rsid w:val="00806AA7"/>
    <w:rsid w:val="00834565"/>
    <w:rsid w:val="00846903"/>
    <w:rsid w:val="00857EC2"/>
    <w:rsid w:val="00892562"/>
    <w:rsid w:val="008B5F55"/>
    <w:rsid w:val="008C3996"/>
    <w:rsid w:val="008D0BC0"/>
    <w:rsid w:val="008E12F6"/>
    <w:rsid w:val="008F0A96"/>
    <w:rsid w:val="009062A0"/>
    <w:rsid w:val="009451E7"/>
    <w:rsid w:val="00956E7F"/>
    <w:rsid w:val="00963118"/>
    <w:rsid w:val="00970D4F"/>
    <w:rsid w:val="00971345"/>
    <w:rsid w:val="00971D70"/>
    <w:rsid w:val="00985C1C"/>
    <w:rsid w:val="009A4377"/>
    <w:rsid w:val="009A6043"/>
    <w:rsid w:val="009D0673"/>
    <w:rsid w:val="009D2014"/>
    <w:rsid w:val="00A053C6"/>
    <w:rsid w:val="00A055B3"/>
    <w:rsid w:val="00A15D71"/>
    <w:rsid w:val="00A21BC5"/>
    <w:rsid w:val="00A47FAF"/>
    <w:rsid w:val="00A60507"/>
    <w:rsid w:val="00A736FF"/>
    <w:rsid w:val="00A93D23"/>
    <w:rsid w:val="00AA1434"/>
    <w:rsid w:val="00AB5000"/>
    <w:rsid w:val="00AC4310"/>
    <w:rsid w:val="00AC63D9"/>
    <w:rsid w:val="00AD6600"/>
    <w:rsid w:val="00AE2EF8"/>
    <w:rsid w:val="00AE7C03"/>
    <w:rsid w:val="00AF5881"/>
    <w:rsid w:val="00B13BF0"/>
    <w:rsid w:val="00B23D05"/>
    <w:rsid w:val="00B25BC7"/>
    <w:rsid w:val="00B33C81"/>
    <w:rsid w:val="00B34666"/>
    <w:rsid w:val="00B421B1"/>
    <w:rsid w:val="00B5763D"/>
    <w:rsid w:val="00B67E5B"/>
    <w:rsid w:val="00B84A97"/>
    <w:rsid w:val="00BA4894"/>
    <w:rsid w:val="00BA6BE0"/>
    <w:rsid w:val="00BB6D75"/>
    <w:rsid w:val="00BD43A8"/>
    <w:rsid w:val="00BF7E00"/>
    <w:rsid w:val="00C1285C"/>
    <w:rsid w:val="00C27B7D"/>
    <w:rsid w:val="00C32A06"/>
    <w:rsid w:val="00C44394"/>
    <w:rsid w:val="00C533BA"/>
    <w:rsid w:val="00C57C05"/>
    <w:rsid w:val="00C70B50"/>
    <w:rsid w:val="00C822A8"/>
    <w:rsid w:val="00C902E9"/>
    <w:rsid w:val="00C92208"/>
    <w:rsid w:val="00C94A13"/>
    <w:rsid w:val="00C971A3"/>
    <w:rsid w:val="00CB5B24"/>
    <w:rsid w:val="00CC3AB6"/>
    <w:rsid w:val="00CD4B2B"/>
    <w:rsid w:val="00CD64CB"/>
    <w:rsid w:val="00CD754D"/>
    <w:rsid w:val="00CE3037"/>
    <w:rsid w:val="00CF03D6"/>
    <w:rsid w:val="00CF7A43"/>
    <w:rsid w:val="00D01775"/>
    <w:rsid w:val="00D1174F"/>
    <w:rsid w:val="00D1289C"/>
    <w:rsid w:val="00D35E74"/>
    <w:rsid w:val="00D372C4"/>
    <w:rsid w:val="00D44527"/>
    <w:rsid w:val="00D46074"/>
    <w:rsid w:val="00D52681"/>
    <w:rsid w:val="00D53D04"/>
    <w:rsid w:val="00D55EF7"/>
    <w:rsid w:val="00D622F6"/>
    <w:rsid w:val="00D7717C"/>
    <w:rsid w:val="00D97778"/>
    <w:rsid w:val="00DC0DF0"/>
    <w:rsid w:val="00DC6C70"/>
    <w:rsid w:val="00DF5ACD"/>
    <w:rsid w:val="00E21BB8"/>
    <w:rsid w:val="00E22893"/>
    <w:rsid w:val="00E3019F"/>
    <w:rsid w:val="00E307DD"/>
    <w:rsid w:val="00E349C2"/>
    <w:rsid w:val="00E360DE"/>
    <w:rsid w:val="00E5074A"/>
    <w:rsid w:val="00E521CB"/>
    <w:rsid w:val="00E728F6"/>
    <w:rsid w:val="00E75D28"/>
    <w:rsid w:val="00E848DB"/>
    <w:rsid w:val="00E84F25"/>
    <w:rsid w:val="00EC007B"/>
    <w:rsid w:val="00ED0EE7"/>
    <w:rsid w:val="00ED258A"/>
    <w:rsid w:val="00EE7A8E"/>
    <w:rsid w:val="00F21B30"/>
    <w:rsid w:val="00F273EA"/>
    <w:rsid w:val="00F2782D"/>
    <w:rsid w:val="00F31733"/>
    <w:rsid w:val="00F42CB9"/>
    <w:rsid w:val="00F42FFE"/>
    <w:rsid w:val="00F73E9E"/>
    <w:rsid w:val="00F87D14"/>
    <w:rsid w:val="00F95725"/>
    <w:rsid w:val="00FA3374"/>
    <w:rsid w:val="00FB2435"/>
    <w:rsid w:val="00FB6490"/>
    <w:rsid w:val="00FC53D4"/>
    <w:rsid w:val="00FC7246"/>
    <w:rsid w:val="00FC7E79"/>
    <w:rsid w:val="00FD2531"/>
    <w:rsid w:val="00FD3DF3"/>
    <w:rsid w:val="00FE03C5"/>
    <w:rsid w:val="00FF2B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CF4A38-0BE6-4823-A929-3BC1712A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CF03D6"/>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F03D6"/>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CF03D6"/>
    <w:pPr>
      <w:numPr>
        <w:ilvl w:val="2"/>
      </w:numPr>
      <w:spacing w:before="250" w:after="0"/>
      <w:outlineLvl w:val="2"/>
    </w:pPr>
    <w:rPr>
      <w:b/>
      <w:sz w:val="21"/>
    </w:rPr>
  </w:style>
  <w:style w:type="paragraph" w:styleId="Rubrik4">
    <w:name w:val="heading 4"/>
    <w:aliases w:val="KursivRubrik"/>
    <w:basedOn w:val="Rubrik3"/>
    <w:next w:val="Normal"/>
    <w:link w:val="Rubrik4Char"/>
    <w:qFormat/>
    <w:rsid w:val="00CF03D6"/>
    <w:pPr>
      <w:numPr>
        <w:ilvl w:val="3"/>
      </w:numPr>
      <w:outlineLvl w:val="3"/>
    </w:pPr>
    <w:rPr>
      <w:b w:val="0"/>
      <w:i/>
    </w:rPr>
  </w:style>
  <w:style w:type="paragraph" w:styleId="Rubrik5">
    <w:name w:val="heading 5"/>
    <w:aliases w:val="PackadFetRubrik,PackadKursivRubrik"/>
    <w:basedOn w:val="Rubrik4"/>
    <w:next w:val="Normal"/>
    <w:link w:val="Rubrik5Char"/>
    <w:qFormat/>
    <w:rsid w:val="00CF03D6"/>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CF03D6"/>
    <w:pPr>
      <w:numPr>
        <w:ilvl w:val="5"/>
      </w:numPr>
      <w:spacing w:before="50" w:line="200" w:lineRule="exact"/>
      <w:outlineLvl w:val="5"/>
    </w:pPr>
    <w:rPr>
      <w:caps/>
      <w:sz w:val="14"/>
    </w:rPr>
  </w:style>
  <w:style w:type="paragraph" w:styleId="Rubrik7">
    <w:name w:val="heading 7"/>
    <w:basedOn w:val="Rubrik6"/>
    <w:next w:val="Normal"/>
    <w:link w:val="Rubrik7Char"/>
    <w:qFormat/>
    <w:rsid w:val="00CF03D6"/>
    <w:pPr>
      <w:numPr>
        <w:ilvl w:val="6"/>
      </w:numPr>
      <w:spacing w:before="0"/>
      <w:outlineLvl w:val="6"/>
    </w:pPr>
  </w:style>
  <w:style w:type="paragraph" w:styleId="Rubrik8">
    <w:name w:val="heading 8"/>
    <w:basedOn w:val="Rubrik7"/>
    <w:next w:val="Normal"/>
    <w:link w:val="Rubrik8Char"/>
    <w:qFormat/>
    <w:rsid w:val="00CF03D6"/>
    <w:pPr>
      <w:numPr>
        <w:ilvl w:val="7"/>
      </w:numPr>
      <w:outlineLvl w:val="7"/>
    </w:pPr>
  </w:style>
  <w:style w:type="paragraph" w:styleId="Rubrik9">
    <w:name w:val="heading 9"/>
    <w:basedOn w:val="Rubrik8"/>
    <w:next w:val="Normal"/>
    <w:link w:val="Rubrik9Char"/>
    <w:qFormat/>
    <w:rsid w:val="00CF03D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F03D6"/>
    <w:rPr>
      <w:sz w:val="32"/>
      <w:lang w:val="sv-SE" w:eastAsia="sv-SE" w:bidi="ar-SA"/>
    </w:rPr>
  </w:style>
  <w:style w:type="character" w:customStyle="1" w:styleId="Rubrik2Char">
    <w:name w:val="Rubrik 2 Char"/>
    <w:aliases w:val="Beslutrubrik Char"/>
    <w:basedOn w:val="Standardstycketeckensnitt"/>
    <w:link w:val="Rubrik2"/>
    <w:semiHidden/>
    <w:locked/>
    <w:rsid w:val="00CF03D6"/>
    <w:rPr>
      <w:sz w:val="27"/>
      <w:lang w:val="sv-SE" w:eastAsia="sv-SE" w:bidi="ar-SA"/>
    </w:rPr>
  </w:style>
  <w:style w:type="character" w:customStyle="1" w:styleId="Rubrik3Char">
    <w:name w:val="Rubrik 3 Char"/>
    <w:aliases w:val="Mellanrubrik Char"/>
    <w:basedOn w:val="Standardstycketeckensnitt"/>
    <w:link w:val="Rubrik3"/>
    <w:semiHidden/>
    <w:locked/>
    <w:rsid w:val="00CF03D6"/>
    <w:rPr>
      <w:b/>
      <w:sz w:val="21"/>
      <w:lang w:val="sv-SE" w:eastAsia="sv-SE" w:bidi="ar-SA"/>
    </w:rPr>
  </w:style>
  <w:style w:type="character" w:customStyle="1" w:styleId="Rubrik4Char">
    <w:name w:val="Rubrik 4 Char"/>
    <w:aliases w:val="KursivRubrik Char"/>
    <w:basedOn w:val="Standardstycketeckensnitt"/>
    <w:link w:val="Rubrik4"/>
    <w:semiHidden/>
    <w:locked/>
    <w:rsid w:val="00CF03D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F03D6"/>
    <w:rPr>
      <w:sz w:val="19"/>
      <w:lang w:val="sv-SE" w:eastAsia="sv-SE" w:bidi="ar-SA"/>
    </w:rPr>
  </w:style>
  <w:style w:type="character" w:customStyle="1" w:styleId="Rubrik6Char">
    <w:name w:val="Rubrik 6 Char"/>
    <w:basedOn w:val="Standardstycketeckensnitt"/>
    <w:link w:val="Rubrik6"/>
    <w:semiHidden/>
    <w:locked/>
    <w:rsid w:val="00CF03D6"/>
    <w:rPr>
      <w:caps/>
      <w:sz w:val="14"/>
      <w:lang w:val="sv-SE" w:eastAsia="sv-SE" w:bidi="ar-SA"/>
    </w:rPr>
  </w:style>
  <w:style w:type="character" w:customStyle="1" w:styleId="Rubrik7Char">
    <w:name w:val="Rubrik 7 Char"/>
    <w:basedOn w:val="Standardstycketeckensnitt"/>
    <w:link w:val="Rubrik7"/>
    <w:semiHidden/>
    <w:locked/>
    <w:rsid w:val="00CF03D6"/>
    <w:rPr>
      <w:caps/>
      <w:sz w:val="14"/>
      <w:lang w:val="sv-SE" w:eastAsia="sv-SE" w:bidi="ar-SA"/>
    </w:rPr>
  </w:style>
  <w:style w:type="character" w:customStyle="1" w:styleId="Rubrik8Char">
    <w:name w:val="Rubrik 8 Char"/>
    <w:basedOn w:val="Standardstycketeckensnitt"/>
    <w:link w:val="Rubrik8"/>
    <w:semiHidden/>
    <w:locked/>
    <w:rsid w:val="00CF03D6"/>
    <w:rPr>
      <w:caps/>
      <w:sz w:val="14"/>
      <w:lang w:val="sv-SE" w:eastAsia="sv-SE" w:bidi="ar-SA"/>
    </w:rPr>
  </w:style>
  <w:style w:type="character" w:customStyle="1" w:styleId="Rubrik9Char">
    <w:name w:val="Rubrik 9 Char"/>
    <w:basedOn w:val="Standardstycketeckensnitt"/>
    <w:link w:val="Rubrik9"/>
    <w:semiHidden/>
    <w:locked/>
    <w:rsid w:val="00CF03D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62AB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62AB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F03D6"/>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62AB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62AB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62ABA"/>
    <w:rPr>
      <w:rFonts w:ascii="Cambria" w:hAnsi="Cambria" w:cs="Times New Roman"/>
      <w:sz w:val="24"/>
      <w:szCs w:val="24"/>
    </w:rPr>
  </w:style>
  <w:style w:type="paragraph" w:customStyle="1" w:styleId="normal0">
    <w:name w:val="normal"/>
    <w:basedOn w:val="Normal"/>
    <w:rsid w:val="00A93D23"/>
    <w:pPr>
      <w:spacing w:before="100" w:beforeAutospacing="1" w:after="100" w:afterAutospacing="1" w:line="240" w:lineRule="auto"/>
    </w:pPr>
    <w:rPr>
      <w:rFonts w:ascii="Verdana" w:hAnsi="Verdana"/>
      <w:szCs w:val="24"/>
    </w:rPr>
  </w:style>
  <w:style w:type="table" w:styleId="Tabellrutnt">
    <w:name w:val="Table Grid"/>
    <w:basedOn w:val="Normaltabell"/>
    <w:locked/>
    <w:rsid w:val="00F2782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3122</Words>
  <Characters>18766</Characters>
  <Application>Microsoft Office Word</Application>
  <DocSecurity>4</DocSecurity>
  <Lines>375</Lines>
  <Paragraphs>140</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2007-04-16T13:42:00Z</cp:lastPrinted>
  <dcterms:created xsi:type="dcterms:W3CDTF">2025-12-17T02:27:00Z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mot2000_478_2007-04-04</vt:lpwstr>
  </property>
  <property fmtid="{D5CDD505-2E9C-101B-9397-08002B2CF9AE}" pid="3" name="version">
    <vt:lpwstr>mot2000_478_2007-04-04</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Strategisk exportkontroll 2006 – krigsmateriel och produkter med dubbla användningsområden</vt:lpwstr>
  </property>
  <property fmtid="{D5CDD505-2E9C-101B-9397-08002B2CF9AE}" pid="11" name="SvarFrasKort">
    <vt:lpwstr>med anledning av skr. 2006/07:114</vt:lpwstr>
  </property>
  <property fmtid="{D5CDD505-2E9C-101B-9397-08002B2CF9AE}" pid="12" name="Svar">
    <vt:lpwstr>Regeringsskrivelse</vt:lpwstr>
  </property>
  <property fmtid="{D5CDD505-2E9C-101B-9397-08002B2CF9AE}" pid="13" name="SvarNr">
    <vt:lpwstr>2006/07:114</vt:lpwstr>
  </property>
  <property fmtid="{D5CDD505-2E9C-101B-9397-08002B2CF9AE}" pid="14" name="RubrikSvar">
    <vt:lpwstr>Strategisk exportkontroll 2006 – krigsmateriel och produkter med dubbla användningsområden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20062007000000000118000000370075</vt:lpwstr>
  </property>
  <property fmtid="{D5CDD505-2E9C-101B-9397-08002B2CF9AE}" pid="47" name="datum">
    <vt:lpwstr>070404</vt:lpwstr>
  </property>
  <property fmtid="{D5CDD505-2E9C-101B-9397-08002B2CF9AE}" pid="48" name="avsändar-e-post">
    <vt:lpwstr/>
  </property>
  <property fmtid="{D5CDD505-2E9C-101B-9397-08002B2CF9AE}" pid="49" name="id">
    <vt:lpwstr>20062007000000000118000000370075</vt:lpwstr>
  </property>
  <property fmtid="{D5CDD505-2E9C-101B-9397-08002B2CF9AE}" pid="50" name="nummer">
    <vt:lpwstr>7</vt:lpwstr>
  </property>
  <property fmtid="{D5CDD505-2E9C-101B-9397-08002B2CF9AE}" pid="51" name="utskottsbeteckning">
    <vt:lpwstr>U</vt:lpwstr>
  </property>
  <property fmtid="{D5CDD505-2E9C-101B-9397-08002B2CF9AE}" pid="52" name="GlobalUID">
    <vt:lpwstr>{3FFDA72F-A48F-4720-9B1C-1C414971B45F}</vt:lpwstr>
  </property>
  <property fmtid="{D5CDD505-2E9C-101B-9397-08002B2CF9AE}" pid="53" name="Överföringar">
    <vt:i4>0</vt:i4>
  </property>
  <property fmtid="{D5CDD505-2E9C-101B-9397-08002B2CF9AE}" pid="54" name="Checksum">
    <vt:lpwstr>*1001128996960*</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15:42:55.826</vt:lpwstr>
  </property>
  <property fmtid="{D5CDD505-2E9C-101B-9397-08002B2CF9AE}" pid="58" name="urixGuid">
    <vt:lpwstr>{AF01C840-B2F2-4329-97F4-AC00517EE860}</vt:lpwstr>
  </property>
</Properties>
</file>