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5B7E47">
        <w:tblPrEx>
          <w:tblCellMar>
            <w:top w:w="0" w:type="dxa"/>
            <w:bottom w:w="0" w:type="dxa"/>
          </w:tblCellMar>
        </w:tblPrEx>
        <w:tc>
          <w:tcPr>
            <w:tcW w:w="2268" w:type="dxa"/>
          </w:tcPr>
          <w:p w:rsidR="00002CEF" w:rsidRPr="005B7E47" w:rsidRDefault="00002CEF">
            <w:pPr>
              <w:framePr w:w="4400" w:h="1644" w:wrap="notBeside" w:vAnchor="page" w:hAnchor="page" w:x="6573" w:y="721"/>
              <w:rPr>
                <w:rFonts w:ascii="TradeGothic" w:hAnsi="TradeGothic"/>
                <w:i/>
                <w:sz w:val="18"/>
              </w:rPr>
            </w:pPr>
          </w:p>
        </w:tc>
        <w:tc>
          <w:tcPr>
            <w:tcW w:w="2347" w:type="dxa"/>
            <w:gridSpan w:val="2"/>
          </w:tcPr>
          <w:p w:rsidR="00002CEF" w:rsidRPr="005B7E47" w:rsidRDefault="00002CEF">
            <w:pPr>
              <w:framePr w:w="4400" w:h="1644" w:wrap="notBeside" w:vAnchor="page" w:hAnchor="page" w:x="6573" w:y="721"/>
              <w:rPr>
                <w:rFonts w:ascii="TradeGothic" w:hAnsi="TradeGothic"/>
                <w:i/>
                <w:sz w:val="18"/>
              </w:rPr>
            </w:pPr>
          </w:p>
        </w:tc>
      </w:tr>
      <w:tr w:rsidR="00000000" w:rsidRPr="005B7E47">
        <w:tblPrEx>
          <w:tblCellMar>
            <w:top w:w="0" w:type="dxa"/>
            <w:bottom w:w="0" w:type="dxa"/>
          </w:tblCellMar>
        </w:tblPrEx>
        <w:trPr>
          <w:cantSplit/>
        </w:trPr>
        <w:tc>
          <w:tcPr>
            <w:tcW w:w="4615" w:type="dxa"/>
            <w:gridSpan w:val="3"/>
          </w:tcPr>
          <w:p w:rsidR="00002CEF" w:rsidRPr="005B7E47" w:rsidRDefault="00002CEF">
            <w:pPr>
              <w:framePr w:w="4400" w:h="1644" w:wrap="notBeside" w:vAnchor="page" w:hAnchor="page" w:x="6573" w:y="721"/>
              <w:rPr>
                <w:rFonts w:ascii="TradeGothic" w:hAnsi="TradeGothic"/>
                <w:b/>
                <w:sz w:val="22"/>
              </w:rPr>
            </w:pPr>
            <w:r w:rsidRPr="005B7E47">
              <w:rPr>
                <w:rFonts w:ascii="TradeGothic" w:hAnsi="TradeGothic"/>
                <w:b/>
                <w:sz w:val="22"/>
              </w:rPr>
              <w:t>Rådspromemoria</w:t>
            </w:r>
          </w:p>
        </w:tc>
      </w:tr>
      <w:tr w:rsidR="00000000" w:rsidRPr="005B7E47">
        <w:tblPrEx>
          <w:tblCellMar>
            <w:top w:w="0" w:type="dxa"/>
            <w:bottom w:w="0" w:type="dxa"/>
          </w:tblCellMar>
        </w:tblPrEx>
        <w:tc>
          <w:tcPr>
            <w:tcW w:w="3402" w:type="dxa"/>
            <w:gridSpan w:val="2"/>
          </w:tcPr>
          <w:p w:rsidR="00002CEF" w:rsidRPr="005B7E47" w:rsidRDefault="00002CEF">
            <w:pPr>
              <w:framePr w:w="4400" w:h="1644" w:wrap="notBeside" w:vAnchor="page" w:hAnchor="page" w:x="6573" w:y="721"/>
            </w:pPr>
          </w:p>
        </w:tc>
        <w:tc>
          <w:tcPr>
            <w:tcW w:w="1213" w:type="dxa"/>
          </w:tcPr>
          <w:p w:rsidR="00002CEF" w:rsidRPr="005B7E47" w:rsidRDefault="00002CEF">
            <w:pPr>
              <w:framePr w:w="4400" w:h="1644" w:wrap="notBeside" w:vAnchor="page" w:hAnchor="page" w:x="6573" w:y="721"/>
            </w:pPr>
          </w:p>
        </w:tc>
      </w:tr>
      <w:tr w:rsidR="00000000" w:rsidRPr="005B7E47">
        <w:tblPrEx>
          <w:tblCellMar>
            <w:top w:w="0" w:type="dxa"/>
            <w:bottom w:w="0" w:type="dxa"/>
          </w:tblCellMar>
        </w:tblPrEx>
        <w:tc>
          <w:tcPr>
            <w:tcW w:w="2268" w:type="dxa"/>
          </w:tcPr>
          <w:p w:rsidR="00002CEF" w:rsidRPr="005B7E47" w:rsidRDefault="00002CEF">
            <w:pPr>
              <w:framePr w:w="4400" w:h="1644" w:wrap="notBeside" w:vAnchor="page" w:hAnchor="page" w:x="6573" w:y="721"/>
            </w:pPr>
            <w:r w:rsidRPr="005B7E47">
              <w:t>2006-11-27</w:t>
            </w:r>
          </w:p>
        </w:tc>
        <w:tc>
          <w:tcPr>
            <w:tcW w:w="2347" w:type="dxa"/>
            <w:gridSpan w:val="2"/>
          </w:tcPr>
          <w:p w:rsidR="00002CEF" w:rsidRPr="005B7E47" w:rsidRDefault="00002CEF">
            <w:pPr>
              <w:framePr w:w="4400" w:h="1644" w:wrap="notBeside" w:vAnchor="page" w:hAnchor="page" w:x="6573" w:y="721"/>
            </w:pPr>
          </w:p>
        </w:tc>
      </w:tr>
      <w:tr w:rsidR="00000000" w:rsidRPr="005B7E47">
        <w:tblPrEx>
          <w:tblCellMar>
            <w:top w:w="0" w:type="dxa"/>
            <w:bottom w:w="0" w:type="dxa"/>
          </w:tblCellMar>
        </w:tblPrEx>
        <w:tc>
          <w:tcPr>
            <w:tcW w:w="2268" w:type="dxa"/>
          </w:tcPr>
          <w:p w:rsidR="00002CEF" w:rsidRPr="005B7E47" w:rsidRDefault="00002CEF">
            <w:pPr>
              <w:framePr w:w="4400" w:h="1644" w:wrap="notBeside" w:vAnchor="page" w:hAnchor="page" w:x="6573" w:y="721"/>
            </w:pPr>
          </w:p>
        </w:tc>
        <w:tc>
          <w:tcPr>
            <w:tcW w:w="2347" w:type="dxa"/>
            <w:gridSpan w:val="2"/>
          </w:tcPr>
          <w:p w:rsidR="00002CEF" w:rsidRPr="005B7E47" w:rsidRDefault="00002CE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5B7E47">
        <w:tblPrEx>
          <w:tblCellMar>
            <w:top w:w="0" w:type="dxa"/>
            <w:bottom w:w="0" w:type="dxa"/>
          </w:tblCellMar>
        </w:tblPrEx>
        <w:trPr>
          <w:trHeight w:val="284"/>
        </w:trPr>
        <w:tc>
          <w:tcPr>
            <w:tcW w:w="4911" w:type="dxa"/>
          </w:tcPr>
          <w:p w:rsidR="00002CEF" w:rsidRPr="005B7E47" w:rsidRDefault="00002CEF">
            <w:pPr>
              <w:pStyle w:val="Avsndare"/>
              <w:framePr w:h="2483" w:wrap="notBeside" w:x="1504"/>
              <w:rPr>
                <w:b/>
                <w:i w:val="0"/>
                <w:sz w:val="22"/>
              </w:rPr>
            </w:pPr>
            <w:r w:rsidRPr="005B7E47">
              <w:rPr>
                <w:b/>
                <w:i w:val="0"/>
                <w:sz w:val="22"/>
              </w:rPr>
              <w:t>Justitiedepartementet</w:t>
            </w:r>
          </w:p>
        </w:tc>
      </w:tr>
      <w:tr w:rsidR="00000000" w:rsidRPr="005B7E47">
        <w:tblPrEx>
          <w:tblCellMar>
            <w:top w:w="0" w:type="dxa"/>
            <w:bottom w:w="0" w:type="dxa"/>
          </w:tblCellMar>
        </w:tblPrEx>
        <w:trPr>
          <w:trHeight w:val="284"/>
        </w:trPr>
        <w:tc>
          <w:tcPr>
            <w:tcW w:w="4911" w:type="dxa"/>
          </w:tcPr>
          <w:p w:rsidR="00002CEF" w:rsidRPr="005B7E47" w:rsidRDefault="00002CEF">
            <w:pPr>
              <w:pStyle w:val="Avsndare"/>
              <w:framePr w:h="2483" w:wrap="notBeside" w:x="1504"/>
              <w:rPr>
                <w:bCs/>
                <w:iCs/>
              </w:rPr>
            </w:pPr>
          </w:p>
        </w:tc>
      </w:tr>
      <w:tr w:rsidR="00000000" w:rsidRPr="005B7E47">
        <w:tblPrEx>
          <w:tblCellMar>
            <w:top w:w="0" w:type="dxa"/>
            <w:bottom w:w="0" w:type="dxa"/>
          </w:tblCellMar>
        </w:tblPrEx>
        <w:trPr>
          <w:trHeight w:val="284"/>
        </w:trPr>
        <w:tc>
          <w:tcPr>
            <w:tcW w:w="4911" w:type="dxa"/>
          </w:tcPr>
          <w:p w:rsidR="00002CEF" w:rsidRPr="005B7E47" w:rsidRDefault="00002CEF">
            <w:pPr>
              <w:pStyle w:val="Avsndare"/>
              <w:framePr w:h="2483" w:wrap="notBeside" w:x="1504"/>
              <w:rPr>
                <w:bCs/>
                <w:iCs/>
              </w:rPr>
            </w:pPr>
            <w:r w:rsidRPr="005B7E47">
              <w:rPr>
                <w:bCs/>
                <w:iCs/>
              </w:rPr>
              <w:t>Enheten för brottmålsärenden och</w:t>
            </w:r>
          </w:p>
          <w:p w:rsidR="00002CEF" w:rsidRPr="005B7E47" w:rsidRDefault="00002CEF">
            <w:pPr>
              <w:pStyle w:val="Avsndare"/>
              <w:framePr w:h="2483" w:wrap="notBeside" w:x="1504"/>
              <w:rPr>
                <w:bCs/>
                <w:iCs/>
              </w:rPr>
            </w:pPr>
            <w:r w:rsidRPr="005B7E47">
              <w:rPr>
                <w:bCs/>
                <w:iCs/>
              </w:rPr>
              <w:t>internationellt rättsligt samarbete (BIRS)</w:t>
            </w:r>
          </w:p>
        </w:tc>
      </w:tr>
      <w:tr w:rsidR="00000000" w:rsidRPr="005B7E47">
        <w:tblPrEx>
          <w:tblCellMar>
            <w:top w:w="0" w:type="dxa"/>
            <w:bottom w:w="0" w:type="dxa"/>
          </w:tblCellMar>
        </w:tblPrEx>
        <w:trPr>
          <w:trHeight w:val="284"/>
        </w:trPr>
        <w:tc>
          <w:tcPr>
            <w:tcW w:w="4911" w:type="dxa"/>
          </w:tcPr>
          <w:p w:rsidR="00002CEF" w:rsidRPr="005B7E47" w:rsidRDefault="00002CEF">
            <w:pPr>
              <w:pStyle w:val="Avsndare"/>
              <w:framePr w:h="2483" w:wrap="notBeside" w:x="1504"/>
              <w:rPr>
                <w:bCs/>
                <w:iCs/>
              </w:rPr>
            </w:pPr>
          </w:p>
        </w:tc>
      </w:tr>
      <w:tr w:rsidR="00000000" w:rsidRPr="005B7E47">
        <w:tblPrEx>
          <w:tblCellMar>
            <w:top w:w="0" w:type="dxa"/>
            <w:bottom w:w="0" w:type="dxa"/>
          </w:tblCellMar>
        </w:tblPrEx>
        <w:trPr>
          <w:trHeight w:val="284"/>
        </w:trPr>
        <w:tc>
          <w:tcPr>
            <w:tcW w:w="4911" w:type="dxa"/>
          </w:tcPr>
          <w:p w:rsidR="00002CEF" w:rsidRPr="005B7E47" w:rsidRDefault="00002CEF">
            <w:pPr>
              <w:pStyle w:val="Avsndare"/>
              <w:framePr w:h="2483" w:wrap="notBeside" w:x="1504"/>
              <w:rPr>
                <w:bCs/>
                <w:iCs/>
              </w:rPr>
            </w:pPr>
          </w:p>
        </w:tc>
      </w:tr>
    </w:tbl>
    <w:p w:rsidR="00002CEF" w:rsidRPr="005B7E47" w:rsidRDefault="00002CEF">
      <w:pPr>
        <w:framePr w:w="4400" w:h="2523" w:wrap="notBeside" w:vAnchor="page" w:hAnchor="page" w:x="6453" w:y="2445"/>
        <w:ind w:left="142"/>
        <w:rPr>
          <w:b/>
        </w:rPr>
      </w:pPr>
    </w:p>
    <w:p w:rsidR="00002CEF" w:rsidRPr="005B7E47" w:rsidRDefault="00002CEF">
      <w:pPr>
        <w:pStyle w:val="RKrubrik"/>
        <w:pBdr>
          <w:bottom w:val="single" w:sz="6" w:space="1" w:color="auto"/>
        </w:pBdr>
      </w:pPr>
      <w:bookmarkStart w:id="0" w:name="bRubrik"/>
      <w:bookmarkEnd w:id="0"/>
      <w:r w:rsidRPr="005B7E47">
        <w:t>Rådets möte (rättsliga och inrikes frågor) den 4-5 december 2006</w:t>
      </w:r>
    </w:p>
    <w:p w:rsidR="00002CEF" w:rsidRPr="005B7E47" w:rsidRDefault="00002CEF">
      <w:pPr>
        <w:pStyle w:val="RKnormal"/>
      </w:pPr>
    </w:p>
    <w:p w:rsidR="00002CEF" w:rsidRPr="005B7E47" w:rsidRDefault="00002CEF">
      <w:pPr>
        <w:pStyle w:val="RKnormal"/>
        <w:rPr>
          <w:b/>
          <w:bCs/>
        </w:rPr>
      </w:pPr>
      <w:r w:rsidRPr="005B7E47">
        <w:rPr>
          <w:b/>
          <w:bCs/>
        </w:rPr>
        <w:t>Dagordningspunkt 6</w:t>
      </w:r>
    </w:p>
    <w:p w:rsidR="00002CEF" w:rsidRPr="005B7E47" w:rsidRDefault="00002CEF">
      <w:pPr>
        <w:pStyle w:val="RKnormal"/>
      </w:pPr>
    </w:p>
    <w:p w:rsidR="00002CEF" w:rsidRPr="005B7E47" w:rsidRDefault="00002CEF">
      <w:pPr>
        <w:pStyle w:val="RKnormal"/>
        <w:rPr>
          <w:b/>
          <w:bCs/>
        </w:rPr>
      </w:pPr>
      <w:r w:rsidRPr="005B7E47">
        <w:rPr>
          <w:b/>
          <w:bCs/>
        </w:rPr>
        <w:t>Förslag till rambeslut om överförande av dömda personer mellan EU:s medlemsstater</w:t>
      </w:r>
    </w:p>
    <w:p w:rsidR="00002CEF" w:rsidRPr="005B7E47" w:rsidRDefault="00002CEF">
      <w:pPr>
        <w:pStyle w:val="RKnormal"/>
      </w:pPr>
    </w:p>
    <w:p w:rsidR="00002CEF" w:rsidRPr="005B7E47" w:rsidRDefault="00002CEF">
      <w:pPr>
        <w:pStyle w:val="RKnormal"/>
        <w:rPr>
          <w:i/>
          <w:iCs/>
        </w:rPr>
      </w:pPr>
      <w:r w:rsidRPr="005B7E47">
        <w:rPr>
          <w:b/>
          <w:bCs/>
        </w:rPr>
        <w:t>Dokument:</w:t>
      </w:r>
      <w:r w:rsidRPr="005B7E47">
        <w:t xml:space="preserve"> Har ännu inte distribuerats. </w:t>
      </w:r>
    </w:p>
    <w:p w:rsidR="00002CEF" w:rsidRPr="005B7E47" w:rsidRDefault="00002CEF">
      <w:pPr>
        <w:pStyle w:val="RKnormal"/>
      </w:pPr>
    </w:p>
    <w:p w:rsidR="00002CEF" w:rsidRPr="005B7E47" w:rsidRDefault="00002CEF">
      <w:pPr>
        <w:pStyle w:val="RKnormal"/>
      </w:pPr>
      <w:r w:rsidRPr="005B7E47">
        <w:rPr>
          <w:b/>
          <w:bCs/>
        </w:rPr>
        <w:t>Tidigare dokument:</w:t>
      </w:r>
      <w:r w:rsidRPr="005B7E47">
        <w:t xml:space="preserve">  15389/1/06, COPEN 118, REV 1(senaste lydelse av hela rambeslutet), Fakta-PM Justitidepartementet</w:t>
      </w:r>
      <w:r w:rsidRPr="005B7E47">
        <w:rPr>
          <w:b/>
        </w:rPr>
        <w:t xml:space="preserve"> </w:t>
      </w:r>
      <w:r w:rsidRPr="005B7E47">
        <w:fldChar w:fldCharType="begin" w:fldLock="1"/>
      </w:r>
      <w:r w:rsidRPr="005B7E47">
        <w:instrText xml:space="preserve"> DOCPROPERTY Ar</w:instrText>
      </w:r>
      <w:r w:rsidRPr="005B7E47">
        <w:fldChar w:fldCharType="separate"/>
      </w:r>
      <w:r w:rsidRPr="005B7E47">
        <w:t>2004/05</w:t>
      </w:r>
      <w:r w:rsidRPr="005B7E47">
        <w:fldChar w:fldCharType="end"/>
      </w:r>
      <w:r w:rsidRPr="005B7E47">
        <w:t>:</w:t>
      </w:r>
      <w:r w:rsidRPr="005B7E47">
        <w:fldChar w:fldCharType="begin" w:fldLock="1"/>
      </w:r>
      <w:r w:rsidRPr="005B7E47">
        <w:instrText xml:space="preserve"> DOCPROPERTY Typ</w:instrText>
      </w:r>
      <w:r w:rsidRPr="005B7E47">
        <w:fldChar w:fldCharType="separate"/>
      </w:r>
      <w:r w:rsidRPr="005B7E47">
        <w:t>FPM</w:t>
      </w:r>
      <w:r w:rsidRPr="005B7E47">
        <w:fldChar w:fldCharType="end"/>
      </w:r>
      <w:r w:rsidRPr="005B7E47">
        <w:fldChar w:fldCharType="begin" w:fldLock="1"/>
      </w:r>
      <w:r w:rsidRPr="005B7E47">
        <w:instrText xml:space="preserve"> DOCPROPERTY Nr</w:instrText>
      </w:r>
      <w:r w:rsidRPr="005B7E47">
        <w:fldChar w:fldCharType="separate"/>
      </w:r>
      <w:r w:rsidRPr="005B7E47">
        <w:t>58</w:t>
      </w:r>
      <w:r w:rsidRPr="005B7E47">
        <w:fldChar w:fldCharType="end"/>
      </w:r>
    </w:p>
    <w:p w:rsidR="00002CEF" w:rsidRPr="005B7E47" w:rsidRDefault="00002CEF">
      <w:pPr>
        <w:pStyle w:val="RKnormal"/>
      </w:pPr>
      <w:r w:rsidRPr="005B7E47">
        <w:t xml:space="preserve"> </w:t>
      </w:r>
    </w:p>
    <w:p w:rsidR="00002CEF" w:rsidRPr="005B7E47" w:rsidRDefault="00002CEF">
      <w:pPr>
        <w:pStyle w:val="RKnormal"/>
      </w:pPr>
      <w:r w:rsidRPr="005B7E47">
        <w:t>Rambeslutet har tidigare behandlats i EU-nämnden avseende bl.a. frågorna om dubbel straffbarhet (21 april 2006), den verkställande statens och den dömdes samtycke till överförandet (31 maj 2006) samt syftet om social återanpassning och överförande av tredjelandsmed</w:t>
      </w:r>
      <w:r w:rsidRPr="005B7E47">
        <w:softHyphen/>
        <w:t>borgare (2 oktober 2006). Rambeslutet har därutöver berörts vid flera möten med justitieutskottets EU-grupp.</w:t>
      </w:r>
    </w:p>
    <w:p w:rsidR="00002CEF" w:rsidRPr="005B7E47" w:rsidRDefault="00002CEF">
      <w:pPr>
        <w:pStyle w:val="RKrubrik"/>
      </w:pPr>
      <w:r w:rsidRPr="005B7E47">
        <w:t>Bakgrund</w:t>
      </w:r>
    </w:p>
    <w:p w:rsidR="00002CEF" w:rsidRPr="005B7E47" w:rsidRDefault="00002CEF">
      <w:pPr>
        <w:pStyle w:val="RKnormal"/>
      </w:pPr>
      <w:r w:rsidRPr="005B7E47">
        <w:t>Österrike, Finland och Sverige presenterade i januari 2005 ett förslag till rambeslut om överförande av dömda personer mellan EU:s medlems</w:t>
      </w:r>
      <w:r w:rsidRPr="005B7E47">
        <w:softHyphen/>
        <w:t>stater. Förslaget syftar till att underlätta och effektivisera dagens sam</w:t>
      </w:r>
      <w:r w:rsidRPr="005B7E47">
        <w:softHyphen/>
        <w:t xml:space="preserve">arbete enligt 1983 års Europarådskonvention när det gäller överförande av dömda personer. Rambeslutet bygger på principen om ömsesidigt erkännande och innebär att en dom med ett frihetsberövande straff (för svensk del fängelse, rättspsykiatrisk vård och sluten ungdomsvård) skall erkännas och verkställas i den dömdes hemland. </w:t>
      </w:r>
    </w:p>
    <w:p w:rsidR="00002CEF" w:rsidRPr="005B7E47" w:rsidRDefault="00002CEF">
      <w:pPr>
        <w:pStyle w:val="RKnormal"/>
      </w:pPr>
    </w:p>
    <w:p w:rsidR="00002CEF" w:rsidRPr="005B7E47" w:rsidRDefault="00002CEF">
      <w:pPr>
        <w:pStyle w:val="RKnormal"/>
      </w:pPr>
      <w:r w:rsidRPr="005B7E47">
        <w:t>Om förslaget genomförs kan det förväntas effektivisera handläggningen av överförandeärenden. I förslaget finns bestämmelser om bl.a. ett begränsat antal vägransgrunder, införande av tidsfrister för beslut om överförande och själva transporten av den dömde samt begränsad möjlig</w:t>
      </w:r>
      <w:r w:rsidRPr="005B7E47">
        <w:softHyphen/>
        <w:t>het för den verkställande staten att ändra den utdömda påföljd</w:t>
      </w:r>
      <w:r w:rsidRPr="005B7E47">
        <w:softHyphen/>
        <w:t xml:space="preserve">ens natur eller längd. </w:t>
      </w:r>
    </w:p>
    <w:p w:rsidR="00002CEF" w:rsidRPr="005B7E47" w:rsidRDefault="00002CEF">
      <w:pPr>
        <w:pStyle w:val="RKnormal"/>
      </w:pPr>
    </w:p>
    <w:p w:rsidR="00002CEF" w:rsidRPr="005B7E47" w:rsidRDefault="00002CEF">
      <w:pPr>
        <w:pStyle w:val="RKnormal"/>
      </w:pPr>
      <w:r w:rsidRPr="005B7E47">
        <w:lastRenderedPageBreak/>
        <w:t>ORDF:s syfte vid rådsmötet är att nå en politisk överenskommelse om hela ram</w:t>
      </w:r>
      <w:r w:rsidRPr="005B7E47">
        <w:softHyphen/>
        <w:t>be</w:t>
      </w:r>
      <w:r w:rsidRPr="005B7E47">
        <w:softHyphen/>
        <w:t>slutet. Diskussionen kommer att fokuseras på några utestående frågor, bl.a. tillämpningsområdet och övergångsbestämmelser, som inte lösts på tjänstemannanivå.</w:t>
      </w:r>
    </w:p>
    <w:p w:rsidR="00002CEF" w:rsidRPr="005B7E47" w:rsidRDefault="00002CEF">
      <w:pPr>
        <w:pStyle w:val="RKrubrik"/>
      </w:pPr>
      <w:r w:rsidRPr="005B7E47">
        <w:t>Rättslig grund och beslutsförfarande</w:t>
      </w:r>
    </w:p>
    <w:p w:rsidR="00002CEF" w:rsidRPr="005B7E47" w:rsidRDefault="00002CEF">
      <w:pPr>
        <w:pStyle w:val="normal0"/>
        <w:rPr>
          <w:rFonts w:ascii="OrigGarmnd BT" w:hAnsi="OrigGarmnd BT"/>
          <w:sz w:val="24"/>
          <w:lang w:val="sv-SE"/>
        </w:rPr>
      </w:pPr>
      <w:r w:rsidRPr="005B7E47">
        <w:rPr>
          <w:rFonts w:ascii="OrigGarmnd BT" w:hAnsi="OrigGarmnd BT"/>
          <w:sz w:val="24"/>
          <w:lang w:val="sv-SE"/>
        </w:rPr>
        <w:t>Som rättslig grund för förslaget till rambeslut har angetts artikel 31.1 a och artikel 34.2 b i EU-fördraget. Rambeslutet antas med enhällighet efter att ha konsulterat Europaparlamentet.</w:t>
      </w:r>
    </w:p>
    <w:p w:rsidR="00002CEF" w:rsidRPr="005B7E47" w:rsidRDefault="00002CEF">
      <w:pPr>
        <w:pStyle w:val="RKrubrik"/>
        <w:rPr>
          <w:i/>
          <w:iCs/>
        </w:rPr>
      </w:pPr>
      <w:r w:rsidRPr="005B7E47">
        <w:rPr>
          <w:i/>
          <w:iCs/>
        </w:rPr>
        <w:t>Svensk ståndpunkt</w:t>
      </w:r>
    </w:p>
    <w:p w:rsidR="00002CEF" w:rsidRPr="005B7E47" w:rsidRDefault="00002CEF">
      <w:pPr>
        <w:rPr>
          <w:bCs/>
          <w:i/>
          <w:iCs/>
        </w:rPr>
      </w:pPr>
      <w:r w:rsidRPr="005B7E47">
        <w:rPr>
          <w:bCs/>
          <w:i/>
          <w:iCs/>
        </w:rPr>
        <w:t>Sveriges inställning allmänt till förslaget till rambeslut</w:t>
      </w:r>
    </w:p>
    <w:p w:rsidR="00002CEF" w:rsidRPr="005B7E47" w:rsidRDefault="00002CEF">
      <w:pPr>
        <w:rPr>
          <w:bCs/>
        </w:rPr>
      </w:pPr>
      <w:r w:rsidRPr="005B7E47">
        <w:rPr>
          <w:bCs/>
        </w:rPr>
        <w:t>Sverige stödjer i huvudsak</w:t>
      </w:r>
      <w:r w:rsidRPr="005B7E47">
        <w:rPr>
          <w:b/>
        </w:rPr>
        <w:t xml:space="preserve"> </w:t>
      </w:r>
      <w:r w:rsidRPr="005B7E47">
        <w:rPr>
          <w:bCs/>
        </w:rPr>
        <w:t>både innehåll och syfte med rambeslutet. Sverige verkar i förhand</w:t>
      </w:r>
      <w:r w:rsidRPr="005B7E47">
        <w:rPr>
          <w:bCs/>
        </w:rPr>
        <w:softHyphen/>
        <w:t>ling</w:t>
      </w:r>
      <w:r w:rsidRPr="005B7E47">
        <w:rPr>
          <w:bCs/>
        </w:rPr>
        <w:softHyphen/>
        <w:t>arna för ett så stort mervärde som möjligt i förhållande till dagens tämligen tungrodda system om överförande av dömda personer mellan EU:s medlemsstater (enligt 1983 års Europarådskonvention och dess tilläggsprotokoll från 1997). Mervärdet ligger i en förenkling och effektivisering i hanteringen av överförandeärendena.</w:t>
      </w:r>
    </w:p>
    <w:p w:rsidR="00002CEF" w:rsidRPr="005B7E47" w:rsidRDefault="00002CEF">
      <w:pPr>
        <w:rPr>
          <w:bCs/>
        </w:rPr>
      </w:pPr>
    </w:p>
    <w:p w:rsidR="00002CEF" w:rsidRPr="005B7E47" w:rsidRDefault="00002CEF">
      <w:pPr>
        <w:rPr>
          <w:bCs/>
          <w:i/>
        </w:rPr>
      </w:pPr>
      <w:r w:rsidRPr="005B7E47">
        <w:rPr>
          <w:bCs/>
          <w:i/>
        </w:rPr>
        <w:t xml:space="preserve">Tillämpningsområdet </w:t>
      </w:r>
    </w:p>
    <w:p w:rsidR="00002CEF" w:rsidRPr="005B7E47" w:rsidRDefault="00002CEF">
      <w:pPr>
        <w:rPr>
          <w:bCs/>
        </w:rPr>
      </w:pPr>
      <w:r w:rsidRPr="005B7E47">
        <w:rPr>
          <w:bCs/>
        </w:rPr>
        <w:t>Sverige har i förhandlingarna verkat för att det tvingande samarbets</w:t>
      </w:r>
      <w:r w:rsidRPr="005B7E47">
        <w:rPr>
          <w:bCs/>
        </w:rPr>
        <w:softHyphen/>
        <w:t>området skall omfatta alla personer som har stark anknytning till den verkställ</w:t>
      </w:r>
      <w:r w:rsidRPr="005B7E47">
        <w:rPr>
          <w:bCs/>
        </w:rPr>
        <w:softHyphen/>
        <w:t>ande staten genom medborgarskap liksom laglig hemvist och uppehållstillstånd där. I syfte att nå en kompromiss stödjer Sverige det nuvarande förslaget som bl.a. undantar tredjelandsmedborgare från det tvingande området. Förslaget täcker dock flertalet av de överför</w:t>
      </w:r>
      <w:r w:rsidRPr="005B7E47">
        <w:rPr>
          <w:bCs/>
        </w:rPr>
        <w:softHyphen/>
        <w:t>an</w:t>
      </w:r>
      <w:r w:rsidRPr="005B7E47">
        <w:rPr>
          <w:bCs/>
        </w:rPr>
        <w:softHyphen/>
      </w:r>
      <w:r w:rsidRPr="005B7E47">
        <w:rPr>
          <w:bCs/>
        </w:rPr>
        <w:softHyphen/>
        <w:t>de</w:t>
      </w:r>
      <w:r w:rsidRPr="005B7E47">
        <w:rPr>
          <w:bCs/>
        </w:rPr>
        <w:softHyphen/>
      </w:r>
      <w:r w:rsidRPr="005B7E47">
        <w:rPr>
          <w:bCs/>
        </w:rPr>
        <w:softHyphen/>
      </w:r>
      <w:r w:rsidRPr="005B7E47">
        <w:rPr>
          <w:bCs/>
        </w:rPr>
        <w:softHyphen/>
        <w:t xml:space="preserve">situationer som kan tänkas uppkomma. </w:t>
      </w:r>
    </w:p>
    <w:p w:rsidR="00002CEF" w:rsidRPr="005B7E47" w:rsidRDefault="00002CEF">
      <w:pPr>
        <w:rPr>
          <w:bCs/>
        </w:rPr>
      </w:pPr>
    </w:p>
    <w:p w:rsidR="00002CEF" w:rsidRPr="005B7E47" w:rsidRDefault="00002CEF">
      <w:pPr>
        <w:rPr>
          <w:bCs/>
          <w:i/>
        </w:rPr>
      </w:pPr>
      <w:r w:rsidRPr="005B7E47">
        <w:rPr>
          <w:bCs/>
          <w:i/>
        </w:rPr>
        <w:t xml:space="preserve">Den dömdes samtycke </w:t>
      </w:r>
    </w:p>
    <w:p w:rsidR="00002CEF" w:rsidRPr="005B7E47" w:rsidRDefault="00002CEF">
      <w:r w:rsidRPr="005B7E47">
        <w:t>Sverige stödjer det föreliggande förslaget. Den svenska grund</w:t>
      </w:r>
      <w:r w:rsidRPr="005B7E47">
        <w:softHyphen/>
        <w:t>inställ</w:t>
      </w:r>
      <w:r w:rsidRPr="005B7E47">
        <w:softHyphen/>
        <w:t>ningen, som bl.a. bygger på våra erfarenheter från det nordiska sam</w:t>
      </w:r>
      <w:r w:rsidRPr="005B7E47">
        <w:softHyphen/>
        <w:t>arbet</w:t>
      </w:r>
      <w:r w:rsidRPr="005B7E47">
        <w:softHyphen/>
        <w:t>et på detta område, är att den dömdes samtycke inte skall kräv</w:t>
      </w:r>
      <w:r w:rsidRPr="005B7E47">
        <w:softHyphen/>
        <w:t>as för att överförande skall kunna ske. Alla medlemsstater delar inte det synsättet och den nu föreslagna lösningen är en rimlig avvägning som Sverige kan godta.</w:t>
      </w:r>
    </w:p>
    <w:p w:rsidR="00002CEF" w:rsidRPr="005B7E47" w:rsidRDefault="00002CEF"/>
    <w:p w:rsidR="00002CEF" w:rsidRPr="005B7E47" w:rsidRDefault="00002CEF">
      <w:pPr>
        <w:rPr>
          <w:i/>
        </w:rPr>
      </w:pPr>
      <w:r w:rsidRPr="005B7E47">
        <w:rPr>
          <w:i/>
        </w:rPr>
        <w:t xml:space="preserve">Vägransgrunderna </w:t>
      </w:r>
    </w:p>
    <w:p w:rsidR="00002CEF" w:rsidRPr="005B7E47" w:rsidRDefault="00002CEF">
      <w:r w:rsidRPr="005B7E47">
        <w:t>Sverige verkar för att territorialitetsklausulen skall begränsas. Eftersom personen redan är dömd bör territorialitetshänsyn endast i begräns</w:t>
      </w:r>
      <w:r w:rsidRPr="005B7E47">
        <w:softHyphen/>
        <w:t>ad utsträckning utgöra hinder för överförande.</w:t>
      </w:r>
    </w:p>
    <w:p w:rsidR="00002CEF" w:rsidRPr="005B7E47" w:rsidRDefault="00002CEF">
      <w:pPr>
        <w:rPr>
          <w:i/>
        </w:rPr>
      </w:pPr>
      <w:r w:rsidRPr="005B7E47">
        <w:br w:type="page"/>
      </w:r>
      <w:r w:rsidRPr="005B7E47">
        <w:rPr>
          <w:i/>
        </w:rPr>
        <w:t>Överföranden till följd av en europeisk arresteringsorder</w:t>
      </w:r>
    </w:p>
    <w:p w:rsidR="00002CEF" w:rsidRPr="005B7E47" w:rsidRDefault="00002CEF">
      <w:r w:rsidRPr="005B7E47">
        <w:t xml:space="preserve">Sverige stödjer det föreliggande förslaget. </w:t>
      </w:r>
    </w:p>
    <w:p w:rsidR="00002CEF" w:rsidRPr="005B7E47" w:rsidRDefault="00002CEF"/>
    <w:p w:rsidR="00002CEF" w:rsidRPr="005B7E47" w:rsidRDefault="00002CEF">
      <w:pPr>
        <w:rPr>
          <w:i/>
        </w:rPr>
      </w:pPr>
      <w:r w:rsidRPr="005B7E47">
        <w:rPr>
          <w:i/>
        </w:rPr>
        <w:t>Övergångsbestämmelser och ikraftträdande</w:t>
      </w:r>
    </w:p>
    <w:p w:rsidR="00002CEF" w:rsidRPr="005B7E47" w:rsidRDefault="00002CEF">
      <w:r w:rsidRPr="005B7E47">
        <w:t>Sverige stödjer det föreliggande förslaget och verkar för att undantags</w:t>
      </w:r>
      <w:r w:rsidRPr="005B7E47">
        <w:softHyphen/>
        <w:t>möjligheten skall bli så begränsad som möjligt. Vi bör undvika att det under en lång tid finns två parallella system för överförande – detta rambeslut och för äldre ärenden 1983 års överförandekonvention.</w:t>
      </w:r>
    </w:p>
    <w:p w:rsidR="00002CEF" w:rsidRPr="005B7E47" w:rsidRDefault="00002CEF">
      <w:pPr>
        <w:pStyle w:val="RKrubrik"/>
      </w:pPr>
      <w:r w:rsidRPr="005B7E47">
        <w:t>Europaparlamentets inställning</w:t>
      </w:r>
    </w:p>
    <w:p w:rsidR="00002CEF" w:rsidRPr="005B7E47" w:rsidRDefault="00002CEF">
      <w:pPr>
        <w:pStyle w:val="RKnormal"/>
      </w:pPr>
      <w:r w:rsidRPr="005B7E47">
        <w:t>Europaparlamentet yttrade sig över förslaget i maj 2006. Parlamentet stödde förslaget och hade för egen del ett antal förslag till ändringar av förslagstexterna.</w:t>
      </w:r>
    </w:p>
    <w:p w:rsidR="00002CEF" w:rsidRPr="005B7E47" w:rsidRDefault="00002CEF">
      <w:pPr>
        <w:pStyle w:val="RKnormal"/>
      </w:pPr>
    </w:p>
    <w:p w:rsidR="00002CEF" w:rsidRPr="005B7E47" w:rsidRDefault="00002CEF">
      <w:pPr>
        <w:pStyle w:val="RKrubrik"/>
        <w:rPr>
          <w:i/>
          <w:iCs/>
        </w:rPr>
      </w:pPr>
      <w:r w:rsidRPr="005B7E47">
        <w:rPr>
          <w:i/>
          <w:iCs/>
        </w:rPr>
        <w:t>Förslaget</w:t>
      </w:r>
    </w:p>
    <w:p w:rsidR="00002CEF" w:rsidRPr="005B7E47" w:rsidRDefault="00002CEF">
      <w:pPr>
        <w:pStyle w:val="RKnormal"/>
      </w:pPr>
      <w:r w:rsidRPr="005B7E47">
        <w:t xml:space="preserve">Följande utestående frågor skall diskuteras vid ministermötet. </w:t>
      </w:r>
    </w:p>
    <w:p w:rsidR="00002CEF" w:rsidRPr="005B7E47" w:rsidRDefault="00002CEF">
      <w:pPr>
        <w:pStyle w:val="RKnormal"/>
      </w:pPr>
    </w:p>
    <w:p w:rsidR="00002CEF" w:rsidRPr="005B7E47" w:rsidRDefault="00002CEF">
      <w:pPr>
        <w:pStyle w:val="RKnormal"/>
        <w:rPr>
          <w:i/>
        </w:rPr>
      </w:pPr>
      <w:r w:rsidRPr="005B7E47">
        <w:rPr>
          <w:i/>
        </w:rPr>
        <w:t xml:space="preserve">Tillämpningsområdet </w:t>
      </w:r>
    </w:p>
    <w:p w:rsidR="00002CEF" w:rsidRPr="005B7E47" w:rsidRDefault="00002CEF">
      <w:pPr>
        <w:pStyle w:val="RKnormal"/>
      </w:pPr>
      <w:r w:rsidRPr="005B7E47">
        <w:t>Enligt det nuvarande förslaget möjliggörs överföranden mellan EU:s medlemsstater av alla personer som dömts i en medlemsstat i EU, dvs. även tredjelandsmedborgare. Den verkställande staten är dock endast skyldig – såvida ingen vägransgrund är tillämplig – att ta emot egna medborgare som har sin hemvist där eller som skall utvisas dit.  Alla övriga överföranden är frivilliga för den verkställande staten. En medlemsstat kan avge en förklaring om att man är beredd att utsträcka sitt obligatoriska åtagande til</w:t>
      </w:r>
      <w:r w:rsidRPr="005B7E47">
        <w:t xml:space="preserve">l att också omfatta t.ex. egna medborgare som inte har hemvist i den verkställande staten. </w:t>
      </w:r>
    </w:p>
    <w:p w:rsidR="00002CEF" w:rsidRPr="005B7E47" w:rsidRDefault="00002CEF">
      <w:pPr>
        <w:pStyle w:val="RKnormal"/>
      </w:pPr>
    </w:p>
    <w:p w:rsidR="00002CEF" w:rsidRPr="005B7E47" w:rsidRDefault="00002CEF">
      <w:pPr>
        <w:pStyle w:val="RKnormal"/>
      </w:pPr>
      <w:r w:rsidRPr="005B7E47">
        <w:t xml:space="preserve">En majoritet av medlemsländerna stödjer ORDF:s förslag medan vissa  medlemsstater menar att det tvingande samarbetsområdet bör utvidgas. </w:t>
      </w:r>
    </w:p>
    <w:p w:rsidR="00002CEF" w:rsidRPr="005B7E47" w:rsidRDefault="00002CEF">
      <w:pPr>
        <w:pStyle w:val="RKnormal"/>
      </w:pPr>
    </w:p>
    <w:p w:rsidR="00002CEF" w:rsidRPr="005B7E47" w:rsidRDefault="00002CEF">
      <w:pPr>
        <w:pStyle w:val="RKnormal"/>
        <w:rPr>
          <w:i/>
          <w:iCs/>
        </w:rPr>
      </w:pPr>
      <w:r w:rsidRPr="005B7E47">
        <w:rPr>
          <w:i/>
          <w:iCs/>
        </w:rPr>
        <w:t xml:space="preserve">Den dömdes samtycke </w:t>
      </w:r>
    </w:p>
    <w:p w:rsidR="00002CEF" w:rsidRPr="005B7E47" w:rsidRDefault="00002CEF">
      <w:pPr>
        <w:pStyle w:val="RKnormal"/>
        <w:rPr>
          <w:iCs/>
        </w:rPr>
      </w:pPr>
      <w:r w:rsidRPr="005B7E47">
        <w:rPr>
          <w:iCs/>
        </w:rPr>
        <w:t xml:space="preserve">En fråga som har nära samband med tillämpningsområdet är i vilka fall den dömdes samtycke skall vara en förutsättning för överförande. </w:t>
      </w:r>
    </w:p>
    <w:p w:rsidR="00002CEF" w:rsidRPr="005B7E47" w:rsidRDefault="00002CEF">
      <w:pPr>
        <w:pStyle w:val="RKnormal"/>
        <w:rPr>
          <w:i/>
          <w:iCs/>
        </w:rPr>
      </w:pPr>
    </w:p>
    <w:p w:rsidR="00002CEF" w:rsidRPr="005B7E47" w:rsidRDefault="00002CEF">
      <w:pPr>
        <w:pStyle w:val="RKnormal"/>
      </w:pPr>
      <w:r w:rsidRPr="005B7E47">
        <w:t>Som huvudregel förutsätter rambeslutet att den dömdes samtycker till ett överförande. Den dömdes samtycke krävs dock inte vid överförande till den dömdes medborgarskapsland om han eller hon har sin hemvist där. Den dömdes samtycke krävs inte heller till en medlemsstat dit den dömde skall utvisas eller har flytt. Undantagen från huvudregeln torde i praktiken komma att utgöra det absoluta flertalet av alla överförande</w:t>
      </w:r>
      <w:r w:rsidRPr="005B7E47">
        <w:softHyphen/>
        <w:t xml:space="preserve">ärenden.  </w:t>
      </w:r>
    </w:p>
    <w:p w:rsidR="00002CEF" w:rsidRPr="005B7E47" w:rsidRDefault="00002CEF">
      <w:pPr>
        <w:pStyle w:val="RKnormal"/>
      </w:pPr>
    </w:p>
    <w:p w:rsidR="00002CEF" w:rsidRPr="005B7E47" w:rsidRDefault="00002CEF">
      <w:pPr>
        <w:pStyle w:val="RKnormal"/>
      </w:pPr>
      <w:r w:rsidRPr="005B7E47">
        <w:t xml:space="preserve">Endast ett fåtal medlemsländer har invändningar mot förslaget. Dessa stater vill utöka kravet på den dömdes samtycke. </w:t>
      </w:r>
    </w:p>
    <w:p w:rsidR="00002CEF" w:rsidRPr="005B7E47" w:rsidRDefault="00002CEF">
      <w:pPr>
        <w:pStyle w:val="RKnormal"/>
      </w:pPr>
    </w:p>
    <w:p w:rsidR="00002CEF" w:rsidRPr="005B7E47" w:rsidRDefault="00002CEF">
      <w:pPr>
        <w:pStyle w:val="RKnormal"/>
        <w:rPr>
          <w:i/>
        </w:rPr>
      </w:pPr>
      <w:r w:rsidRPr="005B7E47">
        <w:rPr>
          <w:i/>
        </w:rPr>
        <w:t xml:space="preserve">Vägransgrunderna  </w:t>
      </w:r>
    </w:p>
    <w:p w:rsidR="00002CEF" w:rsidRPr="005B7E47" w:rsidRDefault="00002CEF">
      <w:pPr>
        <w:pStyle w:val="RKnormal"/>
        <w:rPr>
          <w:i/>
        </w:rPr>
      </w:pPr>
      <w:r w:rsidRPr="005B7E47">
        <w:t xml:space="preserve">Bred enighet råder kring vägransgrunderna. En vägransgrund kopplad till den verkställande statens territorialitet kvarstår att lösa. </w:t>
      </w:r>
    </w:p>
    <w:p w:rsidR="00002CEF" w:rsidRPr="005B7E47" w:rsidRDefault="00002CEF">
      <w:pPr>
        <w:pStyle w:val="RKnormal"/>
        <w:rPr>
          <w:i/>
        </w:rPr>
      </w:pPr>
    </w:p>
    <w:p w:rsidR="00002CEF" w:rsidRPr="005B7E47" w:rsidRDefault="00002CEF">
      <w:pPr>
        <w:pStyle w:val="RKnormal"/>
      </w:pPr>
      <w:r w:rsidRPr="005B7E47">
        <w:t>Vägransgrunden innebär att den verkställande staten kan vägra över</w:t>
      </w:r>
      <w:r w:rsidRPr="005B7E47">
        <w:softHyphen/>
        <w:t xml:space="preserve">förande om domen avser en gärning som helt eller delvis begåtts på den verkställande statens territorium. För i synnerhet en medlemsstat är en sådan vägransgrund av avgörande betydelse. </w:t>
      </w:r>
    </w:p>
    <w:p w:rsidR="00002CEF" w:rsidRPr="005B7E47" w:rsidRDefault="00002CEF">
      <w:pPr>
        <w:pStyle w:val="RKnormal"/>
      </w:pPr>
    </w:p>
    <w:p w:rsidR="00002CEF" w:rsidRPr="005B7E47" w:rsidRDefault="00002CEF">
      <w:pPr>
        <w:pStyle w:val="RKnormal"/>
      </w:pPr>
      <w:r w:rsidRPr="005B7E47">
        <w:t>Några medlemsstater vill införa en vägrans</w:t>
      </w:r>
      <w:r w:rsidRPr="005B7E47">
        <w:softHyphen/>
        <w:t>grund för den verkställande staten i de situationer när den staten anser att ett över</w:t>
      </w:r>
      <w:r w:rsidRPr="005B7E47">
        <w:softHyphen/>
        <w:t>förande av den dömde dit inte skulle främja den dömdes återanpassning. En majoritet av medlemsstaterna är emot en sådan vägransgrund. De menar att rambe</w:t>
      </w:r>
      <w:r w:rsidRPr="005B7E47">
        <w:softHyphen/>
        <w:t>slutet tillräckligt beaktar syftet om social återanpassning eftersom det på flera sätt understryks att domslandet noggrant skall beakta återanpass</w:t>
      </w:r>
      <w:r w:rsidRPr="005B7E47">
        <w:softHyphen/>
        <w:t>ningen innan den begär överförande. De motsätter sig en sådan vägrans</w:t>
      </w:r>
      <w:r w:rsidRPr="005B7E47">
        <w:softHyphen/>
        <w:t>grund på den grunden att de anser att domslandets bedöm</w:t>
      </w:r>
      <w:r w:rsidRPr="005B7E47">
        <w:t xml:space="preserve">ning i frågan om social återanpassning inte skall kunna ifrågasättas av den verkställande staten.  </w:t>
      </w:r>
    </w:p>
    <w:p w:rsidR="00002CEF" w:rsidRPr="005B7E47" w:rsidRDefault="00002CEF">
      <w:pPr>
        <w:pStyle w:val="RKnormal"/>
      </w:pPr>
    </w:p>
    <w:p w:rsidR="00002CEF" w:rsidRPr="005B7E47" w:rsidRDefault="00002CEF">
      <w:pPr>
        <w:pStyle w:val="RKnormal"/>
        <w:rPr>
          <w:i/>
        </w:rPr>
      </w:pPr>
      <w:r w:rsidRPr="005B7E47">
        <w:rPr>
          <w:i/>
        </w:rPr>
        <w:t xml:space="preserve">Överföranden till följd av en europeisk arresteringsorder </w:t>
      </w:r>
    </w:p>
    <w:p w:rsidR="00002CEF" w:rsidRPr="005B7E47" w:rsidRDefault="00002CEF">
      <w:pPr>
        <w:pStyle w:val="RKnormal"/>
        <w:rPr>
          <w:sz w:val="26"/>
        </w:rPr>
      </w:pPr>
      <w:r w:rsidRPr="005B7E47">
        <w:t>Enligt rambeslutet om den europeiska arresteringsordern kan en med</w:t>
      </w:r>
      <w:r w:rsidRPr="005B7E47">
        <w:softHyphen/>
        <w:t>lemsstat i vissa fall istället för att överlämna en person för straffverkställ</w:t>
      </w:r>
      <w:r w:rsidRPr="005B7E47">
        <w:softHyphen/>
        <w:t>ig</w:t>
      </w:r>
      <w:r w:rsidRPr="005B7E47">
        <w:softHyphen/>
        <w:t>het själv verkställa straffet och en medlemsstat kan i vissa andra fall villkora ett överläm</w:t>
      </w:r>
      <w:r w:rsidRPr="005B7E47">
        <w:softHyphen/>
        <w:t>nande för lagföring till en annan medlemsstat med att personen skall återföras för att där avtjäna ett eventuellt straff. Arrester</w:t>
      </w:r>
      <w:r w:rsidRPr="005B7E47">
        <w:softHyphen/>
        <w:t>ingsordern reglerar inte närmare hur verkställigheten skall överföras i dessa fall, vilket orsakar problem för vissa medlemsländer.</w:t>
      </w:r>
    </w:p>
    <w:p w:rsidR="00002CEF" w:rsidRPr="005B7E47" w:rsidRDefault="00002CEF">
      <w:pPr>
        <w:pStyle w:val="RKnormal"/>
      </w:pPr>
    </w:p>
    <w:p w:rsidR="00002CEF" w:rsidRPr="005B7E47" w:rsidRDefault="00002CEF">
      <w:pPr>
        <w:pStyle w:val="RKnormal"/>
      </w:pPr>
      <w:r w:rsidRPr="005B7E47">
        <w:t>Ett syfte med rambeslutet har varit att lösa de problem som finns vid överföranden av straffverkställighet i anslutning till ett ärende om över</w:t>
      </w:r>
      <w:r w:rsidRPr="005B7E47">
        <w:softHyphen/>
        <w:t>lämnande enligt en europeisk arresteringsorder. Förslaget innehåller inte några detaljerade regler utan anger att det här rambeslutet skall tillämpas i den utsträckning bestämmel</w:t>
      </w:r>
      <w:r w:rsidRPr="005B7E47">
        <w:softHyphen/>
      </w:r>
      <w:r w:rsidRPr="005B7E47">
        <w:softHyphen/>
        <w:t>serna är fören</w:t>
      </w:r>
      <w:r w:rsidRPr="005B7E47">
        <w:softHyphen/>
        <w:t>liga med ram</w:t>
      </w:r>
      <w:r w:rsidRPr="005B7E47">
        <w:softHyphen/>
        <w:t>be</w:t>
      </w:r>
      <w:r w:rsidRPr="005B7E47">
        <w:softHyphen/>
        <w:t>slutet om den europeiska arre</w:t>
      </w:r>
      <w:r w:rsidRPr="005B7E47">
        <w:softHyphen/>
        <w:t xml:space="preserve">steringsordern. </w:t>
      </w:r>
    </w:p>
    <w:p w:rsidR="00002CEF" w:rsidRPr="005B7E47" w:rsidRDefault="00002CEF">
      <w:pPr>
        <w:pStyle w:val="RKnormal"/>
      </w:pPr>
    </w:p>
    <w:p w:rsidR="00002CEF" w:rsidRPr="005B7E47" w:rsidRDefault="00002CEF">
      <w:pPr>
        <w:pStyle w:val="RKnormal"/>
      </w:pPr>
      <w:r w:rsidRPr="005B7E47">
        <w:t xml:space="preserve">Majoriteten av medlemsländerna stödjer förslaget. </w:t>
      </w:r>
    </w:p>
    <w:p w:rsidR="00002CEF" w:rsidRPr="005B7E47" w:rsidRDefault="00002CEF">
      <w:pPr>
        <w:pStyle w:val="RKnormal"/>
      </w:pPr>
    </w:p>
    <w:p w:rsidR="00002CEF" w:rsidRPr="005B7E47" w:rsidRDefault="00002CEF">
      <w:pPr>
        <w:pStyle w:val="RKnormal"/>
      </w:pPr>
      <w:r w:rsidRPr="005B7E47">
        <w:rPr>
          <w:i/>
        </w:rPr>
        <w:t>Övergångsbestämmelser och ikraftträdande</w:t>
      </w:r>
    </w:p>
    <w:p w:rsidR="00002CEF" w:rsidRPr="005B7E47" w:rsidRDefault="00002CEF">
      <w:pPr>
        <w:pStyle w:val="RKnormal"/>
      </w:pPr>
      <w:r w:rsidRPr="005B7E47">
        <w:t>Enligt förslaget skall rambeslutet tillämpas på framställningar som inkommer efter den dag då rambeslutet skall vara genomfört i medlems</w:t>
      </w:r>
      <w:r w:rsidRPr="005B7E47">
        <w:softHyphen/>
        <w:t xml:space="preserve">staterna. En medlemsstat kan dock i en förklaring ange att den inte kommer att tillämpa rambeslutet för domar som vunnit laga kraft före ett visst datum. </w:t>
      </w:r>
    </w:p>
    <w:p w:rsidR="00002CEF" w:rsidRPr="005B7E47" w:rsidRDefault="00002CEF">
      <w:pPr>
        <w:pStyle w:val="RKnormal"/>
      </w:pPr>
    </w:p>
    <w:p w:rsidR="00002CEF" w:rsidRPr="005B7E47" w:rsidRDefault="00002CEF">
      <w:pPr>
        <w:pStyle w:val="RKnormal"/>
      </w:pPr>
      <w:r w:rsidRPr="005B7E47">
        <w:t>Flertalet medlemsländer stödjer en sådan ordning men några medlems</w:t>
      </w:r>
      <w:r w:rsidRPr="005B7E47">
        <w:softHyphen/>
        <w:t>länd</w:t>
      </w:r>
      <w:r w:rsidRPr="005B7E47">
        <w:softHyphen/>
        <w:t xml:space="preserve">er menar att undantagsmöjligheten skall kopplas till tidpunkten för brottet. En sådan ordning skulle innebära att det här rambeslutet inte skall tillämpas på brott som begåtts före ett visst datum. </w:t>
      </w:r>
    </w:p>
    <w:p w:rsidR="00002CEF" w:rsidRPr="005B7E47" w:rsidRDefault="00002CEF">
      <w:pPr>
        <w:pStyle w:val="RKnormal"/>
      </w:pPr>
    </w:p>
    <w:p w:rsidR="00002CEF" w:rsidRPr="005B7E47" w:rsidRDefault="00002CEF">
      <w:pPr>
        <w:pStyle w:val="RKrubrik"/>
        <w:rPr>
          <w:i/>
          <w:iCs/>
        </w:rPr>
      </w:pPr>
      <w:r w:rsidRPr="005B7E47">
        <w:rPr>
          <w:i/>
          <w:iCs/>
        </w:rPr>
        <w:t>Gällande svenska regler och förslagets effekter på dessa</w:t>
      </w:r>
    </w:p>
    <w:p w:rsidR="00002CEF" w:rsidRPr="005B7E47" w:rsidRDefault="00002CEF">
      <w:pPr>
        <w:rPr>
          <w:i/>
        </w:rPr>
      </w:pPr>
      <w:r w:rsidRPr="005B7E47">
        <w:t>Lagen (1972:260) om internationellt samarbete rörande verkställighet av brottmålsdom (internationella verkställighetslagen) som implementerar bl.a. 1983 års Europakonvention om överförande av dömda personer och dess tilläggs</w:t>
      </w:r>
      <w:r w:rsidRPr="005B7E47">
        <w:softHyphen/>
        <w:t>protokoll förutsätter samtycke från verkställighetslandet (dvs. ett frivilligt system). Enligt 1983 års konvention skall den dömdes sam</w:t>
      </w:r>
      <w:r w:rsidRPr="005B7E47">
        <w:softHyphen/>
        <w:t>tycke alltid krävas emedan tilläggsprotokollet medger avsteg från denna huvudregel i två fall, utvisnings- och flyktfallet. Samtliga med</w:t>
      </w:r>
      <w:r w:rsidRPr="005B7E47">
        <w:softHyphen/>
        <w:t>lems</w:t>
      </w:r>
      <w:r w:rsidRPr="005B7E47">
        <w:softHyphen/>
        <w:t xml:space="preserve">stater har tillträtt 1983 års konvention och 17 av dessa stater har dessutom anslutit sig till tilläggsprotokollet. </w:t>
      </w:r>
    </w:p>
    <w:p w:rsidR="00002CEF" w:rsidRPr="005B7E47" w:rsidRDefault="00002CEF">
      <w:pPr>
        <w:pStyle w:val="RKrubrik"/>
      </w:pPr>
      <w:r w:rsidRPr="005B7E47">
        <w:t>Ekonomiska konsekvenser</w:t>
      </w:r>
    </w:p>
    <w:p w:rsidR="00002CEF" w:rsidRPr="005B7E47" w:rsidRDefault="00002CEF">
      <w:r w:rsidRPr="005B7E47">
        <w:t>De ekonomiska konsekvenserna av förslaget till rambeslut är svåra att förutse, och beror naturligtvis på hur långtgående rambeslutet blir. En viss ökad arbetsbelastning för berörda myndigheter kan inte uteslutas. Emellertid innebär ram</w:t>
      </w:r>
      <w:r w:rsidRPr="005B7E47">
        <w:softHyphen/>
        <w:t>beslutet en (i bästa fall inte obetydlig) besparing genom att fler dömda personer kommer att kunna överföras från Sverige till sina hemländer, särskilt om samtycket från den verk</w:t>
      </w:r>
      <w:r w:rsidRPr="005B7E47">
        <w:softHyphen/>
        <w:t>ställande staten och den dömde personen tas bort i flertalet fall. Likaså kommer hand</w:t>
      </w:r>
      <w:r w:rsidRPr="005B7E47">
        <w:softHyphen/>
        <w:t>läggningstiderna att kortas - i bästa fall avsevärt och då med kortare verk</w:t>
      </w:r>
      <w:r w:rsidRPr="005B7E47">
        <w:softHyphen/>
        <w:t>ställighetstider i Sverige som följd. Genomförandet av ram</w:t>
      </w:r>
      <w:r w:rsidRPr="005B7E47">
        <w:softHyphen/>
        <w:t>beslutet bör därför inte medföra några ökade kostnader för de berörda myndig</w:t>
      </w:r>
      <w:r w:rsidRPr="005B7E47">
        <w:softHyphen/>
        <w:t>heterna. Eventuella budgetära kons</w:t>
      </w:r>
      <w:r w:rsidRPr="005B7E47">
        <w:t>ekvenser skall finansieras inom berörda myndigheters befintliga anslag.</w:t>
      </w:r>
    </w:p>
    <w:p w:rsidR="00002CEF" w:rsidRPr="005B7E47" w:rsidRDefault="00002CEF">
      <w:pPr>
        <w:rPr>
          <w:sz w:val="18"/>
        </w:rPr>
      </w:pPr>
    </w:p>
    <w:p w:rsidR="00002CEF" w:rsidRPr="005B7E47" w:rsidRDefault="00002CEF">
      <w:pPr>
        <w:pStyle w:val="RKnormal"/>
      </w:pPr>
    </w:p>
    <w:sectPr w:rsidR="00002CEF" w:rsidRPr="005B7E4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CEF" w:rsidRPr="005B7E47" w:rsidRDefault="00002CEF">
      <w:r w:rsidRPr="005B7E47">
        <w:separator/>
      </w:r>
    </w:p>
  </w:endnote>
  <w:endnote w:type="continuationSeparator" w:id="0">
    <w:p w:rsidR="00002CEF" w:rsidRPr="005B7E47" w:rsidRDefault="00002CEF">
      <w:r w:rsidRPr="005B7E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CEF" w:rsidRPr="005B7E47" w:rsidRDefault="00002CEF">
      <w:r w:rsidRPr="005B7E47">
        <w:separator/>
      </w:r>
    </w:p>
  </w:footnote>
  <w:footnote w:type="continuationSeparator" w:id="0">
    <w:p w:rsidR="00002CEF" w:rsidRPr="005B7E47" w:rsidRDefault="00002CEF">
      <w:r w:rsidRPr="005B7E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CEF" w:rsidRPr="005B7E47" w:rsidRDefault="00002CEF">
    <w:pPr>
      <w:pStyle w:val="Sidhuvud"/>
      <w:framePr w:wrap="around" w:vAnchor="text" w:hAnchor="margin" w:xAlign="right" w:y="1"/>
      <w:rPr>
        <w:rStyle w:val="Sidnummer"/>
      </w:rPr>
    </w:pPr>
    <w:r w:rsidRPr="005B7E47">
      <w:rPr>
        <w:rStyle w:val="Sidnummer"/>
      </w:rPr>
      <w:fldChar w:fldCharType="begin" w:fldLock="1"/>
    </w:r>
    <w:r w:rsidRPr="005B7E47">
      <w:rPr>
        <w:rStyle w:val="Sidnummer"/>
      </w:rPr>
      <w:instrText xml:space="preserve">PAGE  </w:instrText>
    </w:r>
    <w:r w:rsidRPr="005B7E47">
      <w:rPr>
        <w:rStyle w:val="Sidnummer"/>
      </w:rPr>
      <w:fldChar w:fldCharType="separate"/>
    </w:r>
    <w:r w:rsidRPr="005B7E47">
      <w:rPr>
        <w:rStyle w:val="Sidnummer"/>
      </w:rPr>
      <w:t>2</w:t>
    </w:r>
    <w:r w:rsidRPr="005B7E4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5B7E47">
      <w:tblPrEx>
        <w:tblCellMar>
          <w:top w:w="0" w:type="dxa"/>
          <w:bottom w:w="0" w:type="dxa"/>
        </w:tblCellMar>
      </w:tblPrEx>
      <w:trPr>
        <w:cantSplit/>
      </w:trPr>
      <w:tc>
        <w:tcPr>
          <w:tcW w:w="3119" w:type="dxa"/>
        </w:tcPr>
        <w:p w:rsidR="00002CEF" w:rsidRPr="005B7E47" w:rsidRDefault="00002CEF">
          <w:pPr>
            <w:pStyle w:val="Sidhuvud"/>
            <w:spacing w:line="200" w:lineRule="atLeast"/>
            <w:ind w:right="357"/>
            <w:rPr>
              <w:rFonts w:ascii="TradeGothic" w:hAnsi="TradeGothic"/>
              <w:b/>
              <w:bCs/>
              <w:sz w:val="16"/>
            </w:rPr>
          </w:pPr>
        </w:p>
      </w:tc>
      <w:tc>
        <w:tcPr>
          <w:tcW w:w="4111" w:type="dxa"/>
          <w:tcMar>
            <w:left w:w="567" w:type="dxa"/>
          </w:tcMar>
        </w:tcPr>
        <w:p w:rsidR="00002CEF" w:rsidRPr="005B7E47" w:rsidRDefault="00002CEF">
          <w:pPr>
            <w:pStyle w:val="Sidhuvud"/>
            <w:ind w:right="360"/>
          </w:pPr>
        </w:p>
      </w:tc>
      <w:tc>
        <w:tcPr>
          <w:tcW w:w="1525" w:type="dxa"/>
        </w:tcPr>
        <w:p w:rsidR="00002CEF" w:rsidRPr="005B7E47" w:rsidRDefault="00002CEF">
          <w:pPr>
            <w:pStyle w:val="Sidhuvud"/>
            <w:ind w:right="360"/>
          </w:pPr>
        </w:p>
      </w:tc>
    </w:tr>
  </w:tbl>
  <w:p w:rsidR="00002CEF" w:rsidRPr="005B7E47" w:rsidRDefault="00002CE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CEF" w:rsidRPr="005B7E47" w:rsidRDefault="00002CEF">
    <w:pPr>
      <w:pStyle w:val="Sidhuvud"/>
      <w:framePr w:wrap="around" w:vAnchor="text" w:hAnchor="margin" w:xAlign="right" w:y="1"/>
      <w:rPr>
        <w:rStyle w:val="Sidnummer"/>
      </w:rPr>
    </w:pPr>
    <w:r w:rsidRPr="005B7E47">
      <w:rPr>
        <w:rStyle w:val="Sidnummer"/>
      </w:rPr>
      <w:fldChar w:fldCharType="begin" w:fldLock="1"/>
    </w:r>
    <w:r w:rsidRPr="005B7E47">
      <w:rPr>
        <w:rStyle w:val="Sidnummer"/>
      </w:rPr>
      <w:instrText xml:space="preserve">PAGE  </w:instrText>
    </w:r>
    <w:r w:rsidRPr="005B7E47">
      <w:rPr>
        <w:rStyle w:val="Sidnummer"/>
      </w:rPr>
      <w:fldChar w:fldCharType="separate"/>
    </w:r>
    <w:r w:rsidRPr="005B7E47">
      <w:rPr>
        <w:rStyle w:val="Sidnummer"/>
      </w:rPr>
      <w:t>3</w:t>
    </w:r>
    <w:r w:rsidRPr="005B7E4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5B7E47">
      <w:tblPrEx>
        <w:tblCellMar>
          <w:top w:w="0" w:type="dxa"/>
          <w:bottom w:w="0" w:type="dxa"/>
        </w:tblCellMar>
      </w:tblPrEx>
      <w:trPr>
        <w:cantSplit/>
      </w:trPr>
      <w:tc>
        <w:tcPr>
          <w:tcW w:w="3119" w:type="dxa"/>
        </w:tcPr>
        <w:p w:rsidR="00002CEF" w:rsidRPr="005B7E47" w:rsidRDefault="00002CEF">
          <w:pPr>
            <w:pStyle w:val="Sidhuvud"/>
            <w:spacing w:line="200" w:lineRule="atLeast"/>
            <w:ind w:right="357"/>
            <w:rPr>
              <w:rFonts w:ascii="TradeGothic" w:hAnsi="TradeGothic"/>
              <w:b/>
              <w:bCs/>
              <w:sz w:val="16"/>
            </w:rPr>
          </w:pPr>
        </w:p>
      </w:tc>
      <w:tc>
        <w:tcPr>
          <w:tcW w:w="4111" w:type="dxa"/>
          <w:tcMar>
            <w:left w:w="567" w:type="dxa"/>
          </w:tcMar>
        </w:tcPr>
        <w:p w:rsidR="00002CEF" w:rsidRPr="005B7E47" w:rsidRDefault="00002CEF">
          <w:pPr>
            <w:pStyle w:val="Sidhuvud"/>
            <w:ind w:right="360"/>
          </w:pPr>
        </w:p>
      </w:tc>
      <w:tc>
        <w:tcPr>
          <w:tcW w:w="1525" w:type="dxa"/>
        </w:tcPr>
        <w:p w:rsidR="00002CEF" w:rsidRPr="005B7E47" w:rsidRDefault="00002CEF">
          <w:pPr>
            <w:pStyle w:val="Sidhuvud"/>
            <w:ind w:right="360"/>
          </w:pPr>
        </w:p>
      </w:tc>
    </w:tr>
  </w:tbl>
  <w:p w:rsidR="00002CEF" w:rsidRPr="005B7E47" w:rsidRDefault="00002CE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CEF" w:rsidRPr="005B7E47" w:rsidRDefault="005B7E47">
    <w:pPr>
      <w:framePr w:w="2948" w:h="1321" w:hRule="exact" w:wrap="notBeside" w:vAnchor="page" w:hAnchor="page" w:x="1362" w:y="653"/>
    </w:pPr>
    <w:r w:rsidRPr="005B7E4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02CEF" w:rsidRPr="005B7E47" w:rsidRDefault="00002CEF">
    <w:pPr>
      <w:pStyle w:val="RKrubrik"/>
      <w:keepNext w:val="0"/>
      <w:tabs>
        <w:tab w:val="clear" w:pos="1134"/>
        <w:tab w:val="clear" w:pos="2835"/>
      </w:tabs>
      <w:spacing w:before="0" w:after="0" w:line="320" w:lineRule="atLeast"/>
      <w:rPr>
        <w:bCs/>
      </w:rPr>
    </w:pPr>
  </w:p>
  <w:p w:rsidR="00002CEF" w:rsidRPr="005B7E47" w:rsidRDefault="00002CEF">
    <w:pPr>
      <w:rPr>
        <w:rFonts w:ascii="TradeGothic" w:hAnsi="TradeGothic"/>
        <w:b/>
        <w:bCs/>
        <w:spacing w:val="12"/>
        <w:sz w:val="22"/>
      </w:rPr>
    </w:pPr>
  </w:p>
  <w:p w:rsidR="00002CEF" w:rsidRPr="005B7E47" w:rsidRDefault="00002CEF">
    <w:pPr>
      <w:pStyle w:val="RKrubrik"/>
      <w:keepNext w:val="0"/>
      <w:tabs>
        <w:tab w:val="clear" w:pos="1134"/>
        <w:tab w:val="clear" w:pos="2835"/>
      </w:tabs>
      <w:spacing w:before="0" w:after="0" w:line="320" w:lineRule="atLeast"/>
      <w:rPr>
        <w:bCs/>
      </w:rPr>
    </w:pPr>
  </w:p>
  <w:p w:rsidR="00002CEF" w:rsidRPr="005B7E47" w:rsidRDefault="00002CE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2C41A7"/>
    <w:rsid w:val="00002CEF"/>
    <w:rsid w:val="002C41A7"/>
    <w:rsid w:val="005B7E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C39B18-3BBA-42DB-8814-DBAFE119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normal0">
    <w:name w:val="normal"/>
    <w:basedOn w:val="Normal"/>
    <w:pPr>
      <w:overflowPunct/>
      <w:autoSpaceDE/>
      <w:autoSpaceDN/>
      <w:adjustRightInd/>
      <w:spacing w:before="100" w:after="20" w:line="240" w:lineRule="auto"/>
      <w:textAlignment w:val="auto"/>
    </w:pPr>
    <w:rPr>
      <w:rFonts w:ascii="Arial Unicode MS" w:eastAsia="Arial Unicode MS" w:hAnsi="Arial Unicode MS" w:cs="Arial Unicode MS"/>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1378</Words>
  <Characters>8879</Characters>
  <Application>Microsoft Office Word</Application>
  <DocSecurity>4</DocSecurity>
  <Lines>211</Lines>
  <Paragraphs>65</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2006-11-22T09:57:00Z</cp:lastPrinted>
  <dcterms:created xsi:type="dcterms:W3CDTF">2025-12-17T03:58:00Z</dcterms:created>
  <dcterms:modified xsi:type="dcterms:W3CDTF">2025-12-17T03:58:00Z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