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7D0AD9">
              <w:rPr>
                <w:b/>
              </w:rPr>
              <w:t>21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D0AD9">
            <w:r>
              <w:t>201</w:t>
            </w:r>
            <w:r w:rsidR="00FE5A5A">
              <w:t>9</w:t>
            </w:r>
            <w:r w:rsidR="00520D71">
              <w:t>-</w:t>
            </w:r>
            <w:r w:rsidR="007D0AD9">
              <w:t>02</w:t>
            </w:r>
            <w:r w:rsidR="00520D71">
              <w:t>-</w:t>
            </w:r>
            <w:r w:rsidR="007D0AD9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7D0AD9">
            <w:r>
              <w:t>10</w:t>
            </w:r>
            <w:r w:rsidR="00BF5F58">
              <w:t>:</w:t>
            </w:r>
            <w:r w:rsidR="00B2693D">
              <w:t>00</w:t>
            </w:r>
            <w:r w:rsidR="00C73399">
              <w:t>–10:45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7D0A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Sveriges förenade studentkårer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7D0AD9" w:rsidRPr="007D0AD9" w:rsidRDefault="001E58C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Ordföranden Jacob </w:t>
            </w:r>
            <w:proofErr w:type="spellStart"/>
            <w:r>
              <w:rPr>
                <w:color w:val="000000"/>
                <w:szCs w:val="24"/>
              </w:rPr>
              <w:t>Adamowicz</w:t>
            </w:r>
            <w:proofErr w:type="spellEnd"/>
            <w:r>
              <w:rPr>
                <w:color w:val="000000"/>
                <w:szCs w:val="24"/>
              </w:rPr>
              <w:t xml:space="preserve"> och vice ordföranden Daniel Lindblom </w:t>
            </w:r>
            <w:r w:rsidR="007D0AD9" w:rsidRPr="007D0AD9">
              <w:rPr>
                <w:bCs/>
                <w:color w:val="000000"/>
                <w:szCs w:val="24"/>
              </w:rPr>
              <w:t>informerade om Sveriges förenade studentkårers verksamhet.</w:t>
            </w:r>
          </w:p>
          <w:p w:rsidR="007D0AD9" w:rsidRDefault="007D0A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D0AD9" w:rsidTr="0001177E">
        <w:tc>
          <w:tcPr>
            <w:tcW w:w="567" w:type="dxa"/>
          </w:tcPr>
          <w:p w:rsidR="007D0AD9" w:rsidRPr="003B4DE8" w:rsidRDefault="007D0AD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0AD9" w:rsidRDefault="007D0A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EU-överläggning med regeringen enligt RO 7 kap. 12 § om vissa frågor rörande det särskilda programmet för Horisont Europa</w:t>
            </w:r>
          </w:p>
          <w:p w:rsidR="00A05696" w:rsidRDefault="00A0569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05696" w:rsidRPr="00A05696" w:rsidRDefault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t xml:space="preserve">Utskottet överlade med statssekreteraren Malin </w:t>
            </w:r>
            <w:proofErr w:type="spellStart"/>
            <w:r w:rsidRPr="00A05696">
              <w:rPr>
                <w:bCs/>
                <w:color w:val="000000"/>
                <w:szCs w:val="24"/>
              </w:rPr>
              <w:t>Cederfeldt</w:t>
            </w:r>
            <w:proofErr w:type="spellEnd"/>
            <w:r w:rsidRPr="00A05696">
              <w:rPr>
                <w:bCs/>
                <w:color w:val="000000"/>
                <w:szCs w:val="24"/>
              </w:rPr>
              <w:t xml:space="preserve"> Östberg,</w:t>
            </w:r>
            <w:r>
              <w:rPr>
                <w:bCs/>
                <w:color w:val="000000"/>
                <w:szCs w:val="24"/>
              </w:rPr>
              <w:t xml:space="preserve"> ämnesrådet David Edvardsson,</w:t>
            </w:r>
            <w:r w:rsidRPr="00A05696">
              <w:rPr>
                <w:bCs/>
                <w:color w:val="000000"/>
                <w:szCs w:val="24"/>
              </w:rPr>
              <w:t xml:space="preserve"> politiskt sakkunnige Klas Herman Lundgren och departementssekreteraren Christian Hansen, samtliga från Utbildningsdepartementet, om </w:t>
            </w:r>
            <w:r>
              <w:rPr>
                <w:bCs/>
                <w:color w:val="000000"/>
                <w:szCs w:val="24"/>
              </w:rPr>
              <w:t>vissa frågor rörande det</w:t>
            </w:r>
            <w:r w:rsidRPr="00A05696">
              <w:rPr>
                <w:bCs/>
                <w:color w:val="000000"/>
                <w:szCs w:val="24"/>
              </w:rPr>
              <w:t xml:space="preserve"> särskilda programmet för Horisont Europa.</w:t>
            </w:r>
          </w:p>
          <w:p w:rsidR="007D0AD9" w:rsidRDefault="007D0AD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05696" w:rsidRDefault="00A05696" w:rsidP="00A0569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i/>
                <w:color w:val="000000"/>
                <w:szCs w:val="24"/>
                <w:lang w:eastAsia="en-US"/>
              </w:rPr>
              <w:t>Underlag för överläggningen</w:t>
            </w:r>
            <w:r>
              <w:rPr>
                <w:rFonts w:eastAsiaTheme="minorHAnsi"/>
                <w:i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Promemoria från Utbildningsdepartementet (dnr 1527-2018/19)</w:t>
            </w:r>
          </w:p>
          <w:p w:rsidR="00A05696" w:rsidRDefault="00A0569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Regeringens förslag till svensk ståndpunkt</w:t>
            </w:r>
            <w:r>
              <w:rPr>
                <w:bCs/>
                <w:i/>
                <w:color w:val="000000"/>
                <w:szCs w:val="24"/>
              </w:rPr>
              <w:br/>
            </w:r>
            <w:r w:rsidRPr="00A05696">
              <w:rPr>
                <w:bCs/>
                <w:color w:val="000000"/>
                <w:szCs w:val="24"/>
              </w:rPr>
              <w:t>Utmaningsdrivna program behövs på både e</w:t>
            </w:r>
            <w:r>
              <w:rPr>
                <w:bCs/>
                <w:color w:val="000000"/>
                <w:szCs w:val="24"/>
              </w:rPr>
              <w:t xml:space="preserve">uropeisk och nationell nivå. Av </w:t>
            </w:r>
            <w:r w:rsidRPr="00A05696">
              <w:rPr>
                <w:bCs/>
                <w:color w:val="000000"/>
                <w:szCs w:val="24"/>
              </w:rPr>
              <w:t>vikt är också att insatser görs med målet att bidra till FN:s hållbarhetsmål.</w:t>
            </w:r>
          </w:p>
          <w:p w:rsid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t>Nationella utmaningsdrivna forsknings- och innovationsprogram kan bidra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A05696">
              <w:rPr>
                <w:bCs/>
                <w:color w:val="000000"/>
                <w:szCs w:val="24"/>
              </w:rPr>
              <w:t>till övergripande europeiska mål och på det sättet stärka hela EU:s bidrag till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A05696">
              <w:rPr>
                <w:bCs/>
                <w:color w:val="000000"/>
                <w:szCs w:val="24"/>
              </w:rPr>
              <w:t>FN:s hållbarhetsmål. Gemensamma initiativ inom forskning och innovation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A05696">
              <w:rPr>
                <w:bCs/>
                <w:color w:val="000000"/>
                <w:szCs w:val="24"/>
              </w:rPr>
              <w:t>mellan medlemsstaterna bör också kunna bidra.</w:t>
            </w: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t>Angående samordning mellan rådet och Europaparlamentet vad gäller</w:t>
            </w: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t>Uppdrag görs det lämpligast genom att föra en god dialog mellan</w:t>
            </w: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t>institutionerna. Regeringen anser att Uppdrag</w:t>
            </w:r>
            <w:r>
              <w:rPr>
                <w:bCs/>
                <w:color w:val="000000"/>
                <w:szCs w:val="24"/>
              </w:rPr>
              <w:t xml:space="preserve"> bör definieras i det särskilda </w:t>
            </w:r>
            <w:r w:rsidRPr="00A05696">
              <w:rPr>
                <w:bCs/>
                <w:color w:val="000000"/>
                <w:szCs w:val="24"/>
              </w:rPr>
              <w:t>programmet.</w:t>
            </w:r>
          </w:p>
          <w:p w:rsidR="00220FEE" w:rsidRDefault="00220FEE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t>Vad gäller frågan i diskussionsunderlaget om sammanhållning mellan</w:t>
            </w: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proofErr w:type="spellStart"/>
            <w:r w:rsidRPr="00A05696">
              <w:rPr>
                <w:bCs/>
                <w:color w:val="000000"/>
                <w:szCs w:val="24"/>
              </w:rPr>
              <w:t>InvestEU</w:t>
            </w:r>
            <w:proofErr w:type="spellEnd"/>
            <w:r w:rsidRPr="00A05696">
              <w:rPr>
                <w:bCs/>
                <w:color w:val="000000"/>
                <w:szCs w:val="24"/>
              </w:rPr>
              <w:t xml:space="preserve">, </w:t>
            </w:r>
            <w:proofErr w:type="spellStart"/>
            <w:r w:rsidRPr="00A05696">
              <w:rPr>
                <w:bCs/>
                <w:color w:val="000000"/>
                <w:szCs w:val="24"/>
              </w:rPr>
              <w:t>VentureEU</w:t>
            </w:r>
            <w:proofErr w:type="spellEnd"/>
            <w:r w:rsidRPr="00A05696">
              <w:rPr>
                <w:bCs/>
                <w:color w:val="000000"/>
                <w:szCs w:val="24"/>
              </w:rPr>
              <w:t>, EIT och Horisont Europa anser regeringen att</w:t>
            </w: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t>koordinering bör ske redan i utformningen av init</w:t>
            </w:r>
            <w:r w:rsidR="00220FEE">
              <w:rPr>
                <w:bCs/>
                <w:color w:val="000000"/>
                <w:szCs w:val="24"/>
              </w:rPr>
              <w:t xml:space="preserve">iativen i syfte att säkerställa </w:t>
            </w:r>
            <w:r w:rsidRPr="00A05696">
              <w:rPr>
                <w:bCs/>
                <w:color w:val="000000"/>
                <w:szCs w:val="24"/>
              </w:rPr>
              <w:t>samstämmighet. Initiativen bör komplettera varandra utan överlappning.</w:t>
            </w: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lastRenderedPageBreak/>
              <w:t>Det är viktigt att insatser rörande kapitalförsörjning som fyller tydliga</w:t>
            </w:r>
          </w:p>
          <w:p w:rsidR="00A05696" w:rsidRP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t>finansieringsgap, är effektiva och tydliga gentemot aktörer.</w:t>
            </w:r>
          </w:p>
          <w:p w:rsidR="00220FEE" w:rsidRDefault="00220FEE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05696" w:rsidRDefault="00A05696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05696">
              <w:rPr>
                <w:bCs/>
                <w:color w:val="000000"/>
                <w:szCs w:val="24"/>
              </w:rPr>
              <w:t xml:space="preserve">Angående koordinering mellan styrelser för EIC, </w:t>
            </w:r>
            <w:proofErr w:type="spellStart"/>
            <w:r w:rsidRPr="00A05696">
              <w:rPr>
                <w:bCs/>
                <w:color w:val="000000"/>
                <w:szCs w:val="24"/>
              </w:rPr>
              <w:t>InvestEU</w:t>
            </w:r>
            <w:proofErr w:type="spellEnd"/>
            <w:r w:rsidRPr="00A05696">
              <w:rPr>
                <w:bCs/>
                <w:color w:val="000000"/>
                <w:szCs w:val="24"/>
              </w:rPr>
              <w:t xml:space="preserve"> och EIT kan</w:t>
            </w:r>
            <w:r w:rsidR="00220FEE">
              <w:rPr>
                <w:bCs/>
                <w:color w:val="000000"/>
                <w:szCs w:val="24"/>
              </w:rPr>
              <w:t xml:space="preserve"> </w:t>
            </w:r>
            <w:r w:rsidRPr="00A05696">
              <w:rPr>
                <w:bCs/>
                <w:color w:val="000000"/>
                <w:szCs w:val="24"/>
              </w:rPr>
              <w:t>gemensamma möten som syftar till att öka medvetenheten och kunskapen</w:t>
            </w:r>
            <w:r w:rsidR="00220FEE">
              <w:rPr>
                <w:bCs/>
                <w:color w:val="000000"/>
                <w:szCs w:val="24"/>
              </w:rPr>
              <w:t xml:space="preserve"> </w:t>
            </w:r>
            <w:r w:rsidRPr="00A05696">
              <w:rPr>
                <w:bCs/>
                <w:color w:val="000000"/>
                <w:szCs w:val="24"/>
              </w:rPr>
              <w:t>om varandras insatser gagna samordningen.</w:t>
            </w:r>
          </w:p>
          <w:p w:rsidR="00AC2F49" w:rsidRDefault="00AC2F49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C2F49" w:rsidRDefault="00AC2F49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Utskottet</w:t>
            </w:r>
            <w:r>
              <w:rPr>
                <w:bCs/>
                <w:i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 xml:space="preserve">Ordföranden konstaterade att det fanns en majoritet i utskottet för regeringens ståndpunkt. </w:t>
            </w:r>
          </w:p>
          <w:p w:rsidR="00AC2F49" w:rsidRDefault="00AC2F49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C2F49" w:rsidRDefault="00AC2F49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Vänsterpartiet anmälde </w:t>
            </w:r>
            <w:r w:rsidR="00362E70">
              <w:rPr>
                <w:bCs/>
                <w:color w:val="000000"/>
                <w:szCs w:val="24"/>
              </w:rPr>
              <w:t>följande avvikande mening:</w:t>
            </w:r>
            <w:r w:rsidR="00D01DD5">
              <w:rPr>
                <w:bCs/>
                <w:color w:val="000000"/>
                <w:szCs w:val="24"/>
              </w:rPr>
              <w:t xml:space="preserve"> G</w:t>
            </w:r>
            <w:r>
              <w:rPr>
                <w:bCs/>
                <w:color w:val="000000"/>
                <w:szCs w:val="24"/>
              </w:rPr>
              <w:t>enusperspektivet behöver stärkas i forskningen.</w:t>
            </w:r>
          </w:p>
          <w:p w:rsidR="00AC2F49" w:rsidRDefault="00AC2F49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C2F49" w:rsidRPr="00AC2F49" w:rsidRDefault="00AC2F49" w:rsidP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Moderaterna anmälde </w:t>
            </w:r>
            <w:r w:rsidR="00362E70">
              <w:rPr>
                <w:bCs/>
                <w:color w:val="000000"/>
                <w:szCs w:val="24"/>
              </w:rPr>
              <w:t>följande avvikande mening</w:t>
            </w:r>
            <w:r w:rsidR="00D01DD5">
              <w:rPr>
                <w:bCs/>
                <w:color w:val="000000"/>
                <w:szCs w:val="24"/>
              </w:rPr>
              <w:t>: D</w:t>
            </w:r>
            <w:r>
              <w:rPr>
                <w:bCs/>
                <w:color w:val="000000"/>
                <w:szCs w:val="24"/>
              </w:rPr>
              <w:t xml:space="preserve">et ska finnas en tydlig </w:t>
            </w:r>
            <w:r w:rsidR="003A5118">
              <w:rPr>
                <w:bCs/>
                <w:color w:val="000000"/>
                <w:szCs w:val="24"/>
              </w:rPr>
              <w:t xml:space="preserve">struktur för </w:t>
            </w:r>
            <w:r>
              <w:rPr>
                <w:bCs/>
                <w:color w:val="000000"/>
                <w:szCs w:val="24"/>
              </w:rPr>
              <w:t xml:space="preserve">uppföljning och utvärdering av </w:t>
            </w:r>
            <w:r w:rsidR="003A5118">
              <w:rPr>
                <w:bCs/>
                <w:color w:val="000000"/>
                <w:szCs w:val="24"/>
              </w:rPr>
              <w:t>uppdrag och program</w:t>
            </w:r>
            <w:r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br/>
              <w:t>Sverigedemokraterna</w:t>
            </w:r>
            <w:r w:rsidR="005C1712">
              <w:rPr>
                <w:bCs/>
                <w:color w:val="000000"/>
                <w:szCs w:val="24"/>
              </w:rPr>
              <w:t xml:space="preserve"> anmälde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362E70">
              <w:rPr>
                <w:bCs/>
                <w:color w:val="000000"/>
                <w:szCs w:val="24"/>
              </w:rPr>
              <w:t>följande avvikande mening</w:t>
            </w:r>
            <w:r>
              <w:rPr>
                <w:bCs/>
                <w:color w:val="000000"/>
                <w:szCs w:val="24"/>
              </w:rPr>
              <w:t xml:space="preserve">: </w:t>
            </w:r>
            <w:r w:rsidR="00362E70">
              <w:rPr>
                <w:bCs/>
                <w:color w:val="000000"/>
                <w:szCs w:val="24"/>
              </w:rPr>
              <w:t>B</w:t>
            </w:r>
            <w:r>
              <w:rPr>
                <w:bCs/>
                <w:color w:val="000000"/>
                <w:szCs w:val="24"/>
              </w:rPr>
              <w:t xml:space="preserve">udgeten för Horisont Europa </w:t>
            </w:r>
            <w:r w:rsidR="00362E70">
              <w:rPr>
                <w:bCs/>
                <w:color w:val="000000"/>
                <w:szCs w:val="24"/>
              </w:rPr>
              <w:t>ska inte</w:t>
            </w:r>
            <w:r>
              <w:rPr>
                <w:bCs/>
                <w:color w:val="000000"/>
                <w:szCs w:val="24"/>
              </w:rPr>
              <w:t xml:space="preserve"> öka kommande budgetperiod. </w:t>
            </w:r>
          </w:p>
          <w:p w:rsidR="00A05696" w:rsidRDefault="00A056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C1712" w:rsidRDefault="005C171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Denna paragraf förklarades omedelbart justerad. </w:t>
            </w:r>
          </w:p>
          <w:p w:rsidR="005C1712" w:rsidRPr="00A05696" w:rsidRDefault="005C171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7D0AD9">
              <w:rPr>
                <w:snapToGrid w:val="0"/>
              </w:rPr>
              <w:t>20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0AD9" w:rsidTr="0001177E">
        <w:tc>
          <w:tcPr>
            <w:tcW w:w="567" w:type="dxa"/>
          </w:tcPr>
          <w:p w:rsidR="007D0AD9" w:rsidRPr="003B4DE8" w:rsidRDefault="007D0AD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0AD9" w:rsidRDefault="007D0AD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Gymnasieskola (UbU11)</w:t>
            </w:r>
          </w:p>
          <w:p w:rsidR="007D0AD9" w:rsidRDefault="007D0AD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D0AD9" w:rsidRPr="007D0AD9" w:rsidRDefault="007D0AD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D0AD9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7D0AD9" w:rsidRPr="007D0AD9" w:rsidRDefault="007D0AD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7D0AD9" w:rsidRPr="007D0AD9" w:rsidRDefault="007D0AD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D0AD9">
              <w:rPr>
                <w:bCs/>
                <w:color w:val="000000"/>
                <w:szCs w:val="24"/>
              </w:rPr>
              <w:t>Ärendet bordlades.</w:t>
            </w:r>
          </w:p>
          <w:p w:rsidR="007D0AD9" w:rsidRPr="00CD461C" w:rsidRDefault="007D0AD9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D0AD9" w:rsidTr="0001177E">
        <w:tc>
          <w:tcPr>
            <w:tcW w:w="567" w:type="dxa"/>
          </w:tcPr>
          <w:p w:rsidR="007D0AD9" w:rsidRPr="00C73399" w:rsidRDefault="007D0AD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0AD9" w:rsidRPr="00C73399" w:rsidRDefault="007D0AD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73399">
              <w:rPr>
                <w:b/>
                <w:bCs/>
                <w:color w:val="000000"/>
                <w:szCs w:val="24"/>
              </w:rPr>
              <w:t>Lärosätenas lokalförsörjning (UbU6)</w:t>
            </w:r>
          </w:p>
          <w:p w:rsidR="007D0AD9" w:rsidRPr="00C73399" w:rsidRDefault="007D0AD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D0AD9" w:rsidRPr="00C73399" w:rsidRDefault="007D0AD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73399">
              <w:rPr>
                <w:bCs/>
                <w:color w:val="000000"/>
                <w:szCs w:val="24"/>
              </w:rPr>
              <w:t>Utskottet fortsatte behandlingen av skrivelse 2018/19:21 och motioner.</w:t>
            </w:r>
          </w:p>
          <w:p w:rsidR="007D0AD9" w:rsidRPr="00C73399" w:rsidRDefault="007D0AD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7D0AD9" w:rsidRPr="00C73399" w:rsidRDefault="007D0AD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73399">
              <w:rPr>
                <w:bCs/>
                <w:color w:val="000000"/>
                <w:szCs w:val="24"/>
              </w:rPr>
              <w:t>Utskottet justerade betänkande 2018/19:UbU6.</w:t>
            </w:r>
          </w:p>
          <w:p w:rsidR="007D0AD9" w:rsidRPr="00C73399" w:rsidRDefault="007D0AD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F75DE" w:rsidRPr="00AF75DE" w:rsidRDefault="001E58C8" w:rsidP="003B4D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73399">
              <w:rPr>
                <w:color w:val="000000"/>
                <w:szCs w:val="24"/>
              </w:rPr>
              <w:t>V-ledamoten</w:t>
            </w:r>
            <w:r w:rsidR="007D0AD9" w:rsidRPr="00C73399">
              <w:rPr>
                <w:color w:val="000000"/>
                <w:szCs w:val="24"/>
              </w:rPr>
              <w:t xml:space="preserve"> anmälde</w:t>
            </w:r>
            <w:r w:rsidRPr="00C73399">
              <w:rPr>
                <w:color w:val="000000"/>
                <w:szCs w:val="24"/>
              </w:rPr>
              <w:t xml:space="preserve"> en</w:t>
            </w:r>
            <w:r w:rsidR="007D0AD9" w:rsidRPr="00C73399">
              <w:rPr>
                <w:color w:val="000000"/>
                <w:szCs w:val="24"/>
              </w:rPr>
              <w:t xml:space="preserve"> reservation. </w:t>
            </w:r>
          </w:p>
          <w:p w:rsidR="007D0AD9" w:rsidRPr="00C73399" w:rsidRDefault="007D0AD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F75DE" w:rsidTr="00AE2376">
        <w:tc>
          <w:tcPr>
            <w:tcW w:w="567" w:type="dxa"/>
          </w:tcPr>
          <w:p w:rsidR="00AF75DE" w:rsidRPr="003B4DE8" w:rsidRDefault="00AF75DE" w:rsidP="00AF75D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75DE" w:rsidRDefault="00AF75DE" w:rsidP="00AE237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AF75DE" w:rsidRDefault="00AF75DE" w:rsidP="00AE2376">
            <w:pPr>
              <w:tabs>
                <w:tab w:val="left" w:pos="1701"/>
              </w:tabs>
              <w:rPr>
                <w:szCs w:val="24"/>
              </w:rPr>
            </w:pPr>
          </w:p>
          <w:p w:rsidR="00AF75DE" w:rsidRDefault="00AF75DE" w:rsidP="00AE237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M-ledamöterna framförde önskemål om information från regeringe</w:t>
            </w:r>
            <w:r w:rsidR="00FD0BA6">
              <w:rPr>
                <w:szCs w:val="24"/>
              </w:rPr>
              <w:t>n i syfte att följa upp beslut</w:t>
            </w:r>
            <w:r>
              <w:rPr>
                <w:szCs w:val="24"/>
              </w:rPr>
              <w:t xml:space="preserve"> om anslag inom utskottets beredningsområde.</w:t>
            </w:r>
          </w:p>
          <w:p w:rsidR="00AF75DE" w:rsidRDefault="00AF75DE" w:rsidP="00AE2376">
            <w:pPr>
              <w:tabs>
                <w:tab w:val="left" w:pos="1701"/>
              </w:tabs>
              <w:rPr>
                <w:szCs w:val="24"/>
              </w:rPr>
            </w:pPr>
          </w:p>
          <w:p w:rsidR="00AF75DE" w:rsidRDefault="00AF75DE" w:rsidP="00AE237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Vice ordföranden förklarade att presidiet kommer att bereda frågan.</w:t>
            </w:r>
          </w:p>
          <w:p w:rsidR="00AF75DE" w:rsidRDefault="00AF75DE" w:rsidP="00AE237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1E58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1E58C8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1E58C8">
              <w:rPr>
                <w:szCs w:val="24"/>
              </w:rPr>
              <w:t>26 februari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1E58C8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7D0AD9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E58C8" w:rsidP="00D817DA">
            <w:pPr>
              <w:tabs>
                <w:tab w:val="left" w:pos="1701"/>
              </w:tabs>
            </w:pPr>
            <w:r>
              <w:t>Justeras tis</w:t>
            </w:r>
            <w:r w:rsidR="00D817DA" w:rsidRPr="00C56172">
              <w:t xml:space="preserve">dagen </w:t>
            </w:r>
            <w:r>
              <w:t>den 26 februari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9E7137" w:rsidRDefault="009E7137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447E69" w:rsidP="004C1EAB">
            <w:pPr>
              <w:tabs>
                <w:tab w:val="left" w:pos="1701"/>
              </w:tabs>
            </w:pPr>
            <w:bookmarkStart w:id="0" w:name="_GoBack" w:colFirst="0" w:colLast="0"/>
            <w:r>
              <w:lastRenderedPageBreak/>
              <w:br w:type="page"/>
            </w:r>
            <w:r w:rsidR="00BB7028"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7D0AD9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7D0AD9">
              <w:t>21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5306ED">
              <w:rPr>
                <w:sz w:val="22"/>
              </w:rPr>
              <w:t>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</w:t>
            </w:r>
            <w:r w:rsidR="00F83E88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76D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5306E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307D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Alice Bah </w:t>
            </w:r>
            <w:proofErr w:type="spellStart"/>
            <w:r>
              <w:rPr>
                <w:sz w:val="22"/>
                <w:szCs w:val="22"/>
              </w:rPr>
              <w:t>Kuhnke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7DE" w:rsidRDefault="00F307D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bookmarkEnd w:id="0"/>
    </w:tbl>
    <w:p w:rsidR="00E15FBD" w:rsidRDefault="00E15FBD" w:rsidP="009E7137">
      <w:pPr>
        <w:tabs>
          <w:tab w:val="left" w:pos="142"/>
          <w:tab w:val="left" w:pos="7655"/>
        </w:tabs>
        <w:ind w:right="-568"/>
      </w:pPr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A9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E58C8"/>
    <w:rsid w:val="001F5AC6"/>
    <w:rsid w:val="002059AD"/>
    <w:rsid w:val="00207D45"/>
    <w:rsid w:val="00220FEE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62E70"/>
    <w:rsid w:val="00370F89"/>
    <w:rsid w:val="003806C2"/>
    <w:rsid w:val="0038157D"/>
    <w:rsid w:val="00387EC2"/>
    <w:rsid w:val="003A0CB8"/>
    <w:rsid w:val="003A511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06ED"/>
    <w:rsid w:val="005331E3"/>
    <w:rsid w:val="005349AA"/>
    <w:rsid w:val="005739C0"/>
    <w:rsid w:val="00576AFA"/>
    <w:rsid w:val="00587BBF"/>
    <w:rsid w:val="005A3941"/>
    <w:rsid w:val="005A4EAC"/>
    <w:rsid w:val="005A63E8"/>
    <w:rsid w:val="005C1712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6F73A9"/>
    <w:rsid w:val="00711344"/>
    <w:rsid w:val="00721260"/>
    <w:rsid w:val="00740F7D"/>
    <w:rsid w:val="00766B40"/>
    <w:rsid w:val="0076736F"/>
    <w:rsid w:val="00775DBD"/>
    <w:rsid w:val="007765ED"/>
    <w:rsid w:val="00776CA2"/>
    <w:rsid w:val="00776DED"/>
    <w:rsid w:val="007801D9"/>
    <w:rsid w:val="00786FC6"/>
    <w:rsid w:val="007912CA"/>
    <w:rsid w:val="007A1350"/>
    <w:rsid w:val="007A2471"/>
    <w:rsid w:val="007B32E2"/>
    <w:rsid w:val="007B38F0"/>
    <w:rsid w:val="007B66A7"/>
    <w:rsid w:val="007B6F35"/>
    <w:rsid w:val="007C0DFA"/>
    <w:rsid w:val="007D0AD9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137"/>
    <w:rsid w:val="009E7A20"/>
    <w:rsid w:val="00A0106A"/>
    <w:rsid w:val="00A03D80"/>
    <w:rsid w:val="00A05696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C2F49"/>
    <w:rsid w:val="00AD44A0"/>
    <w:rsid w:val="00AF4D2B"/>
    <w:rsid w:val="00AF62C3"/>
    <w:rsid w:val="00AF75DE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3399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01DD5"/>
    <w:rsid w:val="00D16550"/>
    <w:rsid w:val="00D21331"/>
    <w:rsid w:val="00D25E75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94DCA"/>
    <w:rsid w:val="00EB577E"/>
    <w:rsid w:val="00EC27A5"/>
    <w:rsid w:val="00EC418A"/>
    <w:rsid w:val="00EE4C8A"/>
    <w:rsid w:val="00F12574"/>
    <w:rsid w:val="00F23954"/>
    <w:rsid w:val="00F307DE"/>
    <w:rsid w:val="00F33EF9"/>
    <w:rsid w:val="00F7021F"/>
    <w:rsid w:val="00F70C44"/>
    <w:rsid w:val="00F72877"/>
    <w:rsid w:val="00F816D5"/>
    <w:rsid w:val="00F83E88"/>
    <w:rsid w:val="00F8533C"/>
    <w:rsid w:val="00FA12EF"/>
    <w:rsid w:val="00FA543D"/>
    <w:rsid w:val="00FD0BA6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0927A"/>
  <w15:chartTrackingRefBased/>
  <w15:docId w15:val="{3ED4E793-E8B3-408B-B66E-910FC6A3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362E7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62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5</TotalTime>
  <Pages>5</Pages>
  <Words>654</Words>
  <Characters>4639</Characters>
  <Application>Microsoft Office Word</Application>
  <DocSecurity>0</DocSecurity>
  <Lines>1159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2019-02-14T13:07:00Z</cp:lastPrinted>
  <dcterms:created xsi:type="dcterms:W3CDTF">2019-02-26T12:52:00Z</dcterms:created>
  <dcterms:modified xsi:type="dcterms:W3CDTF">2019-02-26T14:37:00Z</dcterms:modified>
</cp:coreProperties>
</file>