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7903" w:rsidR="009E7903" w:rsidP="009E7903" w:rsidRDefault="009E7903" w14:paraId="7C83C17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rPr>
          <w:rFonts w:asciiTheme="majorHAnsi" w:hAnsiTheme="majorHAnsi" w:eastAsiaTheme="majorEastAsia" w:cstheme="majorBidi"/>
          <w:kern w:val="0"/>
          <w:sz w:val="38"/>
          <w:szCs w:val="32"/>
          <w14:numSpacing w14:val="default"/>
        </w:rPr>
      </w:pPr>
      <w:bookmarkStart w:name="_Toc106800475" w:id="0"/>
      <w:r w:rsidRPr="009E7903">
        <w:rPr>
          <w:rFonts w:asciiTheme="majorHAnsi" w:hAnsiTheme="majorHAnsi" w:eastAsiaTheme="majorEastAsia" w:cstheme="majorBidi"/>
          <w:kern w:val="0"/>
          <w:sz w:val="38"/>
          <w:szCs w:val="32"/>
          <w14:numSpacing w14:val="default"/>
        </w:rPr>
        <w:t>Innehållsförteckning</w:t>
      </w:r>
    </w:p>
    <w:p w:rsidR="00BA58A2" w:rsidRDefault="009E7903" w14:paraId="731767DE" w14:textId="4822149D">
      <w:pPr>
        <w:pStyle w:val="Innehll1"/>
        <w:tabs>
          <w:tab w:val="right" w:leader="dot" w:pos="8494"/>
        </w:tabs>
        <w:rPr>
          <w:rFonts w:eastAsiaTheme="minorEastAsia"/>
          <w:noProof/>
          <w:kern w:val="2"/>
          <w:lang w:eastAsia="sv-SE"/>
          <w14:ligatures w14:val="standardContextual"/>
          <w14:numSpacing w14:val="default"/>
        </w:rPr>
      </w:pPr>
      <w:r w:rsidRPr="009E7903">
        <w:fldChar w:fldCharType="begin"/>
      </w:r>
      <w:r w:rsidRPr="009E7903">
        <w:instrText xml:space="preserve"> TOC \o "1-3" \h \z \u </w:instrText>
      </w:r>
      <w:r w:rsidRPr="009E7903">
        <w:fldChar w:fldCharType="separate"/>
      </w:r>
      <w:hyperlink w:history="1" w:anchor="_Toc235791184">
        <w:r w:rsidRPr="00713742" w:rsidR="00BA58A2">
          <w:rPr>
            <w:rStyle w:val="Hyperlnk"/>
            <w:noProof/>
          </w:rPr>
          <w:t>1 Inledning</w:t>
        </w:r>
        <w:r w:rsidR="00BA58A2">
          <w:rPr>
            <w:noProof/>
            <w:webHidden/>
          </w:rPr>
          <w:tab/>
        </w:r>
        <w:r w:rsidR="00BA58A2">
          <w:rPr>
            <w:noProof/>
            <w:webHidden/>
          </w:rPr>
          <w:fldChar w:fldCharType="begin"/>
        </w:r>
        <w:r w:rsidR="00BA58A2">
          <w:rPr>
            <w:noProof/>
            <w:webHidden/>
          </w:rPr>
          <w:instrText xml:space="preserve"> PAGEREF _Toc235791184 \h </w:instrText>
        </w:r>
        <w:r w:rsidR="00BA58A2">
          <w:rPr>
            <w:noProof/>
            <w:webHidden/>
          </w:rPr>
        </w:r>
        <w:r w:rsidR="00BA58A2">
          <w:rPr>
            <w:noProof/>
            <w:webHidden/>
          </w:rPr>
          <w:fldChar w:fldCharType="separate"/>
        </w:r>
        <w:r w:rsidR="00BA58A2">
          <w:rPr>
            <w:noProof/>
            <w:webHidden/>
          </w:rPr>
          <w:t>3</w:t>
        </w:r>
        <w:r w:rsidR="00BA58A2">
          <w:rPr>
            <w:noProof/>
            <w:webHidden/>
          </w:rPr>
          <w:fldChar w:fldCharType="end"/>
        </w:r>
      </w:hyperlink>
    </w:p>
    <w:p w:rsidR="00BA58A2" w:rsidRDefault="00BA58A2" w14:paraId="63F8B77E" w14:textId="13480CC7">
      <w:pPr>
        <w:pStyle w:val="Innehll2"/>
        <w:tabs>
          <w:tab w:val="right" w:leader="dot" w:pos="8494"/>
        </w:tabs>
        <w:rPr>
          <w:rFonts w:eastAsiaTheme="minorEastAsia"/>
          <w:noProof/>
          <w:kern w:val="2"/>
          <w:lang w:eastAsia="sv-SE"/>
          <w14:ligatures w14:val="standardContextual"/>
          <w14:numSpacing w14:val="default"/>
        </w:rPr>
      </w:pPr>
      <w:hyperlink w:history="1" w:anchor="_Toc235791185">
        <w:r w:rsidRPr="00713742">
          <w:rPr>
            <w:rStyle w:val="Hyperlnk"/>
            <w:noProof/>
          </w:rPr>
          <w:t>1.1 Ett modernt och demokratiskt statsskick</w:t>
        </w:r>
        <w:r>
          <w:rPr>
            <w:noProof/>
            <w:webHidden/>
          </w:rPr>
          <w:tab/>
        </w:r>
        <w:r>
          <w:rPr>
            <w:noProof/>
            <w:webHidden/>
          </w:rPr>
          <w:fldChar w:fldCharType="begin"/>
        </w:r>
        <w:r>
          <w:rPr>
            <w:noProof/>
            <w:webHidden/>
          </w:rPr>
          <w:instrText xml:space="preserve"> PAGEREF _Toc235791185 \h </w:instrText>
        </w:r>
        <w:r>
          <w:rPr>
            <w:noProof/>
            <w:webHidden/>
          </w:rPr>
        </w:r>
        <w:r>
          <w:rPr>
            <w:noProof/>
            <w:webHidden/>
          </w:rPr>
          <w:fldChar w:fldCharType="separate"/>
        </w:r>
        <w:r>
          <w:rPr>
            <w:noProof/>
            <w:webHidden/>
          </w:rPr>
          <w:t>4</w:t>
        </w:r>
        <w:r>
          <w:rPr>
            <w:noProof/>
            <w:webHidden/>
          </w:rPr>
          <w:fldChar w:fldCharType="end"/>
        </w:r>
      </w:hyperlink>
    </w:p>
    <w:p w:rsidR="00BA58A2" w:rsidRDefault="00BA58A2" w14:paraId="57A442C0" w14:textId="11FBD1EA">
      <w:pPr>
        <w:pStyle w:val="Innehll3"/>
        <w:tabs>
          <w:tab w:val="right" w:leader="dot" w:pos="8494"/>
        </w:tabs>
        <w:rPr>
          <w:rFonts w:eastAsiaTheme="minorEastAsia"/>
          <w:noProof/>
          <w:kern w:val="2"/>
          <w:lang w:eastAsia="sv-SE"/>
          <w14:ligatures w14:val="standardContextual"/>
          <w14:numSpacing w14:val="default"/>
        </w:rPr>
      </w:pPr>
      <w:hyperlink w:history="1" w:anchor="_Toc235791186">
        <w:r w:rsidRPr="00713742">
          <w:rPr>
            <w:rStyle w:val="Hyperlnk"/>
            <w:noProof/>
          </w:rPr>
          <w:t>1.1.1 Bristande möjligheter att granska Hovstaten</w:t>
        </w:r>
        <w:r>
          <w:rPr>
            <w:noProof/>
            <w:webHidden/>
          </w:rPr>
          <w:tab/>
        </w:r>
        <w:r>
          <w:rPr>
            <w:noProof/>
            <w:webHidden/>
          </w:rPr>
          <w:fldChar w:fldCharType="begin"/>
        </w:r>
        <w:r>
          <w:rPr>
            <w:noProof/>
            <w:webHidden/>
          </w:rPr>
          <w:instrText xml:space="preserve"> PAGEREF _Toc235791186 \h </w:instrText>
        </w:r>
        <w:r>
          <w:rPr>
            <w:noProof/>
            <w:webHidden/>
          </w:rPr>
        </w:r>
        <w:r>
          <w:rPr>
            <w:noProof/>
            <w:webHidden/>
          </w:rPr>
          <w:fldChar w:fldCharType="separate"/>
        </w:r>
        <w:r>
          <w:rPr>
            <w:noProof/>
            <w:webHidden/>
          </w:rPr>
          <w:t>5</w:t>
        </w:r>
        <w:r>
          <w:rPr>
            <w:noProof/>
            <w:webHidden/>
          </w:rPr>
          <w:fldChar w:fldCharType="end"/>
        </w:r>
      </w:hyperlink>
    </w:p>
    <w:p w:rsidR="00BA58A2" w:rsidRDefault="00BA58A2" w14:paraId="53A1A1C1" w14:textId="09E6301A">
      <w:pPr>
        <w:pStyle w:val="Innehll3"/>
        <w:tabs>
          <w:tab w:val="right" w:leader="dot" w:pos="8494"/>
        </w:tabs>
        <w:rPr>
          <w:rFonts w:eastAsiaTheme="minorEastAsia"/>
          <w:noProof/>
          <w:kern w:val="2"/>
          <w:lang w:eastAsia="sv-SE"/>
          <w14:ligatures w14:val="standardContextual"/>
          <w14:numSpacing w14:val="default"/>
        </w:rPr>
      </w:pPr>
      <w:hyperlink w:history="1" w:anchor="_Toc235791187">
        <w:r w:rsidRPr="00713742">
          <w:rPr>
            <w:rStyle w:val="Hyperlnk"/>
            <w:noProof/>
          </w:rPr>
          <w:t>1.1.2 Avskaffande av monarkens åtalsimmunitet</w:t>
        </w:r>
        <w:r>
          <w:rPr>
            <w:noProof/>
            <w:webHidden/>
          </w:rPr>
          <w:tab/>
        </w:r>
        <w:r>
          <w:rPr>
            <w:noProof/>
            <w:webHidden/>
          </w:rPr>
          <w:fldChar w:fldCharType="begin"/>
        </w:r>
        <w:r>
          <w:rPr>
            <w:noProof/>
            <w:webHidden/>
          </w:rPr>
          <w:instrText xml:space="preserve"> PAGEREF _Toc235791187 \h </w:instrText>
        </w:r>
        <w:r>
          <w:rPr>
            <w:noProof/>
            <w:webHidden/>
          </w:rPr>
        </w:r>
        <w:r>
          <w:rPr>
            <w:noProof/>
            <w:webHidden/>
          </w:rPr>
          <w:fldChar w:fldCharType="separate"/>
        </w:r>
        <w:r>
          <w:rPr>
            <w:noProof/>
            <w:webHidden/>
          </w:rPr>
          <w:t>6</w:t>
        </w:r>
        <w:r>
          <w:rPr>
            <w:noProof/>
            <w:webHidden/>
          </w:rPr>
          <w:fldChar w:fldCharType="end"/>
        </w:r>
      </w:hyperlink>
    </w:p>
    <w:p w:rsidR="00BA58A2" w:rsidRDefault="00BA58A2" w14:paraId="7AC7596D" w14:textId="6DD658B2">
      <w:pPr>
        <w:pStyle w:val="Innehll3"/>
        <w:tabs>
          <w:tab w:val="right" w:leader="dot" w:pos="8494"/>
        </w:tabs>
        <w:rPr>
          <w:rFonts w:eastAsiaTheme="minorEastAsia"/>
          <w:noProof/>
          <w:kern w:val="2"/>
          <w:lang w:eastAsia="sv-SE"/>
          <w14:ligatures w14:val="standardContextual"/>
          <w14:numSpacing w14:val="default"/>
        </w:rPr>
      </w:pPr>
      <w:hyperlink w:history="1" w:anchor="_Toc235791188">
        <w:r w:rsidRPr="00713742">
          <w:rPr>
            <w:rStyle w:val="Hyperlnk"/>
            <w:noProof/>
          </w:rPr>
          <w:t>1.1.3 Översyn av systemet med adjutanter</w:t>
        </w:r>
        <w:r>
          <w:rPr>
            <w:noProof/>
            <w:webHidden/>
          </w:rPr>
          <w:tab/>
        </w:r>
        <w:r>
          <w:rPr>
            <w:noProof/>
            <w:webHidden/>
          </w:rPr>
          <w:fldChar w:fldCharType="begin"/>
        </w:r>
        <w:r>
          <w:rPr>
            <w:noProof/>
            <w:webHidden/>
          </w:rPr>
          <w:instrText xml:space="preserve"> PAGEREF _Toc235791188 \h </w:instrText>
        </w:r>
        <w:r>
          <w:rPr>
            <w:noProof/>
            <w:webHidden/>
          </w:rPr>
        </w:r>
        <w:r>
          <w:rPr>
            <w:noProof/>
            <w:webHidden/>
          </w:rPr>
          <w:fldChar w:fldCharType="separate"/>
        </w:r>
        <w:r>
          <w:rPr>
            <w:noProof/>
            <w:webHidden/>
          </w:rPr>
          <w:t>7</w:t>
        </w:r>
        <w:r>
          <w:rPr>
            <w:noProof/>
            <w:webHidden/>
          </w:rPr>
          <w:fldChar w:fldCharType="end"/>
        </w:r>
      </w:hyperlink>
    </w:p>
    <w:p w:rsidR="00BA58A2" w:rsidRDefault="00BA58A2" w14:paraId="4CBEB584" w14:textId="00BEA643">
      <w:pPr>
        <w:pStyle w:val="Innehll2"/>
        <w:tabs>
          <w:tab w:val="right" w:leader="dot" w:pos="8494"/>
        </w:tabs>
        <w:rPr>
          <w:rFonts w:eastAsiaTheme="minorEastAsia"/>
          <w:noProof/>
          <w:kern w:val="2"/>
          <w:lang w:eastAsia="sv-SE"/>
          <w14:ligatures w14:val="standardContextual"/>
          <w14:numSpacing w14:val="default"/>
        </w:rPr>
      </w:pPr>
      <w:hyperlink w:history="1" w:anchor="_Toc235791189">
        <w:r w:rsidRPr="00713742">
          <w:rPr>
            <w:rStyle w:val="Hyperlnk"/>
            <w:noProof/>
          </w:rPr>
          <w:t>1.2 Riksdagsledamöternas arvoden och ersättningar</w:t>
        </w:r>
        <w:r>
          <w:rPr>
            <w:noProof/>
            <w:webHidden/>
          </w:rPr>
          <w:tab/>
        </w:r>
        <w:r>
          <w:rPr>
            <w:noProof/>
            <w:webHidden/>
          </w:rPr>
          <w:fldChar w:fldCharType="begin"/>
        </w:r>
        <w:r>
          <w:rPr>
            <w:noProof/>
            <w:webHidden/>
          </w:rPr>
          <w:instrText xml:space="preserve"> PAGEREF _Toc235791189 \h </w:instrText>
        </w:r>
        <w:r>
          <w:rPr>
            <w:noProof/>
            <w:webHidden/>
          </w:rPr>
        </w:r>
        <w:r>
          <w:rPr>
            <w:noProof/>
            <w:webHidden/>
          </w:rPr>
          <w:fldChar w:fldCharType="separate"/>
        </w:r>
        <w:r>
          <w:rPr>
            <w:noProof/>
            <w:webHidden/>
          </w:rPr>
          <w:t>7</w:t>
        </w:r>
        <w:r>
          <w:rPr>
            <w:noProof/>
            <w:webHidden/>
          </w:rPr>
          <w:fldChar w:fldCharType="end"/>
        </w:r>
      </w:hyperlink>
    </w:p>
    <w:p w:rsidR="00BA58A2" w:rsidRDefault="00BA58A2" w14:paraId="4B4659CD" w14:textId="01315452">
      <w:pPr>
        <w:pStyle w:val="Innehll2"/>
        <w:tabs>
          <w:tab w:val="right" w:leader="dot" w:pos="8494"/>
        </w:tabs>
        <w:rPr>
          <w:rFonts w:eastAsiaTheme="minorEastAsia"/>
          <w:noProof/>
          <w:kern w:val="2"/>
          <w:lang w:eastAsia="sv-SE"/>
          <w14:ligatures w14:val="standardContextual"/>
          <w14:numSpacing w14:val="default"/>
        </w:rPr>
      </w:pPr>
      <w:hyperlink w:history="1" w:anchor="_Toc235791190">
        <w:r w:rsidRPr="00713742">
          <w:rPr>
            <w:rStyle w:val="Hyperlnk"/>
            <w:noProof/>
          </w:rPr>
          <w:t>1.3 Grundlagsskydd för gemensam egendom</w:t>
        </w:r>
        <w:r>
          <w:rPr>
            <w:noProof/>
            <w:webHidden/>
          </w:rPr>
          <w:tab/>
        </w:r>
        <w:r>
          <w:rPr>
            <w:noProof/>
            <w:webHidden/>
          </w:rPr>
          <w:fldChar w:fldCharType="begin"/>
        </w:r>
        <w:r>
          <w:rPr>
            <w:noProof/>
            <w:webHidden/>
          </w:rPr>
          <w:instrText xml:space="preserve"> PAGEREF _Toc235791190 \h </w:instrText>
        </w:r>
        <w:r>
          <w:rPr>
            <w:noProof/>
            <w:webHidden/>
          </w:rPr>
        </w:r>
        <w:r>
          <w:rPr>
            <w:noProof/>
            <w:webHidden/>
          </w:rPr>
          <w:fldChar w:fldCharType="separate"/>
        </w:r>
        <w:r>
          <w:rPr>
            <w:noProof/>
            <w:webHidden/>
          </w:rPr>
          <w:t>8</w:t>
        </w:r>
        <w:r>
          <w:rPr>
            <w:noProof/>
            <w:webHidden/>
          </w:rPr>
          <w:fldChar w:fldCharType="end"/>
        </w:r>
      </w:hyperlink>
    </w:p>
    <w:p w:rsidR="00BA58A2" w:rsidRDefault="00BA58A2" w14:paraId="64EFE6EF" w14:textId="2F7F0F0E">
      <w:pPr>
        <w:pStyle w:val="Innehll2"/>
        <w:tabs>
          <w:tab w:val="right" w:leader="dot" w:pos="8494"/>
        </w:tabs>
        <w:rPr>
          <w:rFonts w:eastAsiaTheme="minorEastAsia"/>
          <w:noProof/>
          <w:kern w:val="2"/>
          <w:lang w:eastAsia="sv-SE"/>
          <w14:ligatures w14:val="standardContextual"/>
          <w14:numSpacing w14:val="default"/>
        </w:rPr>
      </w:pPr>
      <w:hyperlink w:history="1" w:anchor="_Toc235791191">
        <w:r w:rsidRPr="00713742">
          <w:rPr>
            <w:rStyle w:val="Hyperlnk"/>
            <w:noProof/>
          </w:rPr>
          <w:t>1.4 Grundlagsskydd för public service</w:t>
        </w:r>
        <w:r>
          <w:rPr>
            <w:noProof/>
            <w:webHidden/>
          </w:rPr>
          <w:tab/>
        </w:r>
        <w:r>
          <w:rPr>
            <w:noProof/>
            <w:webHidden/>
          </w:rPr>
          <w:fldChar w:fldCharType="begin"/>
        </w:r>
        <w:r>
          <w:rPr>
            <w:noProof/>
            <w:webHidden/>
          </w:rPr>
          <w:instrText xml:space="preserve"> PAGEREF _Toc235791191 \h </w:instrText>
        </w:r>
        <w:r>
          <w:rPr>
            <w:noProof/>
            <w:webHidden/>
          </w:rPr>
        </w:r>
        <w:r>
          <w:rPr>
            <w:noProof/>
            <w:webHidden/>
          </w:rPr>
          <w:fldChar w:fldCharType="separate"/>
        </w:r>
        <w:r>
          <w:rPr>
            <w:noProof/>
            <w:webHidden/>
          </w:rPr>
          <w:t>10</w:t>
        </w:r>
        <w:r>
          <w:rPr>
            <w:noProof/>
            <w:webHidden/>
          </w:rPr>
          <w:fldChar w:fldCharType="end"/>
        </w:r>
      </w:hyperlink>
    </w:p>
    <w:p w:rsidR="00BA58A2" w:rsidRDefault="00BA58A2" w14:paraId="627B5A61" w14:textId="6E9CE695">
      <w:pPr>
        <w:pStyle w:val="Innehll2"/>
        <w:tabs>
          <w:tab w:val="right" w:leader="dot" w:pos="8494"/>
        </w:tabs>
        <w:rPr>
          <w:rFonts w:eastAsiaTheme="minorEastAsia"/>
          <w:noProof/>
          <w:kern w:val="2"/>
          <w:lang w:eastAsia="sv-SE"/>
          <w14:ligatures w14:val="standardContextual"/>
          <w14:numSpacing w14:val="default"/>
        </w:rPr>
      </w:pPr>
      <w:hyperlink w:history="1" w:anchor="_Toc235791192">
        <w:r w:rsidRPr="00713742">
          <w:rPr>
            <w:rStyle w:val="Hyperlnk"/>
            <w:noProof/>
          </w:rPr>
          <w:t>1.5 Grundlagsskydd för den akademiska friheten</w:t>
        </w:r>
        <w:r>
          <w:rPr>
            <w:noProof/>
            <w:webHidden/>
          </w:rPr>
          <w:tab/>
        </w:r>
        <w:r>
          <w:rPr>
            <w:noProof/>
            <w:webHidden/>
          </w:rPr>
          <w:fldChar w:fldCharType="begin"/>
        </w:r>
        <w:r>
          <w:rPr>
            <w:noProof/>
            <w:webHidden/>
          </w:rPr>
          <w:instrText xml:space="preserve"> PAGEREF _Toc235791192 \h </w:instrText>
        </w:r>
        <w:r>
          <w:rPr>
            <w:noProof/>
            <w:webHidden/>
          </w:rPr>
        </w:r>
        <w:r>
          <w:rPr>
            <w:noProof/>
            <w:webHidden/>
          </w:rPr>
          <w:fldChar w:fldCharType="separate"/>
        </w:r>
        <w:r>
          <w:rPr>
            <w:noProof/>
            <w:webHidden/>
          </w:rPr>
          <w:t>11</w:t>
        </w:r>
        <w:r>
          <w:rPr>
            <w:noProof/>
            <w:webHidden/>
          </w:rPr>
          <w:fldChar w:fldCharType="end"/>
        </w:r>
      </w:hyperlink>
    </w:p>
    <w:p w:rsidR="00BA58A2" w:rsidRDefault="00BA58A2" w14:paraId="3147293C" w14:textId="7B074F6C">
      <w:pPr>
        <w:pStyle w:val="Innehll2"/>
        <w:tabs>
          <w:tab w:val="right" w:leader="dot" w:pos="8494"/>
        </w:tabs>
        <w:rPr>
          <w:rFonts w:eastAsiaTheme="minorEastAsia"/>
          <w:noProof/>
          <w:kern w:val="2"/>
          <w:lang w:eastAsia="sv-SE"/>
          <w14:ligatures w14:val="standardContextual"/>
          <w14:numSpacing w14:val="default"/>
        </w:rPr>
      </w:pPr>
      <w:hyperlink w:history="1" w:anchor="_Toc235791193">
        <w:r w:rsidRPr="00713742">
          <w:rPr>
            <w:rStyle w:val="Hyperlnk"/>
            <w:noProof/>
          </w:rPr>
          <w:t>1.6 Stärkt skydd för aborträtten</w:t>
        </w:r>
        <w:r>
          <w:rPr>
            <w:noProof/>
            <w:webHidden/>
          </w:rPr>
          <w:tab/>
        </w:r>
        <w:r>
          <w:rPr>
            <w:noProof/>
            <w:webHidden/>
          </w:rPr>
          <w:fldChar w:fldCharType="begin"/>
        </w:r>
        <w:r>
          <w:rPr>
            <w:noProof/>
            <w:webHidden/>
          </w:rPr>
          <w:instrText xml:space="preserve"> PAGEREF _Toc235791193 \h </w:instrText>
        </w:r>
        <w:r>
          <w:rPr>
            <w:noProof/>
            <w:webHidden/>
          </w:rPr>
        </w:r>
        <w:r>
          <w:rPr>
            <w:noProof/>
            <w:webHidden/>
          </w:rPr>
          <w:fldChar w:fldCharType="separate"/>
        </w:r>
        <w:r>
          <w:rPr>
            <w:noProof/>
            <w:webHidden/>
          </w:rPr>
          <w:t>12</w:t>
        </w:r>
        <w:r>
          <w:rPr>
            <w:noProof/>
            <w:webHidden/>
          </w:rPr>
          <w:fldChar w:fldCharType="end"/>
        </w:r>
      </w:hyperlink>
    </w:p>
    <w:p w:rsidR="00BA58A2" w:rsidRDefault="00BA58A2" w14:paraId="1205AF27" w14:textId="35497C79">
      <w:pPr>
        <w:pStyle w:val="Innehll2"/>
        <w:tabs>
          <w:tab w:val="right" w:leader="dot" w:pos="8494"/>
        </w:tabs>
        <w:rPr>
          <w:rFonts w:eastAsiaTheme="minorEastAsia"/>
          <w:noProof/>
          <w:kern w:val="2"/>
          <w:lang w:eastAsia="sv-SE"/>
          <w14:ligatures w14:val="standardContextual"/>
          <w14:numSpacing w14:val="default"/>
        </w:rPr>
      </w:pPr>
      <w:hyperlink w:history="1" w:anchor="_Toc235791194">
        <w:r w:rsidRPr="00713742">
          <w:rPr>
            <w:rStyle w:val="Hyperlnk"/>
            <w:noProof/>
          </w:rPr>
          <w:t>1.7 Rösträttsåldern</w:t>
        </w:r>
        <w:r>
          <w:rPr>
            <w:noProof/>
            <w:webHidden/>
          </w:rPr>
          <w:tab/>
        </w:r>
        <w:r>
          <w:rPr>
            <w:noProof/>
            <w:webHidden/>
          </w:rPr>
          <w:fldChar w:fldCharType="begin"/>
        </w:r>
        <w:r>
          <w:rPr>
            <w:noProof/>
            <w:webHidden/>
          </w:rPr>
          <w:instrText xml:space="preserve"> PAGEREF _Toc235791194 \h </w:instrText>
        </w:r>
        <w:r>
          <w:rPr>
            <w:noProof/>
            <w:webHidden/>
          </w:rPr>
        </w:r>
        <w:r>
          <w:rPr>
            <w:noProof/>
            <w:webHidden/>
          </w:rPr>
          <w:fldChar w:fldCharType="separate"/>
        </w:r>
        <w:r>
          <w:rPr>
            <w:noProof/>
            <w:webHidden/>
          </w:rPr>
          <w:t>12</w:t>
        </w:r>
        <w:r>
          <w:rPr>
            <w:noProof/>
            <w:webHidden/>
          </w:rPr>
          <w:fldChar w:fldCharType="end"/>
        </w:r>
      </w:hyperlink>
    </w:p>
    <w:p w:rsidR="00BA58A2" w:rsidRDefault="00BA58A2" w14:paraId="7F1D2229" w14:textId="274F2CEA">
      <w:pPr>
        <w:pStyle w:val="Innehll2"/>
        <w:tabs>
          <w:tab w:val="right" w:leader="dot" w:pos="8494"/>
        </w:tabs>
        <w:rPr>
          <w:rFonts w:eastAsiaTheme="minorEastAsia"/>
          <w:noProof/>
          <w:kern w:val="2"/>
          <w:lang w:eastAsia="sv-SE"/>
          <w14:ligatures w14:val="standardContextual"/>
          <w14:numSpacing w14:val="default"/>
        </w:rPr>
      </w:pPr>
      <w:hyperlink w:history="1" w:anchor="_Toc235791195">
        <w:r w:rsidRPr="00713742">
          <w:rPr>
            <w:rStyle w:val="Hyperlnk"/>
            <w:noProof/>
          </w:rPr>
          <w:t>1.8 Ett tredje juridiskt kön</w:t>
        </w:r>
        <w:r>
          <w:rPr>
            <w:noProof/>
            <w:webHidden/>
          </w:rPr>
          <w:tab/>
        </w:r>
        <w:r>
          <w:rPr>
            <w:noProof/>
            <w:webHidden/>
          </w:rPr>
          <w:fldChar w:fldCharType="begin"/>
        </w:r>
        <w:r>
          <w:rPr>
            <w:noProof/>
            <w:webHidden/>
          </w:rPr>
          <w:instrText xml:space="preserve"> PAGEREF _Toc235791195 \h </w:instrText>
        </w:r>
        <w:r>
          <w:rPr>
            <w:noProof/>
            <w:webHidden/>
          </w:rPr>
        </w:r>
        <w:r>
          <w:rPr>
            <w:noProof/>
            <w:webHidden/>
          </w:rPr>
          <w:fldChar w:fldCharType="separate"/>
        </w:r>
        <w:r>
          <w:rPr>
            <w:noProof/>
            <w:webHidden/>
          </w:rPr>
          <w:t>13</w:t>
        </w:r>
        <w:r>
          <w:rPr>
            <w:noProof/>
            <w:webHidden/>
          </w:rPr>
          <w:fldChar w:fldCharType="end"/>
        </w:r>
      </w:hyperlink>
    </w:p>
    <w:p w:rsidR="00BA58A2" w:rsidRDefault="00BA58A2" w14:paraId="1BB48B8A" w14:textId="3D10C357">
      <w:pPr>
        <w:pStyle w:val="Innehll2"/>
        <w:tabs>
          <w:tab w:val="right" w:leader="dot" w:pos="8494"/>
        </w:tabs>
        <w:rPr>
          <w:rFonts w:eastAsiaTheme="minorEastAsia"/>
          <w:noProof/>
          <w:kern w:val="2"/>
          <w:lang w:eastAsia="sv-SE"/>
          <w14:ligatures w14:val="standardContextual"/>
          <w14:numSpacing w14:val="default"/>
        </w:rPr>
      </w:pPr>
      <w:hyperlink w:history="1" w:anchor="_Toc235791196">
        <w:r w:rsidRPr="00713742">
          <w:rPr>
            <w:rStyle w:val="Hyperlnk"/>
            <w:noProof/>
          </w:rPr>
          <w:t>1.9 Transparens och antikorruption</w:t>
        </w:r>
        <w:r>
          <w:rPr>
            <w:noProof/>
            <w:webHidden/>
          </w:rPr>
          <w:tab/>
        </w:r>
        <w:r>
          <w:rPr>
            <w:noProof/>
            <w:webHidden/>
          </w:rPr>
          <w:fldChar w:fldCharType="begin"/>
        </w:r>
        <w:r>
          <w:rPr>
            <w:noProof/>
            <w:webHidden/>
          </w:rPr>
          <w:instrText xml:space="preserve"> PAGEREF _Toc235791196 \h </w:instrText>
        </w:r>
        <w:r>
          <w:rPr>
            <w:noProof/>
            <w:webHidden/>
          </w:rPr>
        </w:r>
        <w:r>
          <w:rPr>
            <w:noProof/>
            <w:webHidden/>
          </w:rPr>
          <w:fldChar w:fldCharType="separate"/>
        </w:r>
        <w:r>
          <w:rPr>
            <w:noProof/>
            <w:webHidden/>
          </w:rPr>
          <w:t>1</w:t>
        </w:r>
        <w:r>
          <w:rPr>
            <w:noProof/>
            <w:webHidden/>
          </w:rPr>
          <w:t>4</w:t>
        </w:r>
        <w:r>
          <w:rPr>
            <w:noProof/>
            <w:webHidden/>
          </w:rPr>
          <w:fldChar w:fldCharType="end"/>
        </w:r>
      </w:hyperlink>
    </w:p>
    <w:p w:rsidR="00BA58A2" w:rsidRDefault="00BA58A2" w14:paraId="7859DE5C" w14:textId="1A7717AA">
      <w:pPr>
        <w:pStyle w:val="Innehll3"/>
        <w:tabs>
          <w:tab w:val="right" w:leader="dot" w:pos="8494"/>
        </w:tabs>
        <w:rPr>
          <w:rFonts w:eastAsiaTheme="minorEastAsia"/>
          <w:noProof/>
          <w:kern w:val="2"/>
          <w:lang w:eastAsia="sv-SE"/>
          <w14:ligatures w14:val="standardContextual"/>
          <w14:numSpacing w14:val="default"/>
        </w:rPr>
      </w:pPr>
      <w:hyperlink w:history="1" w:anchor="_Toc235791197">
        <w:r w:rsidRPr="00713742">
          <w:rPr>
            <w:rStyle w:val="Hyperlnk"/>
            <w:noProof/>
          </w:rPr>
          <w:t>1.9.1 Insynsutredningen</w:t>
        </w:r>
        <w:r>
          <w:rPr>
            <w:noProof/>
            <w:webHidden/>
          </w:rPr>
          <w:tab/>
        </w:r>
        <w:r>
          <w:rPr>
            <w:noProof/>
            <w:webHidden/>
          </w:rPr>
          <w:fldChar w:fldCharType="begin"/>
        </w:r>
        <w:r>
          <w:rPr>
            <w:noProof/>
            <w:webHidden/>
          </w:rPr>
          <w:instrText xml:space="preserve"> PAGEREF _Toc235791197 \h </w:instrText>
        </w:r>
        <w:r>
          <w:rPr>
            <w:noProof/>
            <w:webHidden/>
          </w:rPr>
        </w:r>
        <w:r>
          <w:rPr>
            <w:noProof/>
            <w:webHidden/>
          </w:rPr>
          <w:fldChar w:fldCharType="separate"/>
        </w:r>
        <w:r>
          <w:rPr>
            <w:noProof/>
            <w:webHidden/>
          </w:rPr>
          <w:t>15</w:t>
        </w:r>
        <w:r>
          <w:rPr>
            <w:noProof/>
            <w:webHidden/>
          </w:rPr>
          <w:fldChar w:fldCharType="end"/>
        </w:r>
      </w:hyperlink>
    </w:p>
    <w:p w:rsidR="00BA58A2" w:rsidRDefault="00BA58A2" w14:paraId="2AB4563A" w14:textId="03C16210">
      <w:pPr>
        <w:pStyle w:val="Innehll3"/>
        <w:tabs>
          <w:tab w:val="right" w:leader="dot" w:pos="8494"/>
        </w:tabs>
        <w:rPr>
          <w:rFonts w:eastAsiaTheme="minorEastAsia"/>
          <w:noProof/>
          <w:kern w:val="2"/>
          <w:lang w:eastAsia="sv-SE"/>
          <w14:ligatures w14:val="standardContextual"/>
          <w14:numSpacing w14:val="default"/>
        </w:rPr>
      </w:pPr>
      <w:hyperlink w:history="1" w:anchor="_Toc235791198">
        <w:r w:rsidRPr="00713742">
          <w:rPr>
            <w:rStyle w:val="Hyperlnk"/>
            <w:noProof/>
          </w:rPr>
          <w:t>1.9.2 Lobbyregister</w:t>
        </w:r>
        <w:r>
          <w:rPr>
            <w:noProof/>
            <w:webHidden/>
          </w:rPr>
          <w:tab/>
        </w:r>
        <w:r>
          <w:rPr>
            <w:noProof/>
            <w:webHidden/>
          </w:rPr>
          <w:fldChar w:fldCharType="begin"/>
        </w:r>
        <w:r>
          <w:rPr>
            <w:noProof/>
            <w:webHidden/>
          </w:rPr>
          <w:instrText xml:space="preserve"> PAGEREF _Toc235791198 \h </w:instrText>
        </w:r>
        <w:r>
          <w:rPr>
            <w:noProof/>
            <w:webHidden/>
          </w:rPr>
        </w:r>
        <w:r>
          <w:rPr>
            <w:noProof/>
            <w:webHidden/>
          </w:rPr>
          <w:fldChar w:fldCharType="separate"/>
        </w:r>
        <w:r>
          <w:rPr>
            <w:noProof/>
            <w:webHidden/>
          </w:rPr>
          <w:t>15</w:t>
        </w:r>
        <w:r>
          <w:rPr>
            <w:noProof/>
            <w:webHidden/>
          </w:rPr>
          <w:fldChar w:fldCharType="end"/>
        </w:r>
      </w:hyperlink>
    </w:p>
    <w:p w:rsidR="00BA58A2" w:rsidRDefault="00BA58A2" w14:paraId="635CAAA3" w14:textId="014F2885">
      <w:pPr>
        <w:pStyle w:val="Innehll3"/>
        <w:tabs>
          <w:tab w:val="right" w:leader="dot" w:pos="8494"/>
        </w:tabs>
        <w:rPr>
          <w:rFonts w:eastAsiaTheme="minorEastAsia"/>
          <w:noProof/>
          <w:kern w:val="2"/>
          <w:lang w:eastAsia="sv-SE"/>
          <w14:ligatures w14:val="standardContextual"/>
          <w14:numSpacing w14:val="default"/>
        </w:rPr>
      </w:pPr>
      <w:hyperlink w:history="1" w:anchor="_Toc235791199">
        <w:r w:rsidRPr="00713742">
          <w:rPr>
            <w:rStyle w:val="Hyperlnk"/>
            <w:noProof/>
          </w:rPr>
          <w:t>1.9.3 Statsråds och statssekreterares aktieaffärer</w:t>
        </w:r>
        <w:r>
          <w:rPr>
            <w:noProof/>
            <w:webHidden/>
          </w:rPr>
          <w:tab/>
        </w:r>
        <w:r>
          <w:rPr>
            <w:noProof/>
            <w:webHidden/>
          </w:rPr>
          <w:fldChar w:fldCharType="begin"/>
        </w:r>
        <w:r>
          <w:rPr>
            <w:noProof/>
            <w:webHidden/>
          </w:rPr>
          <w:instrText xml:space="preserve"> PAGEREF _Toc235791199 \h </w:instrText>
        </w:r>
        <w:r>
          <w:rPr>
            <w:noProof/>
            <w:webHidden/>
          </w:rPr>
        </w:r>
        <w:r>
          <w:rPr>
            <w:noProof/>
            <w:webHidden/>
          </w:rPr>
          <w:fldChar w:fldCharType="separate"/>
        </w:r>
        <w:r>
          <w:rPr>
            <w:noProof/>
            <w:webHidden/>
          </w:rPr>
          <w:t>16</w:t>
        </w:r>
        <w:r>
          <w:rPr>
            <w:noProof/>
            <w:webHidden/>
          </w:rPr>
          <w:fldChar w:fldCharType="end"/>
        </w:r>
      </w:hyperlink>
    </w:p>
    <w:p w:rsidR="00BA58A2" w:rsidRDefault="00BA58A2" w14:paraId="750B1890" w14:textId="1BFF14EA">
      <w:pPr>
        <w:pStyle w:val="Innehll3"/>
        <w:tabs>
          <w:tab w:val="right" w:leader="dot" w:pos="8494"/>
        </w:tabs>
        <w:rPr>
          <w:rFonts w:eastAsiaTheme="minorEastAsia"/>
          <w:noProof/>
          <w:kern w:val="2"/>
          <w:lang w:eastAsia="sv-SE"/>
          <w14:ligatures w14:val="standardContextual"/>
          <w14:numSpacing w14:val="default"/>
        </w:rPr>
      </w:pPr>
      <w:hyperlink w:history="1" w:anchor="_Toc235791200">
        <w:r w:rsidRPr="00713742">
          <w:rPr>
            <w:rStyle w:val="Hyperlnk"/>
            <w:noProof/>
          </w:rPr>
          <w:t>1.9.4 Se över karenssystemet för statsråd m.fl.</w:t>
        </w:r>
        <w:r>
          <w:rPr>
            <w:noProof/>
            <w:webHidden/>
          </w:rPr>
          <w:tab/>
        </w:r>
        <w:r>
          <w:rPr>
            <w:noProof/>
            <w:webHidden/>
          </w:rPr>
          <w:fldChar w:fldCharType="begin"/>
        </w:r>
        <w:r>
          <w:rPr>
            <w:noProof/>
            <w:webHidden/>
          </w:rPr>
          <w:instrText xml:space="preserve"> PAGEREF _Toc235791200 \h </w:instrText>
        </w:r>
        <w:r>
          <w:rPr>
            <w:noProof/>
            <w:webHidden/>
          </w:rPr>
        </w:r>
        <w:r>
          <w:rPr>
            <w:noProof/>
            <w:webHidden/>
          </w:rPr>
          <w:fldChar w:fldCharType="separate"/>
        </w:r>
        <w:r>
          <w:rPr>
            <w:noProof/>
            <w:webHidden/>
          </w:rPr>
          <w:t>17</w:t>
        </w:r>
        <w:r>
          <w:rPr>
            <w:noProof/>
            <w:webHidden/>
          </w:rPr>
          <w:fldChar w:fldCharType="end"/>
        </w:r>
      </w:hyperlink>
    </w:p>
    <w:p w:rsidR="00BA58A2" w:rsidRDefault="00BA58A2" w14:paraId="45BA34FD" w14:textId="4F56A3C8">
      <w:pPr>
        <w:pStyle w:val="Innehll2"/>
        <w:tabs>
          <w:tab w:val="right" w:leader="dot" w:pos="8494"/>
        </w:tabs>
        <w:rPr>
          <w:rFonts w:eastAsiaTheme="minorEastAsia"/>
          <w:noProof/>
          <w:kern w:val="2"/>
          <w:lang w:eastAsia="sv-SE"/>
          <w14:ligatures w14:val="standardContextual"/>
          <w14:numSpacing w14:val="default"/>
        </w:rPr>
      </w:pPr>
      <w:hyperlink w:history="1" w:anchor="_Toc235791201">
        <w:r w:rsidRPr="00713742">
          <w:rPr>
            <w:rStyle w:val="Hyperlnk"/>
            <w:noProof/>
          </w:rPr>
          <w:t>1.10 Skydd för den personliga integriteten</w:t>
        </w:r>
        <w:r>
          <w:rPr>
            <w:noProof/>
            <w:webHidden/>
          </w:rPr>
          <w:tab/>
        </w:r>
        <w:r>
          <w:rPr>
            <w:noProof/>
            <w:webHidden/>
          </w:rPr>
          <w:fldChar w:fldCharType="begin"/>
        </w:r>
        <w:r>
          <w:rPr>
            <w:noProof/>
            <w:webHidden/>
          </w:rPr>
          <w:instrText xml:space="preserve"> PAGEREF _Toc235791201 \h </w:instrText>
        </w:r>
        <w:r>
          <w:rPr>
            <w:noProof/>
            <w:webHidden/>
          </w:rPr>
        </w:r>
        <w:r>
          <w:rPr>
            <w:noProof/>
            <w:webHidden/>
          </w:rPr>
          <w:fldChar w:fldCharType="separate"/>
        </w:r>
        <w:r>
          <w:rPr>
            <w:noProof/>
            <w:webHidden/>
          </w:rPr>
          <w:t>18</w:t>
        </w:r>
        <w:r>
          <w:rPr>
            <w:noProof/>
            <w:webHidden/>
          </w:rPr>
          <w:fldChar w:fldCharType="end"/>
        </w:r>
      </w:hyperlink>
    </w:p>
    <w:p w:rsidR="00BA58A2" w:rsidRDefault="00BA58A2" w14:paraId="138F9E50" w14:textId="35144957">
      <w:pPr>
        <w:pStyle w:val="Innehll3"/>
        <w:tabs>
          <w:tab w:val="right" w:leader="dot" w:pos="8494"/>
        </w:tabs>
        <w:rPr>
          <w:rFonts w:eastAsiaTheme="minorEastAsia"/>
          <w:noProof/>
          <w:kern w:val="2"/>
          <w:lang w:eastAsia="sv-SE"/>
          <w14:ligatures w14:val="standardContextual"/>
          <w14:numSpacing w14:val="default"/>
        </w:rPr>
      </w:pPr>
      <w:hyperlink w:history="1" w:anchor="_Toc235791202">
        <w:r w:rsidRPr="00713742">
          <w:rPr>
            <w:rStyle w:val="Hyperlnk"/>
            <w:noProof/>
          </w:rPr>
          <w:t>1.10.1 Drönarbevakning av allmänna sammankomster</w:t>
        </w:r>
        <w:r>
          <w:rPr>
            <w:noProof/>
            <w:webHidden/>
          </w:rPr>
          <w:tab/>
        </w:r>
        <w:r>
          <w:rPr>
            <w:noProof/>
            <w:webHidden/>
          </w:rPr>
          <w:fldChar w:fldCharType="begin"/>
        </w:r>
        <w:r>
          <w:rPr>
            <w:noProof/>
            <w:webHidden/>
          </w:rPr>
          <w:instrText xml:space="preserve"> PAGEREF _Toc235791202 \h </w:instrText>
        </w:r>
        <w:r>
          <w:rPr>
            <w:noProof/>
            <w:webHidden/>
          </w:rPr>
        </w:r>
        <w:r>
          <w:rPr>
            <w:noProof/>
            <w:webHidden/>
          </w:rPr>
          <w:fldChar w:fldCharType="separate"/>
        </w:r>
        <w:r>
          <w:rPr>
            <w:noProof/>
            <w:webHidden/>
          </w:rPr>
          <w:t>18</w:t>
        </w:r>
        <w:r>
          <w:rPr>
            <w:noProof/>
            <w:webHidden/>
          </w:rPr>
          <w:fldChar w:fldCharType="end"/>
        </w:r>
      </w:hyperlink>
    </w:p>
    <w:p w:rsidR="00BA58A2" w:rsidRDefault="00BA58A2" w14:paraId="07B912B8" w14:textId="69EFA4BD">
      <w:pPr>
        <w:pStyle w:val="Innehll3"/>
        <w:tabs>
          <w:tab w:val="right" w:leader="dot" w:pos="8494"/>
        </w:tabs>
        <w:rPr>
          <w:rFonts w:eastAsiaTheme="minorEastAsia"/>
          <w:noProof/>
          <w:kern w:val="2"/>
          <w:lang w:eastAsia="sv-SE"/>
          <w14:ligatures w14:val="standardContextual"/>
          <w14:numSpacing w14:val="default"/>
        </w:rPr>
      </w:pPr>
      <w:hyperlink w:history="1" w:anchor="_Toc235791203">
        <w:r w:rsidRPr="00713742">
          <w:rPr>
            <w:rStyle w:val="Hyperlnk"/>
            <w:noProof/>
          </w:rPr>
          <w:t>1.10.2 Integritetsperspektiv på den digitala marknadsföringen</w:t>
        </w:r>
        <w:r>
          <w:rPr>
            <w:noProof/>
            <w:webHidden/>
          </w:rPr>
          <w:tab/>
        </w:r>
        <w:r>
          <w:rPr>
            <w:noProof/>
            <w:webHidden/>
          </w:rPr>
          <w:fldChar w:fldCharType="begin"/>
        </w:r>
        <w:r>
          <w:rPr>
            <w:noProof/>
            <w:webHidden/>
          </w:rPr>
          <w:instrText xml:space="preserve"> PAGEREF _Toc235791203 \h </w:instrText>
        </w:r>
        <w:r>
          <w:rPr>
            <w:noProof/>
            <w:webHidden/>
          </w:rPr>
        </w:r>
        <w:r>
          <w:rPr>
            <w:noProof/>
            <w:webHidden/>
          </w:rPr>
          <w:fldChar w:fldCharType="separate"/>
        </w:r>
        <w:r>
          <w:rPr>
            <w:noProof/>
            <w:webHidden/>
          </w:rPr>
          <w:t>19</w:t>
        </w:r>
        <w:r>
          <w:rPr>
            <w:noProof/>
            <w:webHidden/>
          </w:rPr>
          <w:fldChar w:fldCharType="end"/>
        </w:r>
      </w:hyperlink>
    </w:p>
    <w:p w:rsidR="00BA58A2" w:rsidRDefault="00BA58A2" w14:paraId="620FE466" w14:textId="0D1D660D">
      <w:pPr>
        <w:pStyle w:val="Innehll3"/>
        <w:tabs>
          <w:tab w:val="right" w:leader="dot" w:pos="8494"/>
        </w:tabs>
        <w:rPr>
          <w:rFonts w:eastAsiaTheme="minorEastAsia"/>
          <w:noProof/>
          <w:kern w:val="2"/>
          <w:lang w:eastAsia="sv-SE"/>
          <w14:ligatures w14:val="standardContextual"/>
          <w14:numSpacing w14:val="default"/>
        </w:rPr>
      </w:pPr>
      <w:hyperlink w:history="1" w:anchor="_Toc235791204">
        <w:r w:rsidRPr="00713742">
          <w:rPr>
            <w:rStyle w:val="Hyperlnk"/>
            <w:noProof/>
          </w:rPr>
          <w:t>1.10.3 Att använda barn i marknadsföring</w:t>
        </w:r>
        <w:r>
          <w:rPr>
            <w:noProof/>
            <w:webHidden/>
          </w:rPr>
          <w:tab/>
        </w:r>
        <w:r>
          <w:rPr>
            <w:noProof/>
            <w:webHidden/>
          </w:rPr>
          <w:fldChar w:fldCharType="begin"/>
        </w:r>
        <w:r>
          <w:rPr>
            <w:noProof/>
            <w:webHidden/>
          </w:rPr>
          <w:instrText xml:space="preserve"> PAGEREF _Toc235791204 \h </w:instrText>
        </w:r>
        <w:r>
          <w:rPr>
            <w:noProof/>
            <w:webHidden/>
          </w:rPr>
        </w:r>
        <w:r>
          <w:rPr>
            <w:noProof/>
            <w:webHidden/>
          </w:rPr>
          <w:fldChar w:fldCharType="separate"/>
        </w:r>
        <w:r>
          <w:rPr>
            <w:noProof/>
            <w:webHidden/>
          </w:rPr>
          <w:t>19</w:t>
        </w:r>
        <w:r>
          <w:rPr>
            <w:noProof/>
            <w:webHidden/>
          </w:rPr>
          <w:fldChar w:fldCharType="end"/>
        </w:r>
      </w:hyperlink>
    </w:p>
    <w:p w:rsidR="00BA58A2" w:rsidRDefault="00BA58A2" w14:paraId="16BA08CE" w14:textId="3817470F">
      <w:pPr>
        <w:pStyle w:val="Innehll3"/>
        <w:tabs>
          <w:tab w:val="right" w:leader="dot" w:pos="8494"/>
        </w:tabs>
        <w:rPr>
          <w:rFonts w:eastAsiaTheme="minorEastAsia"/>
          <w:noProof/>
          <w:kern w:val="2"/>
          <w:lang w:eastAsia="sv-SE"/>
          <w14:ligatures w14:val="standardContextual"/>
          <w14:numSpacing w14:val="default"/>
        </w:rPr>
      </w:pPr>
      <w:hyperlink w:history="1" w:anchor="_Toc235791205">
        <w:r w:rsidRPr="00713742">
          <w:rPr>
            <w:rStyle w:val="Hyperlnk"/>
            <w:noProof/>
          </w:rPr>
          <w:t>1.10.4 Åtgärder för att motverka personuppgiftsläckor</w:t>
        </w:r>
        <w:r>
          <w:rPr>
            <w:noProof/>
            <w:webHidden/>
          </w:rPr>
          <w:tab/>
        </w:r>
        <w:r>
          <w:rPr>
            <w:noProof/>
            <w:webHidden/>
          </w:rPr>
          <w:fldChar w:fldCharType="begin"/>
        </w:r>
        <w:r>
          <w:rPr>
            <w:noProof/>
            <w:webHidden/>
          </w:rPr>
          <w:instrText xml:space="preserve"> PAGEREF _Toc235791205 \h </w:instrText>
        </w:r>
        <w:r>
          <w:rPr>
            <w:noProof/>
            <w:webHidden/>
          </w:rPr>
        </w:r>
        <w:r>
          <w:rPr>
            <w:noProof/>
            <w:webHidden/>
          </w:rPr>
          <w:fldChar w:fldCharType="separate"/>
        </w:r>
        <w:r>
          <w:rPr>
            <w:noProof/>
            <w:webHidden/>
          </w:rPr>
          <w:t>20</w:t>
        </w:r>
        <w:r>
          <w:rPr>
            <w:noProof/>
            <w:webHidden/>
          </w:rPr>
          <w:fldChar w:fldCharType="end"/>
        </w:r>
      </w:hyperlink>
    </w:p>
    <w:p w:rsidR="00BA58A2" w:rsidRDefault="00BA58A2" w14:paraId="79F081F3" w14:textId="607FF69B">
      <w:pPr>
        <w:pStyle w:val="Innehll2"/>
        <w:tabs>
          <w:tab w:val="right" w:leader="dot" w:pos="8494"/>
        </w:tabs>
        <w:rPr>
          <w:rFonts w:eastAsiaTheme="minorEastAsia"/>
          <w:noProof/>
          <w:kern w:val="2"/>
          <w:lang w:eastAsia="sv-SE"/>
          <w14:ligatures w14:val="standardContextual"/>
          <w14:numSpacing w14:val="default"/>
        </w:rPr>
      </w:pPr>
      <w:hyperlink w:history="1" w:anchor="_Toc235791206">
        <w:r w:rsidRPr="00713742">
          <w:rPr>
            <w:rStyle w:val="Hyperlnk"/>
            <w:noProof/>
          </w:rPr>
          <w:t>1.11 Mediestödet</w:t>
        </w:r>
        <w:r>
          <w:rPr>
            <w:noProof/>
            <w:webHidden/>
          </w:rPr>
          <w:tab/>
        </w:r>
        <w:r>
          <w:rPr>
            <w:noProof/>
            <w:webHidden/>
          </w:rPr>
          <w:fldChar w:fldCharType="begin"/>
        </w:r>
        <w:r>
          <w:rPr>
            <w:noProof/>
            <w:webHidden/>
          </w:rPr>
          <w:instrText xml:space="preserve"> PAGEREF _Toc235791206 \h </w:instrText>
        </w:r>
        <w:r>
          <w:rPr>
            <w:noProof/>
            <w:webHidden/>
          </w:rPr>
        </w:r>
        <w:r>
          <w:rPr>
            <w:noProof/>
            <w:webHidden/>
          </w:rPr>
          <w:fldChar w:fldCharType="separate"/>
        </w:r>
        <w:r>
          <w:rPr>
            <w:noProof/>
            <w:webHidden/>
          </w:rPr>
          <w:t>20</w:t>
        </w:r>
        <w:r>
          <w:rPr>
            <w:noProof/>
            <w:webHidden/>
          </w:rPr>
          <w:fldChar w:fldCharType="end"/>
        </w:r>
      </w:hyperlink>
    </w:p>
    <w:p w:rsidRPr="009B062B" w:rsidR="00AF30DD" w:rsidP="009E7903" w:rsidRDefault="009E7903" w14:paraId="2B6449BD" w14:textId="1AB6538C">
      <w:pPr>
        <w:pStyle w:val="Innehllsfrteckningsrubrik"/>
      </w:pPr>
      <w:r w:rsidRPr="009E7903">
        <w:rPr>
          <w:rFonts w:asciiTheme="minorHAnsi" w:hAnsiTheme="minorHAnsi" w:eastAsiaTheme="minorHAnsi" w:cstheme="minorBidi"/>
          <w:b/>
          <w:bCs/>
          <w:kern w:val="28"/>
          <w:sz w:val="24"/>
          <w:szCs w:val="24"/>
          <w14:numSpacing w14:val="proportional"/>
        </w:rPr>
        <w:lastRenderedPageBreak/>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alias w:val="Yrkande 1"/>
        <w:tag w:val="cd2190e2-e913-434b-97f9-c04e02eeba79"/>
        <w:id w:val="-2140322913"/>
        <w:lock w:val="sdtLocked"/>
      </w:sdtPr>
      <w:sdtEndPr/>
      <w:sdtContent>
        <w:p w:rsidR="00907A72" w:rsidRDefault="00A14C97" w14:paraId="4645D8D6"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889f138d-8d1d-4820-a74e-e15d34b86051"/>
        <w:id w:val="-760296072"/>
        <w:lock w:val="sdtLocked"/>
      </w:sdtPr>
      <w:sdtEndPr/>
      <w:sdtContent>
        <w:p w:rsidR="00907A72" w:rsidRDefault="00A14C97" w14:paraId="4269A124" w14:textId="77777777">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alias w:val="Yrkande 3"/>
        <w:tag w:val="32cc254f-23fb-424b-9b47-d4e12ff4a510"/>
        <w:id w:val="-911536150"/>
        <w:lock w:val="sdtLocked"/>
      </w:sdtPr>
      <w:sdtEndPr/>
      <w:sdtContent>
        <w:p w:rsidR="00907A72" w:rsidRDefault="00A14C97" w14:paraId="6F56826B" w14:textId="77777777">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alias w:val="Yrkande 4"/>
        <w:tag w:val="0991e87e-ddc4-4985-9dfa-b042ac56dbd3"/>
        <w:id w:val="-658999685"/>
        <w:lock w:val="sdtLocked"/>
      </w:sdtPr>
      <w:sdtEndPr/>
      <w:sdtContent>
        <w:p w:rsidR="00907A72" w:rsidRDefault="00A14C97" w14:paraId="6716AFA1" w14:textId="77777777">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alias w:val="Yrkande 5"/>
        <w:tag w:val="364cd3f9-81da-4750-83a2-14b382bc01d0"/>
        <w:id w:val="841735238"/>
        <w:lock w:val="sdtLocked"/>
      </w:sdtPr>
      <w:sdtEndPr/>
      <w:sdtContent>
        <w:p w:rsidR="00907A72" w:rsidRDefault="00A14C97" w14:paraId="597C8560"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6"/>
        <w:tag w:val="82afba75-829b-4bab-8648-76085f4ff82c"/>
        <w:id w:val="2103828293"/>
        <w:lock w:val="sdtLocked"/>
      </w:sdtPr>
      <w:sdtEndPr/>
      <w:sdtContent>
        <w:p w:rsidR="00907A72" w:rsidRDefault="00A14C97" w14:paraId="60DAA32D" w14:textId="77777777">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alias w:val="Yrkande 7"/>
        <w:tag w:val="6b9881e2-a04a-4e79-9d06-74fc5d91c762"/>
        <w:id w:val="617726219"/>
        <w:lock w:val="sdtLocked"/>
      </w:sdtPr>
      <w:sdtEndPr/>
      <w:sdtContent>
        <w:p w:rsidR="00907A72" w:rsidRDefault="00A14C97" w14:paraId="5E698D92" w14:textId="77777777">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alias w:val="Yrkande 8"/>
        <w:tag w:val="013d3513-4dd6-4b01-91dd-175bbf3e415e"/>
        <w:id w:val="523834801"/>
        <w:lock w:val="sdtLocked"/>
      </w:sdtPr>
      <w:sdtEndPr/>
      <w:sdtContent>
        <w:p w:rsidR="00907A72" w:rsidRDefault="00A14C97" w14:paraId="10365663" w14:textId="77777777">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alias w:val="Yrkande 9"/>
        <w:tag w:val="ecdc00d2-d5bc-4737-974d-319513de03e1"/>
        <w:id w:val="-1866120422"/>
        <w:lock w:val="sdtLocked"/>
      </w:sdtPr>
      <w:sdtEndPr/>
      <w:sdtContent>
        <w:p w:rsidR="00907A72" w:rsidRDefault="00A14C97" w14:paraId="384BA0C3" w14:textId="77777777">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alias w:val="Yrkande 10"/>
        <w:tag w:val="b59d75b8-5f30-4cc3-af09-d56211373bcb"/>
        <w:id w:val="-2074961802"/>
        <w:lock w:val="sdtLocked"/>
      </w:sdtPr>
      <w:sdtEndPr/>
      <w:sdtContent>
        <w:p w:rsidR="00907A72" w:rsidRDefault="00A14C97" w14:paraId="4D0E8C4E" w14:textId="77777777">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alias w:val="Yrkande 11"/>
        <w:tag w:val="93a45710-0191-4915-bc90-0c323b230850"/>
        <w:id w:val="1808431543"/>
        <w:lock w:val="sdtLocked"/>
      </w:sdtPr>
      <w:sdtEndPr/>
      <w:sdtContent>
        <w:p w:rsidR="00907A72" w:rsidRDefault="00A14C97" w14:paraId="1C3B9C3C" w14:textId="77777777">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alias w:val="Yrkande 12"/>
        <w:tag w:val="6c3688b2-b69f-46fe-8142-8ec78fcfda0f"/>
        <w:id w:val="1031543086"/>
        <w:lock w:val="sdtLocked"/>
      </w:sdtPr>
      <w:sdtEndPr/>
      <w:sdtContent>
        <w:p w:rsidR="00907A72" w:rsidRDefault="00A14C97" w14:paraId="5629DADF" w14:textId="77777777">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alias w:val="Yrkande 13"/>
        <w:tag w:val="6a2bbfcf-f1e7-4100-b908-12628215126a"/>
        <w:id w:val="1953131251"/>
        <w:lock w:val="sdtLocked"/>
      </w:sdtPr>
      <w:sdtEndPr/>
      <w:sdtContent>
        <w:p w:rsidR="00907A72" w:rsidRDefault="00A14C97" w14:paraId="2918DF27" w14:textId="77777777">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alias w:val="Yrkande 14"/>
        <w:tag w:val="3f7efafa-ed4e-4ccc-8531-0d7d480661a7"/>
        <w:id w:val="1555426352"/>
        <w:lock w:val="sdtLocked"/>
      </w:sdtPr>
      <w:sdtEndPr/>
      <w:sdtContent>
        <w:p w:rsidR="00907A72" w:rsidRDefault="00A14C97" w14:paraId="264E8BEF" w14:textId="77777777">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alias w:val="Yrkande 15"/>
        <w:tag w:val="b825dea3-abab-4aee-81c9-20164a2ceff9"/>
        <w:id w:val="-951475882"/>
        <w:lock w:val="sdtLocked"/>
      </w:sdtPr>
      <w:sdtEndPr/>
      <w:sdtContent>
        <w:p w:rsidR="00907A72" w:rsidRDefault="00A14C97" w14:paraId="2EC200CA" w14:textId="77777777">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alias w:val="Yrkande 16"/>
        <w:tag w:val="4d72d4bd-14d6-4bd1-a86a-0a30d1805025"/>
        <w:id w:val="1636600484"/>
        <w:lock w:val="sdtLocked"/>
      </w:sdtPr>
      <w:sdtEndPr/>
      <w:sdtContent>
        <w:p w:rsidR="00907A72" w:rsidRDefault="00A14C97" w14:paraId="630E25A0" w14:textId="77777777">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alias w:val="Yrkande 17"/>
        <w:tag w:val="75b9c28b-b87d-4465-92c7-a890e1846505"/>
        <w:id w:val="1776054588"/>
        <w:lock w:val="sdtLocked"/>
      </w:sdtPr>
      <w:sdtEndPr/>
      <w:sdtContent>
        <w:p w:rsidR="00907A72" w:rsidRDefault="00A14C97" w14:paraId="11E5B8C7" w14:textId="77777777">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alias w:val="Yrkande 18"/>
        <w:tag w:val="c3233786-317b-4e52-bede-2d8ae9a329d5"/>
        <w:id w:val="-1493794385"/>
        <w:lock w:val="sdtLocked"/>
      </w:sdtPr>
      <w:sdtEndPr/>
      <w:sdtContent>
        <w:p w:rsidR="00907A72" w:rsidRDefault="00A14C97" w14:paraId="2D0C7F46" w14:textId="77777777">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alias w:val="Yrkande 19"/>
        <w:tag w:val="ba7290a7-66f8-46d0-8218-f5abb4336a33"/>
        <w:id w:val="-796754083"/>
        <w:lock w:val="sdtLocked"/>
      </w:sdtPr>
      <w:sdtEndPr/>
      <w:sdtContent>
        <w:p w:rsidR="00907A72" w:rsidRDefault="00A14C97" w14:paraId="41580197" w14:textId="77777777">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35791184" w:displacedByCustomXml="next" w:id="3"/>
    <w:bookmarkStart w:name="_Toc209695455" w:displacedByCustomXml="next" w:id="4"/>
    <w:bookmarkStart w:name="_Toc106800476" w:displacedByCustomXml="next" w:id="5"/>
    <w:sdt>
      <w:sdtPr>
        <w:alias w:val="CC_Motivering_Rubrik"/>
        <w:tag w:val="CC_Motivering_Rubrik"/>
        <w:id w:val="1433397530"/>
        <w:lock w:val="sdtLocked"/>
        <w:placeholder>
          <w:docPart w:val="666AD6A85F1F40BDB91213670A07D26B"/>
        </w:placeholder>
        <w:text/>
      </w:sdtPr>
      <w:sdtEndPr/>
      <w:sdtContent>
        <w:p w:rsidRPr="00C76ECF" w:rsidR="006D79C9" w:rsidP="003A0FA9" w:rsidRDefault="006519C7" w14:paraId="25DB08B8" w14:textId="6534B4F1">
          <w:pPr>
            <w:pStyle w:val="Rubrik1numrerat"/>
          </w:pPr>
          <w:r>
            <w:t>Inledning</w:t>
          </w:r>
        </w:p>
      </w:sdtContent>
    </w:sdt>
    <w:bookmarkEnd w:displacedByCustomXml="prev" w:id="3"/>
    <w:bookmarkEnd w:displacedByCustomXml="prev" w:id="4"/>
    <w:bookmarkEnd w:displacedByCustomXml="prev" w:id="5"/>
    <w:p w:rsidRPr="00C76ECF" w:rsidR="00A557D4" w:rsidP="00A557D4" w:rsidRDefault="00A557D4" w14:paraId="07944650" w14:textId="5DE2D231">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w:t>
      </w:r>
      <w:r w:rsidR="00FC0223">
        <w:softHyphen/>
      </w:r>
      <w:r w:rsidRPr="00C76ECF">
        <w:t>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w:rsidRPr="00C76ECF" w:rsidR="0081633B" w:rsidP="0081633B" w:rsidRDefault="00A557D4" w14:paraId="45FDFCB8" w14:textId="268691FB">
      <w:r w:rsidRPr="00C76ECF">
        <w:t xml:space="preserve">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w:t>
      </w:r>
      <w:r w:rsidRPr="00FC0223">
        <w:rPr>
          <w:spacing w:val="-2"/>
        </w:rPr>
        <w:t>desinformation och ”fake news” bidrar till populism och politikerförakt. Den akademiska</w:t>
      </w:r>
      <w:r w:rsidRPr="00C76ECF">
        <w:t xml:space="preserve"> friheten vid högskolor och universitet hotas, främst från politiskt håll.</w:t>
      </w:r>
      <w:r w:rsidRPr="00C76ECF" w:rsidR="00370D0E">
        <w:rPr>
          <w:rStyle w:val="Fotnotsreferens"/>
        </w:rPr>
        <w:footnoteReference w:id="1"/>
      </w:r>
      <w:r w:rsidRPr="00C76ECF">
        <w:t xml:space="preserve"> Samtidigt befinner sig </w:t>
      </w:r>
      <w:r w:rsidR="00EE10D0">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 xml:space="preserve">Högerregeringens svar på nyrekryteringen av barn och unga </w:t>
      </w:r>
      <w:r w:rsidRPr="00C76ECF">
        <w:lastRenderedPageBreak/>
        <w:t>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w:rsidRPr="00C76ECF" w:rsidR="00A557D4" w:rsidP="0081633B" w:rsidRDefault="00A557D4" w14:paraId="2AECBB02" w14:textId="1B6935EE">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w:t>
      </w:r>
      <w:r w:rsidR="00FC0223">
        <w:softHyphen/>
      </w:r>
      <w:r w:rsidRPr="00C76ECF">
        <w:t>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w:rsidRPr="00C76ECF" w:rsidR="00A557D4" w:rsidP="003A0FA9" w:rsidRDefault="00A557D4" w14:paraId="5DC0D848" w14:textId="43B0A333">
      <w:pPr>
        <w:pStyle w:val="Rubrik2numrerat"/>
      </w:pPr>
      <w:bookmarkStart w:name="_Toc209695456" w:id="6"/>
      <w:bookmarkStart w:name="_Toc235791185" w:id="7"/>
      <w:r w:rsidRPr="00C76ECF">
        <w:t>Ett modernt och demokratiskt statsskick</w:t>
      </w:r>
      <w:bookmarkEnd w:id="6"/>
      <w:bookmarkEnd w:id="7"/>
    </w:p>
    <w:p w:rsidRPr="00C76ECF" w:rsidR="0064197D" w:rsidP="00A557D4" w:rsidRDefault="00A557D4" w14:paraId="2A5B07AB" w14:textId="2A4C1031">
      <w:pPr>
        <w:pStyle w:val="Normalutanindragellerluft"/>
      </w:pPr>
      <w:r w:rsidRPr="00C76ECF">
        <w:t>All offentlig makt i Sverige utgår från folket. Det stadgas i 1</w:t>
      </w:r>
      <w:r w:rsidR="00076559">
        <w:t> </w:t>
      </w:r>
      <w:r w:rsidRPr="00C76ECF">
        <w:t>kap. 1</w:t>
      </w:r>
      <w:r w:rsidR="00076559">
        <w:t> </w:t>
      </w:r>
      <w:r w:rsidRPr="00C76ECF">
        <w:t>§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(6</w:t>
      </w:r>
      <w:r w:rsidR="00C2757A">
        <w:t> </w:t>
      </w:r>
      <w:r w:rsidRPr="00C76ECF">
        <w:t>kap. 6</w:t>
      </w:r>
      <w:r w:rsidR="00C2757A">
        <w:t> </w:t>
      </w:r>
      <w:r w:rsidRPr="00C76ECF">
        <w:t>§</w:t>
      </w:r>
      <w:r w:rsidRPr="00C2757A" w:rsidR="00C2757A">
        <w:t xml:space="preserve"> </w:t>
      </w:r>
      <w:r w:rsidRPr="00C76ECF" w:rsidR="00C2757A">
        <w:t>RF</w:t>
      </w:r>
      <w:r w:rsidRPr="00C76ECF">
        <w:t xml:space="preserve">). Han är även ordförande i Utrikesnämnden, där rikets förhållande till främmande makt avhandlas. </w:t>
      </w:r>
    </w:p>
    <w:p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w:rsidRPr="00C76ECF" w:rsidR="00A557D4" w:rsidP="0064197D" w:rsidRDefault="00A557D4" w14:paraId="08FDC021" w14:textId="1037E752">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00942AAB">
        <w:t>3158</w:t>
      </w:r>
      <w:r w:rsidRPr="00C76ECF">
        <w:t xml:space="preserve">). </w:t>
      </w:r>
    </w:p>
    <w:p w:rsidRPr="00C76ECF" w:rsidR="009D47C2" w:rsidP="009D47C2" w:rsidRDefault="00A557D4" w14:paraId="56088A5D" w14:textId="09893F36">
      <w:r w:rsidRPr="00C76ECF">
        <w:t>Under våren 2018 tog sex riksdagspartier ett s.k. utskottsinitiativ i riksdagens konstitutionsutskott. Riksdagen riktade senare ett tillkännagivande till regeringen om att tillsätta en parlamentarisk kommitté efter valet 2018 (</w:t>
      </w:r>
      <w:r w:rsidR="005C204A">
        <w:t xml:space="preserve">bet. </w:t>
      </w:r>
      <w:r w:rsidRPr="00C76ECF">
        <w:t xml:space="preserve">2017/18:KU28). Kommittén fick bl.a. i uppdrag att i samråd med hovet utarbeta principer för det s.k. apanaget och överväga hur utformningen av riksdagens anslag till hovet kan bidra till att kungahusets </w:t>
      </w:r>
      <w:r w:rsidRPr="00FC0223">
        <w:rPr>
          <w:spacing w:val="-2"/>
        </w:rPr>
        <w:t>officiella åtaganden främst utförs av ett begränsat antal av dess medlemmar (dir. 2019:76).</w:t>
      </w:r>
      <w:r w:rsidRPr="00C76ECF">
        <w:t xml:space="preserve"> Varken Förtjänstutredningen (SOU 2021:74) eller den därpå följande propositionen (prop. 2021/22:232) innehöll dock några förslag om tillräckligt ökad transparens eller insyn i Hovstatens ekonomi och verksamhet.</w:t>
      </w:r>
    </w:p>
    <w:p w:rsidRPr="00C76ECF" w:rsidR="009D47C2" w:rsidP="009D47C2" w:rsidRDefault="009D47C2" w14:paraId="0098A4AD" w14:textId="61A3402E">
      <w:r w:rsidRPr="00C76ECF">
        <w:t xml:space="preserve">Vänsterpartiet har tidigare föreslagit att den parlamentariska kommittén skulle få tilläggsdirektiv dels att utreda det svenska statsskicket i syfte att införa republik, dels att utreda ett system för att granska och öka insynen i Hov- och slottsstatens ekonomi och </w:t>
      </w:r>
      <w:r w:rsidRPr="00C76ECF">
        <w:lastRenderedPageBreak/>
        <w:t>verksamhet (mot. 2020/21:94). Vi kan bara beklaga att riksdagsmajoriteten röstade nej till dessa förslag.</w:t>
      </w:r>
    </w:p>
    <w:p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w:rsidRPr="00C76ECF" w:rsidR="009D47C2" w:rsidP="003A0FA9" w:rsidRDefault="009D47C2" w14:paraId="44BC9BB0" w14:textId="77777777">
      <w:pPr>
        <w:pStyle w:val="Rubrik3numrerat"/>
      </w:pPr>
      <w:bookmarkStart w:name="_Toc209695457" w:id="8"/>
      <w:bookmarkStart w:name="_Toc235791186" w:id="9"/>
      <w:r w:rsidRPr="00C76ECF">
        <w:t>Bristande möjligheter att granska Hovstaten</w:t>
      </w:r>
      <w:bookmarkEnd w:id="8"/>
      <w:bookmarkEnd w:id="9"/>
    </w:p>
    <w:p w:rsidRPr="00C76ECF" w:rsidR="00817198" w:rsidP="00FC0223" w:rsidRDefault="009D47AD" w14:paraId="7D392F6D" w14:textId="408B657A">
      <w:pPr>
        <w:pStyle w:val="Normalutanindragellerluft"/>
      </w:pPr>
      <w:r w:rsidRPr="00C76ECF">
        <w:t>För 2025</w:t>
      </w:r>
      <w:r w:rsidRPr="00C76ECF" w:rsidR="009D47C2">
        <w:t xml:space="preserve"> fick Kungliga </w:t>
      </w:r>
      <w:r w:rsidR="00525682">
        <w:t>h</w:t>
      </w:r>
      <w:r w:rsidRPr="00C76ECF" w:rsidR="009D47C2">
        <w:t>ov</w:t>
      </w:r>
      <w:r w:rsidRPr="00C76ECF" w:rsidR="00BA6A58">
        <w:t xml:space="preserve">- och </w:t>
      </w:r>
      <w:r w:rsidR="00525682">
        <w:t>s</w:t>
      </w:r>
      <w:r w:rsidRPr="00C76ECF" w:rsidR="00BA6A58">
        <w:t>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w:rsidRPr="00C76ECF" w:rsidR="00817198" w:rsidP="00817198" w:rsidRDefault="009D47C2" w14:paraId="3876696D" w14:textId="77777777">
      <w:r w:rsidRPr="00C76ECF">
        <w:t>I dagens svenska monarki kan statschefen, för närvarande kung Carl XVI Gustaf,</w:t>
      </w:r>
    </w:p>
    <w:p w:rsidRPr="00C76ECF" w:rsidR="00A47867" w:rsidP="00A47867" w:rsidRDefault="009D47C2" w14:paraId="79D99295" w14:textId="6EAF438B">
      <w:pPr>
        <w:ind w:firstLine="0"/>
      </w:pPr>
      <w:r w:rsidRPr="00C76ECF">
        <w:t>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w:t>
      </w:r>
      <w:r w:rsidR="00FC0223">
        <w:softHyphen/>
      </w:r>
      <w:r w:rsidRPr="00FC0223">
        <w:rPr>
          <w:spacing w:val="-2"/>
        </w:rPr>
        <w:t>samhet granskas både utifrån hur väl uppgifterna sköts och ur ett ekonomiskt perspektiv</w:t>
      </w:r>
      <w:r w:rsidRPr="00C76ECF">
        <w:t>.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w:rsidRPr="00C76ECF" w:rsidR="00A47867" w:rsidP="00A47867" w:rsidRDefault="009D47C2" w14:paraId="034E780F" w14:textId="42ECCB78">
      <w:r w:rsidRPr="00C76ECF">
        <w:t>Omkostnader för representation, statsbesök och andra uppgifter som ingår i upp</w:t>
      </w:r>
      <w:r w:rsidR="00FC0223">
        <w:softHyphen/>
      </w:r>
      <w:r w:rsidRPr="00C76ECF">
        <w:t>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w:t>
      </w:r>
      <w:r w:rsidR="00FC0223">
        <w:softHyphen/>
      </w:r>
      <w:r w:rsidRPr="00C76ECF">
        <w:t xml:space="preserve">tion </w:t>
      </w:r>
      <w:proofErr w:type="gramStart"/>
      <w:r w:rsidRPr="00C76ECF">
        <w:t>m.m.</w:t>
      </w:r>
      <w:proofErr w:type="gramEnd"/>
      <w:r w:rsidRPr="00C76ECF">
        <w:t xml:space="preserve"> som ingår i uppdraget ersätts ur budgeten för regeringen och är offentliga.</w:t>
      </w:r>
    </w:p>
    <w:p w:rsidRPr="00C76ECF" w:rsidR="007134CF" w:rsidP="007134CF" w:rsidRDefault="009D47C2" w14:paraId="1D14DB26" w14:textId="5437C8B9">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w:t>
      </w:r>
      <w:r w:rsidR="00FC0223">
        <w:softHyphen/>
      </w:r>
      <w:r w:rsidRPr="00C76ECF">
        <w:t xml:space="preserve">staten men samtidigt respektera statschefens privata sfär och inte göra någon ändring i </w:t>
      </w:r>
      <w:r w:rsidRPr="00FC0223">
        <w:rPr>
          <w:spacing w:val="-2"/>
        </w:rPr>
        <w:t>den nuvarande konstitutionella ordningen. År 2013 enades regeringen och Riksmarskalks</w:t>
      </w:r>
      <w:r w:rsidRPr="00FC0223" w:rsidR="00FC0223">
        <w:rPr>
          <w:spacing w:val="-2"/>
        </w:rPr>
        <w:softHyphen/>
      </w:r>
      <w:r w:rsidRPr="00FC0223">
        <w:rPr>
          <w:spacing w:val="-2"/>
        </w:rPr>
        <w:t>ämbetet</w:t>
      </w:r>
      <w:r w:rsidRPr="00C76ECF">
        <w:t xml:space="preserve">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w:t>
      </w:r>
      <w:r w:rsidRPr="00C76ECF">
        <w:lastRenderedPageBreak/>
        <w:t>Förtjänstutredningen nöjer sig med att konstatera att Hovstatens årsredovisning framöver kommer att innehålla en redogörelse för hur statschefen fördelat anslaget till medlemmar av den kungliga familjen som utfört officiella uppdrag som åligger stats</w:t>
      </w:r>
      <w:r w:rsidR="00FC0223">
        <w:softHyphen/>
      </w:r>
      <w:r w:rsidRPr="00C76ECF">
        <w:t>chefen eller anknyter till statschefsämbetet. Årsredovisningen kommer även att innehålla en exemplifiering av vilka sorters utgifter som ingår i dessa belopp. Enligt Vänsterpartiet är detta lovvärt men långt ifrån tillräckligt.</w:t>
      </w:r>
    </w:p>
    <w:p w:rsidRPr="00C76ECF" w:rsidR="00423D0D" w:rsidP="007134CF" w:rsidRDefault="009D47C2" w14:paraId="05535E1E" w14:textId="08D221D7">
      <w:r w:rsidRPr="00C76ECF">
        <w:t>Det är inte heller möjligt att med stöd av offentlighetsprincipen begära ut handlingar från Hovstaten. I en dom från 1999 i Regeringsrätten (numera Högsta förvaltnings</w:t>
      </w:r>
      <w:r w:rsidR="00FC0223">
        <w:softHyphen/>
      </w:r>
      <w:r w:rsidRPr="00C76ECF">
        <w:t>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w:t>
      </w:r>
      <w:r w:rsidR="00FC0223">
        <w:softHyphen/>
      </w:r>
      <w:r w:rsidRPr="00C76ECF">
        <w:t xml:space="preserve">förordningens stadganden om </w:t>
      </w:r>
      <w:proofErr w:type="spellStart"/>
      <w:r w:rsidRPr="00C76ECF">
        <w:t>aktinsyn</w:t>
      </w:r>
      <w:proofErr w:type="spellEnd"/>
      <w:r w:rsidRPr="00C76ECF">
        <w:t xml:space="preserve">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w:rsidRPr="00C76ECF" w:rsidR="009D47C2" w:rsidP="003A0FA9" w:rsidRDefault="009D47C2" w14:paraId="04749B84" w14:textId="367F1B45">
      <w:pPr>
        <w:pStyle w:val="Rubrik3numrerat"/>
      </w:pPr>
      <w:bookmarkStart w:name="_Toc209695458" w:id="10"/>
      <w:bookmarkStart w:name="_Toc235791187" w:id="11"/>
      <w:r w:rsidRPr="00C76ECF">
        <w:t>Avskaffande av monarkens åtalsimmunitet</w:t>
      </w:r>
      <w:bookmarkEnd w:id="10"/>
      <w:bookmarkEnd w:id="11"/>
    </w:p>
    <w:p w:rsidRPr="00C76ECF" w:rsidR="009455D2" w:rsidP="00525682" w:rsidRDefault="009D47C2" w14:paraId="7EA5C473" w14:textId="74D4D61C">
      <w:pPr>
        <w:pStyle w:val="Normalutanindragellerluft"/>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(4</w:t>
      </w:r>
      <w:r w:rsidR="001F6199">
        <w:t> </w:t>
      </w:r>
      <w:r w:rsidRPr="00C76ECF">
        <w:t>kap. 12</w:t>
      </w:r>
      <w:r w:rsidR="001F6199">
        <w:t> </w:t>
      </w:r>
      <w:r w:rsidRPr="00C76ECF">
        <w:t>§</w:t>
      </w:r>
      <w:r w:rsidRPr="001F6199" w:rsidR="001F6199">
        <w:t xml:space="preserve"> </w:t>
      </w:r>
      <w:r w:rsidRPr="00C76ECF" w:rsidR="001F6199">
        <w:t>RF</w:t>
      </w:r>
      <w:r w:rsidRPr="00C76ECF">
        <w:t>). Motivet för immuniteten är att för</w:t>
      </w:r>
      <w:r w:rsidR="00FC0223">
        <w:softHyphen/>
      </w:r>
      <w:r w:rsidRPr="00C76ECF">
        <w:t>hindra att juridiska och polisiära maktmedel missbrukas i politiska syften. Monarken är däremot personligen immun mot rättsliga åtgärder, medan en demokratiskt vald stats</w:t>
      </w:r>
      <w:r w:rsidR="00FC0223">
        <w:softHyphen/>
      </w:r>
      <w:r w:rsidRPr="00C76ECF">
        <w:t>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w:rsidRPr="00C76ECF" w:rsidR="009455D2" w:rsidP="009455D2" w:rsidRDefault="009D47C2" w14:paraId="750FB426" w14:textId="2426F745">
      <w:r w:rsidRPr="00C76ECF">
        <w:t>Oavsett hur statschefen utses är det inte rimligt med total åtalsimmunitet. I stället bör monarken omfattas av en begränsad åtalsimmunitet som omfattar gärningar under ut</w:t>
      </w:r>
      <w:r w:rsidR="00FC0223">
        <w:softHyphen/>
      </w:r>
      <w:r w:rsidRPr="00C76ECF">
        <w:t>övandet av uppdraget liknande den som gäller för riksdagsledamöter.</w:t>
      </w:r>
    </w:p>
    <w:p w:rsidRPr="00C76ECF" w:rsidR="009D47C2" w:rsidP="009455D2" w:rsidRDefault="009D47C2" w14:paraId="1CDEA627" w14:textId="05E8D8BA">
      <w:r w:rsidRPr="00C76ECF">
        <w:t>Regeringen bör därför tillsätta en utredning som ser över monarkens totala åtals</w:t>
      </w:r>
      <w:r w:rsidR="00FC0223">
        <w:softHyphen/>
      </w:r>
      <w:r w:rsidRPr="00C76ECF">
        <w:t>immunitet i syfte att den ska upphävas. Detta bör riksdagen ställa sig bakom och ge regeringen till känna.</w:t>
      </w:r>
    </w:p>
    <w:p w:rsidRPr="00C76ECF" w:rsidR="009D47C2" w:rsidP="003A0FA9" w:rsidRDefault="009D47C2" w14:paraId="16C5A1E9" w14:textId="351B7FF2">
      <w:pPr>
        <w:pStyle w:val="Rubrik3numrerat"/>
      </w:pPr>
      <w:bookmarkStart w:name="_Toc209695459" w:id="12"/>
      <w:bookmarkStart w:name="_Toc235791188" w:id="13"/>
      <w:r w:rsidRPr="00C76ECF">
        <w:lastRenderedPageBreak/>
        <w:t>Översyn av systemet med adjutanter</w:t>
      </w:r>
      <w:bookmarkEnd w:id="12"/>
      <w:bookmarkEnd w:id="13"/>
    </w:p>
    <w:p w:rsidRPr="00C76ECF" w:rsidR="00A0766F" w:rsidP="002A0DB8" w:rsidRDefault="009D47C2" w14:paraId="61D3B25F" w14:textId="6FC6FB33">
      <w:pPr>
        <w:pStyle w:val="Normalutanindragellerluft"/>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w:rsidRPr="00C76ECF" w:rsidR="009D47C2" w:rsidP="009D47C2" w:rsidRDefault="00C50DC2" w14:paraId="2F82B7B0" w14:textId="133A1FD7">
      <w:r w:rsidRPr="00C76ECF">
        <w:t>A</w:t>
      </w:r>
      <w:r w:rsidRPr="00C76ECF" w:rsidR="009D47C2">
        <w:t xml:space="preserve">djutantens främsta uppgift </w:t>
      </w:r>
      <w:r w:rsidR="002A0DB8">
        <w:t xml:space="preserve">är </w:t>
      </w:r>
      <w:r w:rsidRPr="00C76ECF" w:rsidR="009D47C2">
        <w:t xml:space="preserve">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w:rsidRPr="00C76ECF" w:rsidR="00A557D4" w:rsidP="003A0FA9" w:rsidRDefault="00A557D4" w14:paraId="1602742D" w14:textId="1E81089D">
      <w:pPr>
        <w:pStyle w:val="Rubrik2numrerat"/>
      </w:pPr>
      <w:bookmarkStart w:name="_Toc209695460" w:id="14"/>
      <w:bookmarkStart w:name="_Toc235791189" w:id="15"/>
      <w:r w:rsidRPr="00C76ECF">
        <w:t>Riksdagsledamöternas arvode</w:t>
      </w:r>
      <w:r w:rsidRPr="00C76ECF" w:rsidR="00F401E5">
        <w:t>n och ersättningar</w:t>
      </w:r>
      <w:bookmarkEnd w:id="14"/>
      <w:bookmarkEnd w:id="15"/>
    </w:p>
    <w:p w:rsidRPr="00C76ECF" w:rsidR="00825088" w:rsidP="00A557D4" w:rsidRDefault="00A557D4" w14:paraId="3B32BB73" w14:textId="50CF160F">
      <w:pPr>
        <w:pStyle w:val="Normalutanindragellerluft"/>
      </w:pPr>
      <w:r w:rsidRPr="00C76ECF">
        <w:t>Att bli vald till riksdagsledamot är ett av de finaste uppdragen som finns. Riksdags</w:t>
      </w:r>
      <w:r w:rsidR="00FC0223">
        <w:softHyphen/>
      </w:r>
      <w:r w:rsidRPr="00C76ECF">
        <w:t>ledamöter ska vara representativa både för sitt parti och dess ståndpunkter och för folket. Jämfört med de flesta inom väljarkåren har riksdagsledamöterna mycket höga månadsarvoden. Det riskerar att skapa en förtroendeklyfta mellan de folkvalda ledamöterna och människorna de representerar.</w:t>
      </w:r>
    </w:p>
    <w:p w:rsidRPr="00C76ECF" w:rsidR="00825088" w:rsidP="00825088" w:rsidRDefault="00A557D4" w14:paraId="1DDA0052" w14:textId="0B0FC5EC">
      <w:r w:rsidRPr="00C76ECF">
        <w:t>Sedan 1998 har grundarvodet ökat från 30</w:t>
      </w:r>
      <w:r w:rsidR="00786C2B">
        <w:t> </w:t>
      </w:r>
      <w:r w:rsidRPr="00C76ECF">
        <w:t>300 kronor till 7</w:t>
      </w:r>
      <w:r w:rsidRPr="00C76ECF" w:rsidR="001E2EE2">
        <w:t>8</w:t>
      </w:r>
      <w:r w:rsidR="00786C2B">
        <w:t> </w:t>
      </w:r>
      <w:r w:rsidRPr="00C76ECF">
        <w:t>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w:rsidRPr="00C76ECF" w:rsidR="00825088" w:rsidP="00825088" w:rsidRDefault="00A557D4" w14:paraId="6DDD5FC0" w14:textId="16C72E5E">
      <w:r w:rsidRPr="00C76ECF">
        <w:t>Riksdagsledamöterna tillhörde redan innan dessa samhällskriser den grupp hög</w:t>
      </w:r>
      <w:r w:rsidR="00FC0223">
        <w:softHyphen/>
      </w:r>
      <w:r w:rsidRPr="00C76ECF">
        <w:t>avlönade i samhället som tjänat mest på den tidigare förda politiken eftersom jobb</w:t>
      </w:r>
      <w:r w:rsidR="00FC0223">
        <w:softHyphen/>
      </w:r>
      <w:r w:rsidRPr="00C76ECF">
        <w:t>skatteavdragen har gett dem tusentals kronor extra per månad. Vidare togs värnskatten bort efter årsskiftet 2019/20, vilket har inneburit en ytterligare skattelättnad för riksdags</w:t>
      </w:r>
      <w:r w:rsidR="00FC0223">
        <w:softHyphen/>
      </w:r>
      <w:r w:rsidRPr="00C76ECF">
        <w:t xml:space="preserve">ledamöter. Den sänkta brytpunkten för statlig skatt har också årligen medfört lägre skatt </w:t>
      </w:r>
      <w:r w:rsidRPr="00FC0223">
        <w:rPr>
          <w:spacing w:val="-2"/>
        </w:rPr>
        <w:t xml:space="preserve">för </w:t>
      </w:r>
      <w:proofErr w:type="gramStart"/>
      <w:r w:rsidRPr="00FC0223">
        <w:rPr>
          <w:spacing w:val="-2"/>
        </w:rPr>
        <w:t>bl.a.</w:t>
      </w:r>
      <w:proofErr w:type="gramEnd"/>
      <w:r w:rsidRPr="00FC0223">
        <w:rPr>
          <w:spacing w:val="-2"/>
        </w:rPr>
        <w:t xml:space="preserve"> riksdagsledamöter även om uppräkningen av gränsen för uttag av statlig inkomst</w:t>
      </w:r>
      <w:r w:rsidRPr="00FC0223" w:rsidR="00FC0223">
        <w:rPr>
          <w:spacing w:val="-2"/>
        </w:rPr>
        <w:softHyphen/>
      </w:r>
      <w:r w:rsidRPr="00FC0223">
        <w:rPr>
          <w:spacing w:val="-2"/>
        </w:rPr>
        <w:t>skatt</w:t>
      </w:r>
      <w:r w:rsidRPr="00C76ECF">
        <w:t xml:space="preserve"> pausades för 2024. </w:t>
      </w:r>
    </w:p>
    <w:p w:rsidRPr="00C76ECF" w:rsidR="003D52E6" w:rsidP="003D52E6" w:rsidRDefault="00A557D4" w14:paraId="7C2EFC30" w14:textId="77777777">
      <w:r w:rsidRPr="00C76ECF">
        <w:lastRenderedPageBreak/>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w:rsidRPr="00C76ECF" w:rsidR="00EF66A3" w:rsidP="00EF66A3" w:rsidRDefault="00A557D4" w14:paraId="42D778FB" w14:textId="6AA4DD27">
      <w:r w:rsidRPr="00C76ECF">
        <w:t>Vänsterpartiet föreslår att nivån på arvodet fastställs till ett prisbasbelopp per månad, vilket är 58</w:t>
      </w:r>
      <w:r w:rsidR="00786C2B">
        <w:t> </w:t>
      </w:r>
      <w:r w:rsidRPr="00C76ECF">
        <w:t>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w:rsidRPr="00C76ECF" w:rsidR="00970134" w:rsidP="00970134" w:rsidRDefault="00C94D60" w14:paraId="1B363D8A" w14:textId="724A8385">
      <w:r w:rsidRPr="00C76ECF">
        <w:t xml:space="preserve">Kostnaderna på ledamotsanslaget är enligt </w:t>
      </w:r>
      <w:r w:rsidR="005A7048">
        <w:t>R</w:t>
      </w:r>
      <w:r w:rsidRPr="00C76ECF">
        <w:t xml:space="preserve">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RUT, dnr 2023:518). Mer om vårt budgetförslag finns att läsa i vår motion för utgifts</w:t>
      </w:r>
      <w:r w:rsidR="00FC0223">
        <w:softHyphen/>
      </w:r>
      <w:r w:rsidRPr="00C76ECF" w:rsidR="00A557D4">
        <w:t>område 1 (mot. 202</w:t>
      </w:r>
      <w:r w:rsidRPr="00C76ECF" w:rsidR="007D1365">
        <w:t>5</w:t>
      </w:r>
      <w:r w:rsidRPr="00C76ECF" w:rsidR="00A557D4">
        <w:t>/2</w:t>
      </w:r>
      <w:r w:rsidRPr="00C76ECF" w:rsidR="007D1365">
        <w:t>6</w:t>
      </w:r>
      <w:r w:rsidRPr="00C76ECF" w:rsidR="00A557D4">
        <w:t>:</w:t>
      </w:r>
      <w:r w:rsidR="00246BA8">
        <w:t>3158</w:t>
      </w:r>
      <w:r w:rsidRPr="00C76ECF" w:rsidR="00A557D4">
        <w:t>).</w:t>
      </w:r>
    </w:p>
    <w:p w:rsidRPr="00C76ECF" w:rsidR="006519C7" w:rsidP="00970134" w:rsidRDefault="00A557D4" w14:paraId="2E8B4B2F" w14:textId="513963F6">
      <w:r w:rsidRPr="00C76ECF">
        <w:t>Riksdagsstyrelsen bör återkomma med förslag om att binda nivån på riksdagsleda</w:t>
      </w:r>
      <w:r w:rsidR="00FC0223">
        <w:softHyphen/>
      </w:r>
      <w:r w:rsidRPr="00C76ECF">
        <w:t>möternas grundarvode till 100 procent av ett prisbasbelopp per månad. Detta bör riks</w:t>
      </w:r>
      <w:r w:rsidR="00FC0223">
        <w:softHyphen/>
      </w:r>
      <w:r w:rsidRPr="00C76ECF">
        <w:t xml:space="preserve">dagen ställa sig bakom och ge </w:t>
      </w:r>
      <w:r w:rsidRPr="00C76ECF" w:rsidR="00623424">
        <w:t>regeringen</w:t>
      </w:r>
      <w:r w:rsidRPr="00C76ECF">
        <w:t xml:space="preserve"> till känna.</w:t>
      </w:r>
    </w:p>
    <w:p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w:rsidRPr="00C76ECF" w:rsidR="00A557D4" w:rsidP="003A0FA9" w:rsidRDefault="00A557D4" w14:paraId="68FF99B8" w14:textId="77777777">
      <w:pPr>
        <w:pStyle w:val="Rubrik2numrerat"/>
      </w:pPr>
      <w:bookmarkStart w:name="_Toc209695461" w:id="16"/>
      <w:bookmarkStart w:name="_Toc235791190" w:id="17"/>
      <w:r w:rsidRPr="00C76ECF">
        <w:t>Grundlagsskydd för gemensam egendom</w:t>
      </w:r>
      <w:bookmarkEnd w:id="16"/>
      <w:bookmarkEnd w:id="17"/>
    </w:p>
    <w:p w:rsidRPr="00C76ECF" w:rsidR="00603222" w:rsidP="00FA3F3F" w:rsidRDefault="00A557D4" w14:paraId="6CF35346" w14:textId="21BCC403">
      <w:pPr>
        <w:pStyle w:val="Normalutanindragellerluft"/>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w:t>
      </w:r>
      <w:r w:rsidR="00FC0223">
        <w:softHyphen/>
      </w:r>
      <w:r w:rsidRPr="00C76ECF">
        <w:t>bringa mer pengar till det gemensamma för en bättre välfärd. Att öka det gemensamma ägandet är viktigt inte minst ur ett demokratiperspektiv.</w:t>
      </w:r>
    </w:p>
    <w:p w:rsidRPr="00C76ECF" w:rsidR="0009795E" w:rsidP="0009795E" w:rsidRDefault="00A557D4" w14:paraId="3913B3B7" w14:textId="53EC1EB0">
      <w:r w:rsidRPr="00C76ECF">
        <w:lastRenderedPageBreak/>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w:t>
      </w:r>
      <w:r w:rsidR="005C43BF">
        <w:t>R</w:t>
      </w:r>
      <w:r w:rsidRPr="00C76ECF">
        <w:t>egler</w:t>
      </w:r>
      <w:r w:rsidR="005C43BF">
        <w:t>na</w:t>
      </w:r>
      <w:r w:rsidRPr="00C76ECF">
        <w:t xml:space="preserve"> för vad som räknas som en och samma upphandling skulle kunna fungera som en modell. I motion 2023/24:68 skriver vi mer om vår politik för statliga företag.</w:t>
      </w:r>
    </w:p>
    <w:p w:rsidRPr="00C76ECF" w:rsidR="00A557D4" w:rsidP="0009795E" w:rsidRDefault="00A557D4" w14:paraId="1661EFAD" w14:textId="61B8734A">
      <w:r w:rsidRPr="00C76ECF">
        <w:t>Regeringen bör tillsätta en utredning som ser över frågan om hur ett effektivt grund</w:t>
      </w:r>
      <w:r w:rsidR="00FC0223">
        <w:softHyphen/>
      </w:r>
      <w:r w:rsidRPr="00C76ECF">
        <w:t>lagsskydd för gemensam egendom ska utformas på statlig, regional och kommunal nivå. Detta bör riksdagen ställa sig bakom och ge regeringen till känna.</w:t>
      </w:r>
    </w:p>
    <w:p w:rsidRPr="00C76ECF" w:rsidR="0009795E" w:rsidP="0009795E" w:rsidRDefault="00A557D4" w14:paraId="7A505A47" w14:textId="7C2BD3AB">
      <w:r w:rsidRPr="00C76ECF">
        <w:t>Det är i dag enkelt för beslutsfattarna att sälja ut gemensam egendom. För statlig egendom gäller 9</w:t>
      </w:r>
      <w:r w:rsidR="005C43BF">
        <w:t> </w:t>
      </w:r>
      <w:r w:rsidRPr="00C76ECF">
        <w:t>kap. 9</w:t>
      </w:r>
      <w:r w:rsidR="005C43BF">
        <w:t> </w:t>
      </w:r>
      <w:r w:rsidRPr="00C76ECF">
        <w:t>§ regeringsformen som anger</w:t>
      </w:r>
      <w:r w:rsidR="004739DA">
        <w:t>:</w:t>
      </w:r>
      <w:r w:rsidRPr="00C76ECF">
        <w:t xml:space="preserve"> ”Riksdagen beslutar om grunder för förvaltningen av och förfogandet över statens tillgångar</w:t>
      </w:r>
      <w:r w:rsidR="004739DA">
        <w:t>.</w:t>
      </w:r>
      <w:r w:rsidRPr="00C76ECF">
        <w:t xml:space="preserve">”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w:t>
      </w:r>
      <w:r w:rsidRPr="00FC0223">
        <w:rPr>
          <w:spacing w:val="-2"/>
        </w:rPr>
        <w:t>riksdagsbeslut för att sälja ut eller på annat sätt minska statens andel. Alla dessa riksdags</w:t>
      </w:r>
      <w:r w:rsidRPr="00FC0223" w:rsidR="00FC0223">
        <w:rPr>
          <w:spacing w:val="-2"/>
        </w:rPr>
        <w:softHyphen/>
      </w:r>
      <w:r w:rsidRPr="00FC0223">
        <w:rPr>
          <w:spacing w:val="-2"/>
        </w:rPr>
        <w:t>beslut</w:t>
      </w:r>
      <w:r w:rsidRPr="00C76ECF">
        <w:t xml:space="preserve"> tas med enkel majoritet.</w:t>
      </w:r>
    </w:p>
    <w:p w:rsidRPr="00C76ECF" w:rsidR="00A557D4" w:rsidP="0009795E" w:rsidRDefault="00A557D4" w14:paraId="2B0F4413" w14:textId="386435A4">
      <w:r w:rsidRPr="00C76ECF">
        <w:t>Försäljning av kommunal egendom sker även den med enkel majoritet. Sådan för</w:t>
      </w:r>
      <w:r w:rsidR="00FC0223">
        <w:softHyphen/>
      </w:r>
      <w:r w:rsidRPr="00C76ECF">
        <w:t>säljning regleras i dag i kommunallagen som i princip bara innebär att utförsäljningar inte får genomföras så att det otillbörligt gynnar någon. Men kommuner och regioner (tidigare landsting) har upprepade gånger ändå brutit mot detta.</w:t>
      </w:r>
    </w:p>
    <w:p w:rsidRPr="00C76ECF" w:rsidR="004843E9" w:rsidP="004843E9" w:rsidRDefault="00A557D4" w14:paraId="6ADF6776" w14:textId="77B08BC2">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w:t>
      </w:r>
      <w:r w:rsidR="00C911AA">
        <w:t> </w:t>
      </w:r>
      <w:r w:rsidRPr="00C76ECF">
        <w:t>kap. 7</w:t>
      </w:r>
      <w:r w:rsidR="00C911AA">
        <w:t> </w:t>
      </w:r>
      <w:r w:rsidRPr="00C76ECF">
        <w:t>§</w:t>
      </w:r>
      <w:r w:rsidR="003703D2">
        <w:t xml:space="preserve"> </w:t>
      </w:r>
      <w:r w:rsidRPr="00C76ECF">
        <w:t>RF), men i vissa fall kan riksdagen fatta beslut med kvalificerad majoritet (8</w:t>
      </w:r>
      <w:r w:rsidR="00C911AA">
        <w:t> </w:t>
      </w:r>
      <w:r w:rsidRPr="00C76ECF">
        <w:t>kap. 17</w:t>
      </w:r>
      <w:r w:rsidR="00C911AA">
        <w:t> </w:t>
      </w:r>
      <w:r w:rsidRPr="00C76ECF">
        <w:t>§</w:t>
      </w:r>
      <w:r w:rsidR="003703D2">
        <w:t xml:space="preserve"> </w:t>
      </w:r>
      <w:r w:rsidRPr="00C76ECF">
        <w:t>RF).</w:t>
      </w:r>
    </w:p>
    <w:p w:rsidRPr="00C76ECF" w:rsidR="004843E9" w:rsidP="004843E9" w:rsidRDefault="00A557D4" w14:paraId="060AF222" w14:textId="77558154">
      <w:r w:rsidRPr="00C76ECF">
        <w:t>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w:t>
      </w:r>
      <w:r w:rsidR="00692656">
        <w:softHyphen/>
      </w:r>
      <w:r w:rsidRPr="00C76ECF">
        <w:t>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w:rsidRPr="00C76ECF" w:rsidR="00A557D4" w:rsidP="004843E9" w:rsidRDefault="00A557D4" w14:paraId="10168F8B" w14:textId="25493F37">
      <w:r w:rsidRPr="00692656">
        <w:rPr>
          <w:spacing w:val="-2"/>
        </w:rPr>
        <w:t xml:space="preserve">Regeringen bör återkomma med ett lagförslag som innebär att beslut om utförsäljning </w:t>
      </w:r>
      <w:r w:rsidRPr="00C76ECF">
        <w:t xml:space="preserve">av gemensam egendom ska fattas med tre femtedelars majoritet alternativt med två </w:t>
      </w:r>
      <w:r w:rsidRPr="00C76ECF">
        <w:lastRenderedPageBreak/>
        <w:t>likalydande beslut med mellanliggande val på statlig, regional och kommunal nivå. Detta bör riksdagen ställa sig bakom och ge regeringen till känna.</w:t>
      </w:r>
    </w:p>
    <w:p w:rsidRPr="00C76ECF" w:rsidR="00A557D4" w:rsidP="003A0FA9" w:rsidRDefault="00A557D4" w14:paraId="6D52A5EE" w14:textId="36109F85">
      <w:pPr>
        <w:pStyle w:val="Rubrik2numrerat"/>
      </w:pPr>
      <w:bookmarkStart w:name="_Toc209695462" w:id="18"/>
      <w:bookmarkStart w:name="_Toc235791191" w:id="19"/>
      <w:r w:rsidRPr="00C76ECF">
        <w:t>Grundlagsskydd för public service</w:t>
      </w:r>
      <w:bookmarkEnd w:id="18"/>
      <w:bookmarkEnd w:id="19"/>
    </w:p>
    <w:p w:rsidRPr="00C76ECF" w:rsidR="00155787" w:rsidP="008C2DA8" w:rsidRDefault="00A557D4" w14:paraId="12A6B1E7" w14:textId="77777777">
      <w:pPr>
        <w:pStyle w:val="Normalutanindragellerluft"/>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w:rsidRPr="00C76ECF" w:rsidR="00A54FC6" w:rsidP="009E568D" w:rsidRDefault="00A557D4" w14:paraId="386DD9C2" w14:textId="264F797D">
      <w:r w:rsidRPr="00C76ECF">
        <w:t xml:space="preserve">Runtom i världen har det på flera håll de senaste åren skett inskränkningar av de fria, självständiga och oberoende medierna och public service genom </w:t>
      </w:r>
      <w:proofErr w:type="gramStart"/>
      <w:r w:rsidRPr="00C76ECF">
        <w:t>bl.a.</w:t>
      </w:r>
      <w:proofErr w:type="gramEnd"/>
      <w:r w:rsidRPr="00C76ECF">
        <w:t xml:space="preserve"> ändrade medie</w:t>
      </w:r>
      <w:r w:rsidR="00692656">
        <w:softHyphen/>
      </w:r>
      <w:r w:rsidRPr="00C76ECF">
        <w:t>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w:rsidRPr="00C76ECF" w:rsidR="000B79EF" w:rsidP="00A54FC6" w:rsidRDefault="000B79EF" w14:paraId="2B5138EB" w14:textId="51F4818F">
      <w:r w:rsidRPr="00C76ECF">
        <w:t>Vi befarar att de nya begränsningarna och den otillräckliga finansieringen som före</w:t>
      </w:r>
      <w:r w:rsidR="00692656">
        <w:softHyphen/>
      </w:r>
      <w:r w:rsidRPr="00C76ECF">
        <w:t>slås kommer att innebära förlorade år för public service samtidigt som det inte leder 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w:rsidRPr="00C76ECF" w:rsidR="00A557D4" w:rsidP="00A54FC6" w:rsidRDefault="00A557D4" w14:paraId="0A46E31E" w14:textId="2C1B19ED">
      <w:r w:rsidRPr="00C76ECF">
        <w:t xml:space="preserve">Regeringen bör </w:t>
      </w:r>
      <w:r w:rsidRPr="00C76ECF" w:rsidR="000B79EF">
        <w:t xml:space="preserve">därför </w:t>
      </w:r>
      <w:r w:rsidRPr="00C76ECF">
        <w:t>tillsätta en utredning i syfte att utforma ett effektivt grund</w:t>
      </w:r>
      <w:r w:rsidR="00692656">
        <w:softHyphen/>
      </w:r>
      <w:r w:rsidRPr="00C76ECF">
        <w:t>lagsskydd för public service. Detta bör riksdagen ställa sig bakom och ge regeringen till känna.</w:t>
      </w:r>
    </w:p>
    <w:p w:rsidRPr="00C76ECF" w:rsidR="00A54FC6" w:rsidP="00623424" w:rsidRDefault="00A557D4" w14:paraId="7AD139C6" w14:textId="26BE5DCF">
      <w:r w:rsidRPr="00C76ECF">
        <w:t>Som en del i det grundlagsskydd för public service som Vänsterpartiet menar är nödvändigt anser vi att det bör ske en ändring av regeringsformens regler som rör majoritetsförhållandena vid riksdagens beslutsfattande. Huvudregeln enligt regerings</w:t>
      </w:r>
      <w:r w:rsidR="00692656">
        <w:softHyphen/>
      </w:r>
      <w:r w:rsidRPr="00C76ECF">
        <w:t>formen (RF) är att riksdagen fattar beslut med enkel majoritet (4</w:t>
      </w:r>
      <w:r w:rsidR="008C2DA8">
        <w:t> </w:t>
      </w:r>
      <w:r w:rsidRPr="00C76ECF">
        <w:t>kap. 7</w:t>
      </w:r>
      <w:r w:rsidR="008C2DA8">
        <w:t> </w:t>
      </w:r>
      <w:r w:rsidRPr="00C76ECF">
        <w:t>§ RF), men i vissa fall kan riksdagen fatta beslut med kvalificerad majoritet (8</w:t>
      </w:r>
      <w:r w:rsidR="008C2DA8">
        <w:t> </w:t>
      </w:r>
      <w:r w:rsidRPr="00C76ECF">
        <w:t>kap. 17</w:t>
      </w:r>
      <w:r w:rsidR="008C2DA8">
        <w:t> </w:t>
      </w:r>
      <w:r w:rsidRPr="00C76ECF">
        <w:t>§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w:rsidRPr="00C76ECF" w:rsidR="00A557D4" w:rsidP="00A54FC6" w:rsidRDefault="00A557D4" w14:paraId="32511315" w14:textId="7F3DA433">
      <w:r w:rsidRPr="00692656">
        <w:rPr>
          <w:spacing w:val="-2"/>
        </w:rPr>
        <w:lastRenderedPageBreak/>
        <w:t>Regeringen bör återkomma med ett lagförslag som innebär att de beslut som riksdagen</w:t>
      </w:r>
      <w:r w:rsidRPr="00C76ECF">
        <w:t xml:space="preserve"> har att fatta om public service ska fattas med kvalificerad majoritet. Detta bör riksdagen ställa sig bakom och ge regeringen till känna.</w:t>
      </w:r>
    </w:p>
    <w:p w:rsidRPr="00C76ECF" w:rsidR="00A557D4" w:rsidP="003A0FA9" w:rsidRDefault="00A557D4" w14:paraId="4F06FCBE" w14:textId="6DD854FF">
      <w:pPr>
        <w:pStyle w:val="Rubrik2numrerat"/>
      </w:pPr>
      <w:bookmarkStart w:name="_Toc209695463" w:id="20"/>
      <w:bookmarkStart w:name="_Toc235791192" w:id="21"/>
      <w:r w:rsidRPr="00C76ECF">
        <w:t>Grundlagsskydd för den akademiska friheten</w:t>
      </w:r>
      <w:bookmarkEnd w:id="20"/>
      <w:bookmarkEnd w:id="21"/>
    </w:p>
    <w:p w:rsidRPr="00C76ECF" w:rsidR="00A557D4" w:rsidP="00612E7B" w:rsidRDefault="001A424E" w14:paraId="1F41A63C" w14:textId="1BC1BC00">
      <w:pPr>
        <w:pStyle w:val="Normalutanindragellerluft"/>
      </w:pPr>
      <w:r w:rsidRPr="00C76ECF">
        <w:t>Av 2</w:t>
      </w:r>
      <w:r w:rsidR="00612E7B">
        <w:t> </w:t>
      </w:r>
      <w:r w:rsidRPr="00C76ECF">
        <w:t>kap. 18</w:t>
      </w:r>
      <w:r w:rsidR="00612E7B">
        <w:t> </w:t>
      </w:r>
      <w:r w:rsidRPr="00C76ECF">
        <w:t>§ andra stycket regeringsformen (RF) framgår att forskningens frihet är skyddad enligt bestämmelser som meddelas i lag. Av 1</w:t>
      </w:r>
      <w:r w:rsidR="00C579AE">
        <w:t> </w:t>
      </w:r>
      <w:r w:rsidRPr="00C76ECF">
        <w:t>kap</w:t>
      </w:r>
      <w:r w:rsidR="00C579AE">
        <w:t>.</w:t>
      </w:r>
      <w:r w:rsidRPr="00C76ECF">
        <w:t xml:space="preserve"> 6</w:t>
      </w:r>
      <w:r w:rsidR="00C579AE">
        <w:t> §</w:t>
      </w:r>
      <w:r w:rsidRPr="00C76ECF">
        <w:t xml:space="preserve">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w:rsidRPr="00C76ECF" w:rsidR="001A424E" w:rsidP="008420EC" w:rsidRDefault="001469D6" w14:paraId="4458A252" w14:textId="0E3B756B">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rsidR="00793758">
        <w:t>handlar om politisk påverkan och forskningsfinansiering</w:t>
      </w:r>
      <w:r w:rsidRPr="00C76ECF" w:rsidR="00034CB4">
        <w:t xml:space="preserve"> (29 procent av de svarande)</w:t>
      </w:r>
      <w:r w:rsidRPr="00C76ECF" w:rsidR="00793758">
        <w:t xml:space="preserve">. </w:t>
      </w:r>
      <w:r w:rsidRPr="00C76ECF" w:rsidR="00034CB4">
        <w:t>28 procent svarade att det är syste</w:t>
      </w:r>
      <w:r w:rsidR="00692656">
        <w:softHyphen/>
      </w:r>
      <w:r w:rsidRPr="00C76ECF" w:rsidR="00034CB4">
        <w:t xml:space="preserve">met för forskningsfinansiering som är den största utmaningen medan 10 procent av de svarande lyfte problemet med likriktning och konformism i de akademiska miljöerna. </w:t>
      </w:r>
      <w:r w:rsidRPr="00C76ECF" w:rsidR="00793758">
        <w:t>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rsidR="00793758">
        <w:t xml:space="preserve"> </w:t>
      </w:r>
    </w:p>
    <w:p w:rsidRPr="00C76ECF" w:rsidR="006B3FDD" w:rsidP="006B3FDD" w:rsidRDefault="00643807" w14:paraId="4EE378C4" w14:textId="6C2BBDE3">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 xml:space="preserve">analysera nuvarande regelverk och vid behov föreslå ändringar som syftar till att stärka skyddet av forskares och lärares </w:t>
      </w:r>
      <w:r w:rsidRPr="00C76ECF" w:rsidR="000F142C">
        <w:lastRenderedPageBreak/>
        <w:t>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w:t>
      </w:r>
      <w:r w:rsidR="002B2E19">
        <w:t>d</w:t>
      </w:r>
      <w:r w:rsidRPr="00C76ECF" w:rsidR="00D36077">
        <w:t>ir.</w:t>
      </w:r>
      <w:r w:rsidR="002B2E19">
        <w:t> </w:t>
      </w:r>
      <w:r w:rsidRPr="00C76ECF" w:rsidR="00D36077">
        <w:t xml:space="preserve">2025:42). </w:t>
      </w:r>
      <w:r w:rsidRPr="00C76ECF" w:rsidR="00BC7734">
        <w:t xml:space="preserve">Vi avvaktar utredarens förslag men kommer att vid behov återkomma med konkreta förslag i syfte att grundlagsskydda den akademiska friheten. </w:t>
      </w:r>
    </w:p>
    <w:p w:rsidRPr="00C76ECF" w:rsidR="00D62AE1" w:rsidP="003A0FA9" w:rsidRDefault="002A65C6" w14:paraId="1E3C58A3" w14:textId="7BF5BCA4">
      <w:pPr>
        <w:pStyle w:val="Rubrik2numrerat"/>
      </w:pPr>
      <w:bookmarkStart w:name="_Toc209695464" w:id="22"/>
      <w:bookmarkStart w:name="_Toc235791193" w:id="23"/>
      <w:r w:rsidRPr="00C76ECF">
        <w:t>Stärkt skydd för aborträtten</w:t>
      </w:r>
      <w:bookmarkEnd w:id="22"/>
      <w:bookmarkEnd w:id="23"/>
    </w:p>
    <w:p w:rsidRPr="00C76ECF" w:rsidR="002A65C6" w:rsidP="00CF60EC" w:rsidRDefault="002A65C6" w14:paraId="57B630FA" w14:textId="036CE790">
      <w:pPr>
        <w:pStyle w:val="Normalutanindragellerluft"/>
      </w:pPr>
      <w:r w:rsidRPr="00C76ECF">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692656">
        <w:softHyphen/>
      </w:r>
      <w:r w:rsidRPr="00C76ECF">
        <w:t>fråga för kvinnor, både fysiskt och psykiskt. Det är kvinnans rätt att avgöra om och när hon vill ha barn. Rätten till säker abort är lagfäst i Sverige, men långt ifrån en själv</w:t>
      </w:r>
      <w:r w:rsidR="00692656">
        <w:softHyphen/>
      </w:r>
      <w:r w:rsidRPr="00C76ECF">
        <w:t>klarhet. Tvärtom ifrågasätts aborträtten ständigt. Runtom i världen skärps abortlag</w:t>
      </w:r>
      <w:r w:rsidR="00692656">
        <w:softHyphen/>
      </w:r>
      <w:r w:rsidRPr="00C76ECF">
        <w:t xml:space="preserve">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skyddas som en grundläggande fri- och rättighet i 2</w:t>
      </w:r>
      <w:r w:rsidR="00CF60EC">
        <w:t> </w:t>
      </w:r>
      <w:r w:rsidRPr="00C76ECF">
        <w:t>kap. RF.</w:t>
      </w:r>
      <w:r w:rsidRPr="00C76ECF" w:rsidR="00871BF1">
        <w:t xml:space="preserve"> Vänsterpartiet välkomnar detta förslag och förutsätter att</w:t>
      </w:r>
      <w:r w:rsidRPr="00C76ECF" w:rsidR="00F20BB5">
        <w:t xml:space="preserve"> det är under beredning i </w:t>
      </w:r>
      <w:r w:rsidR="00B21819">
        <w:t>R</w:t>
      </w:r>
      <w:r w:rsidRPr="00C76ECF" w:rsidR="00F20BB5">
        <w:t xml:space="preserve">egeringskansliet. </w:t>
      </w:r>
    </w:p>
    <w:p w:rsidRPr="00C76ECF" w:rsidR="00AD7E94" w:rsidP="003A0FA9" w:rsidRDefault="00AD7E94" w14:paraId="00C42D8E" w14:textId="77777777">
      <w:pPr>
        <w:pStyle w:val="Rubrik2numrerat"/>
      </w:pPr>
      <w:bookmarkStart w:name="_Toc209695465" w:id="24"/>
      <w:bookmarkStart w:name="_Toc235791194" w:id="25"/>
      <w:r w:rsidRPr="00C76ECF">
        <w:t>Rösträttsåldern</w:t>
      </w:r>
      <w:bookmarkEnd w:id="24"/>
      <w:bookmarkEnd w:id="25"/>
    </w:p>
    <w:p w:rsidRPr="00C76ECF" w:rsidR="00CF204A" w:rsidP="00122501" w:rsidRDefault="00AD7E94" w14:paraId="537FB99F" w14:textId="77777777">
      <w:pPr>
        <w:pStyle w:val="Normalutanindragellerluft"/>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w:t>
      </w:r>
    </w:p>
    <w:p w:rsidRPr="00C76ECF" w:rsidR="00CA3DD1" w:rsidP="00AC2A0C" w:rsidRDefault="00AD7E94" w14:paraId="2080DF3B" w14:textId="43DC455E">
      <w:r w:rsidRPr="00C76ECF">
        <w:t>Sänkt rösträttsålder kan vitalisera demokratin och ger fler möjlighet att vara aktiv</w:t>
      </w:r>
      <w:r w:rsidR="002138BF">
        <w:t>a</w:t>
      </w:r>
      <w:r w:rsidRPr="00C76ECF">
        <w:t xml:space="preserve"> i </w:t>
      </w:r>
      <w:r w:rsidRPr="00172ED4">
        <w:rPr>
          <w:spacing w:val="-2"/>
        </w:rPr>
        <w:t>demokratin. Ungdomsorganisationer, forskare, myndigheter och flera statliga utredningar,</w:t>
      </w:r>
      <w:r w:rsidRPr="00C76ECF">
        <w:t xml:space="preserve"> senast 2014 års demokratiutredning (SOU 2016:5), har föreslagit sänkt rösträttsålder. Vänsterpartiet vill att unga människor ska lita på att politiken också utgår från ungas verklighet, och anser att det bör genomföras försöksverksamhet med sänkt rösträttsålder </w:t>
      </w:r>
      <w:r w:rsidRPr="00C76ECF">
        <w:lastRenderedPageBreak/>
        <w:t>till 16 år, dvs. det år som den enskilde fyller 16, vid val till kommunfullmäktige. I motion 2025/26:</w:t>
      </w:r>
      <w:r w:rsidR="00A741E9">
        <w:t>308</w:t>
      </w:r>
      <w:r w:rsidRPr="00C76ECF" w:rsidR="00712B10">
        <w:t xml:space="preserve"> </w:t>
      </w:r>
      <w:r w:rsidRPr="00C76ECF">
        <w:t xml:space="preserve">skriver vi mer om vår politik för </w:t>
      </w:r>
      <w:r w:rsidRPr="00C76ECF" w:rsidR="00947FF4">
        <w:t>unga</w:t>
      </w:r>
      <w:r w:rsidRPr="00C76ECF">
        <w:t xml:space="preserve">. </w:t>
      </w:r>
    </w:p>
    <w:p w:rsidRPr="00C76ECF" w:rsidR="00947FF4" w:rsidP="003A0FA9" w:rsidRDefault="00947FF4" w14:paraId="57014825" w14:textId="736FBBB4">
      <w:pPr>
        <w:pStyle w:val="Rubrik2numrerat"/>
      </w:pPr>
      <w:bookmarkStart w:name="_Toc209695466" w:id="26"/>
      <w:bookmarkStart w:name="_Toc235791195" w:id="27"/>
      <w:r w:rsidRPr="00C76ECF">
        <w:t>Ett tredje juridiskt kön</w:t>
      </w:r>
      <w:bookmarkEnd w:id="26"/>
      <w:bookmarkEnd w:id="27"/>
    </w:p>
    <w:p w:rsidRPr="00C76ECF" w:rsidR="00CF204A" w:rsidP="00A741E9" w:rsidRDefault="00947FF4" w14:paraId="6BF5F223" w14:textId="10223327">
      <w:pPr>
        <w:pStyle w:val="Normalutanindragellerluft"/>
      </w:pPr>
      <w:r w:rsidRPr="00C76ECF">
        <w:t>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w:t>
      </w:r>
      <w:r w:rsidR="00685274">
        <w:t>d</w:t>
      </w:r>
      <w:r w:rsidRPr="00C76ECF">
        <w:t xml:space="preserve">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w:t>
      </w:r>
      <w:r w:rsidR="00172ED4">
        <w:softHyphen/>
      </w:r>
      <w:r w:rsidRPr="00C76ECF">
        <w:t xml:space="preserve">gjord i samhället är genomgående, särskilt hos ickebinära personer som ofta beskriver hur detta osynliggörande sker på daglig basis. Det är väldigt vanligt att transpersoner får sin könsidentitet ifrågasatt av omgivningen. Utredningen har </w:t>
      </w:r>
      <w:proofErr w:type="gramStart"/>
      <w:r w:rsidRPr="00C76ECF">
        <w:t>bl.a.</w:t>
      </w:r>
      <w:proofErr w:type="gramEnd"/>
      <w:r w:rsidRPr="00C76ECF">
        <w:t xml:space="preserve"> föreslagit att reger</w:t>
      </w:r>
      <w:r w:rsidR="00172ED4">
        <w:softHyphen/>
      </w:r>
      <w:r w:rsidRPr="00C76ECF">
        <w:t>ingen ska tillsätta en utredning i syfte att utreda möjligheten till ett tredje juridiskt kön i Sverige samt därmed ett införande av könsneutrala personnummer (SOU 2017:92 s.</w:t>
      </w:r>
      <w:r w:rsidR="00685274">
        <w:t> </w:t>
      </w:r>
      <w:r w:rsidRPr="00C76ECF">
        <w:t>488</w:t>
      </w:r>
      <w:r w:rsidR="00685274">
        <w:t> </w:t>
      </w:r>
      <w:r w:rsidRPr="00C76ECF">
        <w:t>f.). I utredningen konstateras att konstruktionen med könsspecifika person</w:t>
      </w:r>
      <w:r w:rsidR="00172ED4">
        <w:softHyphen/>
      </w:r>
      <w:r w:rsidRPr="00C76ECF">
        <w:t>nummer har vissa fördelar; framför allt gör den det möjligt att ta fram könsspecifik statistik, något som framhållits som centralt för jämställdhetsarbetet i 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w:t>
      </w:r>
      <w:r w:rsidR="00172ED4">
        <w:softHyphen/>
      </w:r>
      <w:r w:rsidRPr="00C76ECF">
        <w:t>identiteten inte erkänns av staten. Trots att utredningen presenterades 2017 har reger</w:t>
      </w:r>
      <w:r w:rsidR="00172ED4">
        <w:softHyphen/>
      </w:r>
      <w:r w:rsidRPr="00C76ECF">
        <w:t>ingen ännu inte tillsatt någon ny utredning eller återkommit till riksdagen med ett förslag till lagändring.</w:t>
      </w:r>
    </w:p>
    <w:p w:rsidRPr="00C76ECF" w:rsidR="00CF204A" w:rsidP="00CF204A" w:rsidRDefault="00947FF4" w14:paraId="1E0DA398" w14:textId="0B112B13">
      <w:r w:rsidRPr="00C76ECF">
        <w:t>Den 1 juli 2025 trädde en ny könstillhörighetslag i kraft som gör det enklare att ändra juridiskt kön än tidigare. Vänsterpartiet har länge kämpat för och välkomnar att könstill</w:t>
      </w:r>
      <w:r w:rsidR="00172ED4">
        <w:softHyphen/>
      </w:r>
      <w:r w:rsidRPr="00C76ECF">
        <w:t xml:space="preserve">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w:rsidRPr="00C76ECF" w:rsidR="001D2469" w:rsidP="001D2469" w:rsidRDefault="00947FF4" w14:paraId="69ED67A7" w14:textId="6735084C">
      <w:r w:rsidRPr="00C76ECF">
        <w:t xml:space="preserve">Vänsterpartiet vill att alla människor fritt ska kunna definiera och uttrycka sig och ha rätten att bestämma över sin egen kropp. För många, inklusive många transpersoner, är </w:t>
      </w:r>
      <w:r w:rsidRPr="00C76ECF">
        <w:lastRenderedPageBreak/>
        <w:t>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w:rsidRPr="00C76ECF" w:rsidR="001F3845" w:rsidP="003A0FA9" w:rsidRDefault="001F3845" w14:paraId="40CA5E35" w14:textId="77777777">
      <w:pPr>
        <w:pStyle w:val="Rubrik2numrerat"/>
      </w:pPr>
      <w:bookmarkStart w:name="_Toc209695467" w:id="28"/>
      <w:bookmarkStart w:name="_Toc235791196" w:id="29"/>
      <w:r w:rsidRPr="00C76ECF">
        <w:t>Transparens och antikorruption</w:t>
      </w:r>
      <w:bookmarkEnd w:id="28"/>
      <w:bookmarkEnd w:id="29"/>
    </w:p>
    <w:p w:rsidRPr="00C76ECF" w:rsidR="009B5141" w:rsidP="00FF77C0" w:rsidRDefault="001F3845" w14:paraId="629D0AB9" w14:textId="0A7333B7">
      <w:pPr>
        <w:pStyle w:val="Normalutanindragellerluft"/>
      </w:pPr>
      <w:r w:rsidRPr="00C76ECF">
        <w:t xml:space="preserve">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w:t>
      </w:r>
      <w:r w:rsidR="0051607A">
        <w:t xml:space="preserve">att </w:t>
      </w:r>
      <w:r w:rsidRPr="00C76ECF">
        <w:t>känna förtroende för vårt demokratiska system och för att politikerföraktet inte ska växa mer krävs det åtgärder.</w:t>
      </w:r>
    </w:p>
    <w:p w:rsidRPr="00C76ECF" w:rsidR="001846F2" w:rsidP="003A0FA9" w:rsidRDefault="00C5340F" w14:paraId="0E4BFFEB" w14:textId="27ED1C48">
      <w:pPr>
        <w:pStyle w:val="Rubrik3numrerat"/>
      </w:pPr>
      <w:bookmarkStart w:name="_Toc209695468" w:id="30"/>
      <w:bookmarkStart w:name="_Toc235791197" w:id="31"/>
      <w:r w:rsidRPr="00C76ECF">
        <w:lastRenderedPageBreak/>
        <w:t>Insynsutredningen</w:t>
      </w:r>
      <w:bookmarkEnd w:id="30"/>
      <w:bookmarkEnd w:id="31"/>
      <w:r w:rsidRPr="00C76ECF">
        <w:t xml:space="preserve"> </w:t>
      </w:r>
    </w:p>
    <w:p w:rsidRPr="00C76ECF" w:rsidR="00F03963" w:rsidP="00037350" w:rsidRDefault="00F03963" w14:paraId="06C49FEF" w14:textId="77777777">
      <w:pPr>
        <w:pStyle w:val="Normalutanindragellerluft"/>
      </w:pPr>
      <w:r w:rsidRPr="00C76ECF">
        <w:t>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organisationer eller personer som stöttar ett parti ekonomiskt med bidrag över en viss nivå. Det är en fråga om trovärdigheten för vårt demokratiska system.</w:t>
      </w:r>
    </w:p>
    <w:p w:rsidRPr="00C76ECF" w:rsidR="009D6E58" w:rsidP="009D6E58" w:rsidRDefault="00F03963" w14:paraId="7DEEAFDD" w14:textId="28C38038">
      <w:r w:rsidRPr="00C76ECF">
        <w:t xml:space="preserve">I lagen (2018:90) om insyn i finansiering av partier finns bestämmelser som syftar till </w:t>
      </w:r>
      <w:r w:rsidRPr="00172ED4">
        <w:rPr>
          <w:spacing w:val="-2"/>
        </w:rPr>
        <w:t>att ge allmänheten insyn i hur partier och ledamöter finansierar sin verksamhet. Enligt in</w:t>
      </w:r>
      <w:r w:rsidRPr="00172ED4" w:rsidR="00172ED4">
        <w:rPr>
          <w:spacing w:val="-2"/>
        </w:rPr>
        <w:softHyphen/>
      </w:r>
      <w:r w:rsidRPr="00172ED4">
        <w:rPr>
          <w:spacing w:val="-2"/>
        </w:rPr>
        <w:t>synslagen ska ett parti redovisa hur det har finansierat sin verksamhet. Av redovisningen</w:t>
      </w:r>
      <w:r w:rsidRPr="00C76ECF">
        <w:t xml:space="preserve"> ska det tydligt framgå vilka medel som har kommit in till verksamheten och varifrån medlen kommer. I lagen finns ett förbud mot anonyma bidrag. Enligt bestämmelsen får partier och deras sidoorganisationer, ledamöter och ersättare för ledamöter samt val</w:t>
      </w:r>
      <w:r w:rsidR="00172ED4">
        <w:softHyphen/>
      </w:r>
      <w:r w:rsidRPr="00C76ECF">
        <w:t>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w:t>
      </w:r>
      <w:r w:rsidR="00172ED4">
        <w:softHyphen/>
      </w:r>
      <w:r w:rsidRPr="00C76ECF">
        <w:t>värre visade Kalla faktas granskning att det är för lätt att kringgå den gällande lag</w:t>
      </w:r>
      <w:r w:rsidR="00172ED4">
        <w:softHyphen/>
      </w:r>
      <w:r w:rsidRPr="00C76ECF">
        <w:t>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w:rsidRPr="00C76ECF" w:rsidR="00C5340F" w:rsidP="00A557D4" w:rsidRDefault="00C32170" w14:paraId="431A411C" w14:textId="30D9C836">
      <w:r w:rsidRPr="00C76ECF">
        <w:t>Vänsterpartiet har tidigare föreslagit att utredningen skulle få i tilläggsdirektiv att utreda förbud för riksdagspartier mot att ta emot anonyma donationer genom att använda en bulvan eller motsvarande upplägg med tredje part och att se över möjlig</w:t>
      </w:r>
      <w:r w:rsidR="00F54D88">
        <w:softHyphen/>
      </w:r>
      <w:r w:rsidRPr="00C76ECF">
        <w:t xml:space="preserve">heten att införa förbud mot försök att ta emot anonym gåva (mot. 2023/24:440). </w:t>
      </w:r>
      <w:r w:rsidRPr="00C76ECF" w:rsidR="007D1170">
        <w:t xml:space="preserve">Vi förutsätter att utredningen är under beredning i </w:t>
      </w:r>
      <w:r w:rsidR="00550AA2">
        <w:t>R</w:t>
      </w:r>
      <w:r w:rsidRPr="00C76ECF" w:rsidR="007D1170">
        <w:t xml:space="preserve">egeringskansliet. Om de nu aktuella förslagen visar sig vara otillräckliga så avser vi att återkomma med konkreta yrkanden. </w:t>
      </w:r>
    </w:p>
    <w:p w:rsidRPr="00C76ECF" w:rsidR="006C5B0F" w:rsidP="003A0FA9" w:rsidRDefault="006C5B0F" w14:paraId="343B4F91" w14:textId="166E4938">
      <w:pPr>
        <w:pStyle w:val="Rubrik3numrerat"/>
      </w:pPr>
      <w:bookmarkStart w:name="_Toc209695469" w:id="32"/>
      <w:bookmarkStart w:name="_Hlk201842010" w:id="33"/>
      <w:bookmarkStart w:name="_Toc235791198" w:id="34"/>
      <w:r w:rsidRPr="00C76ECF">
        <w:t>Lobbyregister</w:t>
      </w:r>
      <w:bookmarkEnd w:id="32"/>
      <w:bookmarkEnd w:id="34"/>
    </w:p>
    <w:bookmarkEnd w:id="33"/>
    <w:p w:rsidRPr="00C76ECF" w:rsidR="00D95423" w:rsidP="00AC2A0C" w:rsidRDefault="00CD0ADE" w14:paraId="6F840118" w14:textId="2DE29AF5">
      <w:pPr>
        <w:pStyle w:val="Normalutanindragellerluft"/>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w:t>
      </w:r>
      <w:r w:rsidR="00F54D88">
        <w:softHyphen/>
      </w:r>
      <w:r w:rsidRPr="00C76ECF" w:rsidR="00D95423">
        <w:lastRenderedPageBreak/>
        <w:t>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w:rsidRPr="00C76ECF" w:rsidR="002138BC" w:rsidP="002138BC" w:rsidRDefault="00225B36" w14:paraId="54C0368B" w14:textId="695F6C96">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w:t>
      </w:r>
      <w:r w:rsidR="00F54D88">
        <w:softHyphen/>
      </w:r>
      <w:r w:rsidRPr="00C76ECF">
        <w:t>korruption</w:t>
      </w:r>
      <w:r w:rsidRPr="00C76ECF" w:rsidR="002138BC">
        <w:t xml:space="preserve">en och stärka insynen i </w:t>
      </w:r>
      <w:proofErr w:type="gramStart"/>
      <w:r w:rsidRPr="00C76ECF" w:rsidR="002138BC">
        <w:t>f.d.</w:t>
      </w:r>
      <w:proofErr w:type="gramEnd"/>
      <w:r w:rsidRPr="00C76ECF" w:rsidR="002138BC">
        <w:t xml:space="preserve"> politikers och beslutsfattares påverkansarbete som konsulter.</w:t>
      </w:r>
    </w:p>
    <w:p w:rsidRPr="00C76ECF" w:rsidR="00A557D4" w:rsidP="003A0FA9" w:rsidRDefault="00D35D2D" w14:paraId="0B263AC1" w14:textId="3C7B93C4">
      <w:pPr>
        <w:pStyle w:val="Rubrik3numrerat"/>
      </w:pPr>
      <w:bookmarkStart w:name="_Toc209695470" w:id="35"/>
      <w:bookmarkStart w:name="_Toc235791199" w:id="36"/>
      <w:r w:rsidRPr="00C76ECF">
        <w:t>Statsråds</w:t>
      </w:r>
      <w:r w:rsidRPr="00C76ECF" w:rsidR="000D2959">
        <w:t xml:space="preserve"> </w:t>
      </w:r>
      <w:r w:rsidRPr="00C76ECF" w:rsidR="00D02B2B">
        <w:t xml:space="preserve">och statssekreterares </w:t>
      </w:r>
      <w:r w:rsidRPr="00C76ECF" w:rsidR="008015FF">
        <w:t>aktieaffärer</w:t>
      </w:r>
      <w:bookmarkEnd w:id="35"/>
      <w:bookmarkEnd w:id="36"/>
      <w:r w:rsidRPr="00C76ECF" w:rsidR="008015FF">
        <w:t xml:space="preserve"> </w:t>
      </w:r>
    </w:p>
    <w:p w:rsidRPr="00C76ECF" w:rsidR="00C3720B" w:rsidP="00C3720B" w:rsidRDefault="00C3720B" w14:paraId="29D9333F" w14:textId="0CD5B08E">
      <w:pPr>
        <w:pStyle w:val="Normalutanindragellerluft"/>
      </w:pPr>
      <w:r w:rsidRPr="00C76ECF">
        <w:t>Statsråd ska anmäla sitt innehav av bl.a. aktier enligt lagen om skyldighet för vissa offentliga funktionärer att anmäla innehav av finansiella instrument. Även stats</w:t>
      </w:r>
      <w:r w:rsidR="00F54D88">
        <w:softHyphen/>
      </w:r>
      <w:r w:rsidRPr="00C76ECF">
        <w:t xml:space="preserve">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w:rsidRPr="00C76ECF" w:rsidR="00472026" w:rsidP="009B7347" w:rsidRDefault="003E7F40" w14:paraId="174BB6B8" w14:textId="01CFE015">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helhet och om hur statsministern som ytterst ansvarig säkerställer att gällande regelverk och riktlinjer efterlevs. Detta har medfört att tre ministrar har blivit anmälda till riks</w:t>
      </w:r>
      <w:r w:rsidR="00F54D88">
        <w:softHyphen/>
      </w:r>
      <w:r w:rsidRPr="00C76ECF">
        <w:t xml:space="preserve">dagens konstitutionsutskott samt fått kritik för sitt agerande från </w:t>
      </w:r>
      <w:proofErr w:type="gramStart"/>
      <w:r w:rsidRPr="00C76ECF">
        <w:t>bl</w:t>
      </w:r>
      <w:r w:rsidRPr="00C76ECF" w:rsidR="00C56E96">
        <w:t>.a.</w:t>
      </w:r>
      <w:proofErr w:type="gramEnd"/>
      <w:r w:rsidRPr="00C76ECF" w:rsidR="00C56E96">
        <w:t xml:space="preserve"> </w:t>
      </w:r>
      <w:r w:rsidRPr="00C76ECF">
        <w:t>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w:t>
      </w:r>
      <w:r w:rsidR="00F54D88">
        <w:softHyphen/>
      </w:r>
      <w:r w:rsidRPr="00C76ECF" w:rsidR="00472026">
        <w:t>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p>
    <w:p w:rsidRPr="00C76ECF" w:rsidR="005333C8" w:rsidP="005333C8" w:rsidRDefault="003E7F40" w14:paraId="1C7B57C3" w14:textId="1ED42B2C">
      <w:r w:rsidRPr="00C76ECF">
        <w:t>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w:t>
      </w:r>
      <w:r w:rsidR="00F54D88">
        <w:softHyphen/>
      </w:r>
      <w:r w:rsidRPr="00C76ECF">
        <w:t xml:space="preserve">tiken på allvar. Därför finns det skäl att se över samtliga statsråds och statssekreterares efterlevnad av reglerna kring aktieaffärer. Statsministern har det yttersta ansvaret för den uppkomna situationen. </w:t>
      </w:r>
    </w:p>
    <w:p w:rsidRPr="00C76ECF" w:rsidR="00C3720B" w:rsidP="005333C8" w:rsidRDefault="005333C8" w14:paraId="014302B7" w14:textId="3B9A796A">
      <w:r w:rsidRPr="00C76ECF">
        <w:lastRenderedPageBreak/>
        <w:t>Enligt Ekot den 13 maj 2025 har statsministern uppgett att Regeringskansliet avser att se över de regler och rutiner som gäller för statsråds aktieinnehav. I en interpellations</w:t>
      </w:r>
      <w:r w:rsidR="00F54D88">
        <w:softHyphen/>
      </w:r>
      <w:r w:rsidRPr="00C76ECF">
        <w:t>debatt i riksdagen den 9 juni 2025 uppgav statsrådet Niklas Wykman att det är ange</w:t>
      </w:r>
      <w:r w:rsidR="00F54D88">
        <w:softHyphen/>
      </w:r>
      <w:r w:rsidRPr="00C76ECF">
        <w:t xml:space="preserve">läget att fortlöpande se över de regler och rutiner som finns, </w:t>
      </w:r>
      <w:proofErr w:type="gramStart"/>
      <w:r w:rsidRPr="00C76ECF">
        <w:t>bl.a.</w:t>
      </w:r>
      <w:proofErr w:type="gramEnd"/>
      <w:r w:rsidRPr="00C76ECF">
        <w:t xml:space="preserve"> för att undvika att det uppstår intressekonflikter. Vidare uppgav statsrådet att den av statsministern aviserade översynen pågår, och när den är avslutad kommer resultatet att redovisas.</w:t>
      </w:r>
    </w:p>
    <w:p w:rsidRPr="00C76ECF" w:rsidR="002138BC" w:rsidP="005333C8" w:rsidRDefault="00C3720B" w14:paraId="23839FE2" w14:textId="3030A3B6">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w:t>
      </w:r>
      <w:r w:rsidR="00F54D88">
        <w:softHyphen/>
      </w:r>
      <w:r w:rsidRPr="00C76ECF" w:rsidR="00190EF1">
        <w:t>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w:rsidRPr="00C76ECF" w:rsidR="00ED7D28" w:rsidP="00ED7D28" w:rsidRDefault="00ED7D28" w14:paraId="7D04B8AA" w14:textId="55054C8A">
      <w:r w:rsidRPr="00C76ECF">
        <w:t>Vidare behöver ytterligare begränsningar av statsråds och statssekreterares möjlig</w:t>
      </w:r>
      <w:r w:rsidR="00F54D88">
        <w:softHyphen/>
      </w:r>
      <w:r w:rsidRPr="00C76ECF">
        <w:t>heter att göra aktieaffärer utredas. I Norge har regler införts som innebär att norska ministrar får välja mellan att sälja aktierna, frysa dem eller använda sig av en 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w:rsidRPr="00C76ECF" w:rsidR="004E2175" w:rsidP="003A0FA9" w:rsidRDefault="004E2175" w14:paraId="328A9250" w14:textId="77777777">
      <w:pPr>
        <w:pStyle w:val="Rubrik3numrerat"/>
      </w:pPr>
      <w:bookmarkStart w:name="_Toc209695471" w:id="37"/>
      <w:bookmarkStart w:name="_Toc235791200" w:id="38"/>
      <w:r w:rsidRPr="00C76ECF">
        <w:t>Se över karenssystemet för statsråd m.fl.</w:t>
      </w:r>
      <w:bookmarkEnd w:id="37"/>
      <w:bookmarkEnd w:id="38"/>
    </w:p>
    <w:p w:rsidRPr="00C76ECF" w:rsidR="00CC1E44" w:rsidP="00F10831" w:rsidRDefault="004E2175" w14:paraId="023FBA4B" w14:textId="475638A7">
      <w:pPr>
        <w:pStyle w:val="Normalutanindragellerluft"/>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w:t>
      </w:r>
      <w:r w:rsidR="00F54D88">
        <w:softHyphen/>
      </w:r>
      <w:r w:rsidRPr="00C76ECF">
        <w:t>mäns övergång till den privata sektorn.</w:t>
      </w:r>
    </w:p>
    <w:p w:rsidRPr="00C76ECF" w:rsidR="00CC1E44" w:rsidP="00CC1E44" w:rsidRDefault="004E2175" w14:paraId="1C786A28" w14:textId="40C1C320">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w:t>
      </w:r>
      <w:r w:rsidR="00F54D88">
        <w:softHyphen/>
      </w:r>
      <w:r w:rsidRPr="00F54D88">
        <w:rPr>
          <w:spacing w:val="-2"/>
        </w:rPr>
        <w:t xml:space="preserve">räckligt preventiv verkan. För </w:t>
      </w:r>
      <w:r w:rsidRPr="00F54D88" w:rsidR="00AB7283">
        <w:rPr>
          <w:spacing w:val="-2"/>
        </w:rPr>
        <w:t xml:space="preserve">en </w:t>
      </w:r>
      <w:r w:rsidRPr="00F54D88">
        <w:rPr>
          <w:spacing w:val="-2"/>
        </w:rPr>
        <w:t>riksrevisor eller riksrevisionsdirektör gäller motsvarande</w:t>
      </w:r>
      <w:r w:rsidRPr="00C76ECF">
        <w:t xml:space="preserve"> bestämmelser som för statsråd och statssekreterare. En lagstadgad karenstid finns också för ledamöter i Riksbankens direktion samt för generaldirektören och myndighetschefen för Transportstyrelsen. För andra personer med anställningar eller uppdrag inom </w:t>
      </w:r>
      <w:r w:rsidRPr="00F54D88">
        <w:rPr>
          <w:spacing w:val="-2"/>
        </w:rPr>
        <w:t>offent</w:t>
      </w:r>
      <w:r w:rsidRPr="00F54D88" w:rsidR="00F54D88">
        <w:rPr>
          <w:spacing w:val="-2"/>
        </w:rPr>
        <w:softHyphen/>
      </w:r>
      <w:r w:rsidRPr="00F54D88">
        <w:rPr>
          <w:spacing w:val="-2"/>
        </w:rPr>
        <w:t>liga verksamheter saknas i dag en reglering om övergångar. Karensnämndens ordförande</w:t>
      </w:r>
      <w:r w:rsidRPr="00C76ECF">
        <w:t xml:space="preserve"> har dock själv beskrivit det nuvarande systemet som ”tandlöst”. Den förra regeringen </w:t>
      </w:r>
      <w:r w:rsidRPr="00C76ECF">
        <w:lastRenderedPageBreak/>
        <w:t>tillsatte en utredning för att se över systemet och lämna förslag om restriktioner vid övergång från offentlig till annan verksamhet (dir. 2022:71). Utredningen, Utvärdering av restriktionslagen (SOU 2023:45)</w:t>
      </w:r>
      <w:r w:rsidR="00A75C4A">
        <w:t>,</w:t>
      </w:r>
      <w:r w:rsidRPr="00C76ECF">
        <w:t xml:space="preserve"> presenterades i augusti 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w:t>
      </w:r>
      <w:r w:rsidR="00F54D88">
        <w:softHyphen/>
      </w:r>
      <w:r w:rsidRPr="00C76ECF">
        <w:t>fallet bör även den offentliga sektorn omfattas av regleringen.</w:t>
      </w:r>
    </w:p>
    <w:p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w:rsidRPr="00C76ECF" w:rsidR="00512063" w:rsidP="003A0FA9" w:rsidRDefault="00512063" w14:paraId="55627AF6" w14:textId="7102AD28">
      <w:pPr>
        <w:pStyle w:val="Rubrik2numrerat"/>
      </w:pPr>
      <w:bookmarkStart w:name="_Toc209695472" w:id="39"/>
      <w:bookmarkStart w:name="_Toc235791201" w:id="40"/>
      <w:r w:rsidRPr="00C76ECF">
        <w:t>Skydd för den personliga integriteten</w:t>
      </w:r>
      <w:bookmarkEnd w:id="39"/>
      <w:bookmarkEnd w:id="40"/>
    </w:p>
    <w:p w:rsidRPr="00C76ECF" w:rsidR="00242AF5" w:rsidP="00BA58A2" w:rsidRDefault="00242AF5" w14:paraId="6096CDD9" w14:textId="6607D425">
      <w:pPr>
        <w:pStyle w:val="Rubrik3numrerat"/>
        <w:spacing w:before="150"/>
      </w:pPr>
      <w:bookmarkStart w:name="_Toc209695473" w:id="41"/>
      <w:bookmarkStart w:name="_Toc235791202" w:id="42"/>
      <w:r w:rsidRPr="00C76ECF">
        <w:t>Drönarbevakning av allmänna sammankomster</w:t>
      </w:r>
      <w:bookmarkEnd w:id="41"/>
      <w:bookmarkEnd w:id="42"/>
      <w:r w:rsidRPr="00C76ECF">
        <w:t xml:space="preserve"> </w:t>
      </w:r>
    </w:p>
    <w:p w:rsidRPr="00C76ECF" w:rsidR="00242AF5" w:rsidP="005653F9" w:rsidRDefault="00242AF5" w14:paraId="594D2A2B" w14:textId="64676D2D">
      <w:pPr>
        <w:pStyle w:val="Normalutanindragellerluft"/>
      </w:pPr>
      <w:r w:rsidRPr="00C76ECF">
        <w:t>Polismyndigheten har rätt enligt kamerabevakningslagen att under viss tid bedriva kamerabevakning av en plats dit allmänheten har tillträde om det av särskild anledning 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w:t>
      </w:r>
      <w:r w:rsidR="00F54D88">
        <w:softHyphen/>
      </w:r>
      <w:r w:rsidRPr="00C76ECF">
        <w:t>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åskådning (2</w:t>
      </w:r>
      <w:r w:rsidR="00682419">
        <w:t> </w:t>
      </w:r>
      <w:r w:rsidRPr="00C76ECF">
        <w:t>kap. 3</w:t>
      </w:r>
      <w:r w:rsidR="00682419">
        <w:t> </w:t>
      </w:r>
      <w:r w:rsidRPr="00C76ECF">
        <w:t>§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w:t>
      </w:r>
      <w:r w:rsidR="00F814B4">
        <w:t>t</w:t>
      </w:r>
      <w:r w:rsidRPr="00C76ECF">
        <w:t xml:space="preserve">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w:t>
      </w:r>
      <w:r w:rsidRPr="00C76ECF">
        <w:lastRenderedPageBreak/>
        <w:t>Det bör inte vara möjligt att drönarbevaka ett så stort område som en hel stadsdel under en hel dag, särskilt inte i samband med en allmän sammankomst.</w:t>
      </w:r>
    </w:p>
    <w:p w:rsidRPr="00C76ECF" w:rsidR="00242AF5" w:rsidP="00A265A7" w:rsidRDefault="00242AF5" w14:paraId="13FAF1ED" w14:textId="522DC99C">
      <w:r w:rsidRPr="00C76ECF">
        <w:t xml:space="preserve">Regeringen bör därför återkomma med lagförslag som innebär att krav på tillstånd ska återinföras vid polisens användning av drönare vid allmänna sammankomster. Detta bör riksdagen ställa sig bakom och ge regeringen till känna. </w:t>
      </w:r>
    </w:p>
    <w:p w:rsidRPr="00C76ECF" w:rsidR="00242AF5" w:rsidP="003A0FA9" w:rsidRDefault="00242AF5" w14:paraId="701EE387" w14:textId="00579BED">
      <w:pPr>
        <w:pStyle w:val="Rubrik3numrerat"/>
      </w:pPr>
      <w:bookmarkStart w:name="_Toc209695474" w:id="43"/>
      <w:bookmarkStart w:name="_Toc235791203" w:id="44"/>
      <w:r w:rsidRPr="00C76ECF">
        <w:t>Integritetsperspektiv på den digitala marknadsföringen</w:t>
      </w:r>
      <w:bookmarkEnd w:id="43"/>
      <w:bookmarkEnd w:id="44"/>
      <w:r w:rsidRPr="00C76ECF">
        <w:t xml:space="preserve"> </w:t>
      </w:r>
    </w:p>
    <w:p w:rsidRPr="00C76ECF" w:rsidR="00242AF5" w:rsidP="00DC613B" w:rsidRDefault="00242AF5" w14:paraId="1DC8F3E0" w14:textId="28D7DE6F">
      <w:pPr>
        <w:pStyle w:val="Normalutanindragellerluft"/>
      </w:pPr>
      <w:r w:rsidRPr="00C76ECF">
        <w:t>Digitaliseringen gör att skyddet för den personliga integriteten ställs inför nya ut</w:t>
      </w:r>
      <w:r w:rsidR="00FF4234">
        <w:softHyphen/>
      </w:r>
      <w:r w:rsidRPr="00C76ECF">
        <w:t>maningar. Stora mängder persondata samlas in när vi använder oss av sociala medie</w:t>
      </w:r>
      <w:r w:rsidR="00FF4234">
        <w:softHyphen/>
      </w:r>
      <w:r w:rsidRPr="00C76ECF">
        <w:t>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övervaka oss och för att övervaka våra beteenden.</w:t>
      </w:r>
      <w:r w:rsidRPr="00C76ECF" w:rsidR="00643E42">
        <w:rPr>
          <w:rStyle w:val="Fotnotsreferens"/>
        </w:rPr>
        <w:footnoteReference w:id="6"/>
      </w:r>
      <w:r w:rsidRPr="00C76ECF">
        <w:t xml:space="preserve"> Persondata, ”big data”, säljs och används bl.a. av företag för att rikta reklam till tänkbara konsumenter. Övervaknings</w:t>
      </w:r>
      <w:r w:rsidR="00FF4234">
        <w:softHyphen/>
      </w:r>
      <w:r w:rsidRPr="00C76ECF">
        <w:t>baserad reklam är digital marknadsföring som med hjälp av spårning och profilering riktas mot enskilda personer eller mindre grupper av konsumenter. Den övervaknings</w:t>
      </w:r>
      <w:r w:rsidR="00FF4234">
        <w:softHyphen/>
      </w:r>
      <w:r w:rsidRPr="00C76ECF">
        <w:t>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w:rsidRPr="00C76ECF" w:rsidR="00242AF5" w:rsidP="00242AF5" w:rsidRDefault="00242AF5" w14:paraId="65DDC0AA" w14:textId="47165BC7">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kontrolleras bättre och om skyddet för den personliga integriteten behöver förstärkas. Att många sociala medieplattformar, appar och webbsidor är baserade i länder utanför EU gör att möjligheterna till kontroll och andra åtgärder blir mindre. Vi anser dock att regeringen ändå har ett ansvar för att hantera problemet och agera för att stärka enskildas integritet. </w:t>
      </w:r>
    </w:p>
    <w:p w:rsidRPr="00C76ECF" w:rsidR="00242AF5" w:rsidP="003A2930" w:rsidRDefault="00242AF5" w14:paraId="78242DCA" w14:textId="049D8720">
      <w:r w:rsidRPr="00C76ECF">
        <w:t xml:space="preserve">Regeringen bör tillsätta en utredning för att se över omfattningen av den digitala marknadsföringen ur integritetsperspektiv i syfte att ta fram åtgärder för att bättre kontrollera den. Detta bör riksdagen ställa sig bakom och ge regeringen till känna. </w:t>
      </w:r>
    </w:p>
    <w:p w:rsidRPr="00C76ECF" w:rsidR="00242AF5" w:rsidP="003A0FA9" w:rsidRDefault="00242AF5" w14:paraId="0016308F" w14:textId="0DA5094C">
      <w:pPr>
        <w:pStyle w:val="Rubrik3numrerat"/>
      </w:pPr>
      <w:bookmarkStart w:name="_Toc209695475" w:id="45"/>
      <w:bookmarkStart w:name="_Toc235791204" w:id="46"/>
      <w:r w:rsidRPr="00C76ECF">
        <w:t>Att använda barn i marknadsföring</w:t>
      </w:r>
      <w:bookmarkEnd w:id="45"/>
      <w:bookmarkEnd w:id="46"/>
      <w:r w:rsidRPr="00C76ECF">
        <w:t xml:space="preserve"> </w:t>
      </w:r>
    </w:p>
    <w:p w:rsidRPr="00C76ECF" w:rsidR="00242AF5" w:rsidP="00C13F41" w:rsidRDefault="00242AF5" w14:paraId="75296049" w14:textId="63A54438">
      <w:pPr>
        <w:pStyle w:val="Normalutanindragellerluft"/>
      </w:pPr>
      <w:r w:rsidRPr="00C76ECF">
        <w:t xml:space="preserve">När barn används i reklam ställer det särskilda krav på hänsyn till barnets integritet. Att </w:t>
      </w:r>
      <w:proofErr w:type="spellStart"/>
      <w:r w:rsidRPr="00C76ECF">
        <w:t>influencers</w:t>
      </w:r>
      <w:proofErr w:type="spellEnd"/>
      <w:r w:rsidRPr="00C76ECF">
        <w:t xml:space="preserve">, </w:t>
      </w:r>
      <w:proofErr w:type="spellStart"/>
      <w:r w:rsidRPr="00C76ECF">
        <w:t>vloggare</w:t>
      </w:r>
      <w:proofErr w:type="spellEnd"/>
      <w:r w:rsidRPr="00C76ECF">
        <w:t xml:space="preserve"> och bloggare använder sina egna barn i betalade samarbeten och 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w:t>
      </w:r>
      <w:r w:rsidR="00FF4234">
        <w:softHyphen/>
      </w:r>
      <w:r w:rsidRPr="00C76ECF">
        <w:t xml:space="preserve">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w:t>
      </w:r>
      <w:r w:rsidRPr="00C76ECF">
        <w:lastRenderedPageBreak/>
        <w:t>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w:t>
      </w:r>
    </w:p>
    <w:p w:rsidRPr="00C76ECF" w:rsidR="00242AF5" w:rsidP="004D29C3" w:rsidRDefault="00242AF5" w14:paraId="5E1E6258" w14:textId="5637006B">
      <w:r w:rsidRPr="00C76ECF">
        <w:t>Regeringen bör tillsätta en utredning i syfte att se över en begränsning av möjlig</w:t>
      </w:r>
      <w:r w:rsidR="00FF4234">
        <w:softHyphen/>
      </w:r>
      <w:r w:rsidRPr="00C76ECF">
        <w:t xml:space="preserve">heten att använda sina barn i reklam med hänvisning till barnets integritet. Detta bör riksdagen ställa sig bakom och ge regeringen till känna. </w:t>
      </w:r>
    </w:p>
    <w:p w:rsidRPr="00C76ECF" w:rsidR="00242AF5" w:rsidP="003A0FA9" w:rsidRDefault="00242AF5" w14:paraId="445CC02A" w14:textId="06EB6520">
      <w:pPr>
        <w:pStyle w:val="Rubrik3numrerat"/>
      </w:pPr>
      <w:bookmarkStart w:name="_Toc209695476" w:id="47"/>
      <w:bookmarkStart w:name="_Toc235791205" w:id="48"/>
      <w:r w:rsidRPr="00C76ECF">
        <w:t>Åtgärder för att motverka personuppgiftsläckor</w:t>
      </w:r>
      <w:bookmarkEnd w:id="47"/>
      <w:bookmarkEnd w:id="48"/>
      <w:r w:rsidRPr="00C76ECF">
        <w:t xml:space="preserve"> </w:t>
      </w:r>
    </w:p>
    <w:p w:rsidRPr="00C76ECF" w:rsidR="009F12D4" w:rsidP="00A265A7" w:rsidRDefault="00242AF5" w14:paraId="31A72248" w14:textId="35D5350B">
      <w:pPr>
        <w:pStyle w:val="Normalutanindragellerluft"/>
      </w:pPr>
      <w:r w:rsidRPr="00C76ECF">
        <w:t xml:space="preserve">Ett stort antal fall av personuppgiftsläckor har rapporterats de senaste åren. Det handlar om sociala medieplattformar, </w:t>
      </w:r>
      <w:proofErr w:type="gramStart"/>
      <w:r w:rsidRPr="00C76ECF">
        <w:t>t.ex.</w:t>
      </w:r>
      <w:proofErr w:type="gramEnd"/>
      <w:r w:rsidRPr="00C76ECF">
        <w:t xml:space="preserve">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t>myndig</w:t>
      </w:r>
      <w:r w:rsidR="00FF4234">
        <w:softHyphen/>
      </w:r>
      <w:r w:rsidRPr="00C76ECF">
        <w:t>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w:t>
      </w:r>
      <w:r w:rsidR="00FF4234">
        <w:softHyphen/>
      </w:r>
      <w:r w:rsidRPr="00C76ECF">
        <w:t>handlat personuppgifter på ett felaktigt sätt ska i vissa fall rapportera det till Integritets</w:t>
      </w:r>
      <w:r w:rsidR="00FF4234">
        <w:softHyphen/>
      </w:r>
      <w:r w:rsidRPr="00C76ECF">
        <w:t>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w:t>
      </w:r>
    </w:p>
    <w:p w:rsidRPr="00C76ECF" w:rsidR="00242AF5" w:rsidP="00A265A7" w:rsidRDefault="00242AF5" w14:paraId="4FE1FFA1" w14:textId="28E235C7">
      <w:r w:rsidRPr="00C76ECF">
        <w:t>Regeringen bör ge i uppdrag till Integritetskyddsmyndigheten att förstärka det förebyggande arbetet mot personuppgiftsincidenter. Detta bör riksdagen ställa sig bakom och ge regeringen till känna.</w:t>
      </w:r>
    </w:p>
    <w:p w:rsidRPr="00C76ECF" w:rsidR="00CA0171" w:rsidP="003A0FA9" w:rsidRDefault="00CA0171" w14:paraId="2BC4AE60" w14:textId="04F8C4DD">
      <w:pPr>
        <w:pStyle w:val="Rubrik2numrerat"/>
      </w:pPr>
      <w:bookmarkStart w:name="_Toc209695477" w:id="49"/>
      <w:bookmarkStart w:name="_Toc235791206" w:id="50"/>
      <w:r w:rsidRPr="00C76ECF">
        <w:t>Mediestödet</w:t>
      </w:r>
      <w:bookmarkEnd w:id="49"/>
      <w:bookmarkEnd w:id="50"/>
    </w:p>
    <w:p w:rsidRPr="00C76ECF" w:rsidR="00A45754" w:rsidP="00A265A7" w:rsidRDefault="00CA0171" w14:paraId="7B46EABA" w14:textId="4EEC56BD">
      <w:pPr>
        <w:pStyle w:val="Normalutanindragellerluft"/>
      </w:pPr>
      <w:r w:rsidRPr="00C76ECF">
        <w:t xml:space="preserve">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w:t>
      </w:r>
      <w:proofErr w:type="gramStart"/>
      <w:r w:rsidRPr="00C76ECF">
        <w:t>bl.a.</w:t>
      </w:r>
      <w:proofErr w:type="gramEnd"/>
      <w:r w:rsidRPr="00C76ECF">
        <w:t xml:space="preserve"> opartisk samhällsinformation, nyheter, underhållning och kultur</w:t>
      </w:r>
      <w:r w:rsidR="00FF4234">
        <w:softHyphen/>
      </w:r>
      <w:r w:rsidRPr="00C76ECF">
        <w:lastRenderedPageBreak/>
        <w:t>upplevelser. Att såväl journalistiken som hela public service står oberoende i för</w:t>
      </w:r>
      <w:r w:rsidR="00FF4234">
        <w:softHyphen/>
      </w:r>
      <w:r w:rsidRPr="00C76ECF">
        <w:t>hållande till politiken är helt grundläggande.</w:t>
      </w:r>
    </w:p>
    <w:p w:rsidRPr="00C76ECF" w:rsidR="00A45754" w:rsidP="00A45754" w:rsidRDefault="00CA0171" w14:paraId="22ABE3D6" w14:textId="77777777">
      <w:r w:rsidRPr="00C76ECF">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w:rsidRPr="00C76ECF" w:rsidR="00A45754" w:rsidP="00A45754" w:rsidRDefault="00CA0171" w14:paraId="16FFF648" w14:textId="5BC87C2E">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w:t>
      </w:r>
      <w:r w:rsidR="00FF4234">
        <w:softHyphen/>
      </w:r>
      <w:r w:rsidRPr="00C76ECF" w:rsidR="00EB579A">
        <w:t>godose dessa ändamål</w:t>
      </w:r>
      <w:r w:rsidRPr="00C76ECF" w:rsidR="00A45754">
        <w:rPr>
          <w:b/>
          <w:bCs/>
        </w:rPr>
        <w:t xml:space="preserve"> </w:t>
      </w:r>
      <w:r w:rsidRPr="00C76ECF" w:rsidR="00A45754">
        <w:t>(mot. 2025/26:</w:t>
      </w:r>
      <w:r w:rsidR="00243BDA">
        <w:t>3158,</w:t>
      </w:r>
      <w:r w:rsidRPr="00C76ECF" w:rsidR="00A45754">
        <w:t xml:space="preserve"> utg.omr. 1). </w:t>
      </w:r>
    </w:p>
    <w:p w:rsidRPr="00FC0223" w:rsidR="006519C7" w:rsidP="00FC0223" w:rsidRDefault="00FE556E" w14:paraId="69739DC3" w14:textId="3550E3A7">
      <w:r w:rsidRPr="00C76ECF">
        <w:t>Regeringen bör återkomma med förslag till ändring i 2</w:t>
      </w:r>
      <w:r w:rsidR="00243BDA">
        <w:t> </w:t>
      </w:r>
      <w:r w:rsidRPr="00C76ECF">
        <w:t>§ lagen om mediestöd i syfte att mediemångfalden ska värnas lika högt som tillgången till lokal och regional nyhets</w:t>
      </w:r>
      <w:r w:rsidR="00FF4234">
        <w:softHyphen/>
      </w:r>
      <w:r w:rsidRPr="00C76ECF">
        <w:t>förmedling av hög kvalitet i hela landet. Detta bör riksdagen ställa sig bakom och ge regeringen till känna.</w:t>
      </w:r>
    </w:p>
    <w:sdt>
      <w:sdtPr>
        <w:rPr>
          <w:i/>
          <w:noProof/>
        </w:rPr>
        <w:alias w:val="CC_Underskrifter"/>
        <w:tag w:val="CC_Underskrifter"/>
        <w:id w:val="583496634"/>
        <w:lock w:val="sdtContentLocked"/>
        <w:placeholder>
          <w:docPart w:val="A832C2D561DA462398FE6C1C46C37269"/>
        </w:placeholder>
      </w:sdtPr>
      <w:sdtEndPr/>
      <w:sdtContent>
        <w:p w:rsidR="00C76ECF" w:rsidP="00C76ECF" w:rsidRDefault="00C76ECF" w14:paraId="12BA433A" w14:textId="77777777"/>
        <w:p w:rsidR="00C76ECF" w:rsidP="00C76ECF" w:rsidRDefault="00B4317D" w14:paraId="61289C8C" w14:textId="4E0AECA6"/>
      </w:sdtContent>
    </w:sdt>
    <w:tbl>
      <w:tblPr>
        <w:tblW w:w="5000" w:type="pct"/>
        <w:tblLook w:val="04A0" w:firstRow="1" w:lastRow="0" w:firstColumn="1" w:lastColumn="0" w:noHBand="0" w:noVBand="1"/>
        <w:tblCaption w:val="underskrifter"/>
      </w:tblPr>
      <w:tblGrid>
        <w:gridCol w:w="4252"/>
        <w:gridCol w:w="4252"/>
      </w:tblGrid>
      <w:tr w:rsidR="00907A72" w14:paraId="4F0C5B5B" w14:textId="77777777">
        <w:trPr>
          <w:cantSplit/>
        </w:trPr>
        <w:tc>
          <w:tcPr>
            <w:tcW w:w="50" w:type="pct"/>
            <w:vAlign w:val="bottom"/>
          </w:tcPr>
          <w:p w:rsidR="00907A72" w:rsidRDefault="00A14C97" w14:paraId="627DF0CC" w14:textId="77777777">
            <w:pPr>
              <w:pStyle w:val="Underskrifter"/>
              <w:spacing w:after="0"/>
            </w:pPr>
            <w:r>
              <w:t>Jessica Wetterling (V)</w:t>
            </w:r>
          </w:p>
        </w:tc>
        <w:tc>
          <w:tcPr>
            <w:tcW w:w="50" w:type="pct"/>
            <w:vAlign w:val="bottom"/>
          </w:tcPr>
          <w:p w:rsidR="00907A72" w:rsidRDefault="00907A72" w14:paraId="148BB786" w14:textId="77777777">
            <w:pPr>
              <w:pStyle w:val="Underskrifter"/>
              <w:spacing w:after="0"/>
            </w:pPr>
          </w:p>
        </w:tc>
      </w:tr>
      <w:tr w:rsidR="00907A72" w14:paraId="5922FCE0" w14:textId="77777777">
        <w:trPr>
          <w:cantSplit/>
        </w:trPr>
        <w:tc>
          <w:tcPr>
            <w:tcW w:w="50" w:type="pct"/>
            <w:vAlign w:val="bottom"/>
          </w:tcPr>
          <w:p w:rsidR="00907A72" w:rsidRDefault="00A14C97" w14:paraId="28199D6F" w14:textId="77777777">
            <w:pPr>
              <w:pStyle w:val="Underskrifter"/>
              <w:spacing w:after="0"/>
            </w:pPr>
            <w:r>
              <w:t>Lotta Johnsson Fornarve (V)</w:t>
            </w:r>
          </w:p>
        </w:tc>
        <w:tc>
          <w:tcPr>
            <w:tcW w:w="50" w:type="pct"/>
            <w:vAlign w:val="bottom"/>
          </w:tcPr>
          <w:p w:rsidR="00907A72" w:rsidRDefault="00A14C97" w14:paraId="79B969F6" w14:textId="77777777">
            <w:pPr>
              <w:pStyle w:val="Underskrifter"/>
              <w:spacing w:after="0"/>
            </w:pPr>
            <w:r>
              <w:t>Hanna Gunnarsson (V)</w:t>
            </w:r>
          </w:p>
        </w:tc>
      </w:tr>
      <w:tr w:rsidR="00907A72" w14:paraId="57D2F2EE" w14:textId="77777777">
        <w:trPr>
          <w:cantSplit/>
        </w:trPr>
        <w:tc>
          <w:tcPr>
            <w:tcW w:w="50" w:type="pct"/>
            <w:vAlign w:val="bottom"/>
          </w:tcPr>
          <w:p w:rsidR="00907A72" w:rsidRDefault="00A14C97" w14:paraId="2E4BF69E" w14:textId="77777777">
            <w:pPr>
              <w:pStyle w:val="Underskrifter"/>
              <w:spacing w:after="0"/>
            </w:pPr>
            <w:r>
              <w:t>Tony Haddou (V)</w:t>
            </w:r>
          </w:p>
        </w:tc>
        <w:tc>
          <w:tcPr>
            <w:tcW w:w="50" w:type="pct"/>
            <w:vAlign w:val="bottom"/>
          </w:tcPr>
          <w:p w:rsidR="00907A72" w:rsidRDefault="00A14C97" w14:paraId="3340CBB0" w14:textId="77777777">
            <w:pPr>
              <w:pStyle w:val="Underskrifter"/>
              <w:spacing w:after="0"/>
            </w:pPr>
            <w:r>
              <w:t>Maj Karlsson (V)</w:t>
            </w:r>
          </w:p>
        </w:tc>
      </w:tr>
      <w:tr w:rsidR="00907A72" w14:paraId="3E6C1FAC" w14:textId="77777777">
        <w:trPr>
          <w:cantSplit/>
        </w:trPr>
        <w:tc>
          <w:tcPr>
            <w:tcW w:w="50" w:type="pct"/>
            <w:vAlign w:val="bottom"/>
          </w:tcPr>
          <w:p w:rsidR="00907A72" w:rsidRDefault="00A14C97" w14:paraId="52BE860D" w14:textId="77777777">
            <w:pPr>
              <w:pStyle w:val="Underskrifter"/>
              <w:spacing w:after="0"/>
            </w:pPr>
            <w:r>
              <w:t>Gudrun Nordborg (V)</w:t>
            </w:r>
          </w:p>
        </w:tc>
        <w:tc>
          <w:tcPr>
            <w:tcW w:w="50" w:type="pct"/>
            <w:vAlign w:val="bottom"/>
          </w:tcPr>
          <w:p w:rsidR="00907A72" w:rsidRDefault="00A14C97" w14:paraId="722988A5" w14:textId="77777777">
            <w:pPr>
              <w:pStyle w:val="Underskrifter"/>
              <w:spacing w:after="0"/>
            </w:pPr>
            <w:r>
              <w:t>Karin Rågsjö (V)</w:t>
            </w:r>
          </w:p>
        </w:tc>
      </w:tr>
      <w:tr w:rsidR="00907A72" w14:paraId="592C4B69" w14:textId="77777777">
        <w:trPr>
          <w:cantSplit/>
        </w:trPr>
        <w:tc>
          <w:tcPr>
            <w:tcW w:w="50" w:type="pct"/>
            <w:vAlign w:val="bottom"/>
          </w:tcPr>
          <w:p w:rsidR="00907A72" w:rsidRDefault="00A14C97" w14:paraId="5507DB88" w14:textId="77777777">
            <w:pPr>
              <w:pStyle w:val="Underskrifter"/>
              <w:spacing w:after="0"/>
            </w:pPr>
            <w:r>
              <w:t>Håkan Svenneling (V)</w:t>
            </w:r>
          </w:p>
        </w:tc>
        <w:tc>
          <w:tcPr>
            <w:tcW w:w="50" w:type="pct"/>
            <w:vAlign w:val="bottom"/>
          </w:tcPr>
          <w:p w:rsidR="00907A72" w:rsidRDefault="00907A72" w14:paraId="297DC647" w14:textId="77777777">
            <w:pPr>
              <w:pStyle w:val="Underskrifter"/>
              <w:spacing w:after="0"/>
            </w:pPr>
          </w:p>
        </w:tc>
      </w:tr>
    </w:tbl>
    <w:p w:rsidRPr="008E0FE2" w:rsidR="004801AC" w:rsidP="00DF3554" w:rsidRDefault="004801AC" w14:paraId="662D9D6E" w14:textId="6E0A9A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5FE6" w14:textId="77777777" w:rsidR="00B4317D" w:rsidRDefault="00B4317D" w:rsidP="000C1CAD">
      <w:pPr>
        <w:spacing w:line="240" w:lineRule="auto"/>
      </w:pPr>
      <w:r>
        <w:separator/>
      </w:r>
    </w:p>
  </w:endnote>
  <w:endnote w:type="continuationSeparator" w:id="0">
    <w:p w14:paraId="78F21248" w14:textId="77777777" w:rsidR="00B4317D" w:rsidRDefault="00B43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EE8D" w14:textId="77777777" w:rsidR="00B4317D" w:rsidRPr="00FC0223" w:rsidRDefault="00B4317D" w:rsidP="00FC0223">
      <w:pPr>
        <w:pStyle w:val="Sidfot"/>
      </w:pPr>
    </w:p>
  </w:footnote>
  <w:footnote w:type="continuationSeparator" w:id="0">
    <w:p w14:paraId="0724E522" w14:textId="77777777" w:rsidR="00B4317D" w:rsidRDefault="00B4317D" w:rsidP="000C1CAD">
      <w:pPr>
        <w:spacing w:line="240" w:lineRule="auto"/>
      </w:pPr>
      <w:r>
        <w:continuationSeparator/>
      </w:r>
    </w:p>
  </w:footnote>
  <w:footnote w:id="1">
    <w:p w14:paraId="00DBF225" w14:textId="6E6C8577"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w:t>
      </w:r>
      <w:r w:rsidR="00336333">
        <w:t>.</w:t>
      </w:r>
      <w:r w:rsidRPr="00370D0E">
        <w:t xml:space="preserve"> 2024.</w:t>
      </w:r>
    </w:p>
  </w:footnote>
  <w:footnote w:id="2">
    <w:p w14:paraId="4D8165DD" w14:textId="2D6EFC03" w:rsidR="00026EA5" w:rsidRDefault="00026EA5" w:rsidP="00026EA5">
      <w:pPr>
        <w:pStyle w:val="Fotnotstext"/>
      </w:pPr>
      <w:r>
        <w:rPr>
          <w:rStyle w:val="Fotnotsreferens"/>
        </w:rPr>
        <w:footnoteRef/>
      </w:r>
      <w:r>
        <w:t xml:space="preserve"> </w:t>
      </w:r>
      <w:r w:rsidRPr="00026EA5">
        <w:t>Universitetskanslersämbetet (UKÄ)</w:t>
      </w:r>
      <w:r w:rsidR="002B2E19">
        <w:t>.</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30C8F440"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w:t>
      </w:r>
      <w:r w:rsidR="00DC613B">
        <w:rPr>
          <w:lang w:val="en-US"/>
        </w:rPr>
        <w:t>.</w:t>
      </w:r>
      <w:r w:rsidRPr="00643E42">
        <w:rPr>
          <w:lang w:val="en-US"/>
        </w:rPr>
        <w:t xml:space="preserve"> </w:t>
      </w:r>
      <w:proofErr w:type="spellStart"/>
      <w:r w:rsidRPr="00643E42">
        <w:rPr>
          <w:lang w:val="en-US"/>
        </w:rPr>
        <w:t>Nordicom</w:t>
      </w:r>
      <w:proofErr w:type="spellEnd"/>
      <w:r w:rsidR="00DC613B">
        <w:rPr>
          <w:lang w:val="en-US"/>
        </w:rPr>
        <w:t>,</w:t>
      </w:r>
      <w:r w:rsidRPr="00643E42">
        <w:rPr>
          <w:lang w:val="en-US"/>
        </w:rPr>
        <w:t xml:space="preserve"> </w:t>
      </w:r>
      <w:proofErr w:type="spellStart"/>
      <w:r w:rsidRPr="00643E42">
        <w:rPr>
          <w:lang w:val="en-US"/>
        </w:rPr>
        <w:t>Göteborgs</w:t>
      </w:r>
      <w:proofErr w:type="spellEnd"/>
      <w:r w:rsidRPr="00643E42">
        <w:rPr>
          <w:lang w:val="en-US"/>
        </w:rPr>
        <w:t xml:space="preserve"> </w:t>
      </w:r>
      <w:proofErr w:type="spellStart"/>
      <w:r w:rsidRPr="00643E42">
        <w:rPr>
          <w:lang w:val="en-US"/>
        </w:rPr>
        <w:t>universitet</w:t>
      </w:r>
      <w:proofErr w:type="spellEnd"/>
      <w:r w:rsidR="00DC613B">
        <w:rPr>
          <w:lang w:val="en-US"/>
        </w:rPr>
        <w:t>.</w:t>
      </w:r>
      <w:r w:rsidRPr="00643E42">
        <w:rPr>
          <w:lang w:val="en-US"/>
        </w:rPr>
        <w:t xml:space="preserve"> 2023.</w:t>
      </w:r>
    </w:p>
  </w:footnote>
  <w:footnote w:id="7">
    <w:p w14:paraId="4564D6C0" w14:textId="00196877" w:rsidR="009861D0" w:rsidRPr="009861D0" w:rsidRDefault="009861D0">
      <w:pPr>
        <w:pStyle w:val="Fotnotstext"/>
        <w:rPr>
          <w:lang w:val="en-US"/>
        </w:rPr>
      </w:pPr>
      <w:r>
        <w:rPr>
          <w:rStyle w:val="Fotnotsreferens"/>
        </w:rPr>
        <w:footnoteRef/>
      </w:r>
      <w:r w:rsidRPr="009861D0">
        <w:rPr>
          <w:lang w:val="en-US"/>
        </w:rPr>
        <w:t xml:space="preserve"> </w:t>
      </w:r>
      <w:proofErr w:type="spellStart"/>
      <w:r w:rsidRPr="009861D0">
        <w:rPr>
          <w:lang w:val="en-US"/>
        </w:rPr>
        <w:t>Forbrukerrådet</w:t>
      </w:r>
      <w:proofErr w:type="spellEnd"/>
      <w:r w:rsidR="00DC613B">
        <w:rPr>
          <w:lang w:val="en-US"/>
        </w:rPr>
        <w:t>.</w:t>
      </w:r>
      <w:r w:rsidRPr="009861D0">
        <w:rPr>
          <w:lang w:val="en-US"/>
        </w:rPr>
        <w:t xml:space="preserve"> Time to ban surveillance-based advertising. The case against commercial surveillance online</w:t>
      </w:r>
      <w:r w:rsidR="00DC613B">
        <w:rPr>
          <w:lang w:val="en-US"/>
        </w:rPr>
        <w:t>.</w:t>
      </w:r>
      <w:r w:rsidRPr="009861D0">
        <w:rPr>
          <w:lang w:val="en-US"/>
        </w:rPr>
        <w:t xml:space="preserv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4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32074" wp14:editId="4770DC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261F0" w14:textId="5D25B35E" w:rsidR="00262EA3" w:rsidRDefault="00B4317D" w:rsidP="008103B5">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320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2B261F0" w14:textId="5D25B35E" w:rsidR="00262EA3" w:rsidRDefault="00B4317D" w:rsidP="008103B5">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14:paraId="480F15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8578" w14:textId="77777777" w:rsidR="00262EA3" w:rsidRDefault="00262EA3" w:rsidP="008563AC">
    <w:pPr>
      <w:jc w:val="right"/>
    </w:pPr>
  </w:p>
  <w:p w14:paraId="4CD833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D46C" w14:textId="77777777" w:rsidR="00262EA3" w:rsidRDefault="00B4317D" w:rsidP="008563AC">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anchorId="4FD67C4E" wp14:editId="726B8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E24E7" w14:textId="7A69803B" w:rsidR="00262EA3" w:rsidRDefault="00B4317D" w:rsidP="00A314CF">
    <w:pPr>
      <w:pStyle w:val="FSHNormal"/>
      <w:spacing w:before="40"/>
    </w:pPr>
    <w:sdt>
      <w:sdtPr>
        <w:alias w:val="CC_Noformat_Motionstyp"/>
        <w:tag w:val="CC_Noformat_Motionstyp"/>
        <w:id w:val="1162973129"/>
        <w:lock w:val="sdtContentLocked"/>
        <w15:appearance w15:val="hidden"/>
        <w:text/>
      </w:sdtPr>
      <w:sdtEndPr/>
      <w:sdtContent>
        <w:r w:rsidR="00C76ECF">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14:paraId="483A7A73" w14:textId="77777777" w:rsidR="00262EA3" w:rsidRPr="008227B3" w:rsidRDefault="00B43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86107" w14:textId="16373F88" w:rsidR="00262EA3" w:rsidRPr="008227B3" w:rsidRDefault="00B4317D" w:rsidP="00B37A37">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rsidR="00C76ECF">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rsidR="00C76ECF">
          <w:t>:2790</w:t>
        </w:r>
      </w:sdtContent>
    </w:sdt>
  </w:p>
  <w:p w14:paraId="532EF573" w14:textId="16CD9318" w:rsidR="00262EA3" w:rsidRDefault="00B4317D" w:rsidP="00E03A3D">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rsidR="00C76ECF">
          <w:t>av Jessica Wetterling m.fl. (V)</w:t>
        </w:r>
      </w:sdtContent>
    </w:sdt>
  </w:p>
  <w:sdt>
    <w:sdtPr>
      <w:alias w:val="CC_Noformat_Rubtext"/>
      <w:tag w:val="CC_Noformat_Rubtext"/>
      <w:id w:val="-218060500"/>
      <w:lock w:val="sdtLocked"/>
      <w:placeholder>
        <w:docPart w:val="EB16AF9042B74BF3A5FD85E67AFAC6AB"/>
      </w:placeholder>
      <w:text/>
    </w:sdtPr>
    <w:sdtEndPr/>
    <w:sdtContent>
      <w:p w14:paraId="4B8B278D" w14:textId="28711C57" w:rsidR="00262EA3" w:rsidRDefault="00AA69CA" w:rsidP="00283E0F">
        <w:pPr>
          <w:pStyle w:val="FSHRub2"/>
        </w:pPr>
        <w:r>
          <w:t>Konstitutionella frågor</w:t>
        </w:r>
      </w:p>
    </w:sdtContent>
  </w:sdt>
  <w:sdt>
    <w:sdtPr>
      <w:alias w:val="CC_Boilerplate_3"/>
      <w:tag w:val="CC_Boilerplate_3"/>
      <w:id w:val="1606463544"/>
      <w:lock w:val="sdtContentLocked"/>
      <w15:appearance w15:val="hidden"/>
      <w:text w:multiLine="1"/>
    </w:sdtPr>
    <w:sdtEndPr/>
    <w:sdtContent>
      <w:p w14:paraId="34791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6513114">
    <w:abstractNumId w:val="9"/>
  </w:num>
  <w:num w:numId="2" w16cid:durableId="1350717242">
    <w:abstractNumId w:val="8"/>
  </w:num>
  <w:num w:numId="3" w16cid:durableId="867568856">
    <w:abstractNumId w:val="16"/>
  </w:num>
  <w:num w:numId="4" w16cid:durableId="445733996">
    <w:abstractNumId w:val="14"/>
  </w:num>
  <w:num w:numId="5" w16cid:durableId="1020737749">
    <w:abstractNumId w:val="18"/>
  </w:num>
  <w:num w:numId="6" w16cid:durableId="845169451">
    <w:abstractNumId w:val="19"/>
  </w:num>
  <w:num w:numId="7" w16cid:durableId="948663838">
    <w:abstractNumId w:val="11"/>
  </w:num>
  <w:num w:numId="8" w16cid:durableId="1191652050">
    <w:abstractNumId w:val="12"/>
  </w:num>
  <w:num w:numId="9" w16cid:durableId="291524472">
    <w:abstractNumId w:val="15"/>
  </w:num>
  <w:num w:numId="10" w16cid:durableId="772751972">
    <w:abstractNumId w:val="23"/>
  </w:num>
  <w:num w:numId="11" w16cid:durableId="528688285">
    <w:abstractNumId w:val="22"/>
  </w:num>
  <w:num w:numId="12" w16cid:durableId="956108067">
    <w:abstractNumId w:val="22"/>
  </w:num>
  <w:num w:numId="13" w16cid:durableId="511534159">
    <w:abstractNumId w:val="3"/>
  </w:num>
  <w:num w:numId="14" w16cid:durableId="269438267">
    <w:abstractNumId w:val="2"/>
  </w:num>
  <w:num w:numId="15" w16cid:durableId="1680546994">
    <w:abstractNumId w:val="1"/>
  </w:num>
  <w:num w:numId="16" w16cid:durableId="132988400">
    <w:abstractNumId w:val="0"/>
  </w:num>
  <w:num w:numId="17" w16cid:durableId="1100027366">
    <w:abstractNumId w:val="7"/>
  </w:num>
  <w:num w:numId="18" w16cid:durableId="261374230">
    <w:abstractNumId w:val="6"/>
  </w:num>
  <w:num w:numId="19" w16cid:durableId="1070691679">
    <w:abstractNumId w:val="5"/>
  </w:num>
  <w:num w:numId="20" w16cid:durableId="2053461872">
    <w:abstractNumId w:val="4"/>
  </w:num>
  <w:num w:numId="21" w16cid:durableId="2048947645">
    <w:abstractNumId w:val="22"/>
  </w:num>
  <w:num w:numId="22" w16cid:durableId="1614747362">
    <w:abstractNumId w:val="22"/>
  </w:num>
  <w:num w:numId="23" w16cid:durableId="1329138522">
    <w:abstractNumId w:val="22"/>
  </w:num>
  <w:num w:numId="24" w16cid:durableId="1936160307">
    <w:abstractNumId w:val="22"/>
  </w:num>
  <w:num w:numId="25" w16cid:durableId="377821675">
    <w:abstractNumId w:val="22"/>
  </w:num>
  <w:num w:numId="26" w16cid:durableId="1827163949">
    <w:abstractNumId w:val="23"/>
  </w:num>
  <w:num w:numId="27" w16cid:durableId="2092774232">
    <w:abstractNumId w:val="23"/>
  </w:num>
  <w:num w:numId="28" w16cid:durableId="2110808730">
    <w:abstractNumId w:val="23"/>
  </w:num>
  <w:num w:numId="29" w16cid:durableId="434134559">
    <w:abstractNumId w:val="23"/>
  </w:num>
  <w:num w:numId="30" w16cid:durableId="408649504">
    <w:abstractNumId w:val="22"/>
  </w:num>
  <w:num w:numId="31" w16cid:durableId="330717812">
    <w:abstractNumId w:val="22"/>
  </w:num>
  <w:num w:numId="32" w16cid:durableId="529494445">
    <w:abstractNumId w:val="23"/>
  </w:num>
  <w:num w:numId="33" w16cid:durableId="146871610">
    <w:abstractNumId w:val="22"/>
  </w:num>
  <w:num w:numId="34" w16cid:durableId="820537010">
    <w:abstractNumId w:val="19"/>
  </w:num>
  <w:num w:numId="35" w16cid:durableId="504171242">
    <w:abstractNumId w:val="19"/>
    <w:lvlOverride w:ilvl="0">
      <w:startOverride w:val="1"/>
    </w:lvlOverride>
  </w:num>
  <w:num w:numId="36" w16cid:durableId="1580098074">
    <w:abstractNumId w:val="20"/>
  </w:num>
  <w:num w:numId="37" w16cid:durableId="1466698516">
    <w:abstractNumId w:val="19"/>
    <w:lvlOverride w:ilvl="0">
      <w:startOverride w:val="1"/>
    </w:lvlOverride>
  </w:num>
  <w:num w:numId="38" w16cid:durableId="2076514288">
    <w:abstractNumId w:val="13"/>
  </w:num>
  <w:num w:numId="39" w16cid:durableId="726879798">
    <w:abstractNumId w:val="10"/>
  </w:num>
  <w:num w:numId="40" w16cid:durableId="1157766880">
    <w:abstractNumId w:val="21"/>
  </w:num>
  <w:num w:numId="41" w16cid:durableId="41382423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35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5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01"/>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D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4E33"/>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199"/>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8B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3BDA"/>
    <w:rsid w:val="00244BF3"/>
    <w:rsid w:val="002453AE"/>
    <w:rsid w:val="002454BA"/>
    <w:rsid w:val="00245B13"/>
    <w:rsid w:val="00246429"/>
    <w:rsid w:val="00246BA8"/>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DB8"/>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19"/>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9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33"/>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3D2"/>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30"/>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39DA"/>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07A"/>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682"/>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8B"/>
    <w:rsid w:val="005442FA"/>
    <w:rsid w:val="005446FF"/>
    <w:rsid w:val="005450D5"/>
    <w:rsid w:val="0054517B"/>
    <w:rsid w:val="00545C84"/>
    <w:rsid w:val="00547388"/>
    <w:rsid w:val="00547A51"/>
    <w:rsid w:val="00550AA2"/>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3F9"/>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48"/>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04A"/>
    <w:rsid w:val="005C28C0"/>
    <w:rsid w:val="005C3BB1"/>
    <w:rsid w:val="005C3F29"/>
    <w:rsid w:val="005C43BF"/>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2E7B"/>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8E0"/>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419"/>
    <w:rsid w:val="006828C0"/>
    <w:rsid w:val="00682E6B"/>
    <w:rsid w:val="0068305D"/>
    <w:rsid w:val="00683710"/>
    <w:rsid w:val="006838D7"/>
    <w:rsid w:val="00683D70"/>
    <w:rsid w:val="00683FAB"/>
    <w:rsid w:val="00684255"/>
    <w:rsid w:val="0068445C"/>
    <w:rsid w:val="00685274"/>
    <w:rsid w:val="00685846"/>
    <w:rsid w:val="00685850"/>
    <w:rsid w:val="00685A69"/>
    <w:rsid w:val="00685F3F"/>
    <w:rsid w:val="00686B99"/>
    <w:rsid w:val="00686CF7"/>
    <w:rsid w:val="00686E6A"/>
    <w:rsid w:val="0068716D"/>
    <w:rsid w:val="006873A6"/>
    <w:rsid w:val="00687F60"/>
    <w:rsid w:val="00690252"/>
    <w:rsid w:val="00690E0D"/>
    <w:rsid w:val="00690E25"/>
    <w:rsid w:val="00692476"/>
    <w:rsid w:val="0069265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CF"/>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13"/>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2B"/>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4372"/>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0E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DA8"/>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07A7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D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AAB"/>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E7903"/>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4C97"/>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5A7"/>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9"/>
    <w:rsid w:val="00A74200"/>
    <w:rsid w:val="00A7483F"/>
    <w:rsid w:val="00A7533B"/>
    <w:rsid w:val="00A75715"/>
    <w:rsid w:val="00A75C4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283"/>
    <w:rsid w:val="00AB7EC3"/>
    <w:rsid w:val="00AC01B5"/>
    <w:rsid w:val="00AC02F8"/>
    <w:rsid w:val="00AC14C2"/>
    <w:rsid w:val="00AC189C"/>
    <w:rsid w:val="00AC2007"/>
    <w:rsid w:val="00AC2A0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81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17D"/>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8A2"/>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DF8"/>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41"/>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7A"/>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9AE"/>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1AA"/>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60EC"/>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A80"/>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13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0D0"/>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0831"/>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4D88"/>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B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F3F"/>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22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3EB1"/>
    <w:rsid w:val="00FF4234"/>
    <w:rsid w:val="00FF42E0"/>
    <w:rsid w:val="00FF4A82"/>
    <w:rsid w:val="00FF4AA0"/>
    <w:rsid w:val="00FF4BFE"/>
    <w:rsid w:val="00FF5443"/>
    <w:rsid w:val="00FF5A7A"/>
    <w:rsid w:val="00FF68BD"/>
    <w:rsid w:val="00FF700D"/>
    <w:rsid w:val="00FF72F4"/>
    <w:rsid w:val="00FF77C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471B6E">
          <w:r>
            <w:t>:2790</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
      <w:docPartPr>
        <w:name w:val="A832C2D561DA462398FE6C1C46C37269"/>
        <w:category>
          <w:name w:val="Allmänt"/>
          <w:gallery w:val="placeholder"/>
        </w:category>
        <w:types>
          <w:type w:val="bbPlcHdr"/>
        </w:types>
        <w:behaviors>
          <w:behavior w:val="content"/>
        </w:behaviors>
        <w:guid w:val="{D598C612-2D10-4D90-AB1E-CA940A8220DA}"/>
      </w:docPartPr>
      <w:docPartBody>
        <w:p w:rsidR="00741FA9" w:rsidRDefault="00741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184E33"/>
    <w:rsid w:val="002867C9"/>
    <w:rsid w:val="002E2D3E"/>
    <w:rsid w:val="00401D44"/>
    <w:rsid w:val="00431F72"/>
    <w:rsid w:val="00471B6E"/>
    <w:rsid w:val="00486B47"/>
    <w:rsid w:val="005740C8"/>
    <w:rsid w:val="006628E0"/>
    <w:rsid w:val="00741FA9"/>
    <w:rsid w:val="008B038C"/>
    <w:rsid w:val="00B60714"/>
    <w:rsid w:val="00E86233"/>
    <w:rsid w:val="00F221F1"/>
    <w:rsid w:val="00FF3EB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1B6E"/>
    <w:rPr>
      <w:color w:val="F1A983" w:themeColor="accent2" w:themeTint="99"/>
    </w:rPr>
  </w:style>
  <w:style w:type="paragraph" w:customStyle="1" w:styleId="8564E49B7F4046E08A0FDD716005EC24">
    <w:name w:val="8564E49B7F4046E08A0FDD716005EC24"/>
  </w:style>
  <w:style w:type="paragraph" w:customStyle="1" w:styleId="666AD6A85F1F40BDB91213670A07D26B">
    <w:name w:val="666AD6A85F1F40BDB91213670A07D26B"/>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54BD5-6054-43C6-832F-2BB4FB51FCBB}"/>
</file>

<file path=customXml/itemProps2.xml><?xml version="1.0" encoding="utf-8"?>
<ds:datastoreItem xmlns:ds="http://schemas.openxmlformats.org/officeDocument/2006/customXml" ds:itemID="{3E54D6A4-BCD5-4399-9DAC-8FE4811B159E}"/>
</file>

<file path=customXml/itemProps3.xml><?xml version="1.0" encoding="utf-8"?>
<ds:datastoreItem xmlns:ds="http://schemas.openxmlformats.org/officeDocument/2006/customXml" ds:itemID="{6F46C36E-685F-4606-A57E-3EDFA7DAEAD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200</TotalTime>
  <Pages>21</Pages>
  <Words>10319</Words>
  <Characters>60575</Characters>
  <Application>Microsoft Office Word</Application>
  <DocSecurity>0</DocSecurity>
  <Lines>917</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70696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