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4DC" w:rsidRPr="00FA74DC" w:rsidRDefault="00FA74DC">
      <w:pPr>
        <w:pStyle w:val="Hemstlrubrik"/>
      </w:pPr>
      <w:r w:rsidRPr="00FA74DC">
        <w:t>Förslag till riksdagsbeslut</w:t>
      </w:r>
    </w:p>
    <w:p w:rsidR="00FA74DC" w:rsidRPr="00FA74DC" w:rsidRDefault="00FA74DC">
      <w:pPr>
        <w:pStyle w:val="Hemstlatt"/>
        <w:numPr>
          <w:ilvl w:val="0"/>
          <w:numId w:val="1"/>
        </w:numPr>
      </w:pPr>
      <w:r w:rsidRPr="00FA74DC">
        <w:t>Riksdagen tillkännager för regeringen som sin mening vad som anförs i motionen om nödvändigheten att äldre homo- och bisexuella samt transpersoner uppmärksammas inom samhällets se</w:t>
      </w:r>
      <w:r w:rsidRPr="00FA74DC">
        <w:t>r</w:t>
      </w:r>
      <w:r w:rsidRPr="00FA74DC">
        <w:t>viceutbud.</w:t>
      </w:r>
    </w:p>
    <w:p w:rsidR="00FA74DC" w:rsidRPr="00FA74DC" w:rsidRDefault="00FA74DC">
      <w:pPr>
        <w:pStyle w:val="Hemstlatt"/>
        <w:numPr>
          <w:ilvl w:val="0"/>
          <w:numId w:val="1"/>
        </w:numPr>
      </w:pPr>
      <w:r w:rsidRPr="00FA74DC">
        <w:t>Riksdagen tillkännager för regeringen som sin mening vad som anförs i motionen om HBT-personer och äldreboende.</w:t>
      </w:r>
    </w:p>
    <w:p w:rsidR="00FA74DC" w:rsidRPr="00FA74DC" w:rsidRDefault="00FA74DC">
      <w:pPr>
        <w:pStyle w:val="Hemstlatt"/>
        <w:numPr>
          <w:ilvl w:val="0"/>
          <w:numId w:val="1"/>
        </w:numPr>
      </w:pPr>
      <w:r w:rsidRPr="00FA74DC">
        <w:t>Riksdagen tillkännager för regeringen som sin mening vad som anförs i motionen om att äldreomsorgen måste öka sin kunskap om homo- och bisexuellas och transpersoners behov.</w:t>
      </w:r>
    </w:p>
    <w:p w:rsidR="00FA74DC" w:rsidRPr="00FA74DC" w:rsidRDefault="00FA74DC">
      <w:pPr>
        <w:pStyle w:val="Hemstlatt"/>
        <w:numPr>
          <w:ilvl w:val="0"/>
          <w:numId w:val="1"/>
        </w:numPr>
      </w:pPr>
      <w:r w:rsidRPr="00FA74DC">
        <w:t>Riksdagen tillkännager för regeringen som sin mening vad som anförs i motionen om diskriminering av äldre HBT-personer.</w:t>
      </w:r>
    </w:p>
    <w:p w:rsidR="00FA74DC" w:rsidRPr="00FA74DC" w:rsidRDefault="00FA74DC">
      <w:pPr>
        <w:pStyle w:val="Rubrik1"/>
      </w:pPr>
      <w:r w:rsidRPr="00FA74DC">
        <w:t>Motivering</w:t>
      </w:r>
    </w:p>
    <w:p w:rsidR="00FA74DC" w:rsidRPr="00FA74DC" w:rsidRDefault="00FA74DC">
      <w:r w:rsidRPr="00FA74DC">
        <w:t>HBT-världen ses ofta som en subkulturell ungdomsvärld. Det mesta av HBT-rörelsen riktar sig också till ungdomen. De äldre glöms ofta bort. Men bara för att man blir äldre ändras inte den sexuella identiteten. Ofta kan äldre kä</w:t>
      </w:r>
      <w:r w:rsidRPr="00FA74DC">
        <w:t>n</w:t>
      </w:r>
      <w:r w:rsidRPr="00FA74DC">
        <w:t>na sig dubbelt diskriminerade både som HBT-person och äldre.</w:t>
      </w:r>
    </w:p>
    <w:p w:rsidR="00FA74DC" w:rsidRPr="00FA74DC" w:rsidRDefault="00FA74DC">
      <w:pPr>
        <w:pStyle w:val="Rubrik2"/>
      </w:pPr>
      <w:r w:rsidRPr="00FA74DC">
        <w:t>HBT-personers behov</w:t>
      </w:r>
    </w:p>
    <w:p w:rsidR="00FA74DC" w:rsidRPr="00FA74DC" w:rsidRDefault="00FA74DC">
      <w:r w:rsidRPr="00FA74DC">
        <w:t>Många äldre har växt upp under en samhällstid där homosexualitet varit fö</w:t>
      </w:r>
      <w:r w:rsidRPr="00FA74DC">
        <w:t>r</w:t>
      </w:r>
      <w:r w:rsidRPr="00FA74DC">
        <w:t>bjuden och fördomarna starka. Arbetet och uppmärksamheten kring äldre homo- och bisexuellas och transpersoners välbefinnande är därför lika viktigt som för yngre. Det är därför nödvändigt att också äldre homo- och bisexuella samt transpersoner uppmärksammas inom samhällets serviceutbud, att man som äldre har möjlighet att träffa andra HBT-personer och kunna ta del av HBT-kultur.</w:t>
      </w:r>
    </w:p>
    <w:p w:rsidR="00FA74DC" w:rsidRPr="00FA74DC" w:rsidRDefault="00FA74DC">
      <w:pPr>
        <w:pStyle w:val="Rubrik2"/>
      </w:pPr>
      <w:r w:rsidRPr="00FA74DC">
        <w:lastRenderedPageBreak/>
        <w:t>HBT-personers situation i äldreomsorgen</w:t>
      </w:r>
    </w:p>
    <w:p w:rsidR="00FA74DC" w:rsidRPr="00FA74DC" w:rsidRDefault="00FA74DC">
      <w:r w:rsidRPr="00FA74DC">
        <w:t>Förståelsen för homo- och bisexuella relationer inom äldreomsorgen är idag ingen självklarhet. Tvärtom, heterosexualiteten är normen, och sexualiteten osynliggörs i synnerhet För HBT-personer. För en äldre HBT-person kan det exempelvis vara mycket givande att få hjälp att få tag på tidningar av och för homosexuella eller att få stöd att besöka andra homosexuella. Sveriges mån</w:t>
      </w:r>
      <w:r w:rsidRPr="00FA74DC">
        <w:t>g</w:t>
      </w:r>
      <w:r w:rsidRPr="00FA74DC">
        <w:t>kulturella karaktär reser nya krav på att utforma äldreomsorgen. Hänsyn må</w:t>
      </w:r>
      <w:r w:rsidRPr="00FA74DC">
        <w:t>s</w:t>
      </w:r>
      <w:r w:rsidRPr="00FA74DC">
        <w:t>te tas till språk och olika kulturer. Dessutom ska den enskildes integritet, självbestämmande och värdighet respekteras. Då ska också den enskildas rätt till respekt för sin sexuella läggning vara en självklarhet. För att uppnå det måste samhällets äldreomsorg öka sin kunskap om homo- och bisexuellas och transpersoners behov.</w:t>
      </w:r>
    </w:p>
    <w:p w:rsidR="00FA74DC" w:rsidRPr="00FA74DC" w:rsidRDefault="00FA74DC">
      <w:pPr>
        <w:pStyle w:val="Rubrik2"/>
      </w:pPr>
      <w:r w:rsidRPr="00FA74DC">
        <w:t>HBT-personer och äldreboende</w:t>
      </w:r>
    </w:p>
    <w:p w:rsidR="00FA74DC" w:rsidRPr="00FA74DC" w:rsidRDefault="00FA74DC">
      <w:r w:rsidRPr="00FA74DC">
        <w:t>Äldre människor som bor på olika typer av äldreboenden måste behandlas med respekt för sin sexuella läggning av sina medmänniskor och vårdpers</w:t>
      </w:r>
      <w:r w:rsidRPr="00FA74DC">
        <w:t>o</w:t>
      </w:r>
      <w:r w:rsidRPr="00FA74DC">
        <w:t>nal. Det är ett generellt problem att äldres sexualitet blir osynliggjord i al</w:t>
      </w:r>
      <w:r w:rsidRPr="00FA74DC">
        <w:t>l</w:t>
      </w:r>
      <w:r w:rsidRPr="00FA74DC">
        <w:t>mänhet och homo- och bisexualitet i synnerhet. Äldre människor har av hävd inte samma tradition att ställa krav på samhällets service som yngre. Givet är att det är besvärligt att tala med anställd personal om sin sexuella läggning.</w:t>
      </w:r>
    </w:p>
    <w:p w:rsidR="00FA74DC" w:rsidRPr="00FA74DC" w:rsidRDefault="00FA74DC">
      <w:pPr>
        <w:pStyle w:val="Normaltindrag"/>
      </w:pPr>
      <w:r w:rsidRPr="00FA74DC">
        <w:t>Det optimalt bästa för äldre homo- och bisexuella som är i behov av äldr</w:t>
      </w:r>
      <w:r w:rsidRPr="00FA74DC">
        <w:t>e</w:t>
      </w:r>
      <w:r w:rsidRPr="00FA74DC">
        <w:t>boende som servicehus, sjukhem och liknande vore om det erbjöds särskilt kollektivboende för homo- och bisexuella till dem som så önskar.</w:t>
      </w:r>
    </w:p>
    <w:p w:rsidR="00FA74DC" w:rsidRPr="00FA74DC" w:rsidRDefault="00FA74DC">
      <w:pPr>
        <w:pStyle w:val="Normaltindrag"/>
      </w:pPr>
      <w:r w:rsidRPr="00FA74DC">
        <w:t>I dag finns föreningar och nätverk, t.ex. Gayseniorerna och Golden Ladies och Aktionsgruppen homosexuella pensionärer, som också påtalat detta b</w:t>
      </w:r>
      <w:r w:rsidRPr="00FA74DC">
        <w:t>e</w:t>
      </w:r>
      <w:r w:rsidRPr="00FA74DC">
        <w:t>hov. Många HBT-personer bor i mindre kommuner där det varken finns ek</w:t>
      </w:r>
      <w:r w:rsidRPr="00FA74DC">
        <w:t>o</w:t>
      </w:r>
      <w:r w:rsidRPr="00FA74DC">
        <w:t>nomiska resurser eller underlag av HBT-personer för att inrätta ett helt äldr</w:t>
      </w:r>
      <w:r w:rsidRPr="00FA74DC">
        <w:t>e</w:t>
      </w:r>
      <w:r w:rsidRPr="00FA74DC">
        <w:t>boende. Ett sätt att lösa problemet är att hemkommunen erbjuder en plats i en närliggande kommun där det finns ett särskilt boende riktat till HBT-personer. Stor vikt bör också läggas på att de samkönade paren behandlas på samma sätt som de heterosexuella paren vad gäller möjligheten att få bo tillsammans på ett äldreboende.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74DC">
        <w:trPr>
          <w:cantSplit/>
        </w:trPr>
        <w:tc>
          <w:tcPr>
            <w:tcW w:w="3046" w:type="dxa"/>
          </w:tcPr>
          <w:p w:rsidR="00FA74DC" w:rsidRPr="00FA74DC" w:rsidRDefault="00FA74DC">
            <w:pPr>
              <w:pStyle w:val="UnderskriftDatum"/>
              <w:spacing w:before="240"/>
            </w:pPr>
            <w:r w:rsidRPr="00FA74DC">
              <w:t>Stockholm den 30 september 2008</w:t>
            </w:r>
          </w:p>
        </w:tc>
        <w:tc>
          <w:tcPr>
            <w:tcW w:w="3047" w:type="dxa"/>
          </w:tcPr>
          <w:p w:rsidR="00FA74DC" w:rsidRPr="00FA74DC" w:rsidRDefault="00FA74DC">
            <w:pPr>
              <w:pStyle w:val="Underskrifter"/>
              <w:spacing w:before="240"/>
            </w:pPr>
          </w:p>
        </w:tc>
      </w:tr>
      <w:tr w:rsidR="00000000" w:rsidRPr="00FA74DC">
        <w:trPr>
          <w:cantSplit/>
        </w:trPr>
        <w:tc>
          <w:tcPr>
            <w:tcW w:w="3046" w:type="dxa"/>
          </w:tcPr>
          <w:p w:rsidR="00FA74DC" w:rsidRPr="00FA74DC" w:rsidRDefault="00FA74DC">
            <w:pPr>
              <w:pStyle w:val="Underskrifter"/>
            </w:pPr>
            <w:r w:rsidRPr="00FA74DC">
              <w:t>Siw Wittgren-Ahl (s)</w:t>
            </w:r>
          </w:p>
        </w:tc>
        <w:tc>
          <w:tcPr>
            <w:tcW w:w="3046" w:type="dxa"/>
          </w:tcPr>
          <w:p w:rsidR="00FA74DC" w:rsidRPr="00FA74DC" w:rsidRDefault="00FA74DC">
            <w:pPr>
              <w:pStyle w:val="Underskrifter"/>
            </w:pPr>
          </w:p>
        </w:tc>
      </w:tr>
      <w:tr w:rsidR="00000000" w:rsidRPr="00FA74DC">
        <w:trPr>
          <w:cantSplit/>
        </w:trPr>
        <w:tc>
          <w:tcPr>
            <w:tcW w:w="3046" w:type="dxa"/>
          </w:tcPr>
          <w:p w:rsidR="00FA74DC" w:rsidRPr="00FA74DC" w:rsidRDefault="00FA74DC">
            <w:pPr>
              <w:pStyle w:val="Underskrifter"/>
            </w:pPr>
            <w:r w:rsidRPr="00FA74DC">
              <w:t>Anneli Särnblad (s)</w:t>
            </w:r>
          </w:p>
        </w:tc>
        <w:tc>
          <w:tcPr>
            <w:tcW w:w="3046" w:type="dxa"/>
          </w:tcPr>
          <w:p w:rsidR="00FA74DC" w:rsidRPr="00FA74DC" w:rsidRDefault="00FA74DC">
            <w:pPr>
              <w:pStyle w:val="Underskrifter"/>
            </w:pPr>
            <w:r w:rsidRPr="00FA74DC">
              <w:t>Börje Vestlund (s)</w:t>
            </w:r>
          </w:p>
        </w:tc>
      </w:tr>
      <w:tr w:rsidR="00000000" w:rsidRPr="00FA74DC">
        <w:trPr>
          <w:cantSplit/>
        </w:trPr>
        <w:tc>
          <w:tcPr>
            <w:tcW w:w="3046" w:type="dxa"/>
          </w:tcPr>
          <w:p w:rsidR="00FA74DC" w:rsidRPr="00FA74DC" w:rsidRDefault="00FA74DC">
            <w:pPr>
              <w:pStyle w:val="Underskrifter"/>
            </w:pPr>
            <w:r w:rsidRPr="00FA74DC">
              <w:t>Caroline  Helmersson-Olsson (s)</w:t>
            </w:r>
          </w:p>
        </w:tc>
        <w:tc>
          <w:tcPr>
            <w:tcW w:w="3046" w:type="dxa"/>
          </w:tcPr>
          <w:p w:rsidR="00FA74DC" w:rsidRPr="00FA74DC" w:rsidRDefault="00FA74DC">
            <w:pPr>
              <w:pStyle w:val="Underskrifter"/>
            </w:pPr>
            <w:r w:rsidRPr="00FA74DC">
              <w:t>Elisebeht Markström (s)</w:t>
            </w:r>
          </w:p>
        </w:tc>
      </w:tr>
      <w:tr w:rsidR="00000000" w:rsidRPr="00FA74DC">
        <w:trPr>
          <w:cantSplit/>
        </w:trPr>
        <w:tc>
          <w:tcPr>
            <w:tcW w:w="3046" w:type="dxa"/>
          </w:tcPr>
          <w:p w:rsidR="00FA74DC" w:rsidRPr="00FA74DC" w:rsidRDefault="00FA74DC">
            <w:pPr>
              <w:pStyle w:val="Underskrifter"/>
            </w:pPr>
            <w:r w:rsidRPr="00FA74DC">
              <w:t>Eva-Lena Jansson (s)</w:t>
            </w:r>
          </w:p>
        </w:tc>
        <w:tc>
          <w:tcPr>
            <w:tcW w:w="3046" w:type="dxa"/>
          </w:tcPr>
          <w:p w:rsidR="00FA74DC" w:rsidRPr="00FA74DC" w:rsidRDefault="00FA74DC">
            <w:pPr>
              <w:pStyle w:val="Underskrifter"/>
            </w:pPr>
            <w:r w:rsidRPr="00FA74DC">
              <w:t>Fredrik  Lundh (s)</w:t>
            </w:r>
          </w:p>
        </w:tc>
      </w:tr>
      <w:tr w:rsidR="00000000" w:rsidRPr="00FA74DC">
        <w:trPr>
          <w:cantSplit/>
        </w:trPr>
        <w:tc>
          <w:tcPr>
            <w:tcW w:w="3046" w:type="dxa"/>
          </w:tcPr>
          <w:p w:rsidR="00FA74DC" w:rsidRPr="00FA74DC" w:rsidRDefault="00FA74DC">
            <w:pPr>
              <w:pStyle w:val="Underskrifter"/>
            </w:pPr>
            <w:r w:rsidRPr="00FA74DC">
              <w:t>Helén Pettersson i Umeå (s)</w:t>
            </w:r>
          </w:p>
        </w:tc>
        <w:tc>
          <w:tcPr>
            <w:tcW w:w="3046" w:type="dxa"/>
          </w:tcPr>
          <w:p w:rsidR="00FA74DC" w:rsidRPr="00FA74DC" w:rsidRDefault="00FA74DC">
            <w:pPr>
              <w:pStyle w:val="Underskrifter"/>
            </w:pPr>
            <w:r w:rsidRPr="00FA74DC">
              <w:t>Inger Jarl Beck (s)</w:t>
            </w:r>
          </w:p>
        </w:tc>
      </w:tr>
      <w:tr w:rsidR="00000000" w:rsidRPr="00FA74DC">
        <w:trPr>
          <w:cantSplit/>
        </w:trPr>
        <w:tc>
          <w:tcPr>
            <w:tcW w:w="3046" w:type="dxa"/>
          </w:tcPr>
          <w:p w:rsidR="00FA74DC" w:rsidRPr="00FA74DC" w:rsidRDefault="00FA74DC">
            <w:pPr>
              <w:pStyle w:val="Underskrifter"/>
            </w:pPr>
            <w:r w:rsidRPr="00FA74DC">
              <w:t>Kerstin Haglö (s)</w:t>
            </w:r>
          </w:p>
        </w:tc>
        <w:tc>
          <w:tcPr>
            <w:tcW w:w="3046" w:type="dxa"/>
          </w:tcPr>
          <w:p w:rsidR="00FA74DC" w:rsidRPr="00FA74DC" w:rsidRDefault="00FA74DC">
            <w:pPr>
              <w:pStyle w:val="Underskrifter"/>
            </w:pPr>
            <w:r w:rsidRPr="00FA74DC">
              <w:t>Louise Malmström (s)</w:t>
            </w:r>
          </w:p>
        </w:tc>
      </w:tr>
      <w:tr w:rsidR="00000000" w:rsidRPr="00FA74DC">
        <w:trPr>
          <w:cantSplit/>
        </w:trPr>
        <w:tc>
          <w:tcPr>
            <w:tcW w:w="3046" w:type="dxa"/>
          </w:tcPr>
          <w:p w:rsidR="00FA74DC" w:rsidRPr="00FA74DC" w:rsidRDefault="00FA74DC">
            <w:pPr>
              <w:pStyle w:val="Underskrifter"/>
            </w:pPr>
            <w:r w:rsidRPr="00FA74DC">
              <w:t>Magdalena Streijffert (s)</w:t>
            </w:r>
          </w:p>
        </w:tc>
        <w:tc>
          <w:tcPr>
            <w:tcW w:w="3046" w:type="dxa"/>
          </w:tcPr>
          <w:p w:rsidR="00FA74DC" w:rsidRPr="00FA74DC" w:rsidRDefault="00FA74DC">
            <w:pPr>
              <w:pStyle w:val="Underskrifter"/>
            </w:pPr>
            <w:r w:rsidRPr="00FA74DC">
              <w:t>Maryam Yazdanfar (s)</w:t>
            </w:r>
          </w:p>
        </w:tc>
      </w:tr>
      <w:tr w:rsidR="00000000" w:rsidRPr="00FA74DC">
        <w:trPr>
          <w:cantSplit/>
        </w:trPr>
        <w:tc>
          <w:tcPr>
            <w:tcW w:w="3046" w:type="dxa"/>
          </w:tcPr>
          <w:p w:rsidR="00FA74DC" w:rsidRPr="00FA74DC" w:rsidRDefault="00FA74DC">
            <w:pPr>
              <w:pStyle w:val="Underskrifter"/>
            </w:pPr>
            <w:r w:rsidRPr="00FA74DC">
              <w:t>Tommy Waidelich (s)</w:t>
            </w:r>
          </w:p>
        </w:tc>
        <w:tc>
          <w:tcPr>
            <w:tcW w:w="3046" w:type="dxa"/>
          </w:tcPr>
          <w:p w:rsidR="00FA74DC" w:rsidRPr="00FA74DC" w:rsidRDefault="00FA74DC">
            <w:pPr>
              <w:pStyle w:val="Underskrifter"/>
            </w:pPr>
          </w:p>
        </w:tc>
      </w:tr>
    </w:tbl>
    <w:p w:rsidR="00FA74DC" w:rsidRPr="00FA74DC" w:rsidRDefault="00FA74DC">
      <w:pPr>
        <w:pStyle w:val="Normaltindrag"/>
      </w:pPr>
    </w:p>
    <w:sectPr w:rsidR="00000000" w:rsidRPr="00FA74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4DC" w:rsidRPr="00FA74DC" w:rsidRDefault="00FA74DC">
      <w:r w:rsidRPr="00FA74DC">
        <w:separator/>
      </w:r>
    </w:p>
  </w:endnote>
  <w:endnote w:type="continuationSeparator" w:id="0">
    <w:p w:rsidR="00FA74DC" w:rsidRPr="00FA74DC" w:rsidRDefault="00FA74DC">
      <w:r w:rsidRPr="00FA74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4DC" w:rsidRPr="00FA74DC" w:rsidRDefault="00FA74DC">
    <w:pPr>
      <w:pStyle w:val="Sidfot"/>
    </w:pPr>
    <w:r w:rsidRPr="00FA74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46235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4DC" w:rsidRDefault="00FA74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74DC" w:rsidRDefault="00FA74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4DC" w:rsidRPr="00FA74DC" w:rsidRDefault="00FA74DC">
    <w:pPr>
      <w:pStyle w:val="Sidfot"/>
    </w:pPr>
    <w:r w:rsidRPr="00FA74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56397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4DC" w:rsidRDefault="00FA74D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74DC" w:rsidRDefault="00FA74D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4DC" w:rsidRPr="00FA74DC" w:rsidRDefault="00FA74DC">
    <w:pPr>
      <w:pStyle w:val="Sidfot"/>
    </w:pPr>
    <w:r w:rsidRPr="00FA74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92274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4DC" w:rsidRDefault="00FA74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74DC" w:rsidRDefault="00FA74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4DC" w:rsidRPr="00FA74DC" w:rsidRDefault="00FA74DC">
      <w:r w:rsidRPr="00FA74DC">
        <w:separator/>
      </w:r>
    </w:p>
  </w:footnote>
  <w:footnote w:type="continuationSeparator" w:id="0">
    <w:p w:rsidR="00FA74DC" w:rsidRPr="00FA74DC" w:rsidRDefault="00FA74DC">
      <w:r w:rsidRPr="00FA74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4DC" w:rsidRPr="00FA74DC" w:rsidRDefault="00FA74DC">
    <w:pPr>
      <w:pStyle w:val="Sidhuvud"/>
    </w:pPr>
    <w:r w:rsidRPr="00FA74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58346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4DC" w:rsidRDefault="00FA74D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74DC" w:rsidRDefault="00FA74D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4DC" w:rsidRPr="00FA74DC" w:rsidRDefault="00FA74DC">
    <w:pPr>
      <w:pStyle w:val="Sidhuvud"/>
    </w:pPr>
    <w:r w:rsidRPr="00FA74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6394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4DC" w:rsidRDefault="00FA74D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74DC" w:rsidRDefault="00FA74D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4DC" w:rsidRPr="00FA74DC" w:rsidRDefault="00FA74DC">
    <w:pPr>
      <w:pStyle w:val="FSHNormal"/>
      <w:tabs>
        <w:tab w:val="right" w:pos="5840"/>
      </w:tabs>
    </w:pPr>
    <w:r w:rsidRPr="00FA74DC">
      <w:br/>
    </w:r>
    <w:r w:rsidRPr="00FA74DC">
      <w:fldChar w:fldCharType="begin" w:fldLock="1"/>
    </w:r>
    <w:r w:rsidRPr="00FA74DC">
      <w:instrText xml:space="preserve"> DOCPROPERTY</w:instrText>
    </w:r>
    <w:r w:rsidRPr="00FA74DC">
      <w:rPr>
        <w:sz w:val="18"/>
      </w:rPr>
      <w:instrText xml:space="preserve"> "YearUser" *\charformat </w:instrText>
    </w:r>
    <w:r w:rsidRPr="00FA74DC">
      <w:fldChar w:fldCharType="separate"/>
    </w:r>
    <w:r w:rsidRPr="00FA74DC">
      <w:t>2008/09</w:t>
    </w:r>
    <w:r w:rsidRPr="00FA74DC">
      <w:fldChar w:fldCharType="end"/>
    </w:r>
    <w:r w:rsidRPr="00FA74DC">
      <w:t xml:space="preserve"> </w:t>
    </w:r>
    <w:r w:rsidRPr="00FA74DC">
      <w:tab/>
      <w:t xml:space="preserve">mnr: </w:t>
    </w:r>
    <w:r w:rsidRPr="00FA74DC">
      <w:fldChar w:fldCharType="begin" w:fldLock="1"/>
    </w:r>
    <w:r w:rsidRPr="00FA74DC">
      <w:instrText xml:space="preserve"> DOCPROPERTY</w:instrText>
    </w:r>
    <w:r w:rsidRPr="00FA74DC">
      <w:rPr>
        <w:sz w:val="18"/>
      </w:rPr>
      <w:instrText xml:space="preserve"> "Motionsnummer" *\charformat </w:instrText>
    </w:r>
    <w:r w:rsidRPr="00FA74DC">
      <w:fldChar w:fldCharType="separate"/>
    </w:r>
    <w:r w:rsidRPr="00FA74DC">
      <w:t>So515</w:t>
    </w:r>
    <w:r w:rsidRPr="00FA74DC">
      <w:fldChar w:fldCharType="end"/>
    </w:r>
    <w:r w:rsidRPr="00FA74DC">
      <w:br/>
    </w:r>
    <w:r w:rsidRPr="00FA74DC">
      <w:fldChar w:fldCharType="begin" w:fldLock="1"/>
    </w:r>
    <w:r w:rsidRPr="00FA74DC">
      <w:instrText xml:space="preserve"> DOCPROPERTY</w:instrText>
    </w:r>
    <w:r w:rsidRPr="00FA74DC">
      <w:rPr>
        <w:sz w:val="18"/>
      </w:rPr>
      <w:instrText xml:space="preserve"> "Samling" *\charformat </w:instrText>
    </w:r>
    <w:r w:rsidRPr="00FA74DC">
      <w:fldChar w:fldCharType="end"/>
    </w:r>
    <w:r w:rsidRPr="00FA74DC">
      <w:tab/>
      <w:t xml:space="preserve">pnr: </w:t>
    </w:r>
    <w:r w:rsidRPr="00FA74DC">
      <w:fldChar w:fldCharType="begin" w:fldLock="1"/>
    </w:r>
    <w:r w:rsidRPr="00FA74DC">
      <w:instrText xml:space="preserve"> DOCPROPERTY</w:instrText>
    </w:r>
    <w:r w:rsidRPr="00FA74DC">
      <w:rPr>
        <w:sz w:val="18"/>
      </w:rPr>
      <w:instrText xml:space="preserve"> "Partinummer" *\charformat </w:instrText>
    </w:r>
    <w:r w:rsidRPr="00FA74DC">
      <w:fldChar w:fldCharType="separate"/>
    </w:r>
    <w:r w:rsidRPr="00FA74DC">
      <w:t>s12009</w:t>
    </w:r>
    <w:r w:rsidRPr="00FA74DC">
      <w:fldChar w:fldCharType="end"/>
    </w:r>
  </w:p>
  <w:p w:rsidR="00FA74DC" w:rsidRPr="00FA74DC" w:rsidRDefault="00FA74DC">
    <w:pPr>
      <w:pStyle w:val="FSHRub1"/>
    </w:pPr>
    <w:r w:rsidRPr="00FA74DC">
      <w:t>Motion till riksdagen</w:t>
    </w:r>
    <w:r w:rsidRPr="00FA74DC">
      <w:br/>
    </w:r>
    <w:r w:rsidRPr="00FA74DC">
      <w:fldChar w:fldCharType="begin" w:fldLock="1"/>
    </w:r>
    <w:r w:rsidRPr="00FA74DC">
      <w:instrText xml:space="preserve"> DOCPROPERTY "YearUser" *\charformat </w:instrText>
    </w:r>
    <w:r w:rsidRPr="00FA74DC">
      <w:fldChar w:fldCharType="separate"/>
    </w:r>
    <w:r w:rsidRPr="00FA74DC">
      <w:t>2008/09</w:t>
    </w:r>
    <w:r w:rsidRPr="00FA74DC">
      <w:fldChar w:fldCharType="end"/>
    </w:r>
    <w:r w:rsidRPr="00FA74DC">
      <w:t>:</w:t>
    </w:r>
    <w:r w:rsidRPr="00FA74DC">
      <w:fldChar w:fldCharType="begin" w:fldLock="1"/>
    </w:r>
    <w:r w:rsidRPr="00FA74DC">
      <w:instrText xml:space="preserve"> DOCPROPERTY "Motionsnummer" *\charformat </w:instrText>
    </w:r>
    <w:r w:rsidRPr="00FA74DC">
      <w:fldChar w:fldCharType="separate"/>
    </w:r>
    <w:r w:rsidRPr="00FA74DC">
      <w:t>So515</w:t>
    </w:r>
    <w:r w:rsidRPr="00FA74DC">
      <w:fldChar w:fldCharType="end"/>
    </w:r>
  </w:p>
  <w:p w:rsidR="00FA74DC" w:rsidRPr="00FA74DC" w:rsidRDefault="00FA74DC">
    <w:pPr>
      <w:pStyle w:val="FSHNormalS5"/>
    </w:pPr>
    <w:r w:rsidRPr="00FA74DC">
      <w:fldChar w:fldCharType="begin" w:fldLock="1"/>
    </w:r>
    <w:r w:rsidRPr="00FA74DC">
      <w:instrText xml:space="preserve"> DOCPROPERTY "MotionarText" *\charformat </w:instrText>
    </w:r>
    <w:r w:rsidRPr="00FA74DC">
      <w:fldChar w:fldCharType="separate"/>
    </w:r>
    <w:r w:rsidRPr="00FA74DC">
      <w:t>av Siw Wittgren-Ahl m.fl. (s)</w:t>
    </w:r>
    <w:r w:rsidRPr="00FA74DC">
      <w:fldChar w:fldCharType="end"/>
    </w:r>
    <w:r w:rsidRPr="00FA74DC">
      <w:br/>
    </w:r>
    <w:r w:rsidRPr="00FA74DC">
      <w:fldChar w:fldCharType="begin" w:fldLock="1"/>
    </w:r>
    <w:r w:rsidRPr="00FA74DC">
      <w:instrText xml:space="preserve"> DOCPROPERTY "SvarFrasKort" *\charformat </w:instrText>
    </w:r>
    <w:r w:rsidRPr="00FA74DC">
      <w:fldChar w:fldCharType="end"/>
    </w:r>
  </w:p>
  <w:p w:rsidR="00FA74DC" w:rsidRPr="00FA74DC" w:rsidRDefault="00FA74DC">
    <w:pPr>
      <w:pStyle w:val="FSHTitel"/>
    </w:pPr>
    <w:r w:rsidRPr="00FA74DC">
      <w:fldChar w:fldCharType="begin" w:fldLock="1"/>
    </w:r>
    <w:r w:rsidRPr="00FA74DC">
      <w:instrText xml:space="preserve"> DOCPROPERTY</w:instrText>
    </w:r>
    <w:r w:rsidRPr="00FA74DC">
      <w:rPr>
        <w:sz w:val="18"/>
      </w:rPr>
      <w:instrText xml:space="preserve"> "RubrikSvar" *\charformat </w:instrText>
    </w:r>
    <w:r w:rsidRPr="00FA74DC">
      <w:fldChar w:fldCharType="separate"/>
    </w:r>
    <w:r w:rsidRPr="00FA74DC">
      <w:t xml:space="preserve">Äldre HBT-personers villkor </w:t>
    </w:r>
    <w:r w:rsidRPr="00FA74DC">
      <w:fldChar w:fldCharType="end"/>
    </w:r>
  </w:p>
  <w:p w:rsidR="00FA74DC" w:rsidRPr="00FA74DC" w:rsidRDefault="00FA74DC">
    <w:pPr>
      <w:pStyle w:val="Normal00"/>
    </w:pPr>
  </w:p>
  <w:p w:rsidR="00FA74DC" w:rsidRPr="00FA74DC" w:rsidRDefault="00FA74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612414A"/>
    <w:multiLevelType w:val="hybridMultilevel"/>
    <w:tmpl w:val="0B06212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5091B5F"/>
    <w:multiLevelType w:val="hybridMultilevel"/>
    <w:tmpl w:val="EAC41E46"/>
    <w:lvl w:ilvl="0" w:tplc="22C061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3216600">
    <w:abstractNumId w:val="8"/>
  </w:num>
  <w:num w:numId="2" w16cid:durableId="1146170496">
    <w:abstractNumId w:val="9"/>
  </w:num>
  <w:num w:numId="3" w16cid:durableId="1912425874">
    <w:abstractNumId w:val="8"/>
  </w:num>
  <w:num w:numId="4" w16cid:durableId="465781237">
    <w:abstractNumId w:val="9"/>
  </w:num>
  <w:num w:numId="5" w16cid:durableId="591858393">
    <w:abstractNumId w:val="14"/>
  </w:num>
  <w:num w:numId="6" w16cid:durableId="1160997366">
    <w:abstractNumId w:val="10"/>
  </w:num>
  <w:num w:numId="7" w16cid:durableId="1201936667">
    <w:abstractNumId w:val="11"/>
  </w:num>
  <w:num w:numId="8" w16cid:durableId="1431118764">
    <w:abstractNumId w:val="13"/>
  </w:num>
  <w:num w:numId="9" w16cid:durableId="650641434">
    <w:abstractNumId w:val="8"/>
  </w:num>
  <w:num w:numId="10" w16cid:durableId="516970723">
    <w:abstractNumId w:val="3"/>
  </w:num>
  <w:num w:numId="11" w16cid:durableId="1148280420">
    <w:abstractNumId w:val="2"/>
  </w:num>
  <w:num w:numId="12" w16cid:durableId="1826362120">
    <w:abstractNumId w:val="1"/>
  </w:num>
  <w:num w:numId="13" w16cid:durableId="1260287169">
    <w:abstractNumId w:val="0"/>
  </w:num>
  <w:num w:numId="14" w16cid:durableId="1876310489">
    <w:abstractNumId w:val="9"/>
  </w:num>
  <w:num w:numId="15" w16cid:durableId="1908958857">
    <w:abstractNumId w:val="7"/>
  </w:num>
  <w:num w:numId="16" w16cid:durableId="1660688580">
    <w:abstractNumId w:val="6"/>
  </w:num>
  <w:num w:numId="17" w16cid:durableId="1122193384">
    <w:abstractNumId w:val="5"/>
  </w:num>
  <w:num w:numId="18" w16cid:durableId="1033264275">
    <w:abstractNumId w:val="4"/>
  </w:num>
  <w:num w:numId="19" w16cid:durableId="1089109973">
    <w:abstractNumId w:val="12"/>
  </w:num>
  <w:num w:numId="20" w16cid:durableId="13808603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1CDDFCD-D7E7-4188-B530-D7BEB05DD282},{E33618BE-6E34-4B8F-8F3F-2D6B0B8CA0A8},{F862D198-27F7-48B9-A0E6-F542C19DBB78},{6E90D663-0999-486C-9B07-B0E2B832915D},{12313DE3-0ED4-48A9-946A-0B9E4D3263E3},{B956ED79-82BF-4E87-9D1C-0C5F8EC760E3},{662A7F07-DB1F-4AB0-A173-1D2398D4C9D4},{6C8EA419-EA53-4D0D-85B4-7E9172F2D162},{CCAC6468-8162-4A2D-A13D-54F31474AE3C},{913ECFEA-3CBC-48C9-A9B4-3509B8B5DE6D},{2EA77599-A0D1-421F-8D01-247CAA3682BA},{1C2BA653-3C4A-421A-91E9-D5DC7847F998},{FDC08393-1644-4EA5-958C-632563107604},{2F22196A-5214-4CB9-9BBE-F99D5CEA59EF}"/>
  </w:docVars>
  <w:rsids>
    <w:rsidRoot w:val="004B54FF"/>
    <w:rsid w:val="004B54FF"/>
    <w:rsid w:val="00FA74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C68DCE3-29D5-4E17-A966-C097CA61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3318</Characters>
  <Application>Microsoft Office Word</Application>
  <DocSecurity>4</DocSecurity>
  <Lines>73</Lines>
  <Paragraphs>35</Paragraphs>
  <ScaleCrop>false</ScaleCrop>
  <HeadingPairs>
    <vt:vector size="2" baseType="variant">
      <vt:variant>
        <vt:lpstr>Rubrik</vt:lpstr>
      </vt:variant>
      <vt:variant>
        <vt:i4>1</vt:i4>
      </vt:variant>
    </vt:vector>
  </HeadingPairs>
  <TitlesOfParts>
    <vt:vector size="1" baseType="lpstr">
      <vt:lpstr>s12009</vt:lpstr>
    </vt:vector>
  </TitlesOfParts>
  <Company>Riksdagen</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s12009</dc:title>
  <dc:subject>s12009</dc:subject>
  <dc:creator>Riksdagen</dc:creator>
  <cp:keywords>Riksdagen</cp:keywords>
  <dc:description>TKG-ktrl, MSMQ4mb, PersReg-Distribution mm b-&gt;ny fplogga c-&gt;nygamla s-rosen</dc:description>
  <cp:lastModifiedBy>Lars Brink</cp:lastModifiedBy>
  <cp:revision>2</cp:revision>
  <cp:lastPrinted>2009-02-13T09:43:00Z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Äldre HBT-personers villkor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 HBT-personers villkor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Siw Wittgren-Ahl m.fl. (s)</vt:lpwstr>
  </property>
  <property fmtid="{D5CDD505-2E9C-101B-9397-08002B2CF9AE}" pid="26" name="MotionarLista">
    <vt:lpwstr>Wittgren-Ahl, Siw (s)\Särnblad, Anneli (s)\Vestlund, Börje (s)\Helmersson-Olsson, Caroline  (s)\Markström, Elisebeht (s)\Jansson, Eva-Lena (s)\Lundh, Fredrik  (s)\Pettersson i Umeå, Helén (s)\Jarl Beck, Inger (s)\Haglö, Kerstin (s)\Malmström, Louise (s)\</vt:lpwstr>
  </property>
  <property fmtid="{D5CDD505-2E9C-101B-9397-08002B2CF9AE}" pid="27" name="MotionarLista1">
    <vt:lpwstr>Streijffert, Magdalena (s)\Yazdanfar, Maryam (s)\Waidelich, Tommy (s)\</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Anneli Särnblad (s), Börje Vestlund (s), Caroline Helmersson-Olsson (s), Elisebeht Markström (s), Eva-Lena Jansson (s), Fredrik Lundh (s), Helén Pettersson i Umeå (s), Inger Jarl Beck (s), Kerstin Haglö (s), Louise Malmström (s), Mag</vt:lpwstr>
  </property>
  <property fmtid="{D5CDD505-2E9C-101B-9397-08002B2CF9AE}" pid="31" name="MotionarLotus1">
    <vt:lpwstr>dalena Streijffert (s), Maryam Yazdanfar (s), Tommy Waidelich (s)</vt:lpwstr>
  </property>
  <property fmtid="{D5CDD505-2E9C-101B-9397-08002B2CF9AE}" pid="32" name="MotionarLotus2">
    <vt:lpwstr/>
  </property>
  <property fmtid="{D5CDD505-2E9C-101B-9397-08002B2CF9AE}" pid="33" name="MotionarLotus3">
    <vt:lpwstr/>
  </property>
  <property fmtid="{D5CDD505-2E9C-101B-9397-08002B2CF9AE}" pid="34" name="AntalLed">
    <vt:lpwstr>118</vt:lpwstr>
  </property>
  <property fmtid="{D5CDD505-2E9C-101B-9397-08002B2CF9AE}" pid="35" name="Samling">
    <vt:lpwstr/>
  </property>
  <property fmtid="{D5CDD505-2E9C-101B-9397-08002B2CF9AE}" pid="36" name="SamlingPrint">
    <vt:lpwstr/>
  </property>
  <property fmtid="{D5CDD505-2E9C-101B-9397-08002B2CF9AE}" pid="37" name="Motionsnummer">
    <vt:lpwstr>So515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20082009000000000115000120090069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20082009000000000115000120090069</vt:lpwstr>
  </property>
  <property fmtid="{D5CDD505-2E9C-101B-9397-08002B2CF9AE}" pid="50" name="nummer">
    <vt:lpwstr>515</vt:lpwstr>
  </property>
  <property fmtid="{D5CDD505-2E9C-101B-9397-08002B2CF9AE}" pid="51" name="utskottsbeteckning">
    <vt:lpwstr>So</vt:lpwstr>
  </property>
  <property fmtid="{D5CDD505-2E9C-101B-9397-08002B2CF9AE}" pid="52" name="GlobalUID">
    <vt:lpwstr>{E50FB5A6-19E1-4CF0-AF51-01D1422FFC01}</vt:lpwstr>
  </property>
  <property fmtid="{D5CDD505-2E9C-101B-9397-08002B2CF9AE}" pid="53" name="Överföringar">
    <vt:i4>0</vt:i4>
  </property>
  <property fmtid="{D5CDD505-2E9C-101B-9397-08002B2CF9AE}" pid="54" name="Checksum">
    <vt:lpwstr>*0005055251513*</vt:lpwstr>
  </property>
  <property fmtid="{D5CDD505-2E9C-101B-9397-08002B2CF9AE}" pid="55" name="skuggnummer">
    <vt:lpwstr>3047</vt:lpwstr>
  </property>
  <property fmtid="{D5CDD505-2E9C-101B-9397-08002B2CF9AE}" pid="56" name="urixVersion">
    <vt:lpwstr>3.2.0.8</vt:lpwstr>
  </property>
  <property fmtid="{D5CDD505-2E9C-101B-9397-08002B2CF9AE}" pid="57" name="urixOrigin">
    <vt:lpwstr>090402 18:21:38.693</vt:lpwstr>
  </property>
  <property fmtid="{D5CDD505-2E9C-101B-9397-08002B2CF9AE}" pid="58" name="urixGuid">
    <vt:lpwstr>{261AA180-D22D-4BFF-A1ED-4238A167F606}</vt:lpwstr>
  </property>
</Properties>
</file>