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A6D8B" w14:paraId="232BC7B5" w14:textId="77777777" w:rsidTr="001A73D7">
        <w:tc>
          <w:tcPr>
            <w:tcW w:w="2268" w:type="dxa"/>
          </w:tcPr>
          <w:p w14:paraId="368AB065" w14:textId="5D7DA49E" w:rsidR="005A6D8B" w:rsidRDefault="00FF51AB" w:rsidP="00C9743F">
            <w:pPr>
              <w:framePr w:w="4400" w:h="1644" w:wrap="notBeside" w:vAnchor="page" w:hAnchor="page" w:x="6573" w:y="721"/>
              <w:rPr>
                <w:rFonts w:ascii="TradeGothic" w:hAnsi="TradeGothic"/>
                <w:i/>
                <w:sz w:val="18"/>
              </w:rPr>
            </w:pPr>
            <w:r>
              <w:rPr>
                <w:rFonts w:ascii="TradeGothic" w:hAnsi="TradeGothic"/>
                <w:i/>
                <w:sz w:val="18"/>
              </w:rPr>
              <w:t>SLUTLIG</w:t>
            </w:r>
          </w:p>
        </w:tc>
        <w:tc>
          <w:tcPr>
            <w:tcW w:w="2347" w:type="dxa"/>
            <w:gridSpan w:val="2"/>
          </w:tcPr>
          <w:p w14:paraId="019DF0CE" w14:textId="77777777" w:rsidR="005A6D8B" w:rsidRDefault="005A6D8B" w:rsidP="001A73D7">
            <w:pPr>
              <w:framePr w:w="4400" w:h="1644" w:wrap="notBeside" w:vAnchor="page" w:hAnchor="page" w:x="6573" w:y="721"/>
              <w:rPr>
                <w:rFonts w:ascii="TradeGothic" w:hAnsi="TradeGothic"/>
                <w:i/>
                <w:sz w:val="18"/>
              </w:rPr>
            </w:pPr>
          </w:p>
        </w:tc>
      </w:tr>
      <w:tr w:rsidR="005A6D8B" w14:paraId="0CF651F4" w14:textId="77777777" w:rsidTr="001A73D7">
        <w:tc>
          <w:tcPr>
            <w:tcW w:w="2268" w:type="dxa"/>
          </w:tcPr>
          <w:p w14:paraId="61993F6C" w14:textId="77777777" w:rsidR="005A6D8B" w:rsidRDefault="005A6D8B" w:rsidP="001A73D7">
            <w:pPr>
              <w:framePr w:w="4400" w:h="1644" w:wrap="notBeside" w:vAnchor="page" w:hAnchor="page" w:x="6573" w:y="721"/>
              <w:rPr>
                <w:rFonts w:ascii="TradeGothic" w:hAnsi="TradeGothic"/>
                <w:b/>
                <w:sz w:val="22"/>
              </w:rPr>
            </w:pPr>
            <w:r>
              <w:rPr>
                <w:rFonts w:ascii="TradeGothic" w:hAnsi="TradeGothic"/>
                <w:b/>
                <w:sz w:val="22"/>
              </w:rPr>
              <w:t xml:space="preserve">Kommenterad dagordning </w:t>
            </w:r>
          </w:p>
        </w:tc>
        <w:tc>
          <w:tcPr>
            <w:tcW w:w="2347" w:type="dxa"/>
            <w:gridSpan w:val="2"/>
          </w:tcPr>
          <w:p w14:paraId="4F230151" w14:textId="77777777" w:rsidR="005A6D8B" w:rsidRDefault="005A6D8B" w:rsidP="001A73D7">
            <w:pPr>
              <w:framePr w:w="4400" w:h="1644" w:wrap="notBeside" w:vAnchor="page" w:hAnchor="page" w:x="6573" w:y="721"/>
              <w:rPr>
                <w:rFonts w:ascii="TradeGothic" w:hAnsi="TradeGothic"/>
                <w:b/>
                <w:sz w:val="22"/>
              </w:rPr>
            </w:pPr>
          </w:p>
        </w:tc>
      </w:tr>
      <w:tr w:rsidR="005A6D8B" w14:paraId="3E87FA41" w14:textId="77777777" w:rsidTr="001A73D7">
        <w:tc>
          <w:tcPr>
            <w:tcW w:w="3402" w:type="dxa"/>
            <w:gridSpan w:val="2"/>
          </w:tcPr>
          <w:p w14:paraId="60B2A2BA" w14:textId="77777777" w:rsidR="005A6D8B" w:rsidRDefault="005A6D8B" w:rsidP="001A73D7">
            <w:pPr>
              <w:framePr w:w="4400" w:h="1644" w:wrap="notBeside" w:vAnchor="page" w:hAnchor="page" w:x="6573" w:y="721"/>
            </w:pPr>
          </w:p>
          <w:p w14:paraId="4019B667" w14:textId="77777777" w:rsidR="005A6D8B" w:rsidRDefault="005A6D8B" w:rsidP="001A73D7">
            <w:pPr>
              <w:framePr w:w="4400" w:h="1644" w:wrap="notBeside" w:vAnchor="page" w:hAnchor="page" w:x="6573" w:y="721"/>
            </w:pPr>
          </w:p>
        </w:tc>
        <w:tc>
          <w:tcPr>
            <w:tcW w:w="1213" w:type="dxa"/>
          </w:tcPr>
          <w:p w14:paraId="3577586C" w14:textId="77777777" w:rsidR="005A6D8B" w:rsidRDefault="005A6D8B" w:rsidP="001A73D7">
            <w:pPr>
              <w:framePr w:w="4400" w:h="1644" w:wrap="notBeside" w:vAnchor="page" w:hAnchor="page" w:x="6573" w:y="721"/>
            </w:pPr>
          </w:p>
        </w:tc>
      </w:tr>
      <w:tr w:rsidR="005A6D8B" w14:paraId="6A349685" w14:textId="77777777" w:rsidTr="001A73D7">
        <w:tc>
          <w:tcPr>
            <w:tcW w:w="2268" w:type="dxa"/>
          </w:tcPr>
          <w:p w14:paraId="01987359" w14:textId="77777777" w:rsidR="005A6D8B" w:rsidRDefault="005A6D8B" w:rsidP="001A73D7">
            <w:pPr>
              <w:framePr w:w="4400" w:h="1644" w:wrap="notBeside" w:vAnchor="page" w:hAnchor="page" w:x="6573" w:y="721"/>
            </w:pPr>
          </w:p>
        </w:tc>
        <w:tc>
          <w:tcPr>
            <w:tcW w:w="2347" w:type="dxa"/>
            <w:gridSpan w:val="2"/>
          </w:tcPr>
          <w:p w14:paraId="508DC7BE" w14:textId="77777777" w:rsidR="005A6D8B" w:rsidRDefault="005A6D8B" w:rsidP="001A73D7">
            <w:pPr>
              <w:framePr w:w="4400" w:h="1644" w:wrap="notBeside" w:vAnchor="page" w:hAnchor="page" w:x="6573" w:y="721"/>
            </w:pPr>
          </w:p>
        </w:tc>
      </w:tr>
      <w:tr w:rsidR="005A6D8B" w14:paraId="228E8E52" w14:textId="77777777" w:rsidTr="001A73D7">
        <w:tc>
          <w:tcPr>
            <w:tcW w:w="2268" w:type="dxa"/>
          </w:tcPr>
          <w:p w14:paraId="7E7F5117" w14:textId="77777777" w:rsidR="005A6D8B" w:rsidRDefault="005A6D8B" w:rsidP="001A73D7">
            <w:pPr>
              <w:framePr w:w="4400" w:h="1644" w:wrap="notBeside" w:vAnchor="page" w:hAnchor="page" w:x="6573" w:y="721"/>
            </w:pPr>
          </w:p>
        </w:tc>
        <w:tc>
          <w:tcPr>
            <w:tcW w:w="2347" w:type="dxa"/>
            <w:gridSpan w:val="2"/>
          </w:tcPr>
          <w:p w14:paraId="7556EB52" w14:textId="77777777" w:rsidR="005A6D8B" w:rsidRDefault="005A6D8B" w:rsidP="001A73D7">
            <w:pPr>
              <w:framePr w:w="4400" w:h="1644" w:wrap="notBeside" w:vAnchor="page" w:hAnchor="page" w:x="6573" w:y="721"/>
            </w:pPr>
          </w:p>
        </w:tc>
      </w:tr>
    </w:tbl>
    <w:p w14:paraId="51F6980F" w14:textId="77777777" w:rsidR="005A6D8B" w:rsidRPr="006B3638" w:rsidRDefault="005A6D8B" w:rsidP="005A6D8B">
      <w:pPr>
        <w:rPr>
          <w:vanish/>
        </w:rPr>
      </w:pPr>
    </w:p>
    <w:tbl>
      <w:tblPr>
        <w:tblW w:w="0" w:type="auto"/>
        <w:tblLayout w:type="fixed"/>
        <w:tblLook w:val="0000" w:firstRow="0" w:lastRow="0" w:firstColumn="0" w:lastColumn="0" w:noHBand="0" w:noVBand="0"/>
      </w:tblPr>
      <w:tblGrid>
        <w:gridCol w:w="4911"/>
      </w:tblGrid>
      <w:tr w:rsidR="005A6D8B" w14:paraId="007DDA45" w14:textId="77777777" w:rsidTr="001A73D7">
        <w:trPr>
          <w:trHeight w:val="284"/>
        </w:trPr>
        <w:tc>
          <w:tcPr>
            <w:tcW w:w="4911" w:type="dxa"/>
          </w:tcPr>
          <w:p w14:paraId="7C346118" w14:textId="77777777" w:rsidR="005A6D8B" w:rsidRDefault="005A6D8B" w:rsidP="001A73D7">
            <w:pPr>
              <w:pStyle w:val="Avsndare"/>
              <w:framePr w:h="2483" w:wrap="notBeside" w:x="1504"/>
              <w:rPr>
                <w:b/>
                <w:i w:val="0"/>
                <w:sz w:val="22"/>
              </w:rPr>
            </w:pPr>
            <w:r>
              <w:rPr>
                <w:b/>
                <w:i w:val="0"/>
                <w:sz w:val="22"/>
              </w:rPr>
              <w:t>Landsbygdsdepartementet</w:t>
            </w:r>
          </w:p>
        </w:tc>
      </w:tr>
      <w:tr w:rsidR="005A6D8B" w14:paraId="529B9CB3" w14:textId="77777777" w:rsidTr="001A73D7">
        <w:trPr>
          <w:trHeight w:val="284"/>
        </w:trPr>
        <w:tc>
          <w:tcPr>
            <w:tcW w:w="4911" w:type="dxa"/>
          </w:tcPr>
          <w:p w14:paraId="772B48FA" w14:textId="77777777" w:rsidR="005A6D8B" w:rsidRDefault="005A6D8B" w:rsidP="001A73D7">
            <w:pPr>
              <w:pStyle w:val="Avsndare"/>
              <w:framePr w:h="2483" w:wrap="notBeside" w:x="1504"/>
              <w:rPr>
                <w:bCs/>
                <w:iCs/>
              </w:rPr>
            </w:pPr>
          </w:p>
        </w:tc>
      </w:tr>
      <w:tr w:rsidR="005A6D8B" w:rsidRPr="005A6D8B" w14:paraId="0119B010" w14:textId="77777777" w:rsidTr="001A73D7">
        <w:trPr>
          <w:trHeight w:val="284"/>
        </w:trPr>
        <w:tc>
          <w:tcPr>
            <w:tcW w:w="4911" w:type="dxa"/>
          </w:tcPr>
          <w:p w14:paraId="36D76A67" w14:textId="77777777" w:rsidR="005A6D8B" w:rsidRPr="005A6D8B" w:rsidRDefault="005A6D8B" w:rsidP="001A73D7">
            <w:pPr>
              <w:pStyle w:val="Avsndare"/>
              <w:framePr w:h="2483" w:wrap="notBeside" w:x="1504"/>
              <w:rPr>
                <w:rFonts w:ascii="Trade Gothic Pro" w:hAnsi="Trade Gothic Pro"/>
                <w:bCs/>
                <w:iCs/>
              </w:rPr>
            </w:pPr>
          </w:p>
        </w:tc>
      </w:tr>
    </w:tbl>
    <w:p w14:paraId="51840398" w14:textId="77777777" w:rsidR="005A6D8B" w:rsidRPr="005A6D8B" w:rsidRDefault="005A6D8B" w:rsidP="005A6D8B">
      <w:pPr>
        <w:framePr w:w="4400" w:h="2523" w:wrap="notBeside" w:vAnchor="page" w:hAnchor="page" w:x="6453" w:y="2445"/>
        <w:ind w:firstLine="720"/>
        <w:rPr>
          <w:rFonts w:ascii="Trade Gothic Pro" w:hAnsi="Trade Gothic Pro"/>
        </w:rPr>
      </w:pPr>
    </w:p>
    <w:p w14:paraId="508AB762" w14:textId="06457342" w:rsidR="005A6D8B" w:rsidRPr="005A6D8B" w:rsidRDefault="00B721C7" w:rsidP="00855487">
      <w:pPr>
        <w:framePr w:w="4400" w:h="2523" w:wrap="notBeside" w:vAnchor="page" w:hAnchor="page" w:x="6453" w:y="2445"/>
        <w:ind w:left="142"/>
      </w:pPr>
      <w:r>
        <w:t>2014-06-09</w:t>
      </w:r>
    </w:p>
    <w:p w14:paraId="74AA15BF" w14:textId="394A7FC1" w:rsidR="005A6D8B" w:rsidRPr="005A6D8B" w:rsidRDefault="005A6D8B" w:rsidP="005A6D8B">
      <w:pPr>
        <w:pStyle w:val="Avsndare"/>
        <w:framePr w:w="0" w:hRule="auto" w:hSpace="0" w:wrap="auto" w:vAnchor="margin" w:hAnchor="text" w:xAlign="left" w:yAlign="inline"/>
        <w:pBdr>
          <w:bottom w:val="single" w:sz="4" w:space="1" w:color="000000"/>
        </w:pBdr>
        <w:rPr>
          <w:b/>
          <w:i w:val="0"/>
          <w:sz w:val="22"/>
        </w:rPr>
      </w:pPr>
      <w:bookmarkStart w:id="0" w:name="_GoBack"/>
      <w:bookmarkEnd w:id="0"/>
      <w:r w:rsidRPr="005A6D8B">
        <w:rPr>
          <w:b/>
          <w:i w:val="0"/>
          <w:sz w:val="22"/>
        </w:rPr>
        <w:t xml:space="preserve">Kommenterad dagordning inför Jordbruks- och fiskerådet den </w:t>
      </w:r>
      <w:r w:rsidR="00C9743F">
        <w:rPr>
          <w:b/>
          <w:i w:val="0"/>
          <w:sz w:val="22"/>
        </w:rPr>
        <w:t>16-17 juni</w:t>
      </w:r>
      <w:r w:rsidR="00C14040">
        <w:rPr>
          <w:b/>
          <w:i w:val="0"/>
          <w:sz w:val="22"/>
        </w:rPr>
        <w:t xml:space="preserve"> </w:t>
      </w:r>
      <w:r w:rsidRPr="005A6D8B">
        <w:rPr>
          <w:b/>
          <w:i w:val="0"/>
          <w:sz w:val="22"/>
        </w:rPr>
        <w:t>2014</w:t>
      </w:r>
    </w:p>
    <w:p w14:paraId="3C1136D9" w14:textId="77777777" w:rsidR="005A6D8B" w:rsidRPr="005A6D8B" w:rsidRDefault="005A6D8B" w:rsidP="005A6D8B">
      <w:pPr>
        <w:pStyle w:val="Avsndare"/>
        <w:framePr w:w="0" w:hRule="auto" w:hSpace="0" w:wrap="auto" w:vAnchor="margin" w:hAnchor="text" w:xAlign="left" w:yAlign="inline"/>
        <w:rPr>
          <w:b/>
          <w:i w:val="0"/>
          <w:sz w:val="22"/>
        </w:rPr>
      </w:pPr>
    </w:p>
    <w:p w14:paraId="7E013D6B" w14:textId="77777777" w:rsidR="00A97CE9" w:rsidRPr="00A97CE9" w:rsidRDefault="00A97CE9" w:rsidP="00A97CE9">
      <w:pPr>
        <w:pStyle w:val="RKnormal"/>
      </w:pPr>
    </w:p>
    <w:p w14:paraId="49C8977E" w14:textId="738C7E27" w:rsidR="00526041" w:rsidRDefault="00526041" w:rsidP="00A97CE9">
      <w:pPr>
        <w:pStyle w:val="Avsndare"/>
        <w:framePr w:w="0" w:hRule="auto" w:hSpace="0" w:wrap="auto" w:vAnchor="margin" w:hAnchor="text" w:xAlign="left" w:yAlign="inline"/>
        <w:rPr>
          <w:b/>
          <w:i w:val="0"/>
          <w:sz w:val="22"/>
          <w:u w:val="single"/>
        </w:rPr>
      </w:pPr>
      <w:r>
        <w:rPr>
          <w:b/>
          <w:i w:val="0"/>
          <w:sz w:val="22"/>
          <w:u w:val="single"/>
        </w:rPr>
        <w:t>Jordbruk</w:t>
      </w:r>
    </w:p>
    <w:p w14:paraId="6FD08C89" w14:textId="77777777" w:rsidR="00526041" w:rsidRDefault="00526041" w:rsidP="00A97CE9">
      <w:pPr>
        <w:pStyle w:val="Avsndare"/>
        <w:framePr w:w="0" w:hRule="auto" w:hSpace="0" w:wrap="auto" w:vAnchor="margin" w:hAnchor="text" w:xAlign="left" w:yAlign="inline"/>
        <w:rPr>
          <w:b/>
          <w:i w:val="0"/>
          <w:sz w:val="22"/>
          <w:u w:val="single"/>
        </w:rPr>
      </w:pPr>
    </w:p>
    <w:p w14:paraId="2EAC530A" w14:textId="77777777" w:rsidR="00526041" w:rsidRDefault="00526041" w:rsidP="00A97CE9">
      <w:pPr>
        <w:pStyle w:val="Avsndare"/>
        <w:framePr w:w="0" w:hRule="auto" w:hSpace="0" w:wrap="auto" w:vAnchor="margin" w:hAnchor="text" w:xAlign="left" w:yAlign="inline"/>
        <w:rPr>
          <w:b/>
          <w:i w:val="0"/>
          <w:sz w:val="22"/>
          <w:u w:val="single"/>
        </w:rPr>
      </w:pPr>
    </w:p>
    <w:p w14:paraId="4B9C7776" w14:textId="2F688DB3" w:rsidR="00C9743F" w:rsidRDefault="00C9743F" w:rsidP="00A97CE9">
      <w:pPr>
        <w:pStyle w:val="Avsndare"/>
        <w:framePr w:w="0" w:hRule="auto" w:hSpace="0" w:wrap="auto" w:vAnchor="margin" w:hAnchor="text" w:xAlign="left" w:yAlign="inline"/>
        <w:rPr>
          <w:b/>
          <w:i w:val="0"/>
          <w:sz w:val="22"/>
          <w:u w:val="single"/>
        </w:rPr>
      </w:pPr>
      <w:r>
        <w:rPr>
          <w:b/>
          <w:i w:val="0"/>
          <w:sz w:val="22"/>
          <w:u w:val="single"/>
        </w:rPr>
        <w:t>Lagstiftande verksamhet</w:t>
      </w:r>
    </w:p>
    <w:p w14:paraId="1A4710AA" w14:textId="3AA1E551" w:rsidR="001E6142" w:rsidRDefault="00526041" w:rsidP="001E6142">
      <w:pPr>
        <w:pStyle w:val="RKrubrik"/>
      </w:pPr>
      <w:r>
        <w:t>4.</w:t>
      </w:r>
      <w:r w:rsidR="0035195D">
        <w:t xml:space="preserve"> (ev.)</w:t>
      </w:r>
      <w:r>
        <w:t xml:space="preserve"> </w:t>
      </w:r>
      <w:r w:rsidR="001E6142">
        <w:t>Lägesrapport för EU:s skolprogram</w:t>
      </w:r>
    </w:p>
    <w:p w14:paraId="3356FB83" w14:textId="77777777" w:rsidR="001E6142" w:rsidRDefault="001E6142" w:rsidP="001E6142">
      <w:pPr>
        <w:pStyle w:val="RKnormal"/>
      </w:pPr>
    </w:p>
    <w:p w14:paraId="207472B5" w14:textId="77C71134" w:rsidR="001E6142" w:rsidRPr="00435FD8" w:rsidRDefault="001E6142" w:rsidP="00435FD8">
      <w:pPr>
        <w:pStyle w:val="RKnormal"/>
        <w:rPr>
          <w:i/>
          <w:iCs/>
        </w:rPr>
      </w:pPr>
      <w:r>
        <w:rPr>
          <w:i/>
          <w:iCs/>
        </w:rPr>
        <w:t>Dokumentbeteckning</w:t>
      </w:r>
    </w:p>
    <w:p w14:paraId="07E6914E" w14:textId="77777777" w:rsidR="00435FD8" w:rsidRPr="001E6142" w:rsidRDefault="00435FD8" w:rsidP="001E6142">
      <w:pPr>
        <w:pStyle w:val="Default"/>
        <w:rPr>
          <w:rFonts w:ascii="OrigGarmnd BT" w:hAnsi="OrigGarmnd BT" w:cs="OrigGarmnd BT"/>
          <w:sz w:val="23"/>
          <w:szCs w:val="23"/>
        </w:rPr>
      </w:pPr>
    </w:p>
    <w:p w14:paraId="2E613F8E" w14:textId="77777777" w:rsidR="001E6142" w:rsidRPr="00367AD6" w:rsidRDefault="001E6142" w:rsidP="001E6142">
      <w:pPr>
        <w:pStyle w:val="Default"/>
        <w:rPr>
          <w:rFonts w:ascii="OrigGarmnd BT" w:hAnsi="OrigGarmnd BT" w:cs="Times New Roman"/>
          <w:color w:val="auto"/>
          <w:szCs w:val="20"/>
          <w:lang w:eastAsia="en-US"/>
        </w:rPr>
      </w:pPr>
      <w:r w:rsidRPr="00367AD6">
        <w:rPr>
          <w:rFonts w:ascii="OrigGarmnd BT" w:hAnsi="OrigGarmnd BT" w:cs="Times New Roman"/>
          <w:color w:val="auto"/>
          <w:szCs w:val="20"/>
          <w:lang w:eastAsia="en-US"/>
        </w:rPr>
        <w:t xml:space="preserve">Ordförandeskapets reviderade förslag </w:t>
      </w:r>
      <w:r>
        <w:rPr>
          <w:rFonts w:ascii="OrigGarmnd BT" w:hAnsi="OrigGarmnd BT" w:cs="Times New Roman"/>
          <w:color w:val="auto"/>
          <w:szCs w:val="20"/>
          <w:lang w:eastAsia="en-US"/>
        </w:rPr>
        <w:t>9604/14.</w:t>
      </w:r>
    </w:p>
    <w:p w14:paraId="63CFEE18" w14:textId="77777777" w:rsidR="001E6142" w:rsidRDefault="001E6142" w:rsidP="001E6142">
      <w:pPr>
        <w:pStyle w:val="RKnormal"/>
        <w:rPr>
          <w:i/>
          <w:iCs/>
        </w:rPr>
      </w:pPr>
    </w:p>
    <w:p w14:paraId="3AEE01CF" w14:textId="77777777" w:rsidR="001E6142" w:rsidRDefault="001E6142" w:rsidP="001E6142">
      <w:pPr>
        <w:pStyle w:val="RKnormal"/>
        <w:rPr>
          <w:i/>
          <w:iCs/>
        </w:rPr>
      </w:pPr>
      <w:r>
        <w:rPr>
          <w:i/>
          <w:iCs/>
        </w:rPr>
        <w:t>Rättslig grund</w:t>
      </w:r>
    </w:p>
    <w:p w14:paraId="45133679" w14:textId="5F89632C" w:rsidR="00325C7D" w:rsidRDefault="001E6142" w:rsidP="00325C7D">
      <w:pPr>
        <w:pStyle w:val="RKnormal"/>
        <w:rPr>
          <w:iCs/>
        </w:rPr>
      </w:pPr>
      <w:r>
        <w:t xml:space="preserve">För </w:t>
      </w:r>
      <w:r w:rsidRPr="00B824E4">
        <w:t>KOM (2014)0014</w:t>
      </w:r>
      <w:r>
        <w:rPr>
          <w:b/>
        </w:rPr>
        <w:t xml:space="preserve"> </w:t>
      </w:r>
      <w:r w:rsidRPr="008C2DBF">
        <w:t>är</w:t>
      </w:r>
      <w:r>
        <w:rPr>
          <w:b/>
        </w:rPr>
        <w:t xml:space="preserve"> </w:t>
      </w:r>
      <w:r w:rsidR="00B46EBA">
        <w:t xml:space="preserve">den </w:t>
      </w:r>
      <w:r>
        <w:t>rättsliga grund</w:t>
      </w:r>
      <w:r w:rsidR="00B46EBA">
        <w:t>en</w:t>
      </w:r>
      <w:r>
        <w:t xml:space="preserve"> artiklarna 42 och 43.2 i fördraget om Eu</w:t>
      </w:r>
      <w:r w:rsidR="00325C7D">
        <w:t>ropeiska unionens funktionssätt</w:t>
      </w:r>
      <w:r w:rsidR="00325C7D">
        <w:rPr>
          <w:iCs/>
        </w:rPr>
        <w:t>. Rådet och europaparlamentet fattar beslut genom ordinarie beslutsförfarande. Rådet beslutar med kvalificerad majoritet.</w:t>
      </w:r>
    </w:p>
    <w:p w14:paraId="57C83C0A" w14:textId="50BEDC38" w:rsidR="001E6142" w:rsidRDefault="001E6142" w:rsidP="001E6142">
      <w:pPr>
        <w:pStyle w:val="RKnormal"/>
      </w:pPr>
    </w:p>
    <w:p w14:paraId="37B41D4E" w14:textId="77777777" w:rsidR="001E6142" w:rsidRDefault="001E6142" w:rsidP="001E6142">
      <w:pPr>
        <w:pStyle w:val="RKnormal"/>
      </w:pPr>
    </w:p>
    <w:p w14:paraId="13D512BA" w14:textId="77777777" w:rsidR="001E6142" w:rsidRPr="00365BE8" w:rsidRDefault="001E6142" w:rsidP="001E6142">
      <w:pPr>
        <w:pStyle w:val="RKnormal"/>
      </w:pPr>
      <w:r w:rsidRPr="00825CE4">
        <w:t xml:space="preserve">För </w:t>
      </w:r>
      <w:r w:rsidRPr="00365BE8">
        <w:t xml:space="preserve">KOM (2014)0013 är den rättsliga grunden 43.3 i fördraget om </w:t>
      </w:r>
      <w:r w:rsidRPr="00825CE4">
        <w:t xml:space="preserve">Europeiska unionens funktionssätt. </w:t>
      </w:r>
      <w:r w:rsidRPr="00365BE8">
        <w:t>Beslut genom kvalificerad majoritet i rådet.</w:t>
      </w:r>
    </w:p>
    <w:p w14:paraId="703C37CB" w14:textId="77777777" w:rsidR="001E6142" w:rsidRDefault="001E6142" w:rsidP="001E6142">
      <w:pPr>
        <w:pStyle w:val="RKnormal"/>
        <w:rPr>
          <w:i/>
          <w:iCs/>
        </w:rPr>
      </w:pPr>
    </w:p>
    <w:p w14:paraId="513558DC" w14:textId="77777777" w:rsidR="001E6142" w:rsidRDefault="001E6142" w:rsidP="001E6142">
      <w:pPr>
        <w:pStyle w:val="RKnormal"/>
        <w:rPr>
          <w:i/>
          <w:iCs/>
        </w:rPr>
      </w:pPr>
      <w:r>
        <w:rPr>
          <w:i/>
          <w:iCs/>
        </w:rPr>
        <w:t>Bakgrund</w:t>
      </w:r>
    </w:p>
    <w:p w14:paraId="52960EF0" w14:textId="30F00127" w:rsidR="0035195D" w:rsidRDefault="001E6142" w:rsidP="001E6142">
      <w:pPr>
        <w:pStyle w:val="RKnormal"/>
        <w:tabs>
          <w:tab w:val="clear" w:pos="2835"/>
        </w:tabs>
        <w:spacing w:line="240" w:lineRule="auto"/>
      </w:pPr>
      <w:r>
        <w:t xml:space="preserve">På rådsmötet i februari 2014 presenterade kommissionen sitt förslag som är en sammanslagning av EU:s stöd för utdelning av skolmjölk respektive skolfrukt och grönsaker. </w:t>
      </w:r>
      <w:r w:rsidR="00055326">
        <w:t xml:space="preserve">Förslaget omfattar ett totalt budgettak på 230 miljoner euro, vilket innebär en oförändrad  utgiftsnivå jämfört med i dag/nuvarande program. </w:t>
      </w:r>
      <w:r>
        <w:t>Det är frivilligt för medlemsstater</w:t>
      </w:r>
      <w:r w:rsidRPr="00311689">
        <w:t xml:space="preserve"> att delta i programmet liksom att distribuera </w:t>
      </w:r>
      <w:r>
        <w:t>frukt</w:t>
      </w:r>
      <w:r w:rsidR="00286938">
        <w:t xml:space="preserve"> och </w:t>
      </w:r>
      <w:r>
        <w:t>grönsaker</w:t>
      </w:r>
      <w:r w:rsidRPr="00311689">
        <w:t xml:space="preserve"> eller mjölk</w:t>
      </w:r>
      <w:r>
        <w:t xml:space="preserve"> alternativt båda dessa produktkategorier</w:t>
      </w:r>
      <w:r w:rsidRPr="00311689">
        <w:t>.</w:t>
      </w:r>
      <w:r>
        <w:t xml:space="preserve"> Det finns inga krav på nationell medfinansiering för deltagande medlemsstater.</w:t>
      </w:r>
      <w:r w:rsidR="00B46EBA">
        <w:t xml:space="preserve"> </w:t>
      </w:r>
    </w:p>
    <w:p w14:paraId="4E021D30" w14:textId="77777777" w:rsidR="0035195D" w:rsidRDefault="0035195D" w:rsidP="001E6142">
      <w:pPr>
        <w:pStyle w:val="RKnormal"/>
        <w:tabs>
          <w:tab w:val="clear" w:pos="2835"/>
        </w:tabs>
        <w:spacing w:line="240" w:lineRule="auto"/>
      </w:pPr>
    </w:p>
    <w:p w14:paraId="069EE257" w14:textId="61C7EDFE" w:rsidR="001E6142" w:rsidRDefault="00B46EBA" w:rsidP="001E6142">
      <w:pPr>
        <w:pStyle w:val="RKnormal"/>
        <w:tabs>
          <w:tab w:val="clear" w:pos="2835"/>
        </w:tabs>
        <w:spacing w:line="240" w:lineRule="auto"/>
      </w:pPr>
      <w:r>
        <w:t xml:space="preserve">Förslaget om skolprogram har även bäring på den så kallade 43.3-förordningen vilken av formella skäl står som </w:t>
      </w:r>
      <w:r w:rsidR="00747BAF">
        <w:t>en egen dagordningspunkt på rådsdagordningen.</w:t>
      </w:r>
      <w:r>
        <w:t xml:space="preserve"> </w:t>
      </w:r>
      <w:r w:rsidR="001E6142">
        <w:t xml:space="preserve"> </w:t>
      </w:r>
      <w:r w:rsidR="00286938">
        <w:t xml:space="preserve">Förhandlingarna i rådet har inletts </w:t>
      </w:r>
      <w:r>
        <w:t xml:space="preserve">och </w:t>
      </w:r>
      <w:r w:rsidR="00286938">
        <w:t xml:space="preserve">ordförandeskapet kommer att presentera en lägesrapport. </w:t>
      </w:r>
    </w:p>
    <w:p w14:paraId="185DE518" w14:textId="77777777" w:rsidR="001E6142" w:rsidRDefault="001E6142" w:rsidP="001E6142">
      <w:pPr>
        <w:pStyle w:val="RKnormal"/>
        <w:rPr>
          <w:i/>
          <w:iCs/>
        </w:rPr>
      </w:pPr>
    </w:p>
    <w:p w14:paraId="652A9A1D" w14:textId="77777777" w:rsidR="001E6142" w:rsidRDefault="001E6142" w:rsidP="001E6142">
      <w:pPr>
        <w:pStyle w:val="RKnormal"/>
        <w:rPr>
          <w:i/>
          <w:iCs/>
        </w:rPr>
      </w:pPr>
      <w:r>
        <w:rPr>
          <w:i/>
          <w:iCs/>
        </w:rPr>
        <w:t>Förslag till svensk ståndpunkt</w:t>
      </w:r>
    </w:p>
    <w:p w14:paraId="2E6746EB" w14:textId="69F99239" w:rsidR="001E6142" w:rsidRDefault="002310BC" w:rsidP="001E6142">
      <w:pPr>
        <w:pStyle w:val="RKnormal"/>
      </w:pPr>
      <w:r>
        <w:t>Regeringen</w:t>
      </w:r>
      <w:r w:rsidR="003D1A8A">
        <w:t xml:space="preserve"> noterar </w:t>
      </w:r>
      <w:r w:rsidR="001E6142">
        <w:t>lägesrapporten.</w:t>
      </w:r>
    </w:p>
    <w:p w14:paraId="4B186CED" w14:textId="77777777" w:rsidR="001E6142" w:rsidRDefault="001E6142" w:rsidP="001E6142">
      <w:pPr>
        <w:pStyle w:val="RKnormal"/>
        <w:rPr>
          <w:i/>
          <w:iCs/>
        </w:rPr>
      </w:pPr>
    </w:p>
    <w:p w14:paraId="0317ABD9" w14:textId="77777777" w:rsidR="001E6142" w:rsidRDefault="001E6142" w:rsidP="001E6142">
      <w:pPr>
        <w:pStyle w:val="RKnormal"/>
        <w:rPr>
          <w:i/>
          <w:iCs/>
        </w:rPr>
      </w:pPr>
      <w:r>
        <w:rPr>
          <w:i/>
          <w:iCs/>
        </w:rPr>
        <w:t>EU-nämnden och MJU</w:t>
      </w:r>
    </w:p>
    <w:p w14:paraId="3E285EF3" w14:textId="59C2A97B" w:rsidR="001E6142" w:rsidRDefault="001E6142" w:rsidP="001E6142">
      <w:pPr>
        <w:pStyle w:val="RKnormal"/>
      </w:pPr>
      <w:r>
        <w:lastRenderedPageBreak/>
        <w:t xml:space="preserve">Frågan har varit föremål för </w:t>
      </w:r>
      <w:r w:rsidR="00286938">
        <w:t>samråd med</w:t>
      </w:r>
      <w:r>
        <w:t xml:space="preserve"> EU-nämnden i februari 2014.</w:t>
      </w:r>
    </w:p>
    <w:p w14:paraId="6E6D8AA2" w14:textId="18B2B143" w:rsidR="00526041" w:rsidRDefault="00526041" w:rsidP="00A97CE9">
      <w:pPr>
        <w:pStyle w:val="Avsndare"/>
        <w:framePr w:w="0" w:hRule="auto" w:hSpace="0" w:wrap="auto" w:vAnchor="margin" w:hAnchor="text" w:xAlign="left" w:yAlign="inline"/>
        <w:rPr>
          <w:b/>
          <w:i w:val="0"/>
          <w:sz w:val="22"/>
        </w:rPr>
      </w:pPr>
    </w:p>
    <w:p w14:paraId="079CE022" w14:textId="77777777" w:rsidR="00526041" w:rsidRDefault="00526041" w:rsidP="00A97CE9">
      <w:pPr>
        <w:pStyle w:val="Avsndare"/>
        <w:framePr w:w="0" w:hRule="auto" w:hSpace="0" w:wrap="auto" w:vAnchor="margin" w:hAnchor="text" w:xAlign="left" w:yAlign="inline"/>
        <w:rPr>
          <w:b/>
          <w:i w:val="0"/>
          <w:sz w:val="22"/>
        </w:rPr>
      </w:pPr>
    </w:p>
    <w:p w14:paraId="181E42F9" w14:textId="77777777" w:rsidR="00B84411" w:rsidRDefault="00B84411" w:rsidP="00A97CE9">
      <w:pPr>
        <w:pStyle w:val="Avsndare"/>
        <w:framePr w:w="0" w:hRule="auto" w:hSpace="0" w:wrap="auto" w:vAnchor="margin" w:hAnchor="text" w:xAlign="left" w:yAlign="inline"/>
        <w:rPr>
          <w:b/>
          <w:i w:val="0"/>
          <w:sz w:val="22"/>
        </w:rPr>
      </w:pPr>
    </w:p>
    <w:p w14:paraId="5D0684AA" w14:textId="77777777" w:rsidR="00B84411" w:rsidRDefault="00B84411" w:rsidP="00A97CE9">
      <w:pPr>
        <w:pStyle w:val="Avsndare"/>
        <w:framePr w:w="0" w:hRule="auto" w:hSpace="0" w:wrap="auto" w:vAnchor="margin" w:hAnchor="text" w:xAlign="left" w:yAlign="inline"/>
        <w:rPr>
          <w:b/>
          <w:i w:val="0"/>
          <w:sz w:val="22"/>
          <w:u w:val="single"/>
        </w:rPr>
      </w:pPr>
    </w:p>
    <w:p w14:paraId="09EADCD8" w14:textId="77777777" w:rsidR="00C9743F" w:rsidRDefault="00C9743F" w:rsidP="00A97CE9">
      <w:pPr>
        <w:pStyle w:val="Avsndare"/>
        <w:framePr w:w="0" w:hRule="auto" w:hSpace="0" w:wrap="auto" w:vAnchor="margin" w:hAnchor="text" w:xAlign="left" w:yAlign="inline"/>
        <w:rPr>
          <w:b/>
          <w:i w:val="0"/>
          <w:sz w:val="22"/>
          <w:u w:val="single"/>
        </w:rPr>
      </w:pPr>
    </w:p>
    <w:p w14:paraId="7E139E27" w14:textId="4C9FB8D7" w:rsidR="00A97CE9" w:rsidRDefault="00A97CE9" w:rsidP="00A97CE9">
      <w:pPr>
        <w:pStyle w:val="Avsndare"/>
        <w:framePr w:w="0" w:hRule="auto" w:hSpace="0" w:wrap="auto" w:vAnchor="margin" w:hAnchor="text" w:xAlign="left" w:yAlign="inline"/>
        <w:rPr>
          <w:b/>
          <w:i w:val="0"/>
          <w:sz w:val="22"/>
          <w:u w:val="single"/>
        </w:rPr>
      </w:pPr>
      <w:r w:rsidRPr="005A6D8B">
        <w:rPr>
          <w:b/>
          <w:i w:val="0"/>
          <w:sz w:val="22"/>
          <w:u w:val="single"/>
        </w:rPr>
        <w:t>Icke lagstiftande verksamhet</w:t>
      </w:r>
    </w:p>
    <w:p w14:paraId="59FD2D1C" w14:textId="0F340244" w:rsidR="00526041" w:rsidRDefault="00AA0E09" w:rsidP="00944F4B">
      <w:pPr>
        <w:pStyle w:val="RKrubrik"/>
        <w:ind w:left="1134" w:hanging="1134"/>
      </w:pPr>
      <w:r>
        <w:t xml:space="preserve"> </w:t>
      </w:r>
      <w:r w:rsidR="00526041">
        <w:t>5</w:t>
      </w:r>
      <w:r w:rsidR="001D48DF">
        <w:t>.</w:t>
      </w:r>
      <w:r w:rsidR="0035195D">
        <w:t xml:space="preserve"> (ev) </w:t>
      </w:r>
      <w:r w:rsidR="00806450" w:rsidRPr="00806450">
        <w:t>Förslag till RÅDETS FÖRORDNING om ändring av rådets förordning(EU) nr 1370/2013 om fastställande av vissa stöd och bidrag inom ramen för den samlade marknadsordningen för jordbruksprodukter</w:t>
      </w:r>
    </w:p>
    <w:p w14:paraId="108485CA" w14:textId="3280B3C1" w:rsidR="005A4133" w:rsidRDefault="005A4133" w:rsidP="005A4133">
      <w:pPr>
        <w:pStyle w:val="RKnormal"/>
      </w:pPr>
    </w:p>
    <w:p w14:paraId="6BD3AC2A" w14:textId="3FF34D4F" w:rsidR="005A4133" w:rsidRPr="005A4133" w:rsidRDefault="005A4133" w:rsidP="005A4133">
      <w:pPr>
        <w:pStyle w:val="RKnormal"/>
      </w:pPr>
      <w:r>
        <w:t>Se punkt 4 ovan.</w:t>
      </w:r>
    </w:p>
    <w:p w14:paraId="13B97537" w14:textId="28F4A9D4" w:rsidR="00494A78" w:rsidRDefault="00494A78" w:rsidP="00494A78">
      <w:pPr>
        <w:pStyle w:val="RKrubrik"/>
        <w:ind w:left="1134" w:hanging="1134"/>
      </w:pPr>
      <w:r>
        <w:t>6. Rådsslutsa</w:t>
      </w:r>
      <w:r w:rsidR="00F47ABA">
        <w:t xml:space="preserve">tser om producentorganisationer </w:t>
      </w:r>
      <w:r>
        <w:t>för frukt och grönsaker</w:t>
      </w:r>
    </w:p>
    <w:p w14:paraId="4CD2699D" w14:textId="77777777" w:rsidR="00494A78" w:rsidRDefault="00494A78" w:rsidP="00494A78">
      <w:pPr>
        <w:pStyle w:val="RKnormal"/>
      </w:pPr>
    </w:p>
    <w:p w14:paraId="3F2A9370" w14:textId="77777777" w:rsidR="00494A78" w:rsidRDefault="00494A78" w:rsidP="00494A78">
      <w:pPr>
        <w:pStyle w:val="RKnormal"/>
        <w:rPr>
          <w:i/>
          <w:iCs/>
        </w:rPr>
      </w:pPr>
      <w:r>
        <w:rPr>
          <w:i/>
          <w:iCs/>
        </w:rPr>
        <w:t>Dokumentbeteckning</w:t>
      </w:r>
    </w:p>
    <w:p w14:paraId="5F66FCA3" w14:textId="77777777" w:rsidR="00494A78" w:rsidRDefault="00494A78" w:rsidP="00494A78">
      <w:pPr>
        <w:pStyle w:val="RKnormal"/>
      </w:pPr>
      <w:r>
        <w:t>9281/1/14 REV1 AGRI 333, AGRIORG 79</w:t>
      </w:r>
    </w:p>
    <w:p w14:paraId="0CF6E7F6" w14:textId="77777777" w:rsidR="00494A78" w:rsidRDefault="00494A78" w:rsidP="00494A78">
      <w:pPr>
        <w:pStyle w:val="RKnormal"/>
        <w:rPr>
          <w:i/>
          <w:iCs/>
        </w:rPr>
      </w:pPr>
    </w:p>
    <w:p w14:paraId="772D8DAC" w14:textId="77777777" w:rsidR="00494A78" w:rsidRDefault="00494A78" w:rsidP="00494A78">
      <w:pPr>
        <w:pStyle w:val="RKnormal"/>
        <w:rPr>
          <w:i/>
          <w:iCs/>
        </w:rPr>
      </w:pPr>
      <w:r>
        <w:rPr>
          <w:i/>
          <w:iCs/>
        </w:rPr>
        <w:t>Rättslig grund</w:t>
      </w:r>
    </w:p>
    <w:p w14:paraId="29A1005D" w14:textId="77777777" w:rsidR="00494A78" w:rsidRDefault="00494A78" w:rsidP="00494A78">
      <w:pPr>
        <w:pStyle w:val="RKnormal"/>
      </w:pPr>
      <w:r>
        <w:t>Rådsslutsatser antas vanligen genom enhällighet.</w:t>
      </w:r>
    </w:p>
    <w:p w14:paraId="2097B373" w14:textId="77777777" w:rsidR="00494A78" w:rsidRDefault="00494A78" w:rsidP="00494A78">
      <w:pPr>
        <w:pStyle w:val="RKnormal"/>
        <w:rPr>
          <w:i/>
          <w:iCs/>
        </w:rPr>
      </w:pPr>
    </w:p>
    <w:p w14:paraId="76CBF713" w14:textId="77777777" w:rsidR="00494A78" w:rsidRDefault="00494A78" w:rsidP="00494A78">
      <w:pPr>
        <w:pStyle w:val="RKnormal"/>
        <w:rPr>
          <w:i/>
          <w:iCs/>
        </w:rPr>
      </w:pPr>
      <w:r>
        <w:rPr>
          <w:i/>
          <w:iCs/>
        </w:rPr>
        <w:t>Bakgrund</w:t>
      </w:r>
    </w:p>
    <w:p w14:paraId="09D28BDE" w14:textId="7A6AF983" w:rsidR="00494A78" w:rsidRDefault="00494A78" w:rsidP="00494A78">
      <w:pPr>
        <w:pStyle w:val="RKnormal"/>
      </w:pPr>
      <w:r>
        <w:t>Kommissionen</w:t>
      </w:r>
      <w:r w:rsidRPr="00884942">
        <w:t xml:space="preserve"> publicerade den 4 mars 2014 en rapport om utvärdering av stödet till producentorganisationer (PO) för frukt och grönsaker i EU. Stö</w:t>
      </w:r>
      <w:r>
        <w:t>det till PO</w:t>
      </w:r>
      <w:r w:rsidRPr="00884942">
        <w:t xml:space="preserve"> syftar till att förbättra konkurrenskraften, förbättra produktkvaliteten, främja</w:t>
      </w:r>
      <w:r>
        <w:t xml:space="preserve"> miljöinsatser med mera. I sin rapport identifierar </w:t>
      </w:r>
      <w:r w:rsidR="00286938">
        <w:t>k</w:t>
      </w:r>
      <w:r>
        <w:t>ommissionen</w:t>
      </w:r>
      <w:r w:rsidRPr="00884942">
        <w:t xml:space="preserve"> en rad brister i systemet och förordar därför en kommande översyn av regelverket. Enligt utvärderingen innebär det komplicerade regelverket brister i rättssäkerheten, krishanteringsinstrument utnyttjas i mycket ringa utsträckning liksom stöd till rådgivning och det föreligger en fortsatt låg organisationsgrad</w:t>
      </w:r>
      <w:r w:rsidR="00D104DC">
        <w:t xml:space="preserve"> i vissa regioner</w:t>
      </w:r>
      <w:r w:rsidRPr="00884942">
        <w:t>.</w:t>
      </w:r>
      <w:r>
        <w:t xml:space="preserve"> Ordförandeskapet har tagit fram ett förslag till rådsslutsatser som eventuellt kommer antas på rådet.</w:t>
      </w:r>
      <w:r w:rsidR="00D71C2F">
        <w:t xml:space="preserve"> </w:t>
      </w:r>
      <w:r w:rsidR="00911A13">
        <w:t>Utkastet till r</w:t>
      </w:r>
      <w:r w:rsidR="00D71C2F">
        <w:t>ådsslutsatser innehåller skrivningar o</w:t>
      </w:r>
      <w:r w:rsidR="00D104DC">
        <w:t xml:space="preserve">m </w:t>
      </w:r>
      <w:r w:rsidR="00911A13">
        <w:t xml:space="preserve">bland annat behovet av </w:t>
      </w:r>
      <w:r w:rsidR="00D104DC">
        <w:t>re</w:t>
      </w:r>
      <w:r w:rsidR="00911A13">
        <w:t>gelförenkling och erfarenhetsutbyten.</w:t>
      </w:r>
      <w:r w:rsidR="00D104DC">
        <w:t xml:space="preserve"> </w:t>
      </w:r>
    </w:p>
    <w:p w14:paraId="6D4C6FC7" w14:textId="77777777" w:rsidR="00494A78" w:rsidRDefault="00494A78" w:rsidP="00494A78">
      <w:pPr>
        <w:pStyle w:val="RKnormal"/>
        <w:rPr>
          <w:i/>
          <w:iCs/>
        </w:rPr>
      </w:pPr>
    </w:p>
    <w:p w14:paraId="286924F9" w14:textId="77777777" w:rsidR="00494A78" w:rsidRDefault="00494A78" w:rsidP="00494A78">
      <w:pPr>
        <w:pStyle w:val="RKnormal"/>
        <w:rPr>
          <w:i/>
          <w:iCs/>
        </w:rPr>
      </w:pPr>
      <w:r>
        <w:rPr>
          <w:i/>
          <w:iCs/>
        </w:rPr>
        <w:t>Förslag till svensk ståndpunkt</w:t>
      </w:r>
    </w:p>
    <w:p w14:paraId="64BC2BB6" w14:textId="60D0C98E" w:rsidR="00494A78" w:rsidRDefault="00286938" w:rsidP="00494A78">
      <w:pPr>
        <w:pStyle w:val="RKnormal"/>
      </w:pPr>
      <w:r>
        <w:t xml:space="preserve">Regeringen anser att rådslutsatserna </w:t>
      </w:r>
      <w:r w:rsidR="00D71C2F">
        <w:t xml:space="preserve">är välbalanserade och </w:t>
      </w:r>
      <w:r w:rsidR="00911A13">
        <w:t xml:space="preserve">huvudsakligen </w:t>
      </w:r>
      <w:r w:rsidR="00D71C2F">
        <w:t xml:space="preserve">i linje med Sveriges syn på </w:t>
      </w:r>
      <w:r w:rsidR="00911A13">
        <w:t xml:space="preserve">behovet av </w:t>
      </w:r>
      <w:r w:rsidR="00D71C2F">
        <w:t>regelförenkling och</w:t>
      </w:r>
      <w:r w:rsidR="00911A13">
        <w:t xml:space="preserve"> förutsägbarhet. </w:t>
      </w:r>
    </w:p>
    <w:p w14:paraId="21E5DB5B" w14:textId="77777777" w:rsidR="00494A78" w:rsidRDefault="00494A78" w:rsidP="00494A78">
      <w:pPr>
        <w:pStyle w:val="RKnormal"/>
        <w:rPr>
          <w:i/>
          <w:iCs/>
        </w:rPr>
      </w:pPr>
    </w:p>
    <w:p w14:paraId="0A1CFDAA" w14:textId="77777777" w:rsidR="00494A78" w:rsidRDefault="00494A78" w:rsidP="00494A78">
      <w:pPr>
        <w:pStyle w:val="RKnormal"/>
        <w:rPr>
          <w:i/>
          <w:iCs/>
        </w:rPr>
      </w:pPr>
      <w:r>
        <w:rPr>
          <w:i/>
          <w:iCs/>
        </w:rPr>
        <w:t>EU-nämnden och MJU</w:t>
      </w:r>
    </w:p>
    <w:p w14:paraId="153C20CD" w14:textId="28AA5F07" w:rsidR="00494A78" w:rsidRDefault="00494A78" w:rsidP="00494A78">
      <w:pPr>
        <w:pStyle w:val="RKnormal"/>
      </w:pPr>
      <w:r>
        <w:t xml:space="preserve">Frågan har inte </w:t>
      </w:r>
      <w:r w:rsidR="00D71C2F">
        <w:t xml:space="preserve">tidigare </w:t>
      </w:r>
      <w:r>
        <w:t xml:space="preserve">varit föremål för </w:t>
      </w:r>
      <w:r w:rsidR="00D71C2F">
        <w:t xml:space="preserve">samråd </w:t>
      </w:r>
      <w:r>
        <w:t xml:space="preserve">i EU-nämnden eller </w:t>
      </w:r>
      <w:r w:rsidR="00D71C2F">
        <w:t xml:space="preserve">information i </w:t>
      </w:r>
      <w:r>
        <w:t>MJU.</w:t>
      </w:r>
    </w:p>
    <w:p w14:paraId="2E5267EF" w14:textId="77777777" w:rsidR="00494A78" w:rsidRPr="00494A78" w:rsidRDefault="00494A78" w:rsidP="00494A78">
      <w:pPr>
        <w:pStyle w:val="RKnormal"/>
      </w:pPr>
    </w:p>
    <w:p w14:paraId="54B39F07" w14:textId="2B0C56A7" w:rsidR="00691EF6" w:rsidRDefault="00526041" w:rsidP="00691EF6">
      <w:pPr>
        <w:pStyle w:val="RKrubrik"/>
      </w:pPr>
      <w:r>
        <w:t xml:space="preserve">7. </w:t>
      </w:r>
      <w:r w:rsidR="00691EF6">
        <w:t>Märkning med öjordbruk</w:t>
      </w:r>
    </w:p>
    <w:p w14:paraId="09E8A9FC" w14:textId="77777777" w:rsidR="00691EF6" w:rsidRDefault="00691EF6" w:rsidP="00691EF6">
      <w:pPr>
        <w:pStyle w:val="RKnormal"/>
      </w:pPr>
    </w:p>
    <w:p w14:paraId="3DCDE53D" w14:textId="77777777" w:rsidR="00691EF6" w:rsidRDefault="00691EF6" w:rsidP="00691EF6">
      <w:pPr>
        <w:pStyle w:val="RKnormal"/>
        <w:rPr>
          <w:i/>
          <w:iCs/>
        </w:rPr>
      </w:pPr>
      <w:r>
        <w:rPr>
          <w:i/>
          <w:iCs/>
        </w:rPr>
        <w:t>Dokumentbeteckning</w:t>
      </w:r>
    </w:p>
    <w:p w14:paraId="1EE033F2" w14:textId="1365069C" w:rsidR="00691EF6" w:rsidRPr="0078510E" w:rsidRDefault="00691EF6" w:rsidP="00691EF6">
      <w:pPr>
        <w:pStyle w:val="RKnormal"/>
        <w:rPr>
          <w:i/>
          <w:iCs/>
        </w:rPr>
      </w:pPr>
      <w:r w:rsidRPr="0023538E">
        <w:t>10230/14 Rådsslutsatser om märkning med öjordbruk</w:t>
      </w:r>
    </w:p>
    <w:p w14:paraId="1A359C24" w14:textId="25BB3C28" w:rsidR="00691EF6" w:rsidRPr="0023538E" w:rsidRDefault="00691EF6" w:rsidP="00691EF6">
      <w:pPr>
        <w:spacing w:before="200"/>
      </w:pPr>
      <w:r w:rsidRPr="0023538E">
        <w:t>18076/13 Kom</w:t>
      </w:r>
      <w:r w:rsidR="00D71C2F">
        <w:t>m</w:t>
      </w:r>
      <w:r w:rsidRPr="0023538E">
        <w:t>issionens rapport till Europaparlamentet och rådet om frivillig märkning av öprodukter</w:t>
      </w:r>
    </w:p>
    <w:p w14:paraId="15B3C0A9" w14:textId="77777777" w:rsidR="00691EF6" w:rsidRDefault="00691EF6" w:rsidP="00691EF6">
      <w:pPr>
        <w:pStyle w:val="RKnormal"/>
        <w:rPr>
          <w:i/>
          <w:iCs/>
        </w:rPr>
      </w:pPr>
    </w:p>
    <w:p w14:paraId="2BF2D3FC" w14:textId="77777777" w:rsidR="00691EF6" w:rsidRDefault="00691EF6" w:rsidP="00691EF6">
      <w:pPr>
        <w:pStyle w:val="RKnormal"/>
        <w:rPr>
          <w:i/>
          <w:iCs/>
        </w:rPr>
      </w:pPr>
      <w:r>
        <w:rPr>
          <w:i/>
          <w:iCs/>
        </w:rPr>
        <w:t>Rättslig grund</w:t>
      </w:r>
    </w:p>
    <w:p w14:paraId="1DBB340E" w14:textId="77777777" w:rsidR="00691EF6" w:rsidRDefault="00691EF6" w:rsidP="00691EF6">
      <w:pPr>
        <w:pStyle w:val="RKnormal"/>
        <w:rPr>
          <w:noProof/>
        </w:rPr>
      </w:pPr>
      <w:r w:rsidRPr="00643539">
        <w:rPr>
          <w:noProof/>
        </w:rPr>
        <w:lastRenderedPageBreak/>
        <w:t>Enligt artikel 32 i förordning (EU) nr 1151/2012 om kvalitetsordningar för jordbruksprodukter och livsmedel</w:t>
      </w:r>
      <w:r w:rsidRPr="00643539">
        <w:rPr>
          <w:rStyle w:val="Fotnotsreferens"/>
          <w:noProof/>
        </w:rPr>
        <w:footnoteReference w:id="2"/>
      </w:r>
      <w:r w:rsidRPr="00643539">
        <w:rPr>
          <w:noProof/>
        </w:rPr>
        <w:t xml:space="preserve"> ska kommissionen senast den 4 januari 2014 förelägga Europaparlamentet och rådet en rapport om behovet av en ny term, </w:t>
      </w:r>
      <w:r w:rsidRPr="00643539">
        <w:rPr>
          <w:i/>
          <w:noProof/>
        </w:rPr>
        <w:t>produkt från öjordbruk</w:t>
      </w:r>
      <w:r w:rsidRPr="00643539">
        <w:rPr>
          <w:noProof/>
        </w:rPr>
        <w:t>. Rapporten ska vid behov åtföljas av lämpliga lagstiftningsförslag.</w:t>
      </w:r>
    </w:p>
    <w:p w14:paraId="31C8B7D5" w14:textId="77777777" w:rsidR="00691EF6" w:rsidRDefault="00691EF6" w:rsidP="00691EF6">
      <w:pPr>
        <w:pStyle w:val="RKnormal"/>
        <w:rPr>
          <w:i/>
          <w:iCs/>
        </w:rPr>
      </w:pPr>
    </w:p>
    <w:p w14:paraId="7C412970" w14:textId="77777777" w:rsidR="00691EF6" w:rsidRDefault="00691EF6" w:rsidP="00691EF6">
      <w:pPr>
        <w:pStyle w:val="RKnormal"/>
        <w:rPr>
          <w:i/>
          <w:iCs/>
        </w:rPr>
      </w:pPr>
      <w:r>
        <w:rPr>
          <w:i/>
          <w:iCs/>
        </w:rPr>
        <w:t>Bakgrund</w:t>
      </w:r>
    </w:p>
    <w:p w14:paraId="6ADF9D54" w14:textId="7D5C43E4" w:rsidR="00691EF6" w:rsidRDefault="00691EF6" w:rsidP="00691EF6">
      <w:pPr>
        <w:pStyle w:val="RKnormal"/>
        <w:rPr>
          <w:iCs/>
        </w:rPr>
      </w:pPr>
      <w:r>
        <w:rPr>
          <w:iCs/>
        </w:rPr>
        <w:t>Förslag om märkning av jordbruksprodukter som produceras på öar introducerades i samband med reformen av EU:s kvalitetsordningar. Kommissionen har utvärderat behovet av EU-märkning utav produkter från öjordbruk och skriver i sin rapport om de nackdelar som överväger fördelarna</w:t>
      </w:r>
      <w:r w:rsidR="008225C1">
        <w:rPr>
          <w:iCs/>
        </w:rPr>
        <w:t>.</w:t>
      </w:r>
      <w:r>
        <w:rPr>
          <w:iCs/>
        </w:rPr>
        <w:t xml:space="preserve"> </w:t>
      </w:r>
      <w:r w:rsidR="008225C1">
        <w:rPr>
          <w:iCs/>
        </w:rPr>
        <w:t>D</w:t>
      </w:r>
      <w:r w:rsidRPr="00643539">
        <w:rPr>
          <w:noProof/>
          <w:szCs w:val="24"/>
        </w:rPr>
        <w:t xml:space="preserve">et faktum att det för närvarande inte finns några generiska märkningar för öprodukter </w:t>
      </w:r>
      <w:r w:rsidR="008225C1">
        <w:rPr>
          <w:noProof/>
          <w:szCs w:val="24"/>
        </w:rPr>
        <w:t>-</w:t>
      </w:r>
      <w:r w:rsidRPr="00643539">
        <w:rPr>
          <w:noProof/>
          <w:szCs w:val="24"/>
        </w:rPr>
        <w:t xml:space="preserve">märkning och reklam avser </w:t>
      </w:r>
      <w:r w:rsidRPr="0035195D">
        <w:rPr>
          <w:i/>
          <w:noProof/>
          <w:szCs w:val="24"/>
        </w:rPr>
        <w:t xml:space="preserve">specifika </w:t>
      </w:r>
      <w:r w:rsidRPr="0035195D">
        <w:rPr>
          <w:noProof/>
          <w:szCs w:val="24"/>
        </w:rPr>
        <w:t>öar</w:t>
      </w:r>
      <w:r w:rsidR="008225C1">
        <w:rPr>
          <w:noProof/>
          <w:szCs w:val="24"/>
        </w:rPr>
        <w:t xml:space="preserve"> - </w:t>
      </w:r>
      <w:r w:rsidRPr="00643539">
        <w:rPr>
          <w:noProof/>
          <w:szCs w:val="24"/>
        </w:rPr>
        <w:t>visar att öbegreppet inte anses vara tillräckligt starkt eller lämpligt för att förmedla särskilda budskap till konsumenterna.</w:t>
      </w:r>
    </w:p>
    <w:p w14:paraId="1FA39215" w14:textId="77777777" w:rsidR="00691EF6" w:rsidRDefault="00691EF6" w:rsidP="00691EF6">
      <w:pPr>
        <w:pStyle w:val="RKnormal"/>
        <w:rPr>
          <w:i/>
          <w:iCs/>
        </w:rPr>
      </w:pPr>
    </w:p>
    <w:p w14:paraId="6127FF20" w14:textId="77777777" w:rsidR="00691EF6" w:rsidRDefault="00691EF6" w:rsidP="00691EF6">
      <w:pPr>
        <w:pStyle w:val="RKnormal"/>
        <w:rPr>
          <w:i/>
          <w:iCs/>
        </w:rPr>
      </w:pPr>
      <w:r>
        <w:rPr>
          <w:i/>
          <w:iCs/>
        </w:rPr>
        <w:t>Förslag till svensk ståndpunkt</w:t>
      </w:r>
    </w:p>
    <w:p w14:paraId="5673641D" w14:textId="7611F962" w:rsidR="00691EF6" w:rsidRDefault="00D71C2F" w:rsidP="00691EF6">
      <w:pPr>
        <w:pStyle w:val="RKnormal"/>
      </w:pPr>
      <w:r>
        <w:t xml:space="preserve">Regeringens </w:t>
      </w:r>
      <w:r w:rsidR="00691EF6">
        <w:t xml:space="preserve">övergripande inställning till frivilliga allmänna märkningstermer är att restriktivitet bör råda vad gäller definition av allmänt hållna begrepp, som t.ex. att en produkt produceras på en ö. </w:t>
      </w:r>
    </w:p>
    <w:p w14:paraId="23D47F2F" w14:textId="77777777" w:rsidR="00691EF6" w:rsidRDefault="00691EF6" w:rsidP="00691EF6">
      <w:pPr>
        <w:pStyle w:val="RKnormal"/>
      </w:pPr>
    </w:p>
    <w:p w14:paraId="2A1FEEF7" w14:textId="2A992A34" w:rsidR="00691EF6" w:rsidRDefault="00D71C2F" w:rsidP="00691EF6">
      <w:pPr>
        <w:pStyle w:val="RKnormal"/>
      </w:pPr>
      <w:r>
        <w:t xml:space="preserve">Regeringen </w:t>
      </w:r>
      <w:r w:rsidR="00691EF6">
        <w:t>anser att kommissionens rapport på ett tydligt sätt påvisade nackdelarna med att utveckla denna typ av märkning på EU-nivå. Eventuella rådsslutsatser bör beakta de svårigheter som föreligger med denna typ av märkning.</w:t>
      </w:r>
    </w:p>
    <w:p w14:paraId="261F38BF" w14:textId="77777777" w:rsidR="00691EF6" w:rsidRDefault="00691EF6" w:rsidP="00691EF6">
      <w:pPr>
        <w:pStyle w:val="RKnormal"/>
        <w:rPr>
          <w:i/>
          <w:iCs/>
        </w:rPr>
      </w:pPr>
    </w:p>
    <w:p w14:paraId="16D0C803" w14:textId="77777777" w:rsidR="00691EF6" w:rsidRDefault="00691EF6" w:rsidP="00691EF6">
      <w:pPr>
        <w:pStyle w:val="RKnormal"/>
        <w:rPr>
          <w:i/>
          <w:iCs/>
        </w:rPr>
      </w:pPr>
      <w:r>
        <w:rPr>
          <w:i/>
          <w:iCs/>
        </w:rPr>
        <w:t>EU-nämnden och MJU</w:t>
      </w:r>
    </w:p>
    <w:p w14:paraId="6295DFA6" w14:textId="5B30C90A" w:rsidR="00691EF6" w:rsidRDefault="00691EF6" w:rsidP="00691EF6">
      <w:pPr>
        <w:pStyle w:val="RKnormal"/>
      </w:pPr>
      <w:r>
        <w:t xml:space="preserve">Frågan har inte </w:t>
      </w:r>
      <w:r w:rsidR="00D71C2F">
        <w:t xml:space="preserve">tidigare </w:t>
      </w:r>
      <w:r>
        <w:t xml:space="preserve">varit föremål för </w:t>
      </w:r>
      <w:r w:rsidR="00D71C2F">
        <w:t xml:space="preserve">samråd </w:t>
      </w:r>
      <w:r>
        <w:t xml:space="preserve">i EU-nämnden eller </w:t>
      </w:r>
      <w:r w:rsidR="00D71C2F">
        <w:t xml:space="preserve">information i </w:t>
      </w:r>
      <w:r>
        <w:t>MJU.</w:t>
      </w:r>
    </w:p>
    <w:p w14:paraId="3312D793" w14:textId="4C849AB7" w:rsidR="00526041" w:rsidRDefault="00526041" w:rsidP="00C9743F">
      <w:pPr>
        <w:pStyle w:val="RKrubrik"/>
        <w:ind w:left="1134" w:hanging="1134"/>
      </w:pPr>
    </w:p>
    <w:p w14:paraId="23CE13CF" w14:textId="7032499B" w:rsidR="00164AF2" w:rsidRPr="00381FAC" w:rsidRDefault="00164AF2" w:rsidP="00164AF2">
      <w:pPr>
        <w:pStyle w:val="PointManual"/>
        <w:rPr>
          <w:rFonts w:ascii="TradeGothic" w:hAnsi="TradeGothic"/>
          <w:b/>
          <w:sz w:val="22"/>
          <w:szCs w:val="22"/>
        </w:rPr>
      </w:pPr>
      <w:r w:rsidRPr="00164AF2">
        <w:rPr>
          <w:rFonts w:ascii="TradeGothic" w:hAnsi="TradeGothic"/>
          <w:b/>
          <w:sz w:val="22"/>
          <w:szCs w:val="22"/>
        </w:rPr>
        <w:t>8.</w:t>
      </w:r>
      <w:r>
        <w:t xml:space="preserve"> </w:t>
      </w:r>
      <w:r>
        <w:rPr>
          <w:rFonts w:ascii="TradeGothic" w:hAnsi="TradeGothic"/>
          <w:b/>
          <w:sz w:val="22"/>
          <w:szCs w:val="22"/>
        </w:rPr>
        <w:t xml:space="preserve">Rapport om mjölkpaketet och situationen inom mjölksektorn </w:t>
      </w:r>
    </w:p>
    <w:p w14:paraId="33DAB04F" w14:textId="0FE12B53" w:rsidR="00164AF2" w:rsidRPr="008C2DBF" w:rsidRDefault="00060605" w:rsidP="00164AF2">
      <w:pPr>
        <w:pStyle w:val="Liststycke"/>
        <w:numPr>
          <w:ilvl w:val="0"/>
          <w:numId w:val="19"/>
        </w:numPr>
        <w:rPr>
          <w:sz w:val="22"/>
          <w:szCs w:val="22"/>
        </w:rPr>
      </w:pPr>
      <w:r>
        <w:rPr>
          <w:b/>
          <w:bCs/>
          <w:i/>
          <w:sz w:val="22"/>
          <w:szCs w:val="22"/>
        </w:rPr>
        <w:t>Presentation av k</w:t>
      </w:r>
      <w:r w:rsidR="00164AF2" w:rsidRPr="008C2DBF">
        <w:rPr>
          <w:b/>
          <w:bCs/>
          <w:i/>
          <w:sz w:val="22"/>
          <w:szCs w:val="22"/>
        </w:rPr>
        <w:t>ommissionen</w:t>
      </w:r>
    </w:p>
    <w:p w14:paraId="2577FE25" w14:textId="77777777" w:rsidR="00556B60" w:rsidRDefault="00556B60" w:rsidP="00164AF2">
      <w:pPr>
        <w:pStyle w:val="RKnormal"/>
        <w:rPr>
          <w:i/>
          <w:iCs/>
        </w:rPr>
      </w:pPr>
    </w:p>
    <w:p w14:paraId="1BD1DF6E" w14:textId="77777777" w:rsidR="007B3033" w:rsidRDefault="007B3033" w:rsidP="007B3033">
      <w:pPr>
        <w:pStyle w:val="RKnormal"/>
        <w:rPr>
          <w:i/>
          <w:iCs/>
        </w:rPr>
      </w:pPr>
      <w:r>
        <w:rPr>
          <w:i/>
          <w:iCs/>
        </w:rPr>
        <w:t>Dokumentbeteckning</w:t>
      </w:r>
    </w:p>
    <w:p w14:paraId="5D75361B" w14:textId="77777777" w:rsidR="007B3033" w:rsidRDefault="007B3033" w:rsidP="007B3033">
      <w:pPr>
        <w:pStyle w:val="RKnormal"/>
      </w:pPr>
      <w:r>
        <w:t xml:space="preserve"> (ej inkommit) </w:t>
      </w:r>
    </w:p>
    <w:p w14:paraId="74A99E05" w14:textId="77777777" w:rsidR="007B3033" w:rsidRDefault="007B3033" w:rsidP="007B3033">
      <w:pPr>
        <w:pStyle w:val="RKnormal"/>
        <w:rPr>
          <w:i/>
          <w:iCs/>
        </w:rPr>
      </w:pPr>
    </w:p>
    <w:p w14:paraId="2A201B75" w14:textId="77777777" w:rsidR="007B3033" w:rsidRDefault="007B3033" w:rsidP="007B3033">
      <w:pPr>
        <w:pStyle w:val="RKnormal"/>
        <w:rPr>
          <w:i/>
          <w:iCs/>
        </w:rPr>
      </w:pPr>
      <w:r>
        <w:rPr>
          <w:i/>
          <w:iCs/>
        </w:rPr>
        <w:t>Rättslig grund</w:t>
      </w:r>
    </w:p>
    <w:p w14:paraId="2CCA11BA" w14:textId="77777777" w:rsidR="007B3033" w:rsidRDefault="007B3033" w:rsidP="007B3033">
      <w:pPr>
        <w:pStyle w:val="RKnormal"/>
        <w:numPr>
          <w:ilvl w:val="0"/>
          <w:numId w:val="20"/>
        </w:numPr>
        <w:tabs>
          <w:tab w:val="left" w:pos="1304"/>
        </w:tabs>
        <w:adjustRightInd/>
        <w:textAlignment w:val="auto"/>
      </w:pPr>
    </w:p>
    <w:p w14:paraId="5F16C537" w14:textId="77777777" w:rsidR="007B3033" w:rsidRDefault="007B3033" w:rsidP="007B3033">
      <w:pPr>
        <w:pStyle w:val="RKnormal"/>
        <w:rPr>
          <w:i/>
          <w:iCs/>
        </w:rPr>
      </w:pPr>
    </w:p>
    <w:p w14:paraId="0798B51D" w14:textId="77777777" w:rsidR="007B3033" w:rsidRDefault="007B3033" w:rsidP="007B3033">
      <w:pPr>
        <w:pStyle w:val="RKnormal"/>
        <w:rPr>
          <w:i/>
          <w:iCs/>
        </w:rPr>
      </w:pPr>
      <w:r>
        <w:rPr>
          <w:i/>
          <w:iCs/>
        </w:rPr>
        <w:t>Bakgrund</w:t>
      </w:r>
    </w:p>
    <w:p w14:paraId="0868BCC1" w14:textId="77777777" w:rsidR="007B3033" w:rsidRDefault="007B3033" w:rsidP="007B3033">
      <w:pPr>
        <w:pStyle w:val="RKnormal"/>
      </w:pPr>
    </w:p>
    <w:p w14:paraId="351DF9D4" w14:textId="1D040A91" w:rsidR="007B3033" w:rsidRDefault="007A1A2D" w:rsidP="007B3033">
      <w:pPr>
        <w:tabs>
          <w:tab w:val="left" w:pos="709"/>
          <w:tab w:val="left" w:pos="2835"/>
        </w:tabs>
        <w:spacing w:line="240" w:lineRule="atLeast"/>
      </w:pPr>
      <w:r>
        <w:t>Det</w:t>
      </w:r>
      <w:r w:rsidR="007B3033">
        <w:t xml:space="preserve"> så kallade mjölkpaketet</w:t>
      </w:r>
      <w:r>
        <w:t xml:space="preserve"> som antogs 2012 innehåller </w:t>
      </w:r>
      <w:r w:rsidR="007B3033">
        <w:t xml:space="preserve">bland annat regler om producentorganisationer och kontrakt inom mjölksektorn. Kommissionen förväntas nu presentera en rapport om mjölksektorns utveckling samt effekter av mjölkpaketet. Beslut om att fasa ut mjölkkvoterna till år 2015 fattades 2008 i den så kallade hälsokontrollen. I beslutet ingick att mjölkkvoterna skulle öka med 1 procent per år tom 2013 som en mjuklandning. Sverige utnyttjar omkring 80 </w:t>
      </w:r>
      <w:r w:rsidR="00663385">
        <w:t>procent av sin kvot, medan vissa medlems</w:t>
      </w:r>
      <w:r w:rsidR="007B3033">
        <w:t xml:space="preserve">länder ligger mycket nära eller över kvot. </w:t>
      </w:r>
    </w:p>
    <w:p w14:paraId="4F1A0F79" w14:textId="77777777" w:rsidR="00A70C08" w:rsidRDefault="00A70C08" w:rsidP="00A70C08">
      <w:pPr>
        <w:pStyle w:val="RKnormal"/>
        <w:rPr>
          <w:color w:val="1F497D"/>
        </w:rPr>
      </w:pPr>
    </w:p>
    <w:p w14:paraId="58672499" w14:textId="35D070E5" w:rsidR="00A70C08" w:rsidRPr="00A70C08" w:rsidRDefault="00A70C08" w:rsidP="00A70C08">
      <w:pPr>
        <w:pStyle w:val="RKnormal"/>
      </w:pPr>
      <w:r w:rsidRPr="00A70C08">
        <w:t>Det finns medlemsstater och andra intressenter som vill införa nya marknads- och utbudsregleringar samt förstärka kris- och riskhanteringsinstrument. Detta framkom bland annat vid den konferens som Kommissionen höll i september 2013 och som behandlade utmaningar för den europeiska mjölksektorn efter att mjölkkvoterna tas bort under 2015.</w:t>
      </w:r>
    </w:p>
    <w:p w14:paraId="73E95412" w14:textId="77777777" w:rsidR="007B3033" w:rsidRDefault="007B3033" w:rsidP="007B3033">
      <w:pPr>
        <w:pStyle w:val="RKnormal"/>
        <w:rPr>
          <w:i/>
          <w:iCs/>
        </w:rPr>
      </w:pPr>
    </w:p>
    <w:p w14:paraId="594B3E15" w14:textId="77777777" w:rsidR="007B3033" w:rsidRDefault="007B3033" w:rsidP="007B3033">
      <w:pPr>
        <w:pStyle w:val="RKnormal"/>
        <w:rPr>
          <w:i/>
          <w:iCs/>
        </w:rPr>
      </w:pPr>
      <w:r>
        <w:rPr>
          <w:i/>
          <w:iCs/>
        </w:rPr>
        <w:t>Förslag till svensk ståndpunkt</w:t>
      </w:r>
    </w:p>
    <w:p w14:paraId="1534E256" w14:textId="77777777" w:rsidR="00A70C08" w:rsidRPr="00A70C08" w:rsidRDefault="00A70C08" w:rsidP="00A70C08">
      <w:r w:rsidRPr="00A70C08">
        <w:t>Regeringen anser att EU-regelverk liksom nationell lagstiftning bör ge företagen goda och enkla villkor att bedriva sin verksamhet på marknadens villkor.</w:t>
      </w:r>
    </w:p>
    <w:p w14:paraId="02BEF6C5" w14:textId="77777777" w:rsidR="00317314" w:rsidRDefault="00317314" w:rsidP="00317314">
      <w:pPr>
        <w:pStyle w:val="RKnormal"/>
        <w:rPr>
          <w:szCs w:val="24"/>
          <w:lang w:eastAsia="sv-SE"/>
        </w:rPr>
      </w:pPr>
    </w:p>
    <w:p w14:paraId="45708F74" w14:textId="4F0A36E8" w:rsidR="00317314" w:rsidRDefault="00317314" w:rsidP="00317314">
      <w:pPr>
        <w:pStyle w:val="RKnormal"/>
        <w:rPr>
          <w:szCs w:val="24"/>
          <w:lang w:eastAsia="sv-SE"/>
        </w:rPr>
      </w:pPr>
      <w:r w:rsidRPr="007C20FB">
        <w:rPr>
          <w:szCs w:val="24"/>
          <w:lang w:eastAsia="sv-SE"/>
        </w:rPr>
        <w:t>Vad gäller mjuklandning</w:t>
      </w:r>
      <w:r>
        <w:rPr>
          <w:szCs w:val="24"/>
          <w:lang w:eastAsia="sv-SE"/>
        </w:rPr>
        <w:t>en inför att mjölkkvoterna slutligen tas bort har regeringen</w:t>
      </w:r>
      <w:r w:rsidRPr="007C20FB">
        <w:rPr>
          <w:szCs w:val="24"/>
          <w:lang w:eastAsia="sv-SE"/>
        </w:rPr>
        <w:t xml:space="preserve"> inget emot att de länder som har goda förutsättningar för mjölkproduktion tillåts producera mer mjölk. Samtidigt bedöms det finnas</w:t>
      </w:r>
      <w:r>
        <w:rPr>
          <w:szCs w:val="24"/>
          <w:lang w:eastAsia="sv-SE"/>
        </w:rPr>
        <w:t xml:space="preserve"> </w:t>
      </w:r>
      <w:r w:rsidRPr="007C20FB">
        <w:rPr>
          <w:szCs w:val="24"/>
          <w:lang w:eastAsia="sv-SE"/>
        </w:rPr>
        <w:t xml:space="preserve">risker med att </w:t>
      </w:r>
      <w:r w:rsidRPr="007C20FB">
        <w:rPr>
          <w:szCs w:val="24"/>
          <w:lang w:eastAsia="sv-SE"/>
        </w:rPr>
        <w:lastRenderedPageBreak/>
        <w:t xml:space="preserve">bryta upp överenskommelsen om utfasningen, inte minst eftersom det </w:t>
      </w:r>
      <w:r w:rsidR="007A1A2D">
        <w:rPr>
          <w:szCs w:val="24"/>
          <w:lang w:eastAsia="sv-SE"/>
        </w:rPr>
        <w:t>finns medlemsstater</w:t>
      </w:r>
      <w:r>
        <w:rPr>
          <w:szCs w:val="24"/>
          <w:lang w:eastAsia="sv-SE"/>
        </w:rPr>
        <w:t xml:space="preserve"> </w:t>
      </w:r>
      <w:r w:rsidRPr="007C20FB">
        <w:rPr>
          <w:szCs w:val="24"/>
          <w:lang w:eastAsia="sv-SE"/>
        </w:rPr>
        <w:t xml:space="preserve">som försöker få till stånd nya </w:t>
      </w:r>
      <w:r w:rsidR="007A1A2D">
        <w:rPr>
          <w:szCs w:val="24"/>
          <w:lang w:eastAsia="sv-SE"/>
        </w:rPr>
        <w:t>regler för att kontrollera utbudet.</w:t>
      </w:r>
    </w:p>
    <w:p w14:paraId="5D61342E" w14:textId="77777777" w:rsidR="007B3033" w:rsidRDefault="007B3033" w:rsidP="007B3033">
      <w:pPr>
        <w:pStyle w:val="RKnormal"/>
        <w:rPr>
          <w:szCs w:val="24"/>
          <w:lang w:eastAsia="sv-SE"/>
        </w:rPr>
      </w:pPr>
    </w:p>
    <w:p w14:paraId="751B9F1A" w14:textId="2B19E659" w:rsidR="007B3033" w:rsidRDefault="007B3033" w:rsidP="007B3033">
      <w:pPr>
        <w:pStyle w:val="RKnormal"/>
      </w:pPr>
      <w:r>
        <w:t>Regeringen har en i grunden restriktiv inställning till krisåtgärder och anser att befintliga instrument är tillräckliga.</w:t>
      </w:r>
    </w:p>
    <w:p w14:paraId="0A15AC97" w14:textId="77777777" w:rsidR="00164AF2" w:rsidRDefault="00164AF2" w:rsidP="00164AF2"/>
    <w:p w14:paraId="158CBC83" w14:textId="77777777" w:rsidR="0062521C" w:rsidRPr="0062521C" w:rsidRDefault="007E0D68" w:rsidP="0062521C">
      <w:pPr>
        <w:overflowPunct/>
        <w:autoSpaceDE/>
        <w:autoSpaceDN/>
        <w:adjustRightInd/>
        <w:spacing w:line="240" w:lineRule="auto"/>
        <w:ind w:left="567" w:hanging="567"/>
        <w:textAlignment w:val="auto"/>
        <w:rPr>
          <w:rFonts w:ascii="TradeGothic" w:hAnsi="TradeGothic"/>
          <w:b/>
          <w:sz w:val="22"/>
          <w:szCs w:val="22"/>
        </w:rPr>
      </w:pPr>
      <w:r w:rsidRPr="0062521C">
        <w:rPr>
          <w:rFonts w:ascii="TradeGothic" w:hAnsi="TradeGothic"/>
          <w:b/>
          <w:sz w:val="22"/>
          <w:szCs w:val="22"/>
        </w:rPr>
        <w:t xml:space="preserve"> </w:t>
      </w:r>
      <w:r w:rsidR="0062521C" w:rsidRPr="0035195D">
        <w:rPr>
          <w:rFonts w:ascii="TradeGothic" w:eastAsia="Calibri" w:hAnsi="TradeGothic"/>
          <w:b/>
          <w:sz w:val="22"/>
          <w:szCs w:val="22"/>
        </w:rPr>
        <w:t xml:space="preserve">9. </w:t>
      </w:r>
      <w:r w:rsidR="0062521C" w:rsidRPr="0035195D">
        <w:rPr>
          <w:rFonts w:ascii="TradeGothic" w:eastAsia="Calibri" w:hAnsi="TradeGothic"/>
          <w:b/>
          <w:sz w:val="22"/>
          <w:szCs w:val="22"/>
        </w:rPr>
        <w:tab/>
        <w:t xml:space="preserve">(ev.) </w:t>
      </w:r>
      <w:r w:rsidR="0062521C" w:rsidRPr="0062521C">
        <w:rPr>
          <w:rFonts w:ascii="TradeGothic" w:hAnsi="TradeGothic"/>
          <w:b/>
          <w:sz w:val="22"/>
          <w:szCs w:val="22"/>
        </w:rPr>
        <w:t xml:space="preserve">Rekommendationer till ett rådsbeslut om mandat för förhandlingar om handel med ekologiska produkter i tredje land </w:t>
      </w:r>
    </w:p>
    <w:p w14:paraId="5328B0F3" w14:textId="77777777" w:rsidR="0062521C" w:rsidRPr="0035195D" w:rsidRDefault="0062521C" w:rsidP="0062521C">
      <w:pPr>
        <w:overflowPunct/>
        <w:autoSpaceDE/>
        <w:autoSpaceDN/>
        <w:adjustRightInd/>
        <w:spacing w:line="240" w:lineRule="auto"/>
        <w:ind w:left="567" w:hanging="567"/>
        <w:textAlignment w:val="auto"/>
        <w:rPr>
          <w:rFonts w:ascii="Times New Roman" w:eastAsia="Calibri" w:hAnsi="Times New Roman"/>
          <w:i/>
          <w:szCs w:val="24"/>
        </w:rPr>
      </w:pPr>
      <w:r w:rsidRPr="0062521C">
        <w:rPr>
          <w:i/>
        </w:rPr>
        <w:tab/>
        <w:t>-antagande</w:t>
      </w:r>
    </w:p>
    <w:p w14:paraId="5B193F6E" w14:textId="77777777" w:rsidR="0062521C" w:rsidRDefault="0062521C" w:rsidP="0062521C">
      <w:pPr>
        <w:pStyle w:val="RKnormal"/>
        <w:rPr>
          <w:i/>
          <w:iCs/>
        </w:rPr>
      </w:pPr>
    </w:p>
    <w:p w14:paraId="72A3410A" w14:textId="77777777" w:rsidR="0062521C" w:rsidRDefault="0062521C" w:rsidP="0062521C">
      <w:pPr>
        <w:pStyle w:val="RKnormal"/>
        <w:rPr>
          <w:i/>
          <w:iCs/>
        </w:rPr>
      </w:pPr>
      <w:r>
        <w:rPr>
          <w:i/>
          <w:iCs/>
        </w:rPr>
        <w:t>Dokumentbeteckning</w:t>
      </w:r>
    </w:p>
    <w:p w14:paraId="7C0313EA" w14:textId="77777777" w:rsidR="0062521C" w:rsidRPr="00A00236" w:rsidRDefault="0062521C" w:rsidP="0062521C">
      <w:r>
        <w:t>Inga dokument ännu.</w:t>
      </w:r>
    </w:p>
    <w:p w14:paraId="1D1FFECE" w14:textId="77777777" w:rsidR="0062521C" w:rsidRDefault="0062521C" w:rsidP="0062521C">
      <w:pPr>
        <w:pStyle w:val="RKnormal"/>
        <w:rPr>
          <w:i/>
          <w:iCs/>
        </w:rPr>
      </w:pPr>
    </w:p>
    <w:p w14:paraId="6F7EF5FB" w14:textId="77777777" w:rsidR="0062521C" w:rsidRDefault="0062521C" w:rsidP="0062521C">
      <w:pPr>
        <w:pStyle w:val="RKnormal"/>
        <w:rPr>
          <w:i/>
          <w:iCs/>
        </w:rPr>
      </w:pPr>
      <w:r>
        <w:rPr>
          <w:i/>
          <w:iCs/>
        </w:rPr>
        <w:t>Rättslig grund</w:t>
      </w:r>
    </w:p>
    <w:p w14:paraId="74AF9385" w14:textId="008BD449" w:rsidR="0062521C" w:rsidRPr="00583BF7" w:rsidRDefault="0062521C" w:rsidP="0062521C">
      <w:r w:rsidRPr="00583BF7">
        <w:t xml:space="preserve">Artikel 207 </w:t>
      </w:r>
      <w:r w:rsidR="00FC7996">
        <w:t xml:space="preserve">och 218 </w:t>
      </w:r>
      <w:r w:rsidRPr="00583BF7">
        <w:t>i EUF-fördraget.</w:t>
      </w:r>
      <w:r w:rsidR="00286E11">
        <w:t xml:space="preserve"> </w:t>
      </w:r>
      <w:r w:rsidR="00FC7996">
        <w:t>Rådet bemyndigar själva kommissionen att inleda förhandlingar. Beslut fattas med kvalificerad majoritet.</w:t>
      </w:r>
    </w:p>
    <w:p w14:paraId="0EBB4064" w14:textId="77777777" w:rsidR="0062521C" w:rsidRDefault="0062521C" w:rsidP="0062521C">
      <w:pPr>
        <w:pStyle w:val="RKnormal"/>
        <w:rPr>
          <w:i/>
          <w:iCs/>
        </w:rPr>
      </w:pPr>
    </w:p>
    <w:p w14:paraId="40A20589" w14:textId="77777777" w:rsidR="0062521C" w:rsidRDefault="0062521C" w:rsidP="0062521C">
      <w:pPr>
        <w:pStyle w:val="RKnormal"/>
        <w:rPr>
          <w:i/>
          <w:iCs/>
        </w:rPr>
      </w:pPr>
      <w:r>
        <w:rPr>
          <w:i/>
          <w:iCs/>
        </w:rPr>
        <w:t>Bakgrund</w:t>
      </w:r>
    </w:p>
    <w:p w14:paraId="22BB1E01" w14:textId="77777777" w:rsidR="0062521C" w:rsidRPr="009438BD" w:rsidRDefault="0062521C" w:rsidP="0062521C">
      <w:pPr>
        <w:pStyle w:val="RKnormal"/>
        <w:rPr>
          <w:iCs/>
        </w:rPr>
      </w:pPr>
      <w:r w:rsidRPr="009438BD">
        <w:rPr>
          <w:iCs/>
        </w:rPr>
        <w:t>I kommissionens förordning (EG) nr 1235/2008</w:t>
      </w:r>
      <w:r w:rsidRPr="009438BD">
        <w:rPr>
          <w:iCs/>
          <w:vertAlign w:val="superscript"/>
        </w:rPr>
        <w:footnoteReference w:id="3"/>
      </w:r>
      <w:r w:rsidRPr="009438BD">
        <w:rPr>
          <w:iCs/>
        </w:rPr>
        <w:t xml:space="preserve"> fastställs tillämpningsföreskrifter för förfarandet för erkännande av tredjeländer när det gäller likvärdighet (</w:t>
      </w:r>
      <w:r w:rsidRPr="0035195D">
        <w:rPr>
          <w:iCs/>
        </w:rPr>
        <w:t>equivalence)</w:t>
      </w:r>
      <w:r w:rsidRPr="009438BD">
        <w:rPr>
          <w:iCs/>
        </w:rPr>
        <w:t xml:space="preserve"> i enlighet med artikel 33.2 förordning (EG) nr 834/2007.</w:t>
      </w:r>
    </w:p>
    <w:p w14:paraId="7F7ADFE8" w14:textId="77777777" w:rsidR="0062521C" w:rsidRPr="009438BD" w:rsidRDefault="0062521C" w:rsidP="0062521C">
      <w:pPr>
        <w:pStyle w:val="RKnormal"/>
        <w:rPr>
          <w:iCs/>
        </w:rPr>
      </w:pPr>
    </w:p>
    <w:p w14:paraId="27ECB56D" w14:textId="77777777" w:rsidR="0062521C" w:rsidRPr="009438BD" w:rsidRDefault="0062521C" w:rsidP="0062521C">
      <w:pPr>
        <w:pStyle w:val="RKnormal"/>
        <w:rPr>
          <w:iCs/>
        </w:rPr>
      </w:pPr>
      <w:r w:rsidRPr="009438BD">
        <w:rPr>
          <w:iCs/>
        </w:rPr>
        <w:t>I Europeiska unionens rådsslutsatser om ekologiskt jordbruk från mötet i rådet (jordbruk och fiske) den 13–14 maj 2013 uppmanades kommissionen att förbättra de befintliga mekanismerna för att underlätta den internationella handeln med ekologiska produkter och kräva ömsesidighet och öppenhet i alla handelsavtal.</w:t>
      </w:r>
    </w:p>
    <w:p w14:paraId="3EF8F0E3" w14:textId="77777777" w:rsidR="0062521C" w:rsidRPr="009438BD" w:rsidRDefault="0062521C" w:rsidP="0062521C">
      <w:pPr>
        <w:pStyle w:val="RKnormal"/>
        <w:rPr>
          <w:iCs/>
        </w:rPr>
      </w:pPr>
    </w:p>
    <w:p w14:paraId="6F3E0995" w14:textId="7BB53E49" w:rsidR="0062521C" w:rsidRPr="009438BD" w:rsidRDefault="0062521C" w:rsidP="0062521C">
      <w:pPr>
        <w:pStyle w:val="RKnormal"/>
        <w:rPr>
          <w:iCs/>
        </w:rPr>
      </w:pPr>
      <w:r w:rsidRPr="009438BD">
        <w:rPr>
          <w:iCs/>
        </w:rPr>
        <w:t xml:space="preserve">Kommissionen framhåller </w:t>
      </w:r>
      <w:r w:rsidR="00A555B7">
        <w:rPr>
          <w:iCs/>
        </w:rPr>
        <w:t>i</w:t>
      </w:r>
      <w:r w:rsidRPr="009438BD">
        <w:rPr>
          <w:iCs/>
        </w:rPr>
        <w:t xml:space="preserve"> den pågående översynen av regelverket för den ekologiska p</w:t>
      </w:r>
      <w:r>
        <w:rPr>
          <w:iCs/>
        </w:rPr>
        <w:t xml:space="preserve">roduktionssektorn </w:t>
      </w:r>
      <w:r w:rsidR="00A555B7">
        <w:rPr>
          <w:iCs/>
        </w:rPr>
        <w:t xml:space="preserve">att den </w:t>
      </w:r>
      <w:r>
        <w:rPr>
          <w:iCs/>
        </w:rPr>
        <w:t>har uppenbara</w:t>
      </w:r>
      <w:r w:rsidRPr="009438BD">
        <w:rPr>
          <w:iCs/>
        </w:rPr>
        <w:t xml:space="preserve"> brister i det befintliga systemet för erkännande av tredjeländer när det gäller likvärdighet. </w:t>
      </w:r>
      <w:r w:rsidR="00A555B7">
        <w:rPr>
          <w:iCs/>
        </w:rPr>
        <w:t xml:space="preserve">I syfte att skapa lika villkor för </w:t>
      </w:r>
      <w:r w:rsidR="00F924EA">
        <w:rPr>
          <w:iCs/>
        </w:rPr>
        <w:t>handel med ekologiska produkter föreslås</w:t>
      </w:r>
      <w:r w:rsidR="00A555B7">
        <w:rPr>
          <w:iCs/>
        </w:rPr>
        <w:t xml:space="preserve"> </w:t>
      </w:r>
      <w:r w:rsidR="00F924EA">
        <w:rPr>
          <w:iCs/>
        </w:rPr>
        <w:t xml:space="preserve">att rådet ger kommissionen mandat att förhandla internationella handelsavtal för dessa produkter. </w:t>
      </w:r>
    </w:p>
    <w:p w14:paraId="3A028028" w14:textId="77777777" w:rsidR="0062521C" w:rsidRPr="009438BD" w:rsidRDefault="0062521C" w:rsidP="0062521C">
      <w:pPr>
        <w:pStyle w:val="RKnormal"/>
        <w:rPr>
          <w:iCs/>
        </w:rPr>
      </w:pPr>
    </w:p>
    <w:p w14:paraId="7730C805" w14:textId="77777777" w:rsidR="0062521C" w:rsidRDefault="0062521C" w:rsidP="0062521C">
      <w:pPr>
        <w:pStyle w:val="RKnormal"/>
        <w:rPr>
          <w:i/>
          <w:iCs/>
        </w:rPr>
      </w:pPr>
    </w:p>
    <w:p w14:paraId="25765451" w14:textId="77777777" w:rsidR="0062521C" w:rsidRDefault="0062521C" w:rsidP="0062521C">
      <w:pPr>
        <w:pStyle w:val="RKnormal"/>
        <w:rPr>
          <w:i/>
          <w:iCs/>
        </w:rPr>
      </w:pPr>
      <w:r>
        <w:rPr>
          <w:i/>
          <w:iCs/>
        </w:rPr>
        <w:t>Förslag till svensk ståndpunkt</w:t>
      </w:r>
    </w:p>
    <w:p w14:paraId="478D5B80" w14:textId="351F61E0" w:rsidR="0062521C" w:rsidRDefault="0062521C" w:rsidP="0062521C">
      <w:pPr>
        <w:pStyle w:val="RKnormal"/>
        <w:rPr>
          <w:iCs/>
        </w:rPr>
      </w:pPr>
      <w:r>
        <w:rPr>
          <w:iCs/>
        </w:rPr>
        <w:t xml:space="preserve">Regeringen kan stödja att kommissionen ges mandat att </w:t>
      </w:r>
      <w:r w:rsidRPr="00A5773C">
        <w:rPr>
          <w:iCs/>
        </w:rPr>
        <w:t>förhandla internationella handelsavtal vad gäller ekologiska produkter.</w:t>
      </w:r>
      <w:r>
        <w:rPr>
          <w:iCs/>
        </w:rPr>
        <w:t xml:space="preserve"> Regeringen vill verka för en förenklad </w:t>
      </w:r>
      <w:r w:rsidRPr="009438BD">
        <w:rPr>
          <w:iCs/>
        </w:rPr>
        <w:t>handel med tredje la</w:t>
      </w:r>
      <w:r>
        <w:rPr>
          <w:iCs/>
        </w:rPr>
        <w:t>nd som bidrar till en ökad tillgång av</w:t>
      </w:r>
      <w:r w:rsidRPr="009438BD">
        <w:rPr>
          <w:iCs/>
        </w:rPr>
        <w:t xml:space="preserve"> ekologiska produkter</w:t>
      </w:r>
      <w:r>
        <w:rPr>
          <w:iCs/>
        </w:rPr>
        <w:t xml:space="preserve"> och lägre priser för konsumenten</w:t>
      </w:r>
      <w:r w:rsidRPr="009438BD">
        <w:rPr>
          <w:iCs/>
        </w:rPr>
        <w:t xml:space="preserve">. </w:t>
      </w:r>
      <w:r>
        <w:rPr>
          <w:iCs/>
        </w:rPr>
        <w:t xml:space="preserve">Likaså anser regeringen att det är av stor vikt att </w:t>
      </w:r>
      <w:r w:rsidRPr="002B6462">
        <w:rPr>
          <w:iCs/>
        </w:rPr>
        <w:t>ex</w:t>
      </w:r>
      <w:r>
        <w:rPr>
          <w:iCs/>
        </w:rPr>
        <w:t>portörer i utvecklingsländer ska</w:t>
      </w:r>
      <w:r w:rsidRPr="002B6462">
        <w:rPr>
          <w:iCs/>
        </w:rPr>
        <w:t xml:space="preserve"> kunna konkurrera på marknader för ekologisk</w:t>
      </w:r>
      <w:r>
        <w:rPr>
          <w:iCs/>
        </w:rPr>
        <w:t>a</w:t>
      </w:r>
      <w:r w:rsidRPr="002B6462">
        <w:rPr>
          <w:iCs/>
        </w:rPr>
        <w:t xml:space="preserve"> produk</w:t>
      </w:r>
      <w:r>
        <w:rPr>
          <w:iCs/>
        </w:rPr>
        <w:t>ter.</w:t>
      </w:r>
      <w:r w:rsidRPr="0034060B">
        <w:t xml:space="preserve"> </w:t>
      </w:r>
    </w:p>
    <w:p w14:paraId="14FC208F" w14:textId="77777777" w:rsidR="0062521C" w:rsidRDefault="0062521C" w:rsidP="0062521C">
      <w:pPr>
        <w:pStyle w:val="RKnormal"/>
        <w:rPr>
          <w:iCs/>
        </w:rPr>
      </w:pPr>
    </w:p>
    <w:p w14:paraId="2779C65F" w14:textId="77777777" w:rsidR="0062521C" w:rsidRDefault="0062521C" w:rsidP="0062521C">
      <w:pPr>
        <w:pStyle w:val="RKnormal"/>
        <w:rPr>
          <w:i/>
          <w:iCs/>
        </w:rPr>
      </w:pPr>
    </w:p>
    <w:p w14:paraId="05BBFBBD" w14:textId="77777777" w:rsidR="0062521C" w:rsidRDefault="0062521C" w:rsidP="0062521C">
      <w:pPr>
        <w:pStyle w:val="RKnormal"/>
        <w:rPr>
          <w:i/>
          <w:iCs/>
        </w:rPr>
      </w:pPr>
      <w:r>
        <w:rPr>
          <w:i/>
          <w:iCs/>
        </w:rPr>
        <w:t>EU-nämnden och MJU</w:t>
      </w:r>
    </w:p>
    <w:p w14:paraId="17B5313E" w14:textId="77777777" w:rsidR="0062521C" w:rsidRDefault="0062521C" w:rsidP="0062521C">
      <w:pPr>
        <w:pStyle w:val="RKnormal"/>
      </w:pPr>
      <w:r>
        <w:t>Frågan har inte tidigare varit föremål för samråd med EU-nämnden eller information i MJU.</w:t>
      </w:r>
    </w:p>
    <w:p w14:paraId="127BD483" w14:textId="77777777" w:rsidR="006843F9" w:rsidRDefault="006843F9" w:rsidP="00200B6D">
      <w:pPr>
        <w:pStyle w:val="RKrubrik"/>
        <w:ind w:left="1134" w:hanging="1134"/>
      </w:pPr>
    </w:p>
    <w:p w14:paraId="745FC947" w14:textId="6AC0A8FD" w:rsidR="005D3A5A" w:rsidRPr="00200B6D" w:rsidRDefault="00526041" w:rsidP="00200B6D">
      <w:pPr>
        <w:pStyle w:val="RKrubrik"/>
        <w:ind w:left="1134" w:hanging="1134"/>
        <w:rPr>
          <w:szCs w:val="22"/>
        </w:rPr>
      </w:pPr>
      <w:r>
        <w:t>10</w:t>
      </w:r>
      <w:r w:rsidR="005D3A5A">
        <w:t xml:space="preserve">. </w:t>
      </w:r>
      <w:r w:rsidR="005D3A5A" w:rsidRPr="005D3A5A">
        <w:rPr>
          <w:szCs w:val="22"/>
        </w:rPr>
        <w:t>Nationell</w:t>
      </w:r>
      <w:r w:rsidR="00200B6D">
        <w:rPr>
          <w:szCs w:val="22"/>
        </w:rPr>
        <w:t>t genomförande av reformen av den gemensamma jordbrukspolitiken</w:t>
      </w:r>
      <w:r w:rsidR="005D3A5A" w:rsidRPr="005D3A5A">
        <w:rPr>
          <w:szCs w:val="22"/>
        </w:rPr>
        <w:t xml:space="preserve"> – utbyte av åsikter</w:t>
      </w:r>
    </w:p>
    <w:p w14:paraId="65AEC2FB" w14:textId="77777777" w:rsidR="00682290" w:rsidRDefault="00682290" w:rsidP="00682290"/>
    <w:p w14:paraId="7C7B0540" w14:textId="77777777" w:rsidR="00682290" w:rsidRDefault="00682290" w:rsidP="00682290">
      <w:pPr>
        <w:pStyle w:val="RKnormal"/>
        <w:rPr>
          <w:i/>
          <w:iCs/>
        </w:rPr>
      </w:pPr>
      <w:r>
        <w:rPr>
          <w:i/>
          <w:iCs/>
        </w:rPr>
        <w:t>Dokumentbeteckning</w:t>
      </w:r>
    </w:p>
    <w:p w14:paraId="168561F0" w14:textId="77777777" w:rsidR="00682290" w:rsidRDefault="00682290" w:rsidP="00682290">
      <w:pPr>
        <w:pStyle w:val="RKnormal"/>
        <w:numPr>
          <w:ilvl w:val="0"/>
          <w:numId w:val="18"/>
        </w:numPr>
        <w:tabs>
          <w:tab w:val="clear" w:pos="2835"/>
        </w:tabs>
        <w:adjustRightInd/>
        <w:textAlignment w:val="auto"/>
      </w:pPr>
    </w:p>
    <w:p w14:paraId="160AE711" w14:textId="77777777" w:rsidR="00682290" w:rsidRDefault="00682290" w:rsidP="00682290">
      <w:pPr>
        <w:pStyle w:val="RKnormal"/>
        <w:rPr>
          <w:i/>
          <w:iCs/>
        </w:rPr>
      </w:pPr>
    </w:p>
    <w:p w14:paraId="3B4F3777" w14:textId="23EF2E23" w:rsidR="00682290" w:rsidRDefault="00682290" w:rsidP="00682290">
      <w:pPr>
        <w:pStyle w:val="RKnormal"/>
        <w:rPr>
          <w:i/>
          <w:iCs/>
        </w:rPr>
      </w:pPr>
      <w:r>
        <w:rPr>
          <w:i/>
          <w:iCs/>
        </w:rPr>
        <w:t>Rättslig grund</w:t>
      </w:r>
    </w:p>
    <w:p w14:paraId="07AA1B8A" w14:textId="7EBE5734" w:rsidR="00682290" w:rsidRDefault="00682290" w:rsidP="00682290">
      <w:pPr>
        <w:pStyle w:val="RKnormal"/>
        <w:rPr>
          <w:i/>
          <w:iCs/>
        </w:rPr>
      </w:pPr>
      <w:r>
        <w:rPr>
          <w:i/>
          <w:iCs/>
        </w:rPr>
        <w:t>-</w:t>
      </w:r>
    </w:p>
    <w:p w14:paraId="19B99511" w14:textId="77777777" w:rsidR="005D3A5A" w:rsidRPr="005D3A5A" w:rsidRDefault="005D3A5A" w:rsidP="005D3A5A">
      <w:pPr>
        <w:pStyle w:val="Rubrik2"/>
        <w:rPr>
          <w:rFonts w:ascii="OrigGarmnd BT" w:hAnsi="OrigGarmnd BT"/>
          <w:b w:val="0"/>
          <w:i/>
          <w:color w:val="auto"/>
          <w:sz w:val="24"/>
          <w:szCs w:val="24"/>
        </w:rPr>
      </w:pPr>
      <w:r w:rsidRPr="005D3A5A">
        <w:rPr>
          <w:rFonts w:ascii="OrigGarmnd BT" w:hAnsi="OrigGarmnd BT"/>
          <w:b w:val="0"/>
          <w:i/>
          <w:color w:val="auto"/>
          <w:sz w:val="24"/>
          <w:szCs w:val="24"/>
        </w:rPr>
        <w:lastRenderedPageBreak/>
        <w:t>Bakgrund</w:t>
      </w:r>
    </w:p>
    <w:p w14:paraId="7F9872C8" w14:textId="4287DBEF" w:rsidR="005D3A5A" w:rsidRPr="005D3A5A" w:rsidRDefault="00200B6D" w:rsidP="005D3A5A">
      <w:pPr>
        <w:pStyle w:val="RKnormal"/>
        <w:rPr>
          <w:szCs w:val="24"/>
        </w:rPr>
      </w:pPr>
      <w:r>
        <w:rPr>
          <w:szCs w:val="24"/>
        </w:rPr>
        <w:t>Reformen av den gemensamma jordbrukspolitiken (GJP)</w:t>
      </w:r>
      <w:r w:rsidR="005D3A5A" w:rsidRPr="005D3A5A">
        <w:rPr>
          <w:szCs w:val="24"/>
        </w:rPr>
        <w:t xml:space="preserve"> ger upphov till en rad nationella beslut. Störst frihet har medlemsstaterna i utformandet av ett nytt nationellt landsbygdspr</w:t>
      </w:r>
      <w:r>
        <w:rPr>
          <w:szCs w:val="24"/>
        </w:rPr>
        <w:t>ogram men även inom direktstödssystemet</w:t>
      </w:r>
      <w:r w:rsidR="005D3A5A" w:rsidRPr="005D3A5A">
        <w:rPr>
          <w:szCs w:val="24"/>
        </w:rPr>
        <w:t xml:space="preserve"> ges flera möjligheter till nationella val. Flertalet av valen </w:t>
      </w:r>
      <w:r>
        <w:rPr>
          <w:szCs w:val="24"/>
        </w:rPr>
        <w:t>vad gäller</w:t>
      </w:r>
      <w:r w:rsidR="005D3A5A" w:rsidRPr="005D3A5A">
        <w:rPr>
          <w:szCs w:val="24"/>
        </w:rPr>
        <w:t xml:space="preserve"> direktstöden ska meddelas kommissionen senast 1 augusti och medlemsstaterna kan därför antas befinna sig mitt i en nationell beslutprocess. Det grekiska ordförandeskapet inbjuder i </w:t>
      </w:r>
      <w:r>
        <w:rPr>
          <w:szCs w:val="24"/>
        </w:rPr>
        <w:t>dagordninge</w:t>
      </w:r>
      <w:r w:rsidR="005D3A5A" w:rsidRPr="005D3A5A">
        <w:rPr>
          <w:szCs w:val="24"/>
        </w:rPr>
        <w:t xml:space="preserve">n till </w:t>
      </w:r>
      <w:r>
        <w:rPr>
          <w:szCs w:val="24"/>
        </w:rPr>
        <w:t xml:space="preserve">mötet </w:t>
      </w:r>
      <w:r w:rsidR="005D3A5A" w:rsidRPr="005D3A5A">
        <w:rPr>
          <w:szCs w:val="24"/>
        </w:rPr>
        <w:t>utbyte av synpunkter och åsikter i frågan.</w:t>
      </w:r>
    </w:p>
    <w:p w14:paraId="1678590C" w14:textId="77777777" w:rsidR="005D3A5A" w:rsidRPr="005D3A5A" w:rsidRDefault="005D3A5A" w:rsidP="005D3A5A">
      <w:pPr>
        <w:pStyle w:val="RKnormal"/>
        <w:rPr>
          <w:szCs w:val="24"/>
        </w:rPr>
      </w:pPr>
    </w:p>
    <w:p w14:paraId="21FCD48A" w14:textId="77777777" w:rsidR="005D3A5A" w:rsidRPr="006D2DB4" w:rsidRDefault="005D3A5A" w:rsidP="005D3A5A">
      <w:pPr>
        <w:pStyle w:val="Rubrik2"/>
        <w:rPr>
          <w:rFonts w:ascii="OrigGarmnd BT" w:hAnsi="OrigGarmnd BT"/>
          <w:b w:val="0"/>
          <w:i/>
          <w:color w:val="auto"/>
          <w:sz w:val="24"/>
          <w:szCs w:val="24"/>
        </w:rPr>
      </w:pPr>
      <w:r w:rsidRPr="006D2DB4">
        <w:rPr>
          <w:rFonts w:ascii="OrigGarmnd BT" w:hAnsi="OrigGarmnd BT"/>
          <w:b w:val="0"/>
          <w:i/>
          <w:color w:val="auto"/>
          <w:sz w:val="24"/>
          <w:szCs w:val="24"/>
        </w:rPr>
        <w:t>Svensk ståndpunkt</w:t>
      </w:r>
    </w:p>
    <w:p w14:paraId="7B7267EE" w14:textId="0864B1D5" w:rsidR="005D3A5A" w:rsidRDefault="00B45A74" w:rsidP="005D3A5A">
      <w:pPr>
        <w:pStyle w:val="RKnormal"/>
        <w:rPr>
          <w:szCs w:val="24"/>
        </w:rPr>
      </w:pPr>
      <w:r>
        <w:rPr>
          <w:szCs w:val="24"/>
        </w:rPr>
        <w:t>Regeringen</w:t>
      </w:r>
      <w:r w:rsidR="005D3A5A" w:rsidRPr="005D3A5A">
        <w:rPr>
          <w:szCs w:val="24"/>
        </w:rPr>
        <w:t xml:space="preserve"> kommer med intresse att följa information och synpunkter som lämnas</w:t>
      </w:r>
      <w:r>
        <w:rPr>
          <w:szCs w:val="24"/>
        </w:rPr>
        <w:t xml:space="preserve"> av andra medlemsstater. </w:t>
      </w:r>
    </w:p>
    <w:p w14:paraId="0A278A7C" w14:textId="0155EBED" w:rsidR="006D2DB4" w:rsidRDefault="006D2DB4" w:rsidP="005D3A5A">
      <w:pPr>
        <w:pStyle w:val="RKnormal"/>
        <w:rPr>
          <w:szCs w:val="24"/>
        </w:rPr>
      </w:pPr>
    </w:p>
    <w:p w14:paraId="4C187D37" w14:textId="77777777" w:rsidR="006D2DB4" w:rsidRDefault="006D2DB4" w:rsidP="006D2DB4">
      <w:pPr>
        <w:pStyle w:val="RKnormal"/>
        <w:rPr>
          <w:i/>
          <w:iCs/>
        </w:rPr>
      </w:pPr>
    </w:p>
    <w:p w14:paraId="628875E1" w14:textId="77777777" w:rsidR="006D2DB4" w:rsidRDefault="006D2DB4" w:rsidP="006D2DB4">
      <w:pPr>
        <w:pStyle w:val="RKnormal"/>
        <w:rPr>
          <w:i/>
          <w:iCs/>
        </w:rPr>
      </w:pPr>
      <w:r>
        <w:rPr>
          <w:i/>
          <w:iCs/>
        </w:rPr>
        <w:t>EU-nämnden och MJU</w:t>
      </w:r>
    </w:p>
    <w:p w14:paraId="6D371A07" w14:textId="17B2505F" w:rsidR="00931FC4" w:rsidRDefault="006D2DB4" w:rsidP="007E0D68">
      <w:r>
        <w:t xml:space="preserve">Frågan har inte tidigare varit föremål för samråd med EU-nämnden och </w:t>
      </w:r>
      <w:r w:rsidR="00D71C2F">
        <w:t xml:space="preserve">information i </w:t>
      </w:r>
      <w:r>
        <w:t>MJU.</w:t>
      </w:r>
    </w:p>
    <w:p w14:paraId="5E36886F" w14:textId="77777777" w:rsidR="006843F9" w:rsidRDefault="006843F9" w:rsidP="007E0D68"/>
    <w:p w14:paraId="0997C35B" w14:textId="77777777" w:rsidR="006843F9" w:rsidRDefault="006843F9">
      <w:pPr>
        <w:overflowPunct/>
        <w:autoSpaceDE/>
        <w:autoSpaceDN/>
        <w:adjustRightInd/>
        <w:spacing w:after="200" w:line="276" w:lineRule="auto"/>
        <w:textAlignment w:val="auto"/>
      </w:pPr>
      <w:r>
        <w:br w:type="page"/>
      </w:r>
    </w:p>
    <w:p w14:paraId="312B7C88" w14:textId="75EE5E00" w:rsidR="003408DB" w:rsidRPr="00931FC4" w:rsidRDefault="00931FC4" w:rsidP="006843F9">
      <w:pPr>
        <w:pStyle w:val="RKrubrik"/>
        <w:rPr>
          <w:u w:val="single"/>
        </w:rPr>
      </w:pPr>
      <w:r w:rsidRPr="00931FC4">
        <w:rPr>
          <w:u w:val="single"/>
        </w:rPr>
        <w:lastRenderedPageBreak/>
        <w:t>Fiske</w:t>
      </w:r>
      <w:r w:rsidR="00526041" w:rsidRPr="00931FC4">
        <w:rPr>
          <w:u w:val="single"/>
        </w:rPr>
        <w:t xml:space="preserve"> </w:t>
      </w:r>
    </w:p>
    <w:p w14:paraId="2EE01EDD" w14:textId="77777777" w:rsidR="00931FC4" w:rsidRDefault="00931FC4" w:rsidP="00931FC4">
      <w:pPr>
        <w:pStyle w:val="Avsndare"/>
        <w:framePr w:w="0" w:hRule="auto" w:hSpace="0" w:wrap="auto" w:vAnchor="margin" w:hAnchor="text" w:xAlign="left" w:yAlign="inline"/>
        <w:rPr>
          <w:b/>
          <w:i w:val="0"/>
          <w:sz w:val="22"/>
          <w:u w:val="single"/>
        </w:rPr>
      </w:pPr>
    </w:p>
    <w:p w14:paraId="1A1F6746" w14:textId="670CBFED" w:rsidR="00931FC4" w:rsidRDefault="00931FC4" w:rsidP="00931FC4">
      <w:pPr>
        <w:pStyle w:val="Avsndare"/>
        <w:framePr w:w="0" w:hRule="auto" w:hSpace="0" w:wrap="auto" w:vAnchor="margin" w:hAnchor="text" w:xAlign="left" w:yAlign="inline"/>
        <w:rPr>
          <w:b/>
          <w:i w:val="0"/>
          <w:sz w:val="22"/>
          <w:u w:val="single"/>
        </w:rPr>
      </w:pPr>
      <w:r>
        <w:rPr>
          <w:b/>
          <w:i w:val="0"/>
          <w:sz w:val="22"/>
          <w:u w:val="single"/>
        </w:rPr>
        <w:t>Lagstiftande verksamhet</w:t>
      </w:r>
    </w:p>
    <w:p w14:paraId="4471E373" w14:textId="65D3F9F9" w:rsidR="00376FB6" w:rsidRDefault="00376FB6" w:rsidP="005A6D8B">
      <w:pPr>
        <w:pStyle w:val="Avsndare"/>
        <w:framePr w:w="0" w:hRule="auto" w:hSpace="0" w:wrap="auto" w:vAnchor="margin" w:hAnchor="text" w:xAlign="left" w:yAlign="inline"/>
        <w:rPr>
          <w:b/>
          <w:i w:val="0"/>
          <w:sz w:val="22"/>
          <w:u w:val="single"/>
        </w:rPr>
      </w:pPr>
    </w:p>
    <w:p w14:paraId="6F2BD76A" w14:textId="77777777" w:rsidR="00931FC4" w:rsidRDefault="00931FC4" w:rsidP="005A6D8B">
      <w:pPr>
        <w:pStyle w:val="Avsndare"/>
        <w:framePr w:w="0" w:hRule="auto" w:hSpace="0" w:wrap="auto" w:vAnchor="margin" w:hAnchor="text" w:xAlign="left" w:yAlign="inline"/>
        <w:rPr>
          <w:b/>
          <w:i w:val="0"/>
          <w:sz w:val="22"/>
          <w:u w:val="single"/>
        </w:rPr>
      </w:pPr>
    </w:p>
    <w:p w14:paraId="7423F71B" w14:textId="6BC20AA5" w:rsidR="002D4E18" w:rsidRDefault="00931FC4" w:rsidP="002D4E18">
      <w:pPr>
        <w:pStyle w:val="RKrubrik"/>
      </w:pPr>
      <w:r>
        <w:t>11.</w:t>
      </w:r>
      <w:r w:rsidR="002D4E18" w:rsidRPr="002D4E18">
        <w:t xml:space="preserve"> </w:t>
      </w:r>
      <w:r w:rsidR="002D4E18">
        <w:t xml:space="preserve">Förslag till Europaparlamentets och rådets förordning om ändring av rådets förordningar (EG) nr 850/98, (EG) nr 2187/2005, (EG) nr 1967/2006, (EG) nr 1098/2007, (EG) nr 254/2002, (EG) nr 2347/2002 och (EG) nr 1224/2009 och om upphävande av rådets förordning (EG) nr 1434/98 vad gäller landningsskyldigheten (första läsningen)  </w:t>
      </w:r>
    </w:p>
    <w:p w14:paraId="22CBAEA9" w14:textId="77777777" w:rsidR="002D4E18" w:rsidRDefault="002D4E18" w:rsidP="002D4E18">
      <w:pPr>
        <w:pStyle w:val="RKnormal"/>
      </w:pPr>
    </w:p>
    <w:p w14:paraId="7AF859CA" w14:textId="77777777" w:rsidR="002D4E18" w:rsidRPr="00102FA1" w:rsidRDefault="002D4E18" w:rsidP="002D4E18">
      <w:pPr>
        <w:pStyle w:val="RKnormal"/>
        <w:rPr>
          <w:b/>
          <w:bCs/>
          <w:i/>
          <w:iCs/>
          <w:sz w:val="22"/>
          <w:szCs w:val="22"/>
        </w:rPr>
      </w:pPr>
      <w:r w:rsidRPr="00102FA1">
        <w:rPr>
          <w:b/>
          <w:bCs/>
          <w:i/>
          <w:iCs/>
          <w:sz w:val="22"/>
          <w:szCs w:val="22"/>
        </w:rPr>
        <w:t>-lägesrapport</w:t>
      </w:r>
    </w:p>
    <w:p w14:paraId="249996C4" w14:textId="77777777" w:rsidR="002D4E18" w:rsidRDefault="002D4E18" w:rsidP="002D4E18">
      <w:pPr>
        <w:pStyle w:val="RKnormal"/>
        <w:rPr>
          <w:i/>
          <w:iCs/>
        </w:rPr>
      </w:pPr>
    </w:p>
    <w:p w14:paraId="3339A4C3" w14:textId="77777777" w:rsidR="002D4E18" w:rsidRDefault="002D4E18" w:rsidP="002D4E18">
      <w:pPr>
        <w:pStyle w:val="RKnormal"/>
        <w:rPr>
          <w:i/>
          <w:iCs/>
        </w:rPr>
      </w:pPr>
      <w:r>
        <w:rPr>
          <w:i/>
          <w:iCs/>
        </w:rPr>
        <w:t>Dokumentbeteckning</w:t>
      </w:r>
    </w:p>
    <w:p w14:paraId="45729239" w14:textId="77777777" w:rsidR="002D4E18" w:rsidRDefault="002D4E18" w:rsidP="002D4E18">
      <w:pPr>
        <w:pStyle w:val="RKnormal"/>
        <w:rPr>
          <w:iCs/>
        </w:rPr>
      </w:pPr>
      <w:r>
        <w:rPr>
          <w:iCs/>
        </w:rPr>
        <w:t>2013/0436 (COD)</w:t>
      </w:r>
    </w:p>
    <w:p w14:paraId="57607630" w14:textId="77777777" w:rsidR="002D4E18" w:rsidRDefault="002D4E18" w:rsidP="002D4E18">
      <w:pPr>
        <w:pStyle w:val="RKnormal"/>
        <w:rPr>
          <w:i/>
          <w:iCs/>
        </w:rPr>
      </w:pPr>
    </w:p>
    <w:p w14:paraId="2AA2F557" w14:textId="77777777" w:rsidR="002D4E18" w:rsidRDefault="002D4E18" w:rsidP="002D4E18">
      <w:pPr>
        <w:pStyle w:val="RKnormal"/>
        <w:rPr>
          <w:i/>
          <w:iCs/>
        </w:rPr>
      </w:pPr>
    </w:p>
    <w:p w14:paraId="48AAE5A5" w14:textId="77777777" w:rsidR="002D4E18" w:rsidRDefault="002D4E18" w:rsidP="002D4E18">
      <w:pPr>
        <w:pStyle w:val="RKnormal"/>
        <w:rPr>
          <w:i/>
          <w:iCs/>
        </w:rPr>
      </w:pPr>
      <w:r>
        <w:rPr>
          <w:i/>
          <w:iCs/>
        </w:rPr>
        <w:t>Rättslig grund</w:t>
      </w:r>
    </w:p>
    <w:p w14:paraId="5F38B904" w14:textId="7B0E12EF" w:rsidR="002D4E18" w:rsidRDefault="002F53DE" w:rsidP="002D4E18">
      <w:pPr>
        <w:pStyle w:val="RKnormal"/>
        <w:rPr>
          <w:iCs/>
        </w:rPr>
      </w:pPr>
      <w:r>
        <w:rPr>
          <w:iCs/>
        </w:rPr>
        <w:t>Artikel 43.2</w:t>
      </w:r>
      <w:r w:rsidR="002D4E18">
        <w:rPr>
          <w:iCs/>
        </w:rPr>
        <w:t xml:space="preserve"> i Fördraget om Europeiska unionens funktionssätt.</w:t>
      </w:r>
      <w:r w:rsidR="004F7295">
        <w:rPr>
          <w:iCs/>
        </w:rPr>
        <w:t xml:space="preserve"> </w:t>
      </w:r>
      <w:r w:rsidR="00D71C2F">
        <w:rPr>
          <w:iCs/>
        </w:rPr>
        <w:t xml:space="preserve">Rådet </w:t>
      </w:r>
      <w:r w:rsidR="004F7295">
        <w:rPr>
          <w:iCs/>
        </w:rPr>
        <w:t>och europaparlamentet fattar beslut genom ordinarie beslutsförfarande. Rådet beslutar</w:t>
      </w:r>
      <w:r w:rsidR="00D71C2F">
        <w:rPr>
          <w:iCs/>
        </w:rPr>
        <w:t xml:space="preserve"> med kvalificerad majoritet.</w:t>
      </w:r>
    </w:p>
    <w:p w14:paraId="1E1EB2A2" w14:textId="77777777" w:rsidR="002D4E18" w:rsidRDefault="002D4E18" w:rsidP="002D4E18">
      <w:pPr>
        <w:pStyle w:val="RKnormal"/>
        <w:rPr>
          <w:i/>
          <w:iCs/>
        </w:rPr>
      </w:pPr>
    </w:p>
    <w:p w14:paraId="1AB7C513" w14:textId="77777777" w:rsidR="002D4E18" w:rsidRDefault="002D4E18" w:rsidP="002D4E18">
      <w:pPr>
        <w:pStyle w:val="RKnormal"/>
        <w:rPr>
          <w:i/>
          <w:iCs/>
        </w:rPr>
      </w:pPr>
    </w:p>
    <w:p w14:paraId="171023AD" w14:textId="77777777" w:rsidR="002D4E18" w:rsidRDefault="002D4E18" w:rsidP="002D4E18">
      <w:pPr>
        <w:pStyle w:val="RKnormal"/>
        <w:rPr>
          <w:i/>
          <w:iCs/>
        </w:rPr>
      </w:pPr>
      <w:r>
        <w:rPr>
          <w:i/>
          <w:iCs/>
        </w:rPr>
        <w:t>Bakgrund</w:t>
      </w:r>
    </w:p>
    <w:p w14:paraId="6135590C" w14:textId="77777777" w:rsidR="002D4E18" w:rsidRDefault="002D4E18" w:rsidP="002D4E18">
      <w:pPr>
        <w:pStyle w:val="RKnormal"/>
      </w:pPr>
      <w:r>
        <w:t xml:space="preserve">EU:s nya gemensamma fiskeripolitik (Europaparlamentets och rådets förordning (EU) nr 1380/2013 om den gemensamma fiskeripolitiken) har som ett av huvudmålen att utkasten inom EU:s alla fisken gradvis ska upphöra genom att det införs en landningsskyldighet för fångster av arter som omfattas av fångstbegränsningar och arter som omfattas av minimistorlekar i Medelhavet. </w:t>
      </w:r>
    </w:p>
    <w:p w14:paraId="56A5F9D9" w14:textId="77777777" w:rsidR="002D4E18" w:rsidRDefault="002D4E18" w:rsidP="002D4E18">
      <w:pPr>
        <w:pStyle w:val="RKnormal"/>
      </w:pPr>
    </w:p>
    <w:p w14:paraId="386EE787" w14:textId="77777777" w:rsidR="002D4E18" w:rsidRDefault="002D4E18" w:rsidP="002D4E18">
      <w:pPr>
        <w:pStyle w:val="RKnormal"/>
      </w:pPr>
      <w:r>
        <w:t xml:space="preserve">För att göra landningsskyldigheten praktiskt genomförbar är det nödvändigt att upphäva eller ändra vissa bestämmelser i gällande förordningar om tekniska åtgärder, förvaltningsåtgärder och kontroll som strider mot landningsskyldigheten och tvingar fiskare att kasta fisk överbord. </w:t>
      </w:r>
    </w:p>
    <w:p w14:paraId="11B4FCE3" w14:textId="77777777" w:rsidR="002D4E18" w:rsidRDefault="002D4E18" w:rsidP="002D4E18">
      <w:pPr>
        <w:pStyle w:val="RKnormal"/>
      </w:pPr>
    </w:p>
    <w:p w14:paraId="7678C3B1" w14:textId="143A3D43" w:rsidR="002D4E18" w:rsidRDefault="002D4E18" w:rsidP="002D4E18">
      <w:pPr>
        <w:pStyle w:val="RKnormal"/>
      </w:pPr>
      <w:r>
        <w:t xml:space="preserve">När det gäller förordningarna om tekniska åtgärder rör sig om bestämmelser om minsta landningsstorlekar, fångstsammansättning och bifångster. </w:t>
      </w:r>
    </w:p>
    <w:p w14:paraId="11F842E8" w14:textId="77777777" w:rsidR="002D4E18" w:rsidRDefault="002D4E18" w:rsidP="002D4E18">
      <w:pPr>
        <w:pStyle w:val="RKnormal"/>
      </w:pPr>
      <w:r>
        <w:t xml:space="preserve">Inom ramen för landningsskyldigheten kommer bestämmelserna om minsta landningsstorlekar, när det gäller alla arter som omfattas av fångstbegränsningar, att ersättas med minsta referensstorlekar för bevarande. Fisk som är mindre än dessa minsta referensstorlekar för bevarande måste landas, men begränsningar finns för användningen av dessa fångster. </w:t>
      </w:r>
    </w:p>
    <w:p w14:paraId="7C2B7D71" w14:textId="77777777" w:rsidR="002D4E18" w:rsidRDefault="002D4E18" w:rsidP="002D4E18">
      <w:pPr>
        <w:pStyle w:val="RKnormal"/>
      </w:pPr>
    </w:p>
    <w:p w14:paraId="2B785CFA" w14:textId="77777777" w:rsidR="002D4E18" w:rsidRDefault="002D4E18" w:rsidP="002D4E18">
      <w:pPr>
        <w:pStyle w:val="RKnormal"/>
      </w:pPr>
      <w:r>
        <w:t xml:space="preserve">Även rådets förordning (EG) nr 1224/2009 om införande av ett kontrollsystem i gemenskapen för att säkerställa att bestämmelserna i den gemensamma fiskeripolitiken efterlevs måste anpassas till landningsskyldigheten. </w:t>
      </w:r>
    </w:p>
    <w:p w14:paraId="43939F23" w14:textId="77777777" w:rsidR="002D4E18" w:rsidRDefault="002D4E18" w:rsidP="002D4E18">
      <w:pPr>
        <w:pStyle w:val="RKnormal"/>
      </w:pPr>
    </w:p>
    <w:p w14:paraId="114CE406" w14:textId="77777777" w:rsidR="002D4E18" w:rsidRDefault="002D4E18" w:rsidP="002D4E18">
      <w:pPr>
        <w:pStyle w:val="RKnormal"/>
      </w:pPr>
      <w:r>
        <w:t>Det grekiska ordförandeskapet avser att fastställa en allmän inriktning kring förslaget i Coreper innan rådsmötet. Europaparlamentet har ännu inte påbörjat behandlingen av förslaget.</w:t>
      </w:r>
    </w:p>
    <w:p w14:paraId="4DD479A5" w14:textId="77777777" w:rsidR="002D4E18" w:rsidRDefault="002D4E18" w:rsidP="002D4E18">
      <w:pPr>
        <w:pStyle w:val="RKnormal"/>
      </w:pPr>
      <w:r>
        <w:t xml:space="preserve"> </w:t>
      </w:r>
    </w:p>
    <w:p w14:paraId="6B4B8302" w14:textId="77777777" w:rsidR="002D4E18" w:rsidRDefault="002D4E18" w:rsidP="002D4E18">
      <w:pPr>
        <w:pStyle w:val="RKnormal"/>
        <w:rPr>
          <w:i/>
          <w:iCs/>
        </w:rPr>
      </w:pPr>
    </w:p>
    <w:p w14:paraId="4AEDDC49" w14:textId="77777777" w:rsidR="002D4E18" w:rsidRDefault="002D4E18" w:rsidP="002D4E18">
      <w:pPr>
        <w:pStyle w:val="RKnormal"/>
        <w:rPr>
          <w:i/>
          <w:iCs/>
        </w:rPr>
      </w:pPr>
      <w:r>
        <w:rPr>
          <w:i/>
          <w:iCs/>
        </w:rPr>
        <w:t>Förslag till svensk ståndpunkt</w:t>
      </w:r>
    </w:p>
    <w:p w14:paraId="2228C067" w14:textId="77777777" w:rsidR="002D4E18" w:rsidRDefault="002D4E18" w:rsidP="002D4E18">
      <w:pPr>
        <w:pStyle w:val="RKnormal"/>
      </w:pPr>
      <w:r>
        <w:t>Regeringen anser att det är angeläget att de aktuella ändringarna kommer på plats till den 1 januari 2015 för att möjliggöra ett genomförande av landningsskyldigheten. Regeringen anser därutöver att det är angeläget att man i de ändringar som görs genom detta förslag ska sträva efter en förenkling av regelverket samt att möjliggöra en resultatbaserad förvaltning. Det kan bland annat innebära att justera eller stryka minsta referensstorlekar för vissa arter.</w:t>
      </w:r>
    </w:p>
    <w:p w14:paraId="1069E7C4" w14:textId="77777777" w:rsidR="002D4E18" w:rsidRDefault="002D4E18" w:rsidP="002D4E18">
      <w:pPr>
        <w:pStyle w:val="RKnormal"/>
        <w:rPr>
          <w:i/>
          <w:iCs/>
        </w:rPr>
      </w:pPr>
    </w:p>
    <w:p w14:paraId="49ED1475" w14:textId="77777777" w:rsidR="002D4E18" w:rsidRDefault="002D4E18" w:rsidP="002D4E18">
      <w:pPr>
        <w:pStyle w:val="RKnormal"/>
        <w:rPr>
          <w:i/>
          <w:iCs/>
        </w:rPr>
      </w:pPr>
    </w:p>
    <w:p w14:paraId="2736A692" w14:textId="77777777" w:rsidR="002D4E18" w:rsidRDefault="002D4E18" w:rsidP="002D4E18">
      <w:pPr>
        <w:pStyle w:val="RKnormal"/>
        <w:rPr>
          <w:i/>
          <w:iCs/>
        </w:rPr>
      </w:pPr>
      <w:r>
        <w:rPr>
          <w:i/>
          <w:iCs/>
        </w:rPr>
        <w:t>EU-nämnden och MJU</w:t>
      </w:r>
    </w:p>
    <w:p w14:paraId="76A0EF40" w14:textId="77777777" w:rsidR="002D4E18" w:rsidRDefault="002D4E18" w:rsidP="002D4E18">
      <w:pPr>
        <w:pStyle w:val="RKnormal"/>
      </w:pPr>
      <w:r>
        <w:lastRenderedPageBreak/>
        <w:t>Frågan har inte tidigare varit föremål för samråd med EU-nämnden eller information i MJU.</w:t>
      </w:r>
    </w:p>
    <w:p w14:paraId="17075DA4" w14:textId="77777777" w:rsidR="002D4E18" w:rsidRDefault="002D4E18" w:rsidP="002D4E18">
      <w:pPr>
        <w:pStyle w:val="RKnormal"/>
      </w:pPr>
    </w:p>
    <w:p w14:paraId="10A02BEE" w14:textId="77777777" w:rsidR="002D4E18" w:rsidRDefault="002D4E18" w:rsidP="002D4E18"/>
    <w:p w14:paraId="3CC19796" w14:textId="24A54A66" w:rsidR="00931FC4" w:rsidRPr="005A6D8B" w:rsidRDefault="00931FC4" w:rsidP="005A6D8B">
      <w:pPr>
        <w:pStyle w:val="Avsndare"/>
        <w:framePr w:w="0" w:hRule="auto" w:hSpace="0" w:wrap="auto" w:vAnchor="margin" w:hAnchor="text" w:xAlign="left" w:yAlign="inline"/>
        <w:rPr>
          <w:b/>
          <w:i w:val="0"/>
          <w:sz w:val="22"/>
          <w:u w:val="single"/>
        </w:rPr>
      </w:pPr>
    </w:p>
    <w:p w14:paraId="50295E39" w14:textId="77777777" w:rsidR="00931FC4" w:rsidRDefault="00931FC4" w:rsidP="00931FC4">
      <w:pPr>
        <w:pStyle w:val="Avsndare"/>
        <w:framePr w:w="0" w:hRule="auto" w:hSpace="0" w:wrap="auto" w:vAnchor="margin" w:hAnchor="text" w:xAlign="left" w:yAlign="inline"/>
        <w:rPr>
          <w:b/>
          <w:i w:val="0"/>
          <w:sz w:val="22"/>
          <w:u w:val="single"/>
        </w:rPr>
      </w:pPr>
    </w:p>
    <w:p w14:paraId="54017D31" w14:textId="600268A4" w:rsidR="00931FC4" w:rsidRDefault="00931FC4" w:rsidP="00931FC4">
      <w:pPr>
        <w:pStyle w:val="Avsndare"/>
        <w:framePr w:w="0" w:hRule="auto" w:hSpace="0" w:wrap="auto" w:vAnchor="margin" w:hAnchor="text" w:xAlign="left" w:yAlign="inline"/>
        <w:rPr>
          <w:b/>
          <w:i w:val="0"/>
          <w:sz w:val="22"/>
          <w:u w:val="single"/>
        </w:rPr>
      </w:pPr>
      <w:r w:rsidRPr="005A6D8B">
        <w:rPr>
          <w:b/>
          <w:i w:val="0"/>
          <w:sz w:val="22"/>
          <w:u w:val="single"/>
        </w:rPr>
        <w:t>Icke lagstiftande verksamhet</w:t>
      </w:r>
    </w:p>
    <w:p w14:paraId="1BD2D5CA" w14:textId="77777777" w:rsidR="00931FC4" w:rsidRDefault="00931FC4" w:rsidP="00931FC4">
      <w:pPr>
        <w:pStyle w:val="Avsndare"/>
        <w:framePr w:w="0" w:hRule="auto" w:hSpace="0" w:wrap="auto" w:vAnchor="margin" w:hAnchor="text" w:xAlign="left" w:yAlign="inline"/>
        <w:rPr>
          <w:b/>
          <w:i w:val="0"/>
          <w:sz w:val="22"/>
          <w:u w:val="single"/>
        </w:rPr>
      </w:pPr>
    </w:p>
    <w:p w14:paraId="33A919A0" w14:textId="4DD415F0" w:rsidR="009D11F8" w:rsidRPr="006261BB" w:rsidRDefault="009D11F8" w:rsidP="009D11F8">
      <w:pPr>
        <w:pStyle w:val="Avsndare"/>
        <w:framePr w:w="0" w:hRule="auto" w:hSpace="0" w:wrap="auto" w:vAnchor="margin" w:hAnchor="text" w:xAlign="left" w:yAlign="inline"/>
        <w:rPr>
          <w:b/>
          <w:i w:val="0"/>
          <w:sz w:val="22"/>
          <w:szCs w:val="22"/>
        </w:rPr>
      </w:pPr>
      <w:r w:rsidRPr="006261BB">
        <w:rPr>
          <w:b/>
          <w:i w:val="0"/>
          <w:sz w:val="22"/>
          <w:szCs w:val="22"/>
        </w:rPr>
        <w:t>12. Implementering av den gemensamma fiskeripolitiken: utkastplaner</w:t>
      </w:r>
      <w:r w:rsidRPr="006261BB">
        <w:rPr>
          <w:sz w:val="22"/>
          <w:szCs w:val="22"/>
        </w:rPr>
        <w:t xml:space="preserve"> </w:t>
      </w:r>
    </w:p>
    <w:p w14:paraId="7948D7E1" w14:textId="77777777" w:rsidR="009D11F8" w:rsidRDefault="009D11F8" w:rsidP="009D11F8">
      <w:pPr>
        <w:pStyle w:val="RKnormal"/>
      </w:pPr>
    </w:p>
    <w:p w14:paraId="7A8EBAE3" w14:textId="75179858" w:rsidR="009D11F8" w:rsidRPr="001C077C" w:rsidRDefault="009D11F8" w:rsidP="009D11F8">
      <w:pPr>
        <w:pStyle w:val="RKnormal"/>
        <w:rPr>
          <w:b/>
          <w:bCs/>
          <w:i/>
          <w:iCs/>
          <w:sz w:val="22"/>
          <w:szCs w:val="22"/>
        </w:rPr>
      </w:pPr>
      <w:r w:rsidRPr="001C077C">
        <w:rPr>
          <w:b/>
          <w:bCs/>
          <w:i/>
          <w:iCs/>
          <w:sz w:val="22"/>
          <w:szCs w:val="22"/>
        </w:rPr>
        <w:t xml:space="preserve">- </w:t>
      </w:r>
      <w:r w:rsidR="002C5029">
        <w:rPr>
          <w:b/>
          <w:bCs/>
          <w:i/>
          <w:iCs/>
          <w:sz w:val="22"/>
          <w:szCs w:val="22"/>
        </w:rPr>
        <w:t>Lägesrapport</w:t>
      </w:r>
      <w:r w:rsidRPr="001C077C">
        <w:rPr>
          <w:b/>
          <w:bCs/>
          <w:i/>
          <w:iCs/>
          <w:sz w:val="22"/>
          <w:szCs w:val="22"/>
        </w:rPr>
        <w:t xml:space="preserve"> /åsiktsutbyte</w:t>
      </w:r>
    </w:p>
    <w:p w14:paraId="50A482BC" w14:textId="77777777" w:rsidR="009D11F8" w:rsidRDefault="009D11F8" w:rsidP="009D11F8">
      <w:pPr>
        <w:pStyle w:val="RKnormal"/>
        <w:rPr>
          <w:i/>
          <w:iCs/>
        </w:rPr>
      </w:pPr>
    </w:p>
    <w:p w14:paraId="52385245" w14:textId="77777777" w:rsidR="009D11F8" w:rsidRDefault="009D11F8" w:rsidP="009D11F8">
      <w:pPr>
        <w:pStyle w:val="RKnormal"/>
        <w:rPr>
          <w:i/>
          <w:iCs/>
        </w:rPr>
      </w:pPr>
      <w:r>
        <w:rPr>
          <w:i/>
          <w:iCs/>
        </w:rPr>
        <w:t>Dokumentbeteckning</w:t>
      </w:r>
    </w:p>
    <w:p w14:paraId="55B8F117" w14:textId="77777777" w:rsidR="009D11F8" w:rsidRDefault="009D11F8" w:rsidP="009D11F8">
      <w:pPr>
        <w:pStyle w:val="RKnormal"/>
        <w:rPr>
          <w:i/>
          <w:iCs/>
        </w:rPr>
      </w:pPr>
      <w:r>
        <w:rPr>
          <w:i/>
          <w:iCs/>
        </w:rPr>
        <w:t>10285/14 PECHE 285</w:t>
      </w:r>
    </w:p>
    <w:p w14:paraId="3305D8E5" w14:textId="77777777" w:rsidR="009D11F8" w:rsidRDefault="009D11F8" w:rsidP="009D11F8">
      <w:pPr>
        <w:pStyle w:val="RKnormal"/>
        <w:rPr>
          <w:i/>
          <w:iCs/>
        </w:rPr>
      </w:pPr>
    </w:p>
    <w:p w14:paraId="025EA55B" w14:textId="77777777" w:rsidR="009D11F8" w:rsidRDefault="009D11F8" w:rsidP="009D11F8">
      <w:pPr>
        <w:pStyle w:val="RKnormal"/>
        <w:rPr>
          <w:i/>
          <w:iCs/>
        </w:rPr>
      </w:pPr>
    </w:p>
    <w:p w14:paraId="03FA5793" w14:textId="77777777" w:rsidR="009D11F8" w:rsidRDefault="009D11F8" w:rsidP="009D11F8">
      <w:pPr>
        <w:pStyle w:val="RKnormal"/>
        <w:rPr>
          <w:i/>
          <w:iCs/>
        </w:rPr>
      </w:pPr>
      <w:r>
        <w:rPr>
          <w:i/>
          <w:iCs/>
        </w:rPr>
        <w:t>Rättslig grund</w:t>
      </w:r>
    </w:p>
    <w:p w14:paraId="35FE48C5" w14:textId="03EA764B" w:rsidR="009D11F8" w:rsidRPr="00BC4AB4" w:rsidRDefault="002C5029" w:rsidP="009D11F8">
      <w:pPr>
        <w:pStyle w:val="RKnormal"/>
      </w:pPr>
      <w:r>
        <w:t xml:space="preserve">Utkastplaner antas genom delegerad akt. </w:t>
      </w:r>
    </w:p>
    <w:p w14:paraId="773A780A" w14:textId="77777777" w:rsidR="009D11F8" w:rsidRDefault="009D11F8" w:rsidP="009D11F8">
      <w:pPr>
        <w:pStyle w:val="RKnormal"/>
        <w:rPr>
          <w:i/>
          <w:iCs/>
        </w:rPr>
      </w:pPr>
    </w:p>
    <w:p w14:paraId="191BFEF6" w14:textId="77777777" w:rsidR="009D11F8" w:rsidRDefault="009D11F8" w:rsidP="009D11F8">
      <w:pPr>
        <w:pStyle w:val="RKnormal"/>
        <w:rPr>
          <w:i/>
          <w:iCs/>
        </w:rPr>
      </w:pPr>
    </w:p>
    <w:p w14:paraId="6210E96C" w14:textId="77777777" w:rsidR="009D11F8" w:rsidRDefault="009D11F8" w:rsidP="009D11F8">
      <w:pPr>
        <w:pStyle w:val="RKnormal"/>
        <w:rPr>
          <w:i/>
          <w:iCs/>
        </w:rPr>
      </w:pPr>
      <w:r>
        <w:rPr>
          <w:i/>
          <w:iCs/>
        </w:rPr>
        <w:t>Bakgrund</w:t>
      </w:r>
    </w:p>
    <w:p w14:paraId="3DD7CE11" w14:textId="77777777" w:rsidR="009D11F8" w:rsidRDefault="009D11F8" w:rsidP="009D11F8">
      <w:r>
        <w:t xml:space="preserve">I pelagiskt fiske samt för fiske av lax och torsk i Östersjön kommer utkastförbudet att träda i kraft från och med den 1 januari 2015. Arbetet med att utarbeta utkastplaner pågår inom ramen för den regionalisering som föreskrivs i grundförordningen. För Östersjöns vidkommande har ett förslag till utkastplan skickats in till Kommissionen och för pelagiskt fiske pågår arbetet. Planerna kommer sedan att antas i form av en delegerad akt. </w:t>
      </w:r>
    </w:p>
    <w:p w14:paraId="1B09495B" w14:textId="77777777" w:rsidR="009D11F8" w:rsidRDefault="009D11F8" w:rsidP="009D11F8"/>
    <w:p w14:paraId="4E4FE01B" w14:textId="50BB318D" w:rsidR="009D11F8" w:rsidRDefault="009D11F8" w:rsidP="009D11F8">
      <w:r>
        <w:t>Irland har som en övrig punkt lyft frågan om behovet av att kunna anta vissa tekniska regler för att underlätta införandet av utkastförbudet. Irlands fö</w:t>
      </w:r>
      <w:r w:rsidR="00597FED">
        <w:t>rfrågan ska ses i ljuset av kommissionen</w:t>
      </w:r>
      <w:r>
        <w:t>s besked att det inte finns stöd i varken grundförordningen eller i de ändringar som genomförs i den s.k. omnibusförordningen</w:t>
      </w:r>
      <w:r w:rsidR="00565754">
        <w:t xml:space="preserve"> (punkt 11 på dagordningen)</w:t>
      </w:r>
      <w:r>
        <w:t xml:space="preserve"> för att anta sådana tekniska regler inom ramen f</w:t>
      </w:r>
      <w:r w:rsidR="00597FED">
        <w:t>ör det regionala samarbetet. Kommissionen</w:t>
      </w:r>
      <w:r>
        <w:t xml:space="preserve"> har dock aviserat att man avser att återkomma till frågan dels i det förslag till reviderade tekniska regler som kommissionen avser att presentera under hösten, dels i de regionala förvaltningsplanerna. Den för Östersjön insända planen innehåller inga förslag på anpassning av det tekniska regelverket. </w:t>
      </w:r>
    </w:p>
    <w:p w14:paraId="6955408D" w14:textId="77777777" w:rsidR="009D11F8" w:rsidRDefault="009D11F8" w:rsidP="009D11F8"/>
    <w:p w14:paraId="069A4BC6" w14:textId="77777777" w:rsidR="009D11F8" w:rsidRDefault="009D11F8" w:rsidP="009D11F8">
      <w:r>
        <w:t xml:space="preserve">Utöver det tekniska regelverket har frågan om hanteringen av skadad fisk (sälskadad, kemikalier, kemiska stridsmedel eller motsvarande) diskuterats i olika sammanhang. Frågan har aktualiserats mot bakgrund av behovet av att fastställa hur dessa fångster ska hanteras inom ramen för ett utkastförbud. </w:t>
      </w:r>
    </w:p>
    <w:p w14:paraId="6859A9A4" w14:textId="77777777" w:rsidR="009D11F8" w:rsidRDefault="009D11F8" w:rsidP="009D11F8">
      <w:pPr>
        <w:pStyle w:val="RKnormal"/>
        <w:rPr>
          <w:i/>
          <w:iCs/>
        </w:rPr>
      </w:pPr>
    </w:p>
    <w:p w14:paraId="52CDFA0E" w14:textId="77777777" w:rsidR="009D11F8" w:rsidRDefault="009D11F8" w:rsidP="009D11F8">
      <w:pPr>
        <w:pStyle w:val="RKnormal"/>
        <w:rPr>
          <w:i/>
          <w:iCs/>
        </w:rPr>
      </w:pPr>
      <w:r>
        <w:rPr>
          <w:i/>
          <w:iCs/>
        </w:rPr>
        <w:t>Förslag till svensk ståndpunkt</w:t>
      </w:r>
    </w:p>
    <w:p w14:paraId="42FEC021" w14:textId="194CF7AD" w:rsidR="009D11F8" w:rsidRDefault="009D11F8" w:rsidP="009D11F8">
      <w:pPr>
        <w:pStyle w:val="RKnormal"/>
        <w:rPr>
          <w:i/>
          <w:iCs/>
        </w:rPr>
      </w:pPr>
      <w:r>
        <w:rPr>
          <w:iCs/>
        </w:rPr>
        <w:t xml:space="preserve">Regeringen anser att det är prioriterat att anpassa det tekniska regelverket för att hantera genomförandet av utkastförbudet och är öppna för lösningar i enlighet med grundförordningen. </w:t>
      </w:r>
      <w:r>
        <w:rPr>
          <w:iCs/>
        </w:rPr>
        <w:br/>
      </w:r>
      <w:r>
        <w:rPr>
          <w:iCs/>
        </w:rPr>
        <w:br/>
        <w:t xml:space="preserve">Ifråga om </w:t>
      </w:r>
      <w:r w:rsidR="00741CD6">
        <w:rPr>
          <w:iCs/>
        </w:rPr>
        <w:t xml:space="preserve">sälskadad fisk </w:t>
      </w:r>
      <w:r>
        <w:rPr>
          <w:iCs/>
        </w:rPr>
        <w:t>anser regeringen att det är centralt att fångsterna verifieras och hänsyn kan tas till dessa i den vetenskapliga rådgivningen.</w:t>
      </w:r>
    </w:p>
    <w:p w14:paraId="421D920C" w14:textId="77777777" w:rsidR="009D11F8" w:rsidRDefault="009D11F8" w:rsidP="009D11F8">
      <w:pPr>
        <w:pStyle w:val="RKnormal"/>
        <w:rPr>
          <w:i/>
          <w:iCs/>
        </w:rPr>
      </w:pPr>
    </w:p>
    <w:p w14:paraId="0378AAF5" w14:textId="77777777" w:rsidR="009D11F8" w:rsidRDefault="009D11F8" w:rsidP="009D11F8">
      <w:pPr>
        <w:pStyle w:val="RKnormal"/>
        <w:rPr>
          <w:i/>
          <w:iCs/>
        </w:rPr>
      </w:pPr>
      <w:r>
        <w:rPr>
          <w:i/>
          <w:iCs/>
        </w:rPr>
        <w:t>EU-nämnden och MJU</w:t>
      </w:r>
    </w:p>
    <w:p w14:paraId="47432F40" w14:textId="77777777" w:rsidR="009D11F8" w:rsidRDefault="009D11F8" w:rsidP="009D11F8">
      <w:pPr>
        <w:pStyle w:val="RKnormal"/>
      </w:pPr>
      <w:r>
        <w:t>Frågan har inte tidigare varit föremål för samråd med EU-nämnden eller information i MJU.</w:t>
      </w:r>
    </w:p>
    <w:p w14:paraId="6BACF538" w14:textId="2848FFD5" w:rsidR="006843F9" w:rsidRDefault="006843F9" w:rsidP="009D11F8">
      <w:pPr>
        <w:pStyle w:val="RKnormal"/>
      </w:pPr>
    </w:p>
    <w:p w14:paraId="5DEB55D7" w14:textId="77777777" w:rsidR="006843F9" w:rsidRDefault="006843F9" w:rsidP="009D11F8">
      <w:pPr>
        <w:pStyle w:val="RKnormal"/>
      </w:pPr>
    </w:p>
    <w:p w14:paraId="58F2B7BC" w14:textId="77777777" w:rsidR="006843F9" w:rsidRDefault="006843F9" w:rsidP="009D11F8">
      <w:pPr>
        <w:pStyle w:val="RKnormal"/>
      </w:pPr>
    </w:p>
    <w:p w14:paraId="37D67081" w14:textId="77777777" w:rsidR="006843F9" w:rsidRDefault="006843F9" w:rsidP="009D11F8">
      <w:pPr>
        <w:pStyle w:val="RKnormal"/>
      </w:pPr>
    </w:p>
    <w:p w14:paraId="27FB3136" w14:textId="77777777" w:rsidR="006843F9" w:rsidRDefault="006843F9" w:rsidP="009D11F8">
      <w:pPr>
        <w:pStyle w:val="RKnormal"/>
      </w:pPr>
    </w:p>
    <w:p w14:paraId="1720D59F" w14:textId="77777777" w:rsidR="006843F9" w:rsidRDefault="006843F9" w:rsidP="009D11F8">
      <w:pPr>
        <w:pStyle w:val="RKnormal"/>
      </w:pPr>
    </w:p>
    <w:p w14:paraId="2214D4F7" w14:textId="77777777" w:rsidR="006843F9" w:rsidRDefault="006843F9" w:rsidP="009D11F8">
      <w:pPr>
        <w:pStyle w:val="RKnormal"/>
      </w:pPr>
    </w:p>
    <w:p w14:paraId="7664F754" w14:textId="77777777" w:rsidR="006843F9" w:rsidRDefault="006843F9" w:rsidP="009D11F8">
      <w:pPr>
        <w:pStyle w:val="RKnormal"/>
      </w:pPr>
    </w:p>
    <w:p w14:paraId="158FB660" w14:textId="77777777" w:rsidR="006843F9" w:rsidRDefault="006843F9" w:rsidP="009D11F8">
      <w:pPr>
        <w:pStyle w:val="RKnormal"/>
      </w:pPr>
    </w:p>
    <w:p w14:paraId="6A034CAA" w14:textId="77777777" w:rsidR="009D11F8" w:rsidRDefault="009D11F8" w:rsidP="00931FC4">
      <w:pPr>
        <w:pStyle w:val="Avsndare"/>
        <w:framePr w:w="0" w:hRule="auto" w:hSpace="0" w:wrap="auto" w:vAnchor="margin" w:hAnchor="text" w:xAlign="left" w:yAlign="inline"/>
        <w:rPr>
          <w:b/>
          <w:i w:val="0"/>
          <w:sz w:val="22"/>
        </w:rPr>
      </w:pPr>
    </w:p>
    <w:p w14:paraId="017415BD" w14:textId="77777777" w:rsidR="00931FC4" w:rsidRDefault="00931FC4" w:rsidP="00931FC4">
      <w:pPr>
        <w:pStyle w:val="Avsndare"/>
        <w:framePr w:w="0" w:hRule="auto" w:hSpace="0" w:wrap="auto" w:vAnchor="margin" w:hAnchor="text" w:xAlign="left" w:yAlign="inline"/>
        <w:rPr>
          <w:b/>
          <w:i w:val="0"/>
          <w:sz w:val="22"/>
        </w:rPr>
      </w:pPr>
    </w:p>
    <w:p w14:paraId="1B87335E" w14:textId="38389C7C" w:rsidR="00A65055" w:rsidRPr="003172A9" w:rsidRDefault="00A65055" w:rsidP="00A65055">
      <w:pPr>
        <w:pStyle w:val="RKrubrik"/>
        <w:rPr>
          <w:szCs w:val="22"/>
        </w:rPr>
      </w:pPr>
      <w:r w:rsidRPr="003172A9">
        <w:rPr>
          <w:szCs w:val="22"/>
        </w:rPr>
        <w:t xml:space="preserve">13. </w:t>
      </w:r>
      <w:r w:rsidR="003172A9" w:rsidRPr="003172A9">
        <w:rPr>
          <w:szCs w:val="22"/>
        </w:rPr>
        <w:t>(ev.)</w:t>
      </w:r>
      <w:r w:rsidR="003172A9">
        <w:rPr>
          <w:szCs w:val="22"/>
        </w:rPr>
        <w:t xml:space="preserve"> </w:t>
      </w:r>
      <w:r w:rsidRPr="003172A9">
        <w:rPr>
          <w:szCs w:val="22"/>
        </w:rPr>
        <w:t xml:space="preserve">Förvaltning av lodda – etablerande av total tillåten fångstmängd för 2014  </w:t>
      </w:r>
    </w:p>
    <w:p w14:paraId="2CCA5280" w14:textId="77777777" w:rsidR="00A65055" w:rsidRDefault="00A65055" w:rsidP="00A65055">
      <w:pPr>
        <w:pStyle w:val="RKnormal"/>
      </w:pPr>
    </w:p>
    <w:p w14:paraId="68CBB890" w14:textId="77777777" w:rsidR="00A65055" w:rsidRPr="00A65055" w:rsidRDefault="00A65055" w:rsidP="00A65055">
      <w:pPr>
        <w:pStyle w:val="RKnormal"/>
        <w:rPr>
          <w:b/>
          <w:bCs/>
          <w:i/>
          <w:iCs/>
          <w:sz w:val="22"/>
          <w:szCs w:val="22"/>
        </w:rPr>
      </w:pPr>
      <w:r w:rsidRPr="00A65055">
        <w:rPr>
          <w:b/>
          <w:bCs/>
          <w:i/>
          <w:iCs/>
          <w:sz w:val="22"/>
          <w:szCs w:val="22"/>
        </w:rPr>
        <w:t>-politisk överenskommelse/antagande</w:t>
      </w:r>
    </w:p>
    <w:p w14:paraId="6A7451C3" w14:textId="77777777" w:rsidR="00A65055" w:rsidRDefault="00A65055" w:rsidP="00A65055">
      <w:pPr>
        <w:pStyle w:val="RKnormal"/>
        <w:rPr>
          <w:i/>
          <w:iCs/>
        </w:rPr>
      </w:pPr>
    </w:p>
    <w:p w14:paraId="0B71A3CC" w14:textId="77777777" w:rsidR="00A65055" w:rsidRDefault="00A65055" w:rsidP="00A65055">
      <w:pPr>
        <w:pStyle w:val="RKnormal"/>
        <w:rPr>
          <w:i/>
          <w:iCs/>
        </w:rPr>
      </w:pPr>
      <w:r>
        <w:rPr>
          <w:i/>
          <w:iCs/>
        </w:rPr>
        <w:t>Dokumentbeteckning</w:t>
      </w:r>
    </w:p>
    <w:p w14:paraId="21A5898D" w14:textId="77777777" w:rsidR="00A65055" w:rsidRDefault="00A65055" w:rsidP="00A65055">
      <w:pPr>
        <w:pStyle w:val="RKnormal"/>
        <w:rPr>
          <w:i/>
          <w:iCs/>
        </w:rPr>
      </w:pPr>
      <w:r>
        <w:rPr>
          <w:i/>
          <w:iCs/>
        </w:rPr>
        <w:t>-</w:t>
      </w:r>
    </w:p>
    <w:p w14:paraId="669AA1CA" w14:textId="77777777" w:rsidR="00A65055" w:rsidRDefault="00A65055" w:rsidP="00A65055">
      <w:pPr>
        <w:pStyle w:val="RKnormal"/>
        <w:rPr>
          <w:i/>
          <w:iCs/>
        </w:rPr>
      </w:pPr>
    </w:p>
    <w:p w14:paraId="553DABBB" w14:textId="77777777" w:rsidR="00A65055" w:rsidRDefault="00A65055" w:rsidP="00A65055">
      <w:pPr>
        <w:pStyle w:val="RKnormal"/>
        <w:rPr>
          <w:i/>
          <w:iCs/>
        </w:rPr>
      </w:pPr>
    </w:p>
    <w:p w14:paraId="39F20D9C" w14:textId="77777777" w:rsidR="00A65055" w:rsidRDefault="00A65055" w:rsidP="00A65055">
      <w:pPr>
        <w:pStyle w:val="RKnormal"/>
        <w:rPr>
          <w:i/>
          <w:iCs/>
        </w:rPr>
      </w:pPr>
      <w:r>
        <w:rPr>
          <w:i/>
          <w:iCs/>
        </w:rPr>
        <w:t>Rättslig grund</w:t>
      </w:r>
    </w:p>
    <w:p w14:paraId="1600E9FF" w14:textId="77777777" w:rsidR="00A65055" w:rsidRPr="002F53DE" w:rsidRDefault="00A65055" w:rsidP="00A65055">
      <w:pPr>
        <w:pStyle w:val="RKnormal"/>
        <w:rPr>
          <w:iCs/>
        </w:rPr>
      </w:pPr>
      <w:r w:rsidRPr="002F53DE">
        <w:rPr>
          <w:iCs/>
        </w:rPr>
        <w:t>Artikel 43.3 i Fördraget om Europeiska unionens funktionssätt. Beslut fattas av rådet med kvalificerad majoritet efter förslag från kommissionen.</w:t>
      </w:r>
    </w:p>
    <w:p w14:paraId="3C1DAAB0" w14:textId="77777777" w:rsidR="00A65055" w:rsidRDefault="00A65055" w:rsidP="00A65055">
      <w:pPr>
        <w:pStyle w:val="RKnormal"/>
        <w:rPr>
          <w:i/>
          <w:iCs/>
        </w:rPr>
      </w:pPr>
    </w:p>
    <w:p w14:paraId="5929ED9D" w14:textId="77777777" w:rsidR="00A65055" w:rsidRDefault="00A65055" w:rsidP="00A65055">
      <w:pPr>
        <w:pStyle w:val="RKnormal"/>
        <w:rPr>
          <w:i/>
          <w:iCs/>
        </w:rPr>
      </w:pPr>
    </w:p>
    <w:p w14:paraId="388D8B68" w14:textId="77777777" w:rsidR="00A65055" w:rsidRDefault="00A65055" w:rsidP="00A65055">
      <w:pPr>
        <w:pStyle w:val="RKnormal"/>
        <w:rPr>
          <w:i/>
          <w:iCs/>
        </w:rPr>
      </w:pPr>
      <w:r>
        <w:rPr>
          <w:i/>
          <w:iCs/>
        </w:rPr>
        <w:t>Bakgrund</w:t>
      </w:r>
    </w:p>
    <w:p w14:paraId="2929F9C9" w14:textId="38C67480" w:rsidR="00A65055" w:rsidRDefault="00A65055" w:rsidP="00A65055">
      <w:r>
        <w:t xml:space="preserve">Genom EU:s partnerskapsavtal med Grönland har EU möjlighet till fiske efter </w:t>
      </w:r>
      <w:r w:rsidR="00D15505">
        <w:t>l</w:t>
      </w:r>
      <w:r>
        <w:t>odda i Grönländska vatten genom en fastställd andel av den totala tillåtna fångstmängden (TAC). Lodda är en kortlivad art varför internationella havsforskningsrådets (ICES) rådgivning offentliggörs kort innan fiskesäsongen startar. För 2014 offentliggjordes ICES rådgivning den 7 maj och fiskesäsongen börjar 20 juni. TAC fastställs genom en ändring av TAC- och kvotförordningen (Förordning (EU) nr 43/2014). Frågan har satts upp som en möjlig fråga på rådsdagordningen för att möjliggöra ett beslut om TAC i tid till fiskestarten den 20 juni.</w:t>
      </w:r>
    </w:p>
    <w:p w14:paraId="4A60682A" w14:textId="77777777" w:rsidR="00A65055" w:rsidRDefault="00A65055" w:rsidP="00A65055">
      <w:pPr>
        <w:rPr>
          <w:i/>
          <w:iCs/>
        </w:rPr>
      </w:pPr>
    </w:p>
    <w:p w14:paraId="6F88EC6B" w14:textId="77777777" w:rsidR="00A65055" w:rsidRDefault="00A65055" w:rsidP="00A65055">
      <w:pPr>
        <w:pStyle w:val="RKnormal"/>
        <w:rPr>
          <w:i/>
          <w:iCs/>
        </w:rPr>
      </w:pPr>
    </w:p>
    <w:p w14:paraId="72E2CAEA" w14:textId="77777777" w:rsidR="00A65055" w:rsidRDefault="00A65055" w:rsidP="00A65055">
      <w:pPr>
        <w:pStyle w:val="RKnormal"/>
        <w:rPr>
          <w:i/>
          <w:iCs/>
        </w:rPr>
      </w:pPr>
      <w:r>
        <w:rPr>
          <w:i/>
          <w:iCs/>
        </w:rPr>
        <w:t>Förslag till svensk ståndpunkt</w:t>
      </w:r>
    </w:p>
    <w:p w14:paraId="018F7191" w14:textId="5956834E" w:rsidR="00A65055" w:rsidRDefault="00A65055" w:rsidP="00A65055">
      <w:pPr>
        <w:pStyle w:val="RKnormal"/>
        <w:rPr>
          <w:iCs/>
        </w:rPr>
      </w:pPr>
      <w:r>
        <w:rPr>
          <w:iCs/>
        </w:rPr>
        <w:t>Regeringen förespråkar att den vetenskapliga rådgivningen utgör grunden för beslut om total tillåten fångstmängd av lodda för 2014 och kan under denna förutsättning stödja ett skyndsamt förfarande för fatställande av TAC.</w:t>
      </w:r>
    </w:p>
    <w:p w14:paraId="77047335" w14:textId="77777777" w:rsidR="00A65055" w:rsidRDefault="00A65055" w:rsidP="00A65055">
      <w:pPr>
        <w:pStyle w:val="RKnormal"/>
        <w:rPr>
          <w:i/>
          <w:iCs/>
        </w:rPr>
      </w:pPr>
    </w:p>
    <w:p w14:paraId="00C4A68E" w14:textId="77777777" w:rsidR="00A65055" w:rsidRDefault="00A65055" w:rsidP="00A65055">
      <w:pPr>
        <w:pStyle w:val="RKnormal"/>
        <w:rPr>
          <w:i/>
          <w:iCs/>
        </w:rPr>
      </w:pPr>
    </w:p>
    <w:p w14:paraId="13363CA0" w14:textId="77777777" w:rsidR="00A65055" w:rsidRDefault="00A65055" w:rsidP="00A65055">
      <w:pPr>
        <w:pStyle w:val="RKnormal"/>
        <w:rPr>
          <w:i/>
          <w:iCs/>
        </w:rPr>
      </w:pPr>
      <w:r>
        <w:rPr>
          <w:i/>
          <w:iCs/>
        </w:rPr>
        <w:t>EU-nämnden och MJU</w:t>
      </w:r>
    </w:p>
    <w:p w14:paraId="22C091F5" w14:textId="77777777" w:rsidR="00A65055" w:rsidRDefault="00A65055" w:rsidP="00A65055">
      <w:pPr>
        <w:pStyle w:val="RKnormal"/>
      </w:pPr>
      <w:r>
        <w:t>Frågan har inte tidigare varit föremål för samråd med EU-nämnden eller information i MJU.</w:t>
      </w:r>
    </w:p>
    <w:p w14:paraId="22C20625" w14:textId="1A62730C" w:rsidR="006843F9" w:rsidRPr="005A6D8B" w:rsidRDefault="006843F9" w:rsidP="005A6D8B">
      <w:pPr>
        <w:pStyle w:val="Avsndare"/>
        <w:framePr w:w="0" w:hRule="auto" w:hSpace="0" w:wrap="auto" w:vAnchor="margin" w:hAnchor="text" w:xAlign="left" w:yAlign="inline"/>
        <w:rPr>
          <w:b/>
          <w:i w:val="0"/>
          <w:sz w:val="22"/>
        </w:rPr>
      </w:pPr>
    </w:p>
    <w:p w14:paraId="147C4C90" w14:textId="3677DCF2" w:rsidR="005A6D8B" w:rsidRDefault="005A6D8B" w:rsidP="005A6D8B">
      <w:pPr>
        <w:pStyle w:val="RKnormal"/>
      </w:pPr>
    </w:p>
    <w:p w14:paraId="14C190F2" w14:textId="77777777" w:rsidR="006843F9" w:rsidRDefault="006843F9">
      <w:pPr>
        <w:overflowPunct/>
        <w:autoSpaceDE/>
        <w:autoSpaceDN/>
        <w:adjustRightInd/>
        <w:spacing w:after="200" w:line="276" w:lineRule="auto"/>
        <w:textAlignment w:val="auto"/>
        <w:rPr>
          <w:rFonts w:ascii="TradeGothic" w:hAnsi="TradeGothic"/>
          <w:b/>
          <w:sz w:val="22"/>
          <w:szCs w:val="22"/>
          <w:u w:val="single"/>
        </w:rPr>
      </w:pPr>
      <w:r>
        <w:rPr>
          <w:rFonts w:ascii="TradeGothic" w:hAnsi="TradeGothic"/>
          <w:b/>
          <w:sz w:val="22"/>
          <w:szCs w:val="22"/>
          <w:u w:val="single"/>
        </w:rPr>
        <w:br w:type="page"/>
      </w:r>
    </w:p>
    <w:p w14:paraId="5B2C96EE" w14:textId="1F5ED943" w:rsidR="00491B35" w:rsidRDefault="00E5403F" w:rsidP="00491B35">
      <w:pPr>
        <w:pStyle w:val="RKnormal"/>
        <w:rPr>
          <w:rFonts w:ascii="TradeGothic" w:hAnsi="TradeGothic"/>
          <w:b/>
          <w:sz w:val="22"/>
          <w:szCs w:val="22"/>
          <w:u w:val="single"/>
        </w:rPr>
      </w:pPr>
      <w:r w:rsidRPr="00E5403F">
        <w:rPr>
          <w:rFonts w:ascii="TradeGothic" w:hAnsi="TradeGothic"/>
          <w:b/>
          <w:sz w:val="22"/>
          <w:szCs w:val="22"/>
          <w:u w:val="single"/>
        </w:rPr>
        <w:lastRenderedPageBreak/>
        <w:t>Övriga frågor</w:t>
      </w:r>
    </w:p>
    <w:p w14:paraId="59125289" w14:textId="77777777" w:rsidR="00B06D3F" w:rsidRPr="00B06D3F" w:rsidRDefault="00B06D3F" w:rsidP="00491B35">
      <w:pPr>
        <w:pStyle w:val="RKnormal"/>
        <w:rPr>
          <w:rFonts w:ascii="TradeGothic" w:hAnsi="TradeGothic"/>
          <w:b/>
          <w:sz w:val="22"/>
          <w:szCs w:val="22"/>
          <w:u w:val="single"/>
        </w:rPr>
      </w:pPr>
    </w:p>
    <w:p w14:paraId="17E32B71" w14:textId="2625793B" w:rsidR="007F65D0" w:rsidRPr="007F65D0" w:rsidRDefault="00437319" w:rsidP="007F65D0">
      <w:pPr>
        <w:pStyle w:val="Rubrik2"/>
        <w:rPr>
          <w:rFonts w:ascii="TradeGothic" w:hAnsi="TradeGothic"/>
          <w:color w:val="auto"/>
          <w:sz w:val="22"/>
          <w:szCs w:val="22"/>
        </w:rPr>
      </w:pPr>
      <w:r w:rsidRPr="007F65D0">
        <w:rPr>
          <w:rFonts w:ascii="TradeGothic" w:hAnsi="TradeGothic"/>
          <w:color w:val="auto"/>
          <w:sz w:val="22"/>
          <w:szCs w:val="22"/>
        </w:rPr>
        <w:t>3.</w:t>
      </w:r>
      <w:r w:rsidR="000066C1" w:rsidRPr="007F65D0">
        <w:rPr>
          <w:rFonts w:ascii="TradeGothic" w:hAnsi="TradeGothic"/>
          <w:color w:val="auto"/>
          <w:sz w:val="22"/>
          <w:szCs w:val="22"/>
        </w:rPr>
        <w:t xml:space="preserve"> </w:t>
      </w:r>
      <w:r w:rsidR="000066C1" w:rsidRPr="007F65D0">
        <w:rPr>
          <w:rFonts w:ascii="TradeGothic" w:hAnsi="TradeGothic"/>
          <w:color w:val="auto"/>
          <w:sz w:val="22"/>
          <w:szCs w:val="22"/>
        </w:rPr>
        <w:tab/>
      </w:r>
      <w:r w:rsidR="00B84411" w:rsidRPr="007F65D0">
        <w:rPr>
          <w:rFonts w:ascii="TradeGothic" w:hAnsi="TradeGothic"/>
          <w:color w:val="auto"/>
          <w:sz w:val="22"/>
          <w:szCs w:val="22"/>
        </w:rPr>
        <w:t>a i)</w:t>
      </w:r>
      <w:r w:rsidR="007F65D0" w:rsidRPr="007F65D0">
        <w:rPr>
          <w:rFonts w:ascii="TradeGothic" w:hAnsi="TradeGothic"/>
          <w:color w:val="auto"/>
          <w:sz w:val="22"/>
          <w:szCs w:val="22"/>
        </w:rPr>
        <w:t xml:space="preserve"> </w:t>
      </w:r>
      <w:r w:rsidR="007F65D0">
        <w:rPr>
          <w:rFonts w:ascii="TradeGothic" w:hAnsi="TradeGothic"/>
          <w:color w:val="auto"/>
          <w:sz w:val="22"/>
          <w:szCs w:val="22"/>
        </w:rPr>
        <w:t>D</w:t>
      </w:r>
      <w:r w:rsidR="00EF7B00">
        <w:rPr>
          <w:rFonts w:ascii="TradeGothic" w:hAnsi="TradeGothic"/>
          <w:color w:val="auto"/>
          <w:sz w:val="22"/>
          <w:szCs w:val="22"/>
        </w:rPr>
        <w:t xml:space="preserve">jurhälsa / </w:t>
      </w:r>
      <w:r w:rsidR="007F65D0" w:rsidRPr="007F65D0">
        <w:rPr>
          <w:rFonts w:ascii="TradeGothic" w:hAnsi="TradeGothic"/>
          <w:color w:val="auto"/>
          <w:sz w:val="22"/>
          <w:szCs w:val="22"/>
        </w:rPr>
        <w:t xml:space="preserve">växthälsa / kontrollpaketet  </w:t>
      </w:r>
    </w:p>
    <w:p w14:paraId="76C37540" w14:textId="77777777" w:rsidR="0053373A" w:rsidRDefault="0053373A" w:rsidP="007F65D0">
      <w:pPr>
        <w:pStyle w:val="RKnormal"/>
        <w:rPr>
          <w:b/>
          <w:i/>
          <w:sz w:val="22"/>
          <w:szCs w:val="22"/>
        </w:rPr>
      </w:pPr>
    </w:p>
    <w:p w14:paraId="01065EFA" w14:textId="77777777" w:rsidR="007F65D0" w:rsidRPr="007F65D0" w:rsidRDefault="007F65D0" w:rsidP="007F65D0">
      <w:pPr>
        <w:pStyle w:val="RKnormal"/>
        <w:rPr>
          <w:b/>
          <w:i/>
          <w:sz w:val="22"/>
          <w:szCs w:val="22"/>
        </w:rPr>
      </w:pPr>
      <w:r w:rsidRPr="007F65D0">
        <w:rPr>
          <w:b/>
          <w:i/>
          <w:sz w:val="22"/>
          <w:szCs w:val="22"/>
        </w:rPr>
        <w:t>- lägesrapport från ordförandeskapet</w:t>
      </w:r>
    </w:p>
    <w:p w14:paraId="6C7656E3" w14:textId="77777777" w:rsidR="007F65D0" w:rsidRDefault="007F65D0" w:rsidP="007F65D0">
      <w:pPr>
        <w:pStyle w:val="RKnormal"/>
        <w:rPr>
          <w:i/>
        </w:rPr>
      </w:pPr>
    </w:p>
    <w:p w14:paraId="12F039E8" w14:textId="77777777" w:rsidR="007F65D0" w:rsidRDefault="007F65D0" w:rsidP="007F65D0">
      <w:pPr>
        <w:pStyle w:val="RKnormal"/>
        <w:rPr>
          <w:i/>
        </w:rPr>
      </w:pPr>
      <w:r>
        <w:rPr>
          <w:i/>
        </w:rPr>
        <w:t>Dokumentbeteckning</w:t>
      </w:r>
    </w:p>
    <w:p w14:paraId="24EA2677" w14:textId="77777777" w:rsidR="007F65D0" w:rsidRDefault="007F65D0" w:rsidP="007F65D0">
      <w:r>
        <w:t>-</w:t>
      </w:r>
    </w:p>
    <w:p w14:paraId="45D26B03" w14:textId="77777777" w:rsidR="007F65D0" w:rsidRDefault="007F65D0" w:rsidP="007F65D0"/>
    <w:p w14:paraId="34602C61" w14:textId="77777777" w:rsidR="007F65D0" w:rsidRDefault="007F65D0" w:rsidP="007F65D0">
      <w:pPr>
        <w:pStyle w:val="RKnormal"/>
        <w:rPr>
          <w:i/>
        </w:rPr>
      </w:pPr>
      <w:r>
        <w:rPr>
          <w:i/>
        </w:rPr>
        <w:t>Rättslig grund</w:t>
      </w:r>
    </w:p>
    <w:p w14:paraId="0E509470" w14:textId="25678E15" w:rsidR="008A2C99" w:rsidRDefault="007F65D0" w:rsidP="008A2C99">
      <w:pPr>
        <w:pStyle w:val="RKnormal"/>
        <w:rPr>
          <w:iCs/>
        </w:rPr>
      </w:pPr>
      <w:r>
        <w:t>Fördraget om europeiska unionens funktionssätt, särskilt artikel 43</w:t>
      </w:r>
      <w:r w:rsidR="007D1F1D">
        <w:t>.2</w:t>
      </w:r>
      <w:r>
        <w:t xml:space="preserve">, </w:t>
      </w:r>
      <w:r w:rsidRPr="00F409DA">
        <w:rPr>
          <w:iCs/>
        </w:rPr>
        <w:t>114 och 168.4b</w:t>
      </w:r>
      <w:r>
        <w:t xml:space="preserve">. </w:t>
      </w:r>
      <w:r w:rsidR="008A2C99">
        <w:rPr>
          <w:iCs/>
        </w:rPr>
        <w:t>Rådet och europaparlamentet fattar beslut genom ordinarie beslutsförfarande. Rådet beslutar med kvalificerad majoritet.</w:t>
      </w:r>
    </w:p>
    <w:p w14:paraId="77FE3C15" w14:textId="79B3B768" w:rsidR="007F65D0" w:rsidRDefault="007F65D0" w:rsidP="008A2C99">
      <w:pPr>
        <w:rPr>
          <w:i/>
        </w:rPr>
      </w:pPr>
    </w:p>
    <w:p w14:paraId="6F53E876" w14:textId="77777777" w:rsidR="007F65D0" w:rsidRDefault="007F65D0" w:rsidP="007F65D0">
      <w:pPr>
        <w:pStyle w:val="RKnormal"/>
        <w:rPr>
          <w:i/>
        </w:rPr>
      </w:pPr>
      <w:r>
        <w:rPr>
          <w:i/>
        </w:rPr>
        <w:t>Bakgrund</w:t>
      </w:r>
    </w:p>
    <w:p w14:paraId="0109FA38" w14:textId="77777777" w:rsidR="007F65D0" w:rsidRDefault="007F65D0" w:rsidP="007F65D0">
      <w:pPr>
        <w:pStyle w:val="RKnormal"/>
      </w:pPr>
      <w:r>
        <w:t>Kommissionen presenterade i maj 2013 ett lagstiftningspaket under namnet ”Friskare djur, sundare växter och en säkrare jordbruksbaserad livsmedelskedja - En moderniserad lagstiftning för ett mer konkur</w:t>
      </w:r>
      <w:r>
        <w:softHyphen/>
        <w:t xml:space="preserve">renskraftigt EU”. Paketet innehöll ett meddelande och fem förslag till rättsakter – förordningsförslag om djurhälsa, om skyddsåtgärder mot växtskadegörare, om växtförökningsmaterial, om offentlig kontroll inom växt-, djur- och livsmedelsområdena m.fl. samt om EU-utgifter inom områdena djurhälsa, växtskadegörare och offentlig </w:t>
      </w:r>
      <w:r w:rsidRPr="00333216">
        <w:t>kontroll</w:t>
      </w:r>
      <w:r w:rsidRPr="00333216">
        <w:rPr>
          <w:szCs w:val="24"/>
        </w:rPr>
        <w:t>.</w:t>
      </w:r>
      <w:r>
        <w:rPr>
          <w:szCs w:val="24"/>
        </w:rPr>
        <w:t xml:space="preserve"> </w:t>
      </w:r>
      <w:r>
        <w:t>Kommissionens målsättning med förslagen är att skapa en effektivare, mer modern och enklare lagstiftning för en god djurhälsa, ett gott skydd mot växtskadegörare, säkra livsmedel och ett konkurrenskraftigt jordbruk.</w:t>
      </w:r>
    </w:p>
    <w:p w14:paraId="2170335E" w14:textId="77777777" w:rsidR="00CB2C2B" w:rsidRDefault="00CB2C2B" w:rsidP="007F65D0">
      <w:pPr>
        <w:pStyle w:val="RKnormal"/>
      </w:pPr>
    </w:p>
    <w:p w14:paraId="1906BCE6" w14:textId="6B7B067F" w:rsidR="007F65D0" w:rsidRPr="009B2786" w:rsidRDefault="007F65D0" w:rsidP="009B2786">
      <w:pPr>
        <w:overflowPunct/>
        <w:autoSpaceDE/>
        <w:autoSpaceDN/>
        <w:adjustRightInd/>
        <w:spacing w:line="240" w:lineRule="auto"/>
        <w:textAlignment w:val="auto"/>
        <w:rPr>
          <w:i/>
        </w:rPr>
      </w:pPr>
      <w:r w:rsidRPr="00CC308E">
        <w:t>Den nya förordningen om djurhälsa ska utgöra en ramlag för all lagstiftning på djurhälsoområdet. Den omfattar allmänna principer och regler för att förhindra spridning av smittsamma djursjukdomar inklusive zoonoser och för att förbättra djurhälsan i EU. Förordningen bygger på samma principer som dagens lagstiftning, dvs. att förhindra smittspridni</w:t>
      </w:r>
      <w:r>
        <w:t>ng och bekämpa sjukdomsutbrott. Nytt i förhållande till nuvarande EU-regler är att djurägare blir skyldiga att vidta vissa förebyggande åtgärder.</w:t>
      </w:r>
    </w:p>
    <w:p w14:paraId="3289942E" w14:textId="77777777" w:rsidR="007F65D0" w:rsidRDefault="007F65D0" w:rsidP="007F65D0"/>
    <w:p w14:paraId="63066D45" w14:textId="1FDDF086" w:rsidR="007F65D0" w:rsidRDefault="007F65D0" w:rsidP="007F65D0">
      <w:r w:rsidRPr="00CC308E">
        <w:t>Den föreslagna lagstiftningen om skyddsåtgärder mot växtskadegörare har samma syfte som dagens lagstiftning, dvs. att skydda växter och växtmiljöer genom att förhindra spridning av allvarliga växtskadegörare</w:t>
      </w:r>
      <w:r>
        <w:t>, s.k. karantänsskadegörare</w:t>
      </w:r>
      <w:r w:rsidRPr="00CC308E">
        <w:t>. Syftet med förslaget är en mer proaktiv lagstiftning genom fokus på riskbaserade förebyggande och snabba åtgärder för skydd av territoriet mot växtskadegörare vars introduktion kan få omfattande ekonomiska, miljömässiga och sociala konsekvenser</w:t>
      </w:r>
      <w:r>
        <w:t>.</w:t>
      </w:r>
      <w:r w:rsidRPr="00CC308E">
        <w:t xml:space="preserve"> </w:t>
      </w:r>
      <w:r>
        <w:t>Dessutom omfattar förslaget regleringen av s.k. kvalitetsskadegörare som redan är etablerade i EU och där syftet med lagstiftningen är att motverka vidare spridning som leder t</w:t>
      </w:r>
      <w:r w:rsidR="00CB2C2B">
        <w:t>ill oacceptabel ekonomisk skada.</w:t>
      </w:r>
    </w:p>
    <w:p w14:paraId="089AD1A0" w14:textId="77777777" w:rsidR="007F65D0" w:rsidRDefault="007F65D0" w:rsidP="007F65D0"/>
    <w:p w14:paraId="3668ADA2" w14:textId="77777777" w:rsidR="007F65D0" w:rsidRPr="00CC308E" w:rsidRDefault="007F65D0" w:rsidP="007F65D0">
      <w:r>
        <w:t>F</w:t>
      </w:r>
      <w:r w:rsidRPr="00CC308E">
        <w:t xml:space="preserve">örslaget </w:t>
      </w:r>
      <w:r>
        <w:t>till förordning om offentlig kontroll ersätter dagens kontrollförordning och föreslår att</w:t>
      </w:r>
      <w:r w:rsidRPr="00CC308E">
        <w:t xml:space="preserve"> tillämpningsområdet utvidgas till ett antal nya områden</w:t>
      </w:r>
      <w:r>
        <w:t xml:space="preserve"> – skyddsåtgärder mot växtskade</w:t>
      </w:r>
      <w:r w:rsidRPr="00CC308E">
        <w:t>görare, saluföring av växtförökningsm</w:t>
      </w:r>
      <w:r>
        <w:t>aterial (inklusive skogsodlings</w:t>
      </w:r>
      <w:r w:rsidRPr="00CC308E">
        <w:t xml:space="preserve">material), växtskyddsmedel (användning och saluföring), avsiktligt utsläppande i miljön och innesluten användning av GMO samt animaliska biprodukter. </w:t>
      </w:r>
      <w:r>
        <w:t xml:space="preserve">De grundläggande principerna föreslås fortsatt vara desamma (riskbaserade, regelbundna, oaviserade kontroller). </w:t>
      </w:r>
    </w:p>
    <w:p w14:paraId="68D9F6C4" w14:textId="77777777" w:rsidR="007F65D0" w:rsidRDefault="007F65D0" w:rsidP="007F65D0">
      <w:pPr>
        <w:pStyle w:val="RKnormal"/>
        <w:rPr>
          <w:i/>
        </w:rPr>
      </w:pPr>
    </w:p>
    <w:p w14:paraId="0CDCB205" w14:textId="77777777" w:rsidR="007F65D0" w:rsidRDefault="007F65D0" w:rsidP="007F65D0">
      <w:pPr>
        <w:pStyle w:val="RKnormal"/>
      </w:pPr>
      <w:r w:rsidRPr="00001C38">
        <w:t xml:space="preserve">Förslagen har </w:t>
      </w:r>
      <w:r>
        <w:t>sedan sommaren 2013 behandlats i rådsarbetsgrupp och denna process kommer att fortsätta under nästa halvår. Europapar</w:t>
      </w:r>
      <w:r>
        <w:softHyphen/>
        <w:t xml:space="preserve">lamentet har fattat beslut om sin ståndpunkt i den första behandlingen i april. </w:t>
      </w:r>
    </w:p>
    <w:p w14:paraId="09A6241D" w14:textId="77777777" w:rsidR="007F65D0" w:rsidRDefault="007F65D0" w:rsidP="007F65D0">
      <w:pPr>
        <w:pStyle w:val="RKnormal"/>
      </w:pPr>
    </w:p>
    <w:p w14:paraId="45C42C26" w14:textId="77777777" w:rsidR="007F65D0" w:rsidRDefault="007F65D0" w:rsidP="007F65D0">
      <w:pPr>
        <w:pStyle w:val="RKnormal"/>
      </w:pPr>
      <w:r>
        <w:t>Processen avseende förordningsförslaget om EU-utgifter har gått fortare än för de övriga fyra förslagen och antogs den 8 maj av rådet och Europaparlamentet.</w:t>
      </w:r>
    </w:p>
    <w:p w14:paraId="11DE8FD0" w14:textId="77777777" w:rsidR="007F65D0" w:rsidRDefault="007F65D0" w:rsidP="007F65D0"/>
    <w:p w14:paraId="223FE885" w14:textId="77777777" w:rsidR="007F65D0" w:rsidRDefault="007F65D0" w:rsidP="007F65D0">
      <w:pPr>
        <w:pStyle w:val="RKnormal"/>
        <w:rPr>
          <w:i/>
        </w:rPr>
      </w:pPr>
      <w:r>
        <w:rPr>
          <w:i/>
        </w:rPr>
        <w:t>EU-nämnden och MJU</w:t>
      </w:r>
    </w:p>
    <w:p w14:paraId="08C7F483" w14:textId="77777777" w:rsidR="007F65D0" w:rsidRPr="00F377AE" w:rsidRDefault="007F65D0" w:rsidP="007F65D0">
      <w:pPr>
        <w:pStyle w:val="RKnormal"/>
      </w:pPr>
      <w:r w:rsidRPr="00F377AE">
        <w:t>F</w:t>
      </w:r>
      <w:r>
        <w:t xml:space="preserve">rågan var föremål för särskild överläggning i MJU den 27 augusti. Frågan har varit föremål för samråd i EU-nämnden den 13 december 2013. </w:t>
      </w:r>
    </w:p>
    <w:p w14:paraId="498CCF9E" w14:textId="5FE6D24C" w:rsidR="00CA0E64" w:rsidRDefault="00CA0E64" w:rsidP="00C9743F">
      <w:pPr>
        <w:pStyle w:val="RKnormal"/>
        <w:ind w:left="720" w:hanging="720"/>
        <w:rPr>
          <w:rFonts w:ascii="TradeGothic" w:hAnsi="TradeGothic"/>
          <w:b/>
          <w:sz w:val="22"/>
          <w:szCs w:val="22"/>
        </w:rPr>
      </w:pPr>
    </w:p>
    <w:p w14:paraId="1DD83C00" w14:textId="45D92735" w:rsidR="00B84411" w:rsidRDefault="00B84411" w:rsidP="00C9743F">
      <w:pPr>
        <w:pStyle w:val="RKnormal"/>
        <w:ind w:left="720" w:hanging="720"/>
        <w:rPr>
          <w:rFonts w:ascii="TradeGothic" w:hAnsi="TradeGothic"/>
          <w:b/>
          <w:sz w:val="22"/>
          <w:szCs w:val="22"/>
        </w:rPr>
      </w:pPr>
      <w:r>
        <w:rPr>
          <w:rFonts w:ascii="TradeGothic" w:hAnsi="TradeGothic"/>
          <w:b/>
          <w:sz w:val="22"/>
          <w:szCs w:val="22"/>
        </w:rPr>
        <w:tab/>
      </w:r>
    </w:p>
    <w:p w14:paraId="4D500395" w14:textId="77777777" w:rsidR="00D7004B" w:rsidRDefault="008A664C" w:rsidP="008A664C">
      <w:pPr>
        <w:pStyle w:val="RKnormal"/>
        <w:ind w:left="720" w:hanging="720"/>
        <w:rPr>
          <w:rFonts w:ascii="TradeGothic" w:hAnsi="TradeGothic"/>
          <w:b/>
          <w:sz w:val="22"/>
          <w:szCs w:val="22"/>
        </w:rPr>
      </w:pPr>
      <w:r>
        <w:rPr>
          <w:rFonts w:ascii="TradeGothic" w:hAnsi="TradeGothic"/>
          <w:b/>
          <w:sz w:val="22"/>
          <w:szCs w:val="22"/>
        </w:rPr>
        <w:lastRenderedPageBreak/>
        <w:tab/>
      </w:r>
    </w:p>
    <w:p w14:paraId="4813F818" w14:textId="77777777" w:rsidR="00D7004B" w:rsidRDefault="00D7004B" w:rsidP="008A664C">
      <w:pPr>
        <w:pStyle w:val="RKnormal"/>
        <w:ind w:left="720" w:hanging="720"/>
        <w:rPr>
          <w:rFonts w:ascii="TradeGothic" w:hAnsi="TradeGothic"/>
          <w:b/>
          <w:sz w:val="22"/>
          <w:szCs w:val="22"/>
        </w:rPr>
      </w:pPr>
    </w:p>
    <w:p w14:paraId="0E9E6181" w14:textId="6BDD7264" w:rsidR="008A664C" w:rsidRDefault="00D7004B" w:rsidP="008A664C">
      <w:pPr>
        <w:pStyle w:val="RKnormal"/>
        <w:ind w:left="720" w:hanging="720"/>
        <w:rPr>
          <w:rFonts w:ascii="TradeGothic" w:hAnsi="TradeGothic"/>
          <w:b/>
          <w:sz w:val="22"/>
          <w:szCs w:val="22"/>
        </w:rPr>
      </w:pPr>
      <w:r>
        <w:rPr>
          <w:rFonts w:ascii="TradeGothic" w:hAnsi="TradeGothic"/>
          <w:b/>
          <w:sz w:val="22"/>
          <w:szCs w:val="22"/>
        </w:rPr>
        <w:tab/>
      </w:r>
      <w:r w:rsidR="008A664C">
        <w:rPr>
          <w:rFonts w:ascii="TradeGothic" w:hAnsi="TradeGothic"/>
          <w:b/>
          <w:sz w:val="22"/>
          <w:szCs w:val="22"/>
        </w:rPr>
        <w:t xml:space="preserve">ii) </w:t>
      </w:r>
      <w:r w:rsidR="008A664C" w:rsidRPr="008A664C">
        <w:rPr>
          <w:rFonts w:ascii="TradeGothic" w:hAnsi="TradeGothic"/>
          <w:b/>
          <w:sz w:val="22"/>
          <w:szCs w:val="22"/>
        </w:rPr>
        <w:t>Förordning om produktion och tillhandahållande på marknaden</w:t>
      </w:r>
      <w:r w:rsidR="00C503C9">
        <w:rPr>
          <w:rFonts w:ascii="TradeGothic" w:hAnsi="TradeGothic"/>
          <w:b/>
          <w:sz w:val="22"/>
          <w:szCs w:val="22"/>
        </w:rPr>
        <w:t xml:space="preserve"> av växtförökningsmaterial</w:t>
      </w:r>
      <w:r w:rsidR="008A664C" w:rsidRPr="008A664C">
        <w:rPr>
          <w:rFonts w:ascii="TradeGothic" w:hAnsi="TradeGothic"/>
          <w:b/>
          <w:sz w:val="22"/>
          <w:szCs w:val="22"/>
        </w:rPr>
        <w:t>(lagstift</w:t>
      </w:r>
      <w:r w:rsidR="00C503C9">
        <w:rPr>
          <w:rFonts w:ascii="TradeGothic" w:hAnsi="TradeGothic"/>
          <w:b/>
          <w:sz w:val="22"/>
          <w:szCs w:val="22"/>
        </w:rPr>
        <w:t>ning om växtförökningsmaterial).</w:t>
      </w:r>
      <w:r w:rsidR="008A664C" w:rsidRPr="008A664C">
        <w:rPr>
          <w:rFonts w:ascii="TradeGothic" w:hAnsi="TradeGothic"/>
          <w:b/>
          <w:sz w:val="22"/>
          <w:szCs w:val="22"/>
        </w:rPr>
        <w:t xml:space="preserve"> </w:t>
      </w:r>
    </w:p>
    <w:p w14:paraId="78DB12F1" w14:textId="77777777" w:rsidR="00D7004B" w:rsidRPr="008A664C" w:rsidRDefault="00D7004B" w:rsidP="008A664C">
      <w:pPr>
        <w:pStyle w:val="RKnormal"/>
        <w:ind w:left="720" w:hanging="720"/>
        <w:rPr>
          <w:rFonts w:ascii="TradeGothic" w:hAnsi="TradeGothic"/>
          <w:b/>
          <w:sz w:val="22"/>
          <w:szCs w:val="22"/>
        </w:rPr>
      </w:pPr>
    </w:p>
    <w:p w14:paraId="6D0F5140" w14:textId="77777777" w:rsidR="008A664C" w:rsidRPr="008A664C" w:rsidRDefault="008A664C" w:rsidP="008A664C">
      <w:pPr>
        <w:pStyle w:val="RKnormal"/>
        <w:rPr>
          <w:b/>
          <w:i/>
          <w:sz w:val="22"/>
          <w:szCs w:val="22"/>
        </w:rPr>
      </w:pPr>
      <w:r w:rsidRPr="008A664C">
        <w:rPr>
          <w:b/>
          <w:i/>
          <w:sz w:val="22"/>
          <w:szCs w:val="22"/>
        </w:rPr>
        <w:t>- lägesrapport från ordförandeskapet</w:t>
      </w:r>
    </w:p>
    <w:p w14:paraId="7FACF7B6" w14:textId="77777777" w:rsidR="008A664C" w:rsidRDefault="008A664C" w:rsidP="008A664C">
      <w:pPr>
        <w:pStyle w:val="RKnormal"/>
        <w:rPr>
          <w:i/>
        </w:rPr>
      </w:pPr>
    </w:p>
    <w:p w14:paraId="29A7FDE0" w14:textId="77777777" w:rsidR="008A664C" w:rsidRDefault="008A664C" w:rsidP="008A664C">
      <w:pPr>
        <w:pStyle w:val="RKnormal"/>
        <w:rPr>
          <w:i/>
        </w:rPr>
      </w:pPr>
      <w:r>
        <w:rPr>
          <w:i/>
        </w:rPr>
        <w:t>Dokumentbeteckning</w:t>
      </w:r>
    </w:p>
    <w:p w14:paraId="5940F928" w14:textId="5DF94F83" w:rsidR="008A664C" w:rsidRDefault="008A664C" w:rsidP="008A664C">
      <w:r>
        <w:t>-</w:t>
      </w:r>
    </w:p>
    <w:p w14:paraId="68FD7188" w14:textId="77777777" w:rsidR="008A664C" w:rsidRDefault="008A664C" w:rsidP="008A664C"/>
    <w:p w14:paraId="2CA352C4" w14:textId="77777777" w:rsidR="008A664C" w:rsidRDefault="008A664C" w:rsidP="008A664C">
      <w:pPr>
        <w:pStyle w:val="RKnormal"/>
        <w:rPr>
          <w:i/>
        </w:rPr>
      </w:pPr>
      <w:r>
        <w:rPr>
          <w:i/>
        </w:rPr>
        <w:t>Rättslig grund</w:t>
      </w:r>
    </w:p>
    <w:p w14:paraId="504EF702" w14:textId="650B4712" w:rsidR="007D1F1D" w:rsidRDefault="008A664C" w:rsidP="007D1F1D">
      <w:pPr>
        <w:pStyle w:val="RKnormal"/>
        <w:rPr>
          <w:iCs/>
        </w:rPr>
      </w:pPr>
      <w:r>
        <w:t>Fördraget om europeiska un</w:t>
      </w:r>
      <w:r w:rsidR="007D1F1D">
        <w:t xml:space="preserve">ionens funktionssätt </w:t>
      </w:r>
      <w:r w:rsidR="007D1F1D">
        <w:rPr>
          <w:iCs/>
        </w:rPr>
        <w:t>artikel 43.2. Rådet och europaparlamentet fattar beslut genom ordinarie beslutsförfarande. Rådet beslutar med kvalificerad majoritet.</w:t>
      </w:r>
    </w:p>
    <w:p w14:paraId="10AAFDE0" w14:textId="5F836F3A" w:rsidR="008A664C" w:rsidRDefault="008A664C" w:rsidP="008A664C"/>
    <w:p w14:paraId="0ADA3798" w14:textId="77777777" w:rsidR="008A664C" w:rsidRDefault="008A664C" w:rsidP="008A664C">
      <w:pPr>
        <w:pStyle w:val="RKnormal"/>
        <w:rPr>
          <w:i/>
        </w:rPr>
      </w:pPr>
    </w:p>
    <w:p w14:paraId="7093850D" w14:textId="77777777" w:rsidR="008A664C" w:rsidRDefault="008A664C" w:rsidP="008A664C">
      <w:pPr>
        <w:pStyle w:val="RKnormal"/>
        <w:rPr>
          <w:i/>
        </w:rPr>
      </w:pPr>
      <w:r>
        <w:rPr>
          <w:i/>
        </w:rPr>
        <w:t>Bakgrund</w:t>
      </w:r>
    </w:p>
    <w:p w14:paraId="2FB12B4B" w14:textId="77777777" w:rsidR="008A664C" w:rsidRDefault="008A664C" w:rsidP="008A664C">
      <w:pPr>
        <w:pStyle w:val="RKnormal"/>
        <w:rPr>
          <w:i/>
        </w:rPr>
      </w:pPr>
    </w:p>
    <w:p w14:paraId="3AD6B184" w14:textId="77777777" w:rsidR="008A664C" w:rsidRPr="00B201BC" w:rsidRDefault="008A664C" w:rsidP="008A664C">
      <w:r w:rsidRPr="00B201BC">
        <w:t xml:space="preserve">Den föreslagna förordningen om växtförökningsmaterial ska ersätta tolv direktiv. Många av dessa direktiv är föråldrade och det finns ett stort behov av att modernisera lagstiftningen och göra den mer </w:t>
      </w:r>
      <w:r>
        <w:t>enhetlig. Syftet med förslaget</w:t>
      </w:r>
      <w:r w:rsidRPr="00B201BC">
        <w:t>, är att:</w:t>
      </w:r>
    </w:p>
    <w:p w14:paraId="5964E38D" w14:textId="77777777" w:rsidR="008A664C" w:rsidRPr="00B201BC" w:rsidRDefault="008A664C" w:rsidP="008A664C">
      <w:pPr>
        <w:numPr>
          <w:ilvl w:val="0"/>
          <w:numId w:val="17"/>
        </w:numPr>
      </w:pPr>
      <w:r w:rsidRPr="00B201BC">
        <w:t xml:space="preserve">Säkra sundhet och hög kvalitet på växtförökningsmaterial, </w:t>
      </w:r>
    </w:p>
    <w:p w14:paraId="0E7A86D2" w14:textId="77777777" w:rsidR="008A664C" w:rsidRPr="00B201BC" w:rsidRDefault="008A664C" w:rsidP="008A664C">
      <w:pPr>
        <w:numPr>
          <w:ilvl w:val="0"/>
          <w:numId w:val="17"/>
        </w:numPr>
      </w:pPr>
      <w:r w:rsidRPr="00B201BC">
        <w:t xml:space="preserve">Skapa ett samlat regelverk som främjar innovation och konkurrenskraft samt att </w:t>
      </w:r>
    </w:p>
    <w:p w14:paraId="0D92DDAA" w14:textId="77777777" w:rsidR="008A664C" w:rsidRDefault="008A664C" w:rsidP="008A664C">
      <w:pPr>
        <w:numPr>
          <w:ilvl w:val="0"/>
          <w:numId w:val="17"/>
        </w:numPr>
      </w:pPr>
      <w:r w:rsidRPr="00B201BC">
        <w:t>stödja en hållbar produktion, biologisk mångfald, anpassning till klimatförändringar och</w:t>
      </w:r>
      <w:r>
        <w:t xml:space="preserve"> säkra livsmedelsförsörjningen.</w:t>
      </w:r>
    </w:p>
    <w:p w14:paraId="564E7F26" w14:textId="77777777" w:rsidR="008A664C" w:rsidRPr="009754F5" w:rsidRDefault="008A664C" w:rsidP="008A664C">
      <w:pPr>
        <w:pStyle w:val="RKnormal"/>
      </w:pPr>
    </w:p>
    <w:p w14:paraId="1C70BE15" w14:textId="77777777" w:rsidR="008A664C" w:rsidRDefault="008A664C" w:rsidP="008A664C">
      <w:pPr>
        <w:pStyle w:val="RKnormal"/>
      </w:pPr>
      <w:r w:rsidRPr="00001C38">
        <w:t xml:space="preserve">Förslagen har </w:t>
      </w:r>
      <w:r>
        <w:t>sedan sommaren 2013 behandlats i rådsarbetsgrupp. Europapar</w:t>
      </w:r>
      <w:r>
        <w:softHyphen/>
        <w:t>lamentet har fattat beslut om sin ståndpunkt i den första behandlingen i april. Europaparlamentet förkastade hela förslaget om växtförökningsmaterial</w:t>
      </w:r>
      <w:r w:rsidRPr="00DB37C8">
        <w:t xml:space="preserve"> </w:t>
      </w:r>
      <w:r>
        <w:t>i plenum efter att deras uppmaning till kommissionen att dra tillbaka lagförslaget inte hade hörsammats.</w:t>
      </w:r>
    </w:p>
    <w:p w14:paraId="2C38E6F9" w14:textId="414EF061" w:rsidR="008A664C" w:rsidRDefault="008A664C" w:rsidP="008A664C">
      <w:pPr>
        <w:pStyle w:val="RKnormal"/>
      </w:pPr>
      <w:r>
        <w:t xml:space="preserve">Kommissionen har </w:t>
      </w:r>
      <w:r w:rsidR="009143E0">
        <w:t>aviserat att man kommer att presentera</w:t>
      </w:r>
      <w:r>
        <w:t xml:space="preserve"> ett reviderat förslag till förordning om växtförökningsmaterial. Tidsplanen</w:t>
      </w:r>
      <w:r w:rsidR="0007699C">
        <w:t xml:space="preserve"> för detta</w:t>
      </w:r>
      <w:r>
        <w:t xml:space="preserve"> är</w:t>
      </w:r>
      <w:r w:rsidR="0007699C">
        <w:t xml:space="preserve"> däremot</w:t>
      </w:r>
      <w:r>
        <w:t xml:space="preserve"> </w:t>
      </w:r>
      <w:r w:rsidR="00C127A7">
        <w:t>inte känd</w:t>
      </w:r>
      <w:r>
        <w:t>.</w:t>
      </w:r>
      <w:r w:rsidR="00D26638">
        <w:t xml:space="preserve"> Medlemsstaterna har givit förslag till kommissionen om vad som kan vara av vikt att ta med i ett reviderat förslag.</w:t>
      </w:r>
      <w:r>
        <w:t xml:space="preserve"> Fortsatta diskussioner kommer att utgå från komm</w:t>
      </w:r>
      <w:r w:rsidR="0007699C">
        <w:t>issionens reviderade lagförslag när det har presenterats.</w:t>
      </w:r>
    </w:p>
    <w:p w14:paraId="1E01B2E7" w14:textId="77777777" w:rsidR="008A664C" w:rsidRDefault="008A664C" w:rsidP="008A664C">
      <w:pPr>
        <w:pStyle w:val="RKnormal"/>
      </w:pPr>
      <w:r>
        <w:t xml:space="preserve"> </w:t>
      </w:r>
    </w:p>
    <w:p w14:paraId="42391698" w14:textId="77777777" w:rsidR="008A664C" w:rsidRDefault="008A664C" w:rsidP="008A664C">
      <w:pPr>
        <w:pStyle w:val="RKnormal"/>
        <w:rPr>
          <w:i/>
        </w:rPr>
      </w:pPr>
      <w:r>
        <w:rPr>
          <w:i/>
        </w:rPr>
        <w:t>EU-nämnden och MJU</w:t>
      </w:r>
    </w:p>
    <w:p w14:paraId="2324946C" w14:textId="77777777" w:rsidR="008A664C" w:rsidRPr="00F377AE" w:rsidRDefault="008A664C" w:rsidP="008A664C">
      <w:pPr>
        <w:pStyle w:val="RKnormal"/>
      </w:pPr>
      <w:r w:rsidRPr="00F377AE">
        <w:t>F</w:t>
      </w:r>
      <w:r>
        <w:t xml:space="preserve">rågan var föremål för särskild överläggning i MJU den 27 augusti. Frågan har varit föremål för samråd i EU-nämnden den 13 december 2013. </w:t>
      </w:r>
    </w:p>
    <w:p w14:paraId="6A06FDE0" w14:textId="77777777" w:rsidR="00B84411" w:rsidRPr="00B84411" w:rsidRDefault="00B84411" w:rsidP="00C9743F">
      <w:pPr>
        <w:pStyle w:val="RKnormal"/>
        <w:ind w:left="720" w:hanging="720"/>
        <w:rPr>
          <w:sz w:val="22"/>
          <w:szCs w:val="22"/>
        </w:rPr>
      </w:pPr>
    </w:p>
    <w:p w14:paraId="4A6C57A8" w14:textId="77777777" w:rsidR="00B84411" w:rsidRDefault="00B84411" w:rsidP="00C9743F">
      <w:pPr>
        <w:pStyle w:val="RKnormal"/>
        <w:ind w:left="720" w:hanging="720"/>
        <w:rPr>
          <w:rFonts w:ascii="TradeGothic" w:hAnsi="TradeGothic"/>
          <w:b/>
          <w:sz w:val="22"/>
          <w:szCs w:val="22"/>
        </w:rPr>
      </w:pPr>
    </w:p>
    <w:p w14:paraId="6292C862" w14:textId="77777777" w:rsidR="00330542" w:rsidRDefault="00330542" w:rsidP="00330542">
      <w:pPr>
        <w:pStyle w:val="RKrubrik"/>
      </w:pPr>
      <w:r w:rsidRPr="00077E6E">
        <w:rPr>
          <w:szCs w:val="22"/>
        </w:rPr>
        <w:t>b)</w:t>
      </w:r>
      <w:r>
        <w:rPr>
          <w:b w:val="0"/>
          <w:szCs w:val="22"/>
        </w:rPr>
        <w:t xml:space="preserve"> </w:t>
      </w:r>
      <w:r>
        <w:t>Europaparlamentets resolution av den 6 februari 2014 om kommissionens genomförandeförordning (EU) nr 1337/2013 om tillämpningsföreskrifter vad gäller obligatoriskt angivande av ursprungsland eller härkomstplats för färskt, kylt eller fryst kött av svin, får, get och fjäderfä.</w:t>
      </w:r>
    </w:p>
    <w:p w14:paraId="341E40A7" w14:textId="77777777" w:rsidR="00330542" w:rsidRPr="0053373A" w:rsidRDefault="00330542" w:rsidP="00330542">
      <w:pPr>
        <w:pStyle w:val="RKnormal"/>
        <w:rPr>
          <w:b/>
          <w:i/>
          <w:iCs/>
          <w:sz w:val="22"/>
          <w:szCs w:val="22"/>
        </w:rPr>
      </w:pPr>
      <w:r w:rsidRPr="0053373A">
        <w:rPr>
          <w:b/>
          <w:i/>
          <w:iCs/>
          <w:sz w:val="22"/>
          <w:szCs w:val="22"/>
        </w:rPr>
        <w:t>- Information från kommissionen.</w:t>
      </w:r>
    </w:p>
    <w:p w14:paraId="07A31379" w14:textId="77777777" w:rsidR="00330542" w:rsidRDefault="00330542" w:rsidP="00330542">
      <w:pPr>
        <w:pStyle w:val="RKnormal"/>
        <w:rPr>
          <w:i/>
          <w:iCs/>
        </w:rPr>
      </w:pPr>
    </w:p>
    <w:p w14:paraId="162EC367" w14:textId="77777777" w:rsidR="00330542" w:rsidRDefault="00330542" w:rsidP="00330542">
      <w:pPr>
        <w:pStyle w:val="RKnormal"/>
        <w:rPr>
          <w:i/>
          <w:iCs/>
        </w:rPr>
      </w:pPr>
      <w:r>
        <w:rPr>
          <w:i/>
          <w:iCs/>
        </w:rPr>
        <w:t>Dokumentbeteckning</w:t>
      </w:r>
    </w:p>
    <w:p w14:paraId="1B0B13F9" w14:textId="77777777" w:rsidR="00330542" w:rsidRDefault="00330542" w:rsidP="00330542">
      <w:pPr>
        <w:pStyle w:val="RKnormal"/>
        <w:rPr>
          <w:iCs/>
        </w:rPr>
      </w:pPr>
      <w:r w:rsidRPr="008B4F43">
        <w:rPr>
          <w:iCs/>
        </w:rPr>
        <w:t>Dokument saknas ännu.</w:t>
      </w:r>
    </w:p>
    <w:p w14:paraId="1309EADC" w14:textId="77777777" w:rsidR="00330542" w:rsidRDefault="00330542" w:rsidP="00330542">
      <w:pPr>
        <w:pStyle w:val="RKnormal"/>
        <w:rPr>
          <w:iCs/>
        </w:rPr>
      </w:pPr>
    </w:p>
    <w:p w14:paraId="7E83C49F" w14:textId="77777777" w:rsidR="00330542" w:rsidRDefault="00330542" w:rsidP="00330542">
      <w:pPr>
        <w:pStyle w:val="RKnormal"/>
        <w:rPr>
          <w:i/>
          <w:iCs/>
        </w:rPr>
      </w:pPr>
      <w:r>
        <w:rPr>
          <w:i/>
          <w:iCs/>
        </w:rPr>
        <w:t>Rättslig grund</w:t>
      </w:r>
    </w:p>
    <w:p w14:paraId="201B0BA3" w14:textId="77777777" w:rsidR="00330542" w:rsidRDefault="00330542" w:rsidP="00330542">
      <w:pPr>
        <w:pStyle w:val="RKnormal"/>
      </w:pPr>
      <w:r>
        <w:t xml:space="preserve">Europaparlamentet och rådets förordning (EU) nr 1169/2011 om tillhandahållande av livsmedelsinformation till konsumenterna. </w:t>
      </w:r>
    </w:p>
    <w:p w14:paraId="489A3A11" w14:textId="77777777" w:rsidR="00330542" w:rsidRDefault="00330542" w:rsidP="00330542">
      <w:pPr>
        <w:pStyle w:val="RKnormal"/>
      </w:pPr>
    </w:p>
    <w:p w14:paraId="5FB26D73" w14:textId="77777777" w:rsidR="00330542" w:rsidRDefault="00330542" w:rsidP="00330542">
      <w:pPr>
        <w:pStyle w:val="RKnormal"/>
        <w:rPr>
          <w:i/>
          <w:iCs/>
        </w:rPr>
      </w:pPr>
      <w:r>
        <w:lastRenderedPageBreak/>
        <w:t>Kommissionens genomförandeförordning (EU) nr 1337/2013 av den 13 december 2013 om tillämpningsföreskrifter för Europaparlamentets och rådets förordning (EU) nr 1169/2011 vad gäller angivande av ursprungsland eller härkomstplats för färskt, kylt eller fryst kött av svin, får, get och fjäderfä.</w:t>
      </w:r>
    </w:p>
    <w:p w14:paraId="5B1DB55C" w14:textId="77777777" w:rsidR="00330542" w:rsidRDefault="00330542" w:rsidP="00330542">
      <w:pPr>
        <w:pStyle w:val="RKnormal"/>
        <w:rPr>
          <w:i/>
          <w:iCs/>
        </w:rPr>
      </w:pPr>
    </w:p>
    <w:p w14:paraId="1DC3696F" w14:textId="77777777" w:rsidR="00330542" w:rsidRDefault="00330542" w:rsidP="00330542">
      <w:pPr>
        <w:pStyle w:val="RKnormal"/>
        <w:rPr>
          <w:i/>
          <w:iCs/>
        </w:rPr>
      </w:pPr>
      <w:r>
        <w:rPr>
          <w:i/>
          <w:iCs/>
        </w:rPr>
        <w:t>Bakgrund</w:t>
      </w:r>
    </w:p>
    <w:p w14:paraId="6CB08716" w14:textId="77777777" w:rsidR="00330542" w:rsidRDefault="00330542" w:rsidP="00330542">
      <w:pPr>
        <w:pStyle w:val="RKnormal"/>
        <w:rPr>
          <w:bCs/>
          <w:iCs/>
        </w:rPr>
      </w:pPr>
      <w:r>
        <w:rPr>
          <w:bCs/>
          <w:iCs/>
        </w:rPr>
        <w:t xml:space="preserve">I förordning (EU) nr 1169/2011 gavs kommissionen befogenhet att anta genomförandeakter om hur obligatorisk ursprungsmärkning av </w:t>
      </w:r>
      <w:r>
        <w:t xml:space="preserve">färskt, kylt eller fryst kött av svin, får, get och fjäderfä ska vara utformad. </w:t>
      </w:r>
      <w:r>
        <w:rPr>
          <w:bCs/>
          <w:iCs/>
        </w:rPr>
        <w:t>Kommissionen beslutade den 13 december 2013 sådana tillämpningsföreskrifter och hade stöd av medlemsländerna i den ständiga kommittén för livsmedelskedjan och djurhälsa. Förordningen ska tillämpas från och med den 1 april 2015.</w:t>
      </w:r>
    </w:p>
    <w:p w14:paraId="4B3B46EF" w14:textId="77777777" w:rsidR="00330542" w:rsidRDefault="00330542" w:rsidP="00330542">
      <w:pPr>
        <w:pStyle w:val="RKnormal"/>
        <w:rPr>
          <w:bCs/>
          <w:iCs/>
        </w:rPr>
      </w:pPr>
    </w:p>
    <w:p w14:paraId="3C1D26E6" w14:textId="77777777" w:rsidR="00330542" w:rsidRDefault="00330542" w:rsidP="00330542">
      <w:pPr>
        <w:pStyle w:val="RKnormal"/>
        <w:rPr>
          <w:bCs/>
          <w:iCs/>
        </w:rPr>
      </w:pPr>
      <w:r>
        <w:rPr>
          <w:bCs/>
          <w:iCs/>
        </w:rPr>
        <w:t>Europaparlamentet antog den 6 februari 2014 en resolution mot kommissionens genomförandebestämmelser där parlamentet bland annat framför att kommissionen gått utanför sina befogenheter och att reglerna om ursprungsmärkning bör vara desamma som för nötkött, det vill säga att uppgift om var djuret var fött, uppfött och slaktat ska anges. Europaparlamentet uppmanar kommissionen att dra tillbaka förordningen och ta fram en ny version. Vid jordbruks- och fiskerådet kommer kommissionen sannolikt lämna information om hur man avser gå vidare mot bakgrund av Europaparlamentets resolution.</w:t>
      </w:r>
    </w:p>
    <w:p w14:paraId="2EA1AF99" w14:textId="77777777" w:rsidR="00330542" w:rsidRDefault="00330542" w:rsidP="00330542">
      <w:pPr>
        <w:pStyle w:val="RKnormal"/>
        <w:rPr>
          <w:i/>
          <w:iCs/>
        </w:rPr>
      </w:pPr>
    </w:p>
    <w:p w14:paraId="0BDA4AB1" w14:textId="77777777" w:rsidR="00330542" w:rsidRDefault="00330542" w:rsidP="00330542">
      <w:pPr>
        <w:pStyle w:val="RKnormal"/>
        <w:rPr>
          <w:i/>
          <w:iCs/>
        </w:rPr>
      </w:pPr>
      <w:r>
        <w:rPr>
          <w:i/>
          <w:iCs/>
        </w:rPr>
        <w:t>EU-nämnden och MJU</w:t>
      </w:r>
    </w:p>
    <w:p w14:paraId="50700E10" w14:textId="77777777" w:rsidR="00330542" w:rsidRDefault="00330542" w:rsidP="00330542">
      <w:pPr>
        <w:pStyle w:val="RKnormal"/>
      </w:pPr>
      <w:r>
        <w:t>Frågan har inte tidigare varit föremål för samråd med EU-nämnden eller information i MJU.</w:t>
      </w:r>
    </w:p>
    <w:p w14:paraId="396BAF0F" w14:textId="68A0DB2A" w:rsidR="00B84411" w:rsidRDefault="00B84411" w:rsidP="00C9743F">
      <w:pPr>
        <w:pStyle w:val="RKnormal"/>
        <w:ind w:left="720" w:hanging="720"/>
        <w:rPr>
          <w:rFonts w:ascii="TradeGothic" w:hAnsi="TradeGothic"/>
          <w:b/>
          <w:sz w:val="22"/>
          <w:szCs w:val="22"/>
        </w:rPr>
      </w:pPr>
    </w:p>
    <w:p w14:paraId="164E3E76" w14:textId="77777777" w:rsidR="00B24034" w:rsidRDefault="00B24034" w:rsidP="00C9743F">
      <w:pPr>
        <w:pStyle w:val="RKnormal"/>
        <w:ind w:left="720" w:hanging="720"/>
        <w:rPr>
          <w:rFonts w:ascii="TradeGothic" w:hAnsi="TradeGothic"/>
          <w:b/>
          <w:sz w:val="22"/>
          <w:szCs w:val="22"/>
        </w:rPr>
      </w:pPr>
    </w:p>
    <w:p w14:paraId="0CAE0018" w14:textId="49C1E454" w:rsidR="00B24034" w:rsidRDefault="003833F1" w:rsidP="00C9743F">
      <w:pPr>
        <w:pStyle w:val="RKnormal"/>
        <w:ind w:left="720" w:hanging="720"/>
        <w:rPr>
          <w:rFonts w:ascii="TradeGothic" w:hAnsi="TradeGothic"/>
          <w:b/>
          <w:sz w:val="22"/>
          <w:szCs w:val="22"/>
        </w:rPr>
      </w:pPr>
      <w:r>
        <w:rPr>
          <w:rFonts w:ascii="TradeGothic" w:hAnsi="TradeGothic"/>
          <w:b/>
          <w:sz w:val="22"/>
          <w:szCs w:val="22"/>
        </w:rPr>
        <w:t>c) ”Vetenskapligt stöd till jordbruk – konkurrenskraft, kvalitet och hållbarhet” – konferens i Aten 23 april</w:t>
      </w:r>
    </w:p>
    <w:p w14:paraId="2280FEF6" w14:textId="77777777" w:rsidR="003833F1" w:rsidRDefault="003833F1" w:rsidP="00C9743F">
      <w:pPr>
        <w:pStyle w:val="RKnormal"/>
        <w:ind w:left="720" w:hanging="720"/>
        <w:rPr>
          <w:rFonts w:ascii="TradeGothic" w:hAnsi="TradeGothic"/>
          <w:b/>
          <w:sz w:val="22"/>
          <w:szCs w:val="22"/>
        </w:rPr>
      </w:pPr>
    </w:p>
    <w:p w14:paraId="051D0B77" w14:textId="10D6A425" w:rsidR="003833F1" w:rsidRPr="00525FCD" w:rsidRDefault="003833F1" w:rsidP="003833F1">
      <w:pPr>
        <w:pStyle w:val="RKnormal"/>
        <w:numPr>
          <w:ilvl w:val="0"/>
          <w:numId w:val="16"/>
        </w:numPr>
        <w:rPr>
          <w:b/>
          <w:i/>
          <w:sz w:val="22"/>
          <w:szCs w:val="22"/>
        </w:rPr>
      </w:pPr>
      <w:r w:rsidRPr="00525FCD">
        <w:rPr>
          <w:b/>
          <w:i/>
          <w:sz w:val="22"/>
          <w:szCs w:val="22"/>
        </w:rPr>
        <w:t>information ifrån ordförandeskapet</w:t>
      </w:r>
    </w:p>
    <w:p w14:paraId="3DA57DC4" w14:textId="77777777" w:rsidR="003833F1" w:rsidRDefault="003833F1" w:rsidP="003833F1">
      <w:pPr>
        <w:pStyle w:val="RKnormal"/>
        <w:rPr>
          <w:i/>
          <w:sz w:val="22"/>
          <w:szCs w:val="22"/>
        </w:rPr>
      </w:pPr>
    </w:p>
    <w:p w14:paraId="72BEF78D" w14:textId="225618B9" w:rsidR="003833F1" w:rsidRPr="00525FCD" w:rsidRDefault="003833F1" w:rsidP="003833F1">
      <w:pPr>
        <w:pStyle w:val="RKnormal"/>
        <w:rPr>
          <w:i/>
          <w:szCs w:val="24"/>
        </w:rPr>
      </w:pPr>
      <w:r w:rsidRPr="00525FCD">
        <w:rPr>
          <w:i/>
          <w:szCs w:val="24"/>
        </w:rPr>
        <w:t>Dokumentbeteckning</w:t>
      </w:r>
    </w:p>
    <w:p w14:paraId="5FDB6499" w14:textId="50F40FE0" w:rsidR="003833F1" w:rsidRDefault="00743B9C" w:rsidP="003833F1">
      <w:pPr>
        <w:pStyle w:val="RKnormal"/>
        <w:rPr>
          <w:sz w:val="22"/>
          <w:szCs w:val="22"/>
        </w:rPr>
      </w:pPr>
      <w:r>
        <w:rPr>
          <w:sz w:val="22"/>
          <w:szCs w:val="22"/>
        </w:rPr>
        <w:t>-</w:t>
      </w:r>
    </w:p>
    <w:p w14:paraId="46D7696B" w14:textId="77777777" w:rsidR="00743B9C" w:rsidRDefault="00743B9C" w:rsidP="003833F1">
      <w:pPr>
        <w:pStyle w:val="RKnormal"/>
        <w:rPr>
          <w:sz w:val="22"/>
          <w:szCs w:val="22"/>
        </w:rPr>
      </w:pPr>
    </w:p>
    <w:p w14:paraId="4D4F744B" w14:textId="3BCD832B" w:rsidR="003833F1" w:rsidRPr="00525FCD" w:rsidRDefault="003833F1" w:rsidP="003833F1">
      <w:pPr>
        <w:pStyle w:val="RKnormal"/>
        <w:rPr>
          <w:i/>
          <w:szCs w:val="24"/>
        </w:rPr>
      </w:pPr>
      <w:r w:rsidRPr="00525FCD">
        <w:rPr>
          <w:i/>
          <w:szCs w:val="24"/>
        </w:rPr>
        <w:t>Bakgrund</w:t>
      </w:r>
    </w:p>
    <w:p w14:paraId="205B6332" w14:textId="77777777" w:rsidR="00B84411" w:rsidRDefault="00B84411" w:rsidP="00C9743F">
      <w:pPr>
        <w:pStyle w:val="RKnormal"/>
        <w:ind w:left="720" w:hanging="720"/>
        <w:rPr>
          <w:rFonts w:ascii="TradeGothic" w:hAnsi="TradeGothic"/>
          <w:b/>
          <w:sz w:val="22"/>
          <w:szCs w:val="22"/>
        </w:rPr>
      </w:pPr>
    </w:p>
    <w:p w14:paraId="1AA8A000" w14:textId="2893D83B" w:rsidR="003833F1" w:rsidRDefault="003833F1" w:rsidP="00C9743F">
      <w:pPr>
        <w:pStyle w:val="RKnormal"/>
        <w:ind w:left="720" w:hanging="720"/>
      </w:pPr>
      <w:r>
        <w:t>Ordförandeskapet bjöd in till en konferens under namnet ”Vetenskapligt</w:t>
      </w:r>
    </w:p>
    <w:p w14:paraId="65F9F293" w14:textId="52195324" w:rsidR="00B84411" w:rsidRDefault="003833F1" w:rsidP="00C9743F">
      <w:pPr>
        <w:pStyle w:val="RKnormal"/>
        <w:ind w:left="720" w:hanging="720"/>
      </w:pPr>
      <w:r>
        <w:t xml:space="preserve">stöd till jordbruk – konkurrenskraft, kvalitet och hållbarhet” den 23 april </w:t>
      </w:r>
    </w:p>
    <w:p w14:paraId="0E1559C3" w14:textId="77777777" w:rsidR="003833F1" w:rsidRDefault="003833F1" w:rsidP="00C9743F">
      <w:pPr>
        <w:pStyle w:val="RKnormal"/>
        <w:ind w:left="720" w:hanging="720"/>
      </w:pPr>
      <w:r>
        <w:t>i Aten i Grekland. Fokus var en ökad produktivitet kopplat till</w:t>
      </w:r>
    </w:p>
    <w:p w14:paraId="68F29054" w14:textId="36E32CB9" w:rsidR="00A453AA" w:rsidRDefault="003833F1" w:rsidP="0035195D">
      <w:pPr>
        <w:pStyle w:val="RKnormal"/>
      </w:pPr>
      <w:r>
        <w:t xml:space="preserve">livsmedelssäkerhet med fokus på en </w:t>
      </w:r>
      <w:r w:rsidR="008320E1">
        <w:t xml:space="preserve">växande </w:t>
      </w:r>
      <w:r>
        <w:t>population och en</w:t>
      </w:r>
      <w:r w:rsidR="00C51B85">
        <w:t xml:space="preserve"> </w:t>
      </w:r>
      <w:r>
        <w:t>ökad</w:t>
      </w:r>
      <w:r w:rsidR="00A453AA">
        <w:t>efterfrågan på livsmedel världen över.</w:t>
      </w:r>
      <w:r>
        <w:t xml:space="preserve"> </w:t>
      </w:r>
      <w:r w:rsidR="00A453AA">
        <w:t>Konferensen ämnade också</w:t>
      </w:r>
    </w:p>
    <w:p w14:paraId="4DFCAB0A" w14:textId="77777777" w:rsidR="00525FCD" w:rsidRDefault="00A453AA" w:rsidP="00C9743F">
      <w:pPr>
        <w:pStyle w:val="RKnormal"/>
        <w:ind w:left="720" w:hanging="720"/>
      </w:pPr>
      <w:r>
        <w:t>uppmärksamma och stimulera en debatt k</w:t>
      </w:r>
      <w:r w:rsidR="00525FCD">
        <w:t>ring en vetenskaplig förståelse</w:t>
      </w:r>
    </w:p>
    <w:p w14:paraId="4ADB174A" w14:textId="44377785" w:rsidR="003833F1" w:rsidRDefault="00A453AA" w:rsidP="00C9743F">
      <w:pPr>
        <w:pStyle w:val="RKnormal"/>
        <w:ind w:left="720" w:hanging="720"/>
      </w:pPr>
      <w:r>
        <w:t>för de utmaningar som jordbruket står inför.</w:t>
      </w:r>
    </w:p>
    <w:p w14:paraId="2AFC1265" w14:textId="77777777" w:rsidR="00A453AA" w:rsidRDefault="00A453AA" w:rsidP="00C9743F">
      <w:pPr>
        <w:pStyle w:val="RKnormal"/>
        <w:ind w:left="720" w:hanging="720"/>
      </w:pPr>
    </w:p>
    <w:p w14:paraId="69AFB4B4" w14:textId="1EF0F9A4" w:rsidR="00A453AA" w:rsidRDefault="00A453AA" w:rsidP="00C9743F">
      <w:pPr>
        <w:pStyle w:val="RKnormal"/>
        <w:ind w:left="720" w:hanging="720"/>
      </w:pPr>
      <w:r>
        <w:t xml:space="preserve">Ordförandeskapet väntas på ministerrådet informera om utfallet </w:t>
      </w:r>
      <w:r w:rsidR="00C51B85">
        <w:t>av</w:t>
      </w:r>
    </w:p>
    <w:p w14:paraId="2C8A599D" w14:textId="14B44A6A" w:rsidR="00A453AA" w:rsidRDefault="00A453AA" w:rsidP="00C9743F">
      <w:pPr>
        <w:pStyle w:val="RKnormal"/>
        <w:ind w:left="720" w:hanging="720"/>
      </w:pPr>
      <w:r>
        <w:t xml:space="preserve">konferensen i Aten. </w:t>
      </w:r>
    </w:p>
    <w:p w14:paraId="60D29363" w14:textId="77777777" w:rsidR="00CA0E64" w:rsidRPr="0080318F" w:rsidRDefault="00CA0E64" w:rsidP="00E5403F"/>
    <w:p w14:paraId="7F91DC24" w14:textId="77777777" w:rsidR="005A6D8B" w:rsidRDefault="005A6D8B" w:rsidP="005A6D8B"/>
    <w:p w14:paraId="19B75B40" w14:textId="77777777" w:rsidR="005A6D8B" w:rsidRDefault="005A6D8B"/>
    <w:sectPr w:rsidR="005A6D8B" w:rsidSect="001A73D7">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9DCC1" w14:textId="77777777" w:rsidR="007A1A2D" w:rsidRDefault="007A1A2D">
      <w:pPr>
        <w:spacing w:line="240" w:lineRule="auto"/>
      </w:pPr>
      <w:r>
        <w:separator/>
      </w:r>
    </w:p>
  </w:endnote>
  <w:endnote w:type="continuationSeparator" w:id="0">
    <w:p w14:paraId="21612025" w14:textId="77777777" w:rsidR="007A1A2D" w:rsidRDefault="007A1A2D">
      <w:pPr>
        <w:spacing w:line="240" w:lineRule="auto"/>
      </w:pPr>
      <w:r>
        <w:continuationSeparator/>
      </w:r>
    </w:p>
  </w:endnote>
  <w:endnote w:type="continuationNotice" w:id="1">
    <w:p w14:paraId="1FAF4D41" w14:textId="77777777" w:rsidR="00A36DFC" w:rsidRDefault="00A36D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Pro">
    <w:altName w:val="Arial"/>
    <w:panose1 w:val="00000000000000000000"/>
    <w:charset w:val="00"/>
    <w:family w:val="modern"/>
    <w:notTrueType/>
    <w:pitch w:val="variable"/>
    <w:sig w:usb0="00000001"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DC4E7" w14:textId="77777777" w:rsidR="007A1A2D" w:rsidRDefault="007A1A2D">
      <w:pPr>
        <w:spacing w:line="240" w:lineRule="auto"/>
      </w:pPr>
      <w:r>
        <w:separator/>
      </w:r>
    </w:p>
  </w:footnote>
  <w:footnote w:type="continuationSeparator" w:id="0">
    <w:p w14:paraId="1C8A7646" w14:textId="77777777" w:rsidR="007A1A2D" w:rsidRDefault="007A1A2D">
      <w:pPr>
        <w:spacing w:line="240" w:lineRule="auto"/>
      </w:pPr>
      <w:r>
        <w:continuationSeparator/>
      </w:r>
    </w:p>
  </w:footnote>
  <w:footnote w:type="continuationNotice" w:id="1">
    <w:p w14:paraId="3D7CADC3" w14:textId="77777777" w:rsidR="00A36DFC" w:rsidRDefault="00A36DFC">
      <w:pPr>
        <w:spacing w:line="240" w:lineRule="auto"/>
      </w:pPr>
    </w:p>
  </w:footnote>
  <w:footnote w:id="2">
    <w:p w14:paraId="2AB1C4DD" w14:textId="77777777" w:rsidR="007A1A2D" w:rsidRPr="00FC2F76" w:rsidRDefault="007A1A2D" w:rsidP="00691EF6">
      <w:pPr>
        <w:pStyle w:val="Fotnotstext"/>
        <w:rPr>
          <w:szCs w:val="24"/>
          <w:lang w:val="sv-SE"/>
        </w:rPr>
      </w:pPr>
      <w:r>
        <w:rPr>
          <w:rStyle w:val="Fotnotsreferens"/>
          <w:szCs w:val="24"/>
          <w:lang w:val="sv-SE"/>
        </w:rPr>
        <w:footnoteRef/>
      </w:r>
      <w:r>
        <w:rPr>
          <w:szCs w:val="24"/>
          <w:lang w:val="sv-SE"/>
        </w:rPr>
        <w:t xml:space="preserve"> </w:t>
      </w:r>
      <w:r>
        <w:rPr>
          <w:szCs w:val="24"/>
          <w:lang w:val="sv-SE"/>
        </w:rPr>
        <w:tab/>
        <w:t>Europaparlamentets och rådets förordning (EU) nr 1151/2012 av den 21 november 2012 om kvalitetsordningar för jordbruksprodukter och livsmedel (EUT L 343, 14.12.2012, s. 1).</w:t>
      </w:r>
    </w:p>
  </w:footnote>
  <w:footnote w:id="3">
    <w:p w14:paraId="1D2ED81D" w14:textId="77777777" w:rsidR="007A1A2D" w:rsidRPr="0035195D" w:rsidRDefault="007A1A2D" w:rsidP="0062521C">
      <w:pPr>
        <w:pStyle w:val="Fotnotstext"/>
        <w:rPr>
          <w:lang w:val="sv-SE"/>
        </w:rPr>
      </w:pPr>
      <w:r>
        <w:rPr>
          <w:rStyle w:val="Fotnotsreferens"/>
        </w:rPr>
        <w:footnoteRef/>
      </w:r>
      <w:r w:rsidRPr="0035195D">
        <w:rPr>
          <w:lang w:val="sv-SE"/>
        </w:rPr>
        <w:tab/>
        <w:t xml:space="preserve">Kommissionens förordning (EG) nr 1235/2008 av den 8 december 2008 om tillämpningsföreskrifter för rådets förordning (EG) nr 834/2007 vad gäller ordningen för import av ekologiska produkter från tredjeländer (EUT L 334, 12.12.2008, s. 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457A1" w14:textId="77777777" w:rsidR="007A1A2D" w:rsidRDefault="007A1A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351289DD" w14:textId="77777777" w:rsidR="007A1A2D" w:rsidRDefault="007A1A2D">
    <w:pPr>
      <w:pStyle w:val="Sidhuvud"/>
      <w:ind w:right="360"/>
    </w:pPr>
  </w:p>
  <w:p w14:paraId="233FBCFA" w14:textId="77777777" w:rsidR="007A1A2D" w:rsidRDefault="007A1A2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D737" w14:textId="77777777" w:rsidR="007A1A2D" w:rsidRDefault="007A1A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6116E">
      <w:rPr>
        <w:rStyle w:val="Sidnummer"/>
        <w:noProof/>
      </w:rPr>
      <w:t>15</w:t>
    </w:r>
    <w:r>
      <w:rPr>
        <w:rStyle w:val="Sidnummer"/>
      </w:rPr>
      <w:fldChar w:fldCharType="end"/>
    </w:r>
  </w:p>
  <w:p w14:paraId="2CF44CD2" w14:textId="77777777" w:rsidR="007A1A2D" w:rsidRDefault="007A1A2D">
    <w:pPr>
      <w:pStyle w:val="Sidhuvud"/>
      <w:ind w:right="360"/>
    </w:pPr>
  </w:p>
  <w:p w14:paraId="3333E716" w14:textId="77777777" w:rsidR="007A1A2D" w:rsidRDefault="007A1A2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D0010" w14:textId="77777777" w:rsidR="007A1A2D" w:rsidRDefault="007A1A2D">
    <w:pPr>
      <w:framePr w:w="2948" w:h="1321" w:hRule="exact" w:wrap="notBeside" w:vAnchor="page" w:hAnchor="page" w:x="1362" w:y="653"/>
    </w:pPr>
    <w:r>
      <w:rPr>
        <w:noProof/>
        <w:lang w:eastAsia="sv-SE"/>
      </w:rPr>
      <w:drawing>
        <wp:inline distT="0" distB="0" distL="0" distR="0" wp14:anchorId="06531E1B" wp14:editId="3DB69ACB">
          <wp:extent cx="1866900" cy="838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683730" w14:textId="77777777" w:rsidR="007A1A2D" w:rsidRDefault="007A1A2D">
    <w:pPr>
      <w:pStyle w:val="RKrubrik"/>
      <w:keepNext w:val="0"/>
      <w:tabs>
        <w:tab w:val="clear" w:pos="1134"/>
        <w:tab w:val="clear" w:pos="2835"/>
      </w:tabs>
      <w:spacing w:before="0" w:after="0" w:line="320" w:lineRule="atLeast"/>
      <w:rPr>
        <w:bCs/>
      </w:rPr>
    </w:pPr>
  </w:p>
  <w:p w14:paraId="5019E9F4" w14:textId="77777777" w:rsidR="007A1A2D" w:rsidRDefault="007A1A2D">
    <w:pPr>
      <w:rPr>
        <w:rFonts w:ascii="TradeGothic" w:hAnsi="TradeGothic"/>
        <w:b/>
        <w:bCs/>
        <w:spacing w:val="12"/>
        <w:sz w:val="22"/>
      </w:rPr>
    </w:pPr>
  </w:p>
  <w:p w14:paraId="0D31145A" w14:textId="77777777" w:rsidR="007A1A2D" w:rsidRDefault="007A1A2D">
    <w:pPr>
      <w:pStyle w:val="RKrubrik"/>
      <w:keepNext w:val="0"/>
      <w:tabs>
        <w:tab w:val="clear" w:pos="1134"/>
        <w:tab w:val="clear" w:pos="2835"/>
      </w:tabs>
      <w:spacing w:before="0" w:after="0" w:line="320" w:lineRule="atLeast"/>
      <w:rPr>
        <w:bCs/>
      </w:rPr>
    </w:pPr>
  </w:p>
  <w:p w14:paraId="2EE68AF3" w14:textId="77777777" w:rsidR="007A1A2D" w:rsidRDefault="007A1A2D">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47A"/>
    <w:multiLevelType w:val="hybridMultilevel"/>
    <w:tmpl w:val="EBC6A9C4"/>
    <w:lvl w:ilvl="0" w:tplc="264A2D0E">
      <w:numFmt w:val="bullet"/>
      <w:lvlText w:val="-"/>
      <w:lvlJc w:val="left"/>
      <w:pPr>
        <w:ind w:left="927" w:hanging="360"/>
      </w:pPr>
      <w:rPr>
        <w:rFonts w:ascii="Garamond" w:eastAsia="Times New Roman" w:hAnsi="Garamond" w:cs="Times New Roman" w:hint="default"/>
        <w:b/>
        <w:i/>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
    <w:nsid w:val="082B0664"/>
    <w:multiLevelType w:val="hybridMultilevel"/>
    <w:tmpl w:val="91C49F8A"/>
    <w:lvl w:ilvl="0" w:tplc="041D0001">
      <w:start w:val="1"/>
      <w:numFmt w:val="bullet"/>
      <w:lvlText w:val=""/>
      <w:lvlJc w:val="left"/>
      <w:pPr>
        <w:ind w:left="765" w:hanging="360"/>
      </w:pPr>
      <w:rPr>
        <w:rFonts w:ascii="Symbol" w:hAnsi="Symbol" w:hint="default"/>
      </w:rPr>
    </w:lvl>
    <w:lvl w:ilvl="1" w:tplc="041D0003">
      <w:start w:val="1"/>
      <w:numFmt w:val="bullet"/>
      <w:lvlText w:val="o"/>
      <w:lvlJc w:val="left"/>
      <w:pPr>
        <w:ind w:left="1485" w:hanging="360"/>
      </w:pPr>
      <w:rPr>
        <w:rFonts w:ascii="Courier New" w:hAnsi="Courier New" w:cs="Courier New" w:hint="default"/>
      </w:rPr>
    </w:lvl>
    <w:lvl w:ilvl="2" w:tplc="041D0005">
      <w:start w:val="1"/>
      <w:numFmt w:val="bullet"/>
      <w:lvlText w:val=""/>
      <w:lvlJc w:val="left"/>
      <w:pPr>
        <w:ind w:left="2205" w:hanging="360"/>
      </w:pPr>
      <w:rPr>
        <w:rFonts w:ascii="Wingdings" w:hAnsi="Wingdings" w:hint="default"/>
      </w:rPr>
    </w:lvl>
    <w:lvl w:ilvl="3" w:tplc="041D0001">
      <w:start w:val="1"/>
      <w:numFmt w:val="bullet"/>
      <w:lvlText w:val=""/>
      <w:lvlJc w:val="left"/>
      <w:pPr>
        <w:ind w:left="2925" w:hanging="360"/>
      </w:pPr>
      <w:rPr>
        <w:rFonts w:ascii="Symbol" w:hAnsi="Symbol" w:hint="default"/>
      </w:rPr>
    </w:lvl>
    <w:lvl w:ilvl="4" w:tplc="041D0003">
      <w:start w:val="1"/>
      <w:numFmt w:val="bullet"/>
      <w:lvlText w:val="o"/>
      <w:lvlJc w:val="left"/>
      <w:pPr>
        <w:ind w:left="3645" w:hanging="360"/>
      </w:pPr>
      <w:rPr>
        <w:rFonts w:ascii="Courier New" w:hAnsi="Courier New" w:cs="Courier New" w:hint="default"/>
      </w:rPr>
    </w:lvl>
    <w:lvl w:ilvl="5" w:tplc="041D0005">
      <w:start w:val="1"/>
      <w:numFmt w:val="bullet"/>
      <w:lvlText w:val=""/>
      <w:lvlJc w:val="left"/>
      <w:pPr>
        <w:ind w:left="4365" w:hanging="360"/>
      </w:pPr>
      <w:rPr>
        <w:rFonts w:ascii="Wingdings" w:hAnsi="Wingdings" w:hint="default"/>
      </w:rPr>
    </w:lvl>
    <w:lvl w:ilvl="6" w:tplc="041D0001">
      <w:start w:val="1"/>
      <w:numFmt w:val="bullet"/>
      <w:lvlText w:val=""/>
      <w:lvlJc w:val="left"/>
      <w:pPr>
        <w:ind w:left="5085" w:hanging="360"/>
      </w:pPr>
      <w:rPr>
        <w:rFonts w:ascii="Symbol" w:hAnsi="Symbol" w:hint="default"/>
      </w:rPr>
    </w:lvl>
    <w:lvl w:ilvl="7" w:tplc="041D0003">
      <w:start w:val="1"/>
      <w:numFmt w:val="bullet"/>
      <w:lvlText w:val="o"/>
      <w:lvlJc w:val="left"/>
      <w:pPr>
        <w:ind w:left="5805" w:hanging="360"/>
      </w:pPr>
      <w:rPr>
        <w:rFonts w:ascii="Courier New" w:hAnsi="Courier New" w:cs="Courier New" w:hint="default"/>
      </w:rPr>
    </w:lvl>
    <w:lvl w:ilvl="8" w:tplc="041D0005">
      <w:start w:val="1"/>
      <w:numFmt w:val="bullet"/>
      <w:lvlText w:val=""/>
      <w:lvlJc w:val="left"/>
      <w:pPr>
        <w:ind w:left="6525" w:hanging="360"/>
      </w:pPr>
      <w:rPr>
        <w:rFonts w:ascii="Wingdings" w:hAnsi="Wingdings" w:hint="default"/>
      </w:rPr>
    </w:lvl>
  </w:abstractNum>
  <w:abstractNum w:abstractNumId="2">
    <w:nsid w:val="2C55659B"/>
    <w:multiLevelType w:val="hybridMultilevel"/>
    <w:tmpl w:val="4BA4344C"/>
    <w:lvl w:ilvl="0" w:tplc="B73853C6">
      <w:start w:val="6"/>
      <w:numFmt w:val="bullet"/>
      <w:lvlText w:val="-"/>
      <w:lvlJc w:val="left"/>
      <w:pPr>
        <w:ind w:left="1287" w:hanging="360"/>
      </w:pPr>
      <w:rPr>
        <w:rFonts w:ascii="OrigGarmnd BT" w:eastAsia="Calibri" w:hAnsi="OrigGarmnd BT"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4">
    <w:nsid w:val="2F5E7667"/>
    <w:multiLevelType w:val="hybridMultilevel"/>
    <w:tmpl w:val="83107384"/>
    <w:lvl w:ilvl="0" w:tplc="CE982EBE">
      <w:numFmt w:val="bullet"/>
      <w:lvlText w:val="-"/>
      <w:lvlJc w:val="left"/>
      <w:pPr>
        <w:ind w:left="480" w:hanging="360"/>
      </w:pPr>
      <w:rPr>
        <w:rFonts w:ascii="OrigGarmnd BT" w:eastAsia="Times New Roman" w:hAnsi="OrigGarmnd BT" w:cs="Times New Roman" w:hint="default"/>
      </w:rPr>
    </w:lvl>
    <w:lvl w:ilvl="1" w:tplc="041D0003">
      <w:start w:val="1"/>
      <w:numFmt w:val="bullet"/>
      <w:lvlText w:val="o"/>
      <w:lvlJc w:val="left"/>
      <w:pPr>
        <w:ind w:left="1200" w:hanging="360"/>
      </w:pPr>
      <w:rPr>
        <w:rFonts w:ascii="Courier New" w:hAnsi="Courier New" w:cs="Courier New" w:hint="default"/>
      </w:rPr>
    </w:lvl>
    <w:lvl w:ilvl="2" w:tplc="041D0005">
      <w:start w:val="1"/>
      <w:numFmt w:val="bullet"/>
      <w:lvlText w:val=""/>
      <w:lvlJc w:val="left"/>
      <w:pPr>
        <w:ind w:left="1920" w:hanging="360"/>
      </w:pPr>
      <w:rPr>
        <w:rFonts w:ascii="Wingdings" w:hAnsi="Wingdings" w:hint="default"/>
      </w:rPr>
    </w:lvl>
    <w:lvl w:ilvl="3" w:tplc="041D0001">
      <w:start w:val="1"/>
      <w:numFmt w:val="bullet"/>
      <w:lvlText w:val=""/>
      <w:lvlJc w:val="left"/>
      <w:pPr>
        <w:ind w:left="2640" w:hanging="360"/>
      </w:pPr>
      <w:rPr>
        <w:rFonts w:ascii="Symbol" w:hAnsi="Symbol" w:hint="default"/>
      </w:rPr>
    </w:lvl>
    <w:lvl w:ilvl="4" w:tplc="041D0003">
      <w:start w:val="1"/>
      <w:numFmt w:val="bullet"/>
      <w:lvlText w:val="o"/>
      <w:lvlJc w:val="left"/>
      <w:pPr>
        <w:ind w:left="3360" w:hanging="360"/>
      </w:pPr>
      <w:rPr>
        <w:rFonts w:ascii="Courier New" w:hAnsi="Courier New" w:cs="Courier New" w:hint="default"/>
      </w:rPr>
    </w:lvl>
    <w:lvl w:ilvl="5" w:tplc="041D0005">
      <w:start w:val="1"/>
      <w:numFmt w:val="bullet"/>
      <w:lvlText w:val=""/>
      <w:lvlJc w:val="left"/>
      <w:pPr>
        <w:ind w:left="4080" w:hanging="360"/>
      </w:pPr>
      <w:rPr>
        <w:rFonts w:ascii="Wingdings" w:hAnsi="Wingdings" w:hint="default"/>
      </w:rPr>
    </w:lvl>
    <w:lvl w:ilvl="6" w:tplc="041D0001">
      <w:start w:val="1"/>
      <w:numFmt w:val="bullet"/>
      <w:lvlText w:val=""/>
      <w:lvlJc w:val="left"/>
      <w:pPr>
        <w:ind w:left="4800" w:hanging="360"/>
      </w:pPr>
      <w:rPr>
        <w:rFonts w:ascii="Symbol" w:hAnsi="Symbol" w:hint="default"/>
      </w:rPr>
    </w:lvl>
    <w:lvl w:ilvl="7" w:tplc="041D0003">
      <w:start w:val="1"/>
      <w:numFmt w:val="bullet"/>
      <w:lvlText w:val="o"/>
      <w:lvlJc w:val="left"/>
      <w:pPr>
        <w:ind w:left="5520" w:hanging="360"/>
      </w:pPr>
      <w:rPr>
        <w:rFonts w:ascii="Courier New" w:hAnsi="Courier New" w:cs="Courier New" w:hint="default"/>
      </w:rPr>
    </w:lvl>
    <w:lvl w:ilvl="8" w:tplc="041D0005">
      <w:start w:val="1"/>
      <w:numFmt w:val="bullet"/>
      <w:lvlText w:val=""/>
      <w:lvlJc w:val="left"/>
      <w:pPr>
        <w:ind w:left="6240" w:hanging="360"/>
      </w:pPr>
      <w:rPr>
        <w:rFonts w:ascii="Wingdings" w:hAnsi="Wingdings" w:hint="default"/>
      </w:rPr>
    </w:lvl>
  </w:abstractNum>
  <w:abstractNum w:abstractNumId="5">
    <w:nsid w:val="316A63EF"/>
    <w:multiLevelType w:val="hybridMultilevel"/>
    <w:tmpl w:val="577EEB0A"/>
    <w:lvl w:ilvl="0" w:tplc="B73853C6">
      <w:start w:val="6"/>
      <w:numFmt w:val="bullet"/>
      <w:lvlText w:val="-"/>
      <w:lvlJc w:val="left"/>
      <w:pPr>
        <w:ind w:left="720" w:hanging="360"/>
      </w:pPr>
      <w:rPr>
        <w:rFonts w:ascii="OrigGarmnd BT" w:eastAsia="Calibri"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4DA57444"/>
    <w:multiLevelType w:val="hybridMultilevel"/>
    <w:tmpl w:val="52C270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nsid w:val="59C8145B"/>
    <w:multiLevelType w:val="hybridMultilevel"/>
    <w:tmpl w:val="AE28E042"/>
    <w:lvl w:ilvl="0" w:tplc="02DAE64C">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13C03CB"/>
    <w:multiLevelType w:val="hybridMultilevel"/>
    <w:tmpl w:val="90C2C8E8"/>
    <w:lvl w:ilvl="0" w:tplc="A5647CAE">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nsid w:val="66A51BBA"/>
    <w:multiLevelType w:val="hybridMultilevel"/>
    <w:tmpl w:val="218EB346"/>
    <w:lvl w:ilvl="0" w:tplc="E22676D4">
      <w:start w:val="5"/>
      <w:numFmt w:val="bullet"/>
      <w:lvlText w:val="-"/>
      <w:lvlJc w:val="left"/>
      <w:pPr>
        <w:ind w:left="795" w:hanging="360"/>
      </w:pPr>
      <w:rPr>
        <w:rFonts w:ascii="OrigGarmnd BT" w:eastAsia="Times New Roman" w:hAnsi="OrigGarmnd BT" w:cs="Times New Roman" w:hint="default"/>
      </w:rPr>
    </w:lvl>
    <w:lvl w:ilvl="1" w:tplc="041D0003" w:tentative="1">
      <w:start w:val="1"/>
      <w:numFmt w:val="bullet"/>
      <w:lvlText w:val="o"/>
      <w:lvlJc w:val="left"/>
      <w:pPr>
        <w:ind w:left="1515" w:hanging="360"/>
      </w:pPr>
      <w:rPr>
        <w:rFonts w:ascii="Courier New" w:hAnsi="Courier New" w:cs="Courier New" w:hint="default"/>
      </w:rPr>
    </w:lvl>
    <w:lvl w:ilvl="2" w:tplc="041D0005" w:tentative="1">
      <w:start w:val="1"/>
      <w:numFmt w:val="bullet"/>
      <w:lvlText w:val=""/>
      <w:lvlJc w:val="left"/>
      <w:pPr>
        <w:ind w:left="2235" w:hanging="360"/>
      </w:pPr>
      <w:rPr>
        <w:rFonts w:ascii="Wingdings" w:hAnsi="Wingdings" w:hint="default"/>
      </w:rPr>
    </w:lvl>
    <w:lvl w:ilvl="3" w:tplc="041D0001" w:tentative="1">
      <w:start w:val="1"/>
      <w:numFmt w:val="bullet"/>
      <w:lvlText w:val=""/>
      <w:lvlJc w:val="left"/>
      <w:pPr>
        <w:ind w:left="2955" w:hanging="360"/>
      </w:pPr>
      <w:rPr>
        <w:rFonts w:ascii="Symbol" w:hAnsi="Symbol" w:hint="default"/>
      </w:rPr>
    </w:lvl>
    <w:lvl w:ilvl="4" w:tplc="041D0003" w:tentative="1">
      <w:start w:val="1"/>
      <w:numFmt w:val="bullet"/>
      <w:lvlText w:val="o"/>
      <w:lvlJc w:val="left"/>
      <w:pPr>
        <w:ind w:left="3675" w:hanging="360"/>
      </w:pPr>
      <w:rPr>
        <w:rFonts w:ascii="Courier New" w:hAnsi="Courier New" w:cs="Courier New" w:hint="default"/>
      </w:rPr>
    </w:lvl>
    <w:lvl w:ilvl="5" w:tplc="041D0005" w:tentative="1">
      <w:start w:val="1"/>
      <w:numFmt w:val="bullet"/>
      <w:lvlText w:val=""/>
      <w:lvlJc w:val="left"/>
      <w:pPr>
        <w:ind w:left="4395" w:hanging="360"/>
      </w:pPr>
      <w:rPr>
        <w:rFonts w:ascii="Wingdings" w:hAnsi="Wingdings" w:hint="default"/>
      </w:rPr>
    </w:lvl>
    <w:lvl w:ilvl="6" w:tplc="041D0001" w:tentative="1">
      <w:start w:val="1"/>
      <w:numFmt w:val="bullet"/>
      <w:lvlText w:val=""/>
      <w:lvlJc w:val="left"/>
      <w:pPr>
        <w:ind w:left="5115" w:hanging="360"/>
      </w:pPr>
      <w:rPr>
        <w:rFonts w:ascii="Symbol" w:hAnsi="Symbol" w:hint="default"/>
      </w:rPr>
    </w:lvl>
    <w:lvl w:ilvl="7" w:tplc="041D0003" w:tentative="1">
      <w:start w:val="1"/>
      <w:numFmt w:val="bullet"/>
      <w:lvlText w:val="o"/>
      <w:lvlJc w:val="left"/>
      <w:pPr>
        <w:ind w:left="5835" w:hanging="360"/>
      </w:pPr>
      <w:rPr>
        <w:rFonts w:ascii="Courier New" w:hAnsi="Courier New" w:cs="Courier New" w:hint="default"/>
      </w:rPr>
    </w:lvl>
    <w:lvl w:ilvl="8" w:tplc="041D0005" w:tentative="1">
      <w:start w:val="1"/>
      <w:numFmt w:val="bullet"/>
      <w:lvlText w:val=""/>
      <w:lvlJc w:val="left"/>
      <w:pPr>
        <w:ind w:left="6555" w:hanging="360"/>
      </w:pPr>
      <w:rPr>
        <w:rFonts w:ascii="Wingdings" w:hAnsi="Wingdings" w:hint="default"/>
      </w:rPr>
    </w:lvl>
  </w:abstractNum>
  <w:abstractNum w:abstractNumId="10">
    <w:nsid w:val="67585E5B"/>
    <w:multiLevelType w:val="hybridMultilevel"/>
    <w:tmpl w:val="140A2BF4"/>
    <w:lvl w:ilvl="0" w:tplc="A7A4C6F6">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694D07AD"/>
    <w:multiLevelType w:val="hybridMultilevel"/>
    <w:tmpl w:val="8FFA0C8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6BA14487"/>
    <w:multiLevelType w:val="hybridMultilevel"/>
    <w:tmpl w:val="EADEFF3A"/>
    <w:lvl w:ilvl="0" w:tplc="7820CA0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15357BC"/>
    <w:multiLevelType w:val="hybridMultilevel"/>
    <w:tmpl w:val="F9FC0456"/>
    <w:lvl w:ilvl="0" w:tplc="B73853C6">
      <w:start w:val="6"/>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5">
    <w:nsid w:val="7A0028FB"/>
    <w:multiLevelType w:val="hybridMultilevel"/>
    <w:tmpl w:val="CA3AB2EC"/>
    <w:lvl w:ilvl="0" w:tplc="56EC07C0">
      <w:start w:val="2014"/>
      <w:numFmt w:val="bullet"/>
      <w:lvlText w:val="-"/>
      <w:lvlJc w:val="left"/>
      <w:pPr>
        <w:ind w:left="1664" w:hanging="360"/>
      </w:pPr>
      <w:rPr>
        <w:rFonts w:ascii="OrigGarmnd BT" w:eastAsia="Times New Roman" w:hAnsi="OrigGarmnd BT" w:cs="Times New Roman"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6">
    <w:nsid w:val="7ECC35D9"/>
    <w:multiLevelType w:val="hybridMultilevel"/>
    <w:tmpl w:val="5D3093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4"/>
  </w:num>
  <w:num w:numId="2">
    <w:abstractNumId w:val="5"/>
  </w:num>
  <w:num w:numId="3">
    <w:abstractNumId w:val="3"/>
  </w:num>
  <w:num w:numId="4">
    <w:abstractNumId w:val="3"/>
    <w:lvlOverride w:ilvl="0">
      <w:startOverride w:val="1"/>
    </w:lvlOverride>
  </w:num>
  <w:num w:numId="5">
    <w:abstractNumId w:val="2"/>
  </w:num>
  <w:num w:numId="6">
    <w:abstractNumId w:val="13"/>
  </w:num>
  <w:num w:numId="7">
    <w:abstractNumId w:val="12"/>
  </w:num>
  <w:num w:numId="8">
    <w:abstractNumId w:val="9"/>
  </w:num>
  <w:num w:numId="9">
    <w:abstractNumId w:val="7"/>
  </w:num>
  <w:num w:numId="10">
    <w:abstractNumId w:val="1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14"/>
  </w:num>
  <w:num w:numId="15">
    <w:abstractNumId w:val="10"/>
  </w:num>
  <w:num w:numId="16">
    <w:abstractNumId w:val="8"/>
  </w:num>
  <w:num w:numId="17">
    <w:abstractNumId w:val="1"/>
  </w:num>
  <w:num w:numId="18">
    <w:abstractNumId w:val="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8B"/>
    <w:rsid w:val="00000F1A"/>
    <w:rsid w:val="00004AAD"/>
    <w:rsid w:val="000066C1"/>
    <w:rsid w:val="00014B5A"/>
    <w:rsid w:val="00026AC7"/>
    <w:rsid w:val="00031F7E"/>
    <w:rsid w:val="00044E22"/>
    <w:rsid w:val="00055326"/>
    <w:rsid w:val="00060605"/>
    <w:rsid w:val="0007699C"/>
    <w:rsid w:val="00077E6E"/>
    <w:rsid w:val="00091CDF"/>
    <w:rsid w:val="000A1F62"/>
    <w:rsid w:val="000A384F"/>
    <w:rsid w:val="000B3598"/>
    <w:rsid w:val="000E3791"/>
    <w:rsid w:val="000E7E9B"/>
    <w:rsid w:val="00102FA1"/>
    <w:rsid w:val="001310A6"/>
    <w:rsid w:val="00151510"/>
    <w:rsid w:val="00164AF2"/>
    <w:rsid w:val="001A5102"/>
    <w:rsid w:val="001A73D7"/>
    <w:rsid w:val="001C077C"/>
    <w:rsid w:val="001D48DF"/>
    <w:rsid w:val="001E6142"/>
    <w:rsid w:val="00200B6D"/>
    <w:rsid w:val="00217E1E"/>
    <w:rsid w:val="002310BC"/>
    <w:rsid w:val="0025041E"/>
    <w:rsid w:val="00274C9B"/>
    <w:rsid w:val="00286938"/>
    <w:rsid w:val="00286E11"/>
    <w:rsid w:val="002B4747"/>
    <w:rsid w:val="002C0F74"/>
    <w:rsid w:val="002C1FD3"/>
    <w:rsid w:val="002C5029"/>
    <w:rsid w:val="002D0AFE"/>
    <w:rsid w:val="002D4E18"/>
    <w:rsid w:val="002F14EC"/>
    <w:rsid w:val="002F53DE"/>
    <w:rsid w:val="00306D79"/>
    <w:rsid w:val="00316E5F"/>
    <w:rsid w:val="003172A9"/>
    <w:rsid w:val="00317314"/>
    <w:rsid w:val="00325C7D"/>
    <w:rsid w:val="00330542"/>
    <w:rsid w:val="003408DB"/>
    <w:rsid w:val="0035195D"/>
    <w:rsid w:val="00364A1B"/>
    <w:rsid w:val="00376FB6"/>
    <w:rsid w:val="003833F1"/>
    <w:rsid w:val="0039433A"/>
    <w:rsid w:val="0039785C"/>
    <w:rsid w:val="003B0527"/>
    <w:rsid w:val="003B462F"/>
    <w:rsid w:val="003B65C2"/>
    <w:rsid w:val="003D08D4"/>
    <w:rsid w:val="003D1A8A"/>
    <w:rsid w:val="00433B78"/>
    <w:rsid w:val="00435FD8"/>
    <w:rsid w:val="00437319"/>
    <w:rsid w:val="00491B35"/>
    <w:rsid w:val="00494A78"/>
    <w:rsid w:val="00497EAD"/>
    <w:rsid w:val="004E724B"/>
    <w:rsid w:val="004F0B5A"/>
    <w:rsid w:val="004F7295"/>
    <w:rsid w:val="00502929"/>
    <w:rsid w:val="00525FCD"/>
    <w:rsid w:val="00526041"/>
    <w:rsid w:val="0053373A"/>
    <w:rsid w:val="005457C9"/>
    <w:rsid w:val="0055250B"/>
    <w:rsid w:val="00556B60"/>
    <w:rsid w:val="0056116E"/>
    <w:rsid w:val="00565754"/>
    <w:rsid w:val="0058664A"/>
    <w:rsid w:val="00597FED"/>
    <w:rsid w:val="005A4133"/>
    <w:rsid w:val="005A6D8B"/>
    <w:rsid w:val="005C199B"/>
    <w:rsid w:val="005D3A5A"/>
    <w:rsid w:val="00615FAB"/>
    <w:rsid w:val="0062521C"/>
    <w:rsid w:val="006261BB"/>
    <w:rsid w:val="00663385"/>
    <w:rsid w:val="00682290"/>
    <w:rsid w:val="006843F9"/>
    <w:rsid w:val="00691EF6"/>
    <w:rsid w:val="006A06DC"/>
    <w:rsid w:val="006C2617"/>
    <w:rsid w:val="006D2DB4"/>
    <w:rsid w:val="006D5CB4"/>
    <w:rsid w:val="0072284E"/>
    <w:rsid w:val="00741CD6"/>
    <w:rsid w:val="0074340E"/>
    <w:rsid w:val="00743B9C"/>
    <w:rsid w:val="00747BAF"/>
    <w:rsid w:val="007609FF"/>
    <w:rsid w:val="00760BED"/>
    <w:rsid w:val="00764C02"/>
    <w:rsid w:val="00770C92"/>
    <w:rsid w:val="0079130F"/>
    <w:rsid w:val="007A1A2D"/>
    <w:rsid w:val="007B3033"/>
    <w:rsid w:val="007D1F1D"/>
    <w:rsid w:val="007E0D68"/>
    <w:rsid w:val="007F65D0"/>
    <w:rsid w:val="00806450"/>
    <w:rsid w:val="008225C1"/>
    <w:rsid w:val="008320E1"/>
    <w:rsid w:val="00854815"/>
    <w:rsid w:val="00855487"/>
    <w:rsid w:val="00874CD4"/>
    <w:rsid w:val="008A2C99"/>
    <w:rsid w:val="008A664C"/>
    <w:rsid w:val="008B4F43"/>
    <w:rsid w:val="008C2DBF"/>
    <w:rsid w:val="0091100A"/>
    <w:rsid w:val="00911A13"/>
    <w:rsid w:val="009143E0"/>
    <w:rsid w:val="00931525"/>
    <w:rsid w:val="00931FC4"/>
    <w:rsid w:val="00934E21"/>
    <w:rsid w:val="00944F4B"/>
    <w:rsid w:val="00945201"/>
    <w:rsid w:val="009536F3"/>
    <w:rsid w:val="009B2786"/>
    <w:rsid w:val="009B5874"/>
    <w:rsid w:val="009D11F8"/>
    <w:rsid w:val="009D222E"/>
    <w:rsid w:val="00A24C15"/>
    <w:rsid w:val="00A36DFC"/>
    <w:rsid w:val="00A373F2"/>
    <w:rsid w:val="00A453AA"/>
    <w:rsid w:val="00A555B7"/>
    <w:rsid w:val="00A5640E"/>
    <w:rsid w:val="00A65055"/>
    <w:rsid w:val="00A70C08"/>
    <w:rsid w:val="00A81F32"/>
    <w:rsid w:val="00A833D7"/>
    <w:rsid w:val="00A97CE9"/>
    <w:rsid w:val="00AA0E09"/>
    <w:rsid w:val="00AE1232"/>
    <w:rsid w:val="00AF1A62"/>
    <w:rsid w:val="00B06D3F"/>
    <w:rsid w:val="00B20AC2"/>
    <w:rsid w:val="00B24034"/>
    <w:rsid w:val="00B339B0"/>
    <w:rsid w:val="00B42A27"/>
    <w:rsid w:val="00B43BBA"/>
    <w:rsid w:val="00B45A74"/>
    <w:rsid w:val="00B46EBA"/>
    <w:rsid w:val="00B721C7"/>
    <w:rsid w:val="00B81D7E"/>
    <w:rsid w:val="00B84411"/>
    <w:rsid w:val="00BD7B46"/>
    <w:rsid w:val="00BE727E"/>
    <w:rsid w:val="00C127A7"/>
    <w:rsid w:val="00C14040"/>
    <w:rsid w:val="00C503C9"/>
    <w:rsid w:val="00C51B85"/>
    <w:rsid w:val="00C675FE"/>
    <w:rsid w:val="00C9743F"/>
    <w:rsid w:val="00CA0E64"/>
    <w:rsid w:val="00CA7F6E"/>
    <w:rsid w:val="00CB2C2B"/>
    <w:rsid w:val="00CE297F"/>
    <w:rsid w:val="00D104DC"/>
    <w:rsid w:val="00D15505"/>
    <w:rsid w:val="00D1727D"/>
    <w:rsid w:val="00D26638"/>
    <w:rsid w:val="00D51D81"/>
    <w:rsid w:val="00D7004B"/>
    <w:rsid w:val="00D71C2F"/>
    <w:rsid w:val="00DB2D5C"/>
    <w:rsid w:val="00DC4FA9"/>
    <w:rsid w:val="00DD1C36"/>
    <w:rsid w:val="00E01705"/>
    <w:rsid w:val="00E101A0"/>
    <w:rsid w:val="00E2463A"/>
    <w:rsid w:val="00E5403F"/>
    <w:rsid w:val="00E60284"/>
    <w:rsid w:val="00EC533F"/>
    <w:rsid w:val="00EF7B00"/>
    <w:rsid w:val="00F030DB"/>
    <w:rsid w:val="00F0746A"/>
    <w:rsid w:val="00F2649F"/>
    <w:rsid w:val="00F26CE0"/>
    <w:rsid w:val="00F47ABA"/>
    <w:rsid w:val="00F8214C"/>
    <w:rsid w:val="00F924EA"/>
    <w:rsid w:val="00FA5D53"/>
    <w:rsid w:val="00FC7996"/>
    <w:rsid w:val="00FF5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84F80"/>
  <w15:docId w15:val="{D43B753B-F714-4E42-8C38-AD999A7D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D8B"/>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2">
    <w:name w:val="heading 2"/>
    <w:basedOn w:val="Normal"/>
    <w:next w:val="Normal"/>
    <w:link w:val="Rubrik2Char"/>
    <w:uiPriority w:val="9"/>
    <w:semiHidden/>
    <w:unhideWhenUsed/>
    <w:qFormat/>
    <w:rsid w:val="007F65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3408DB"/>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Rubrik3"/>
    <w:next w:val="RKnormal"/>
    <w:link w:val="Rubrik4Char"/>
    <w:semiHidden/>
    <w:unhideWhenUsed/>
    <w:qFormat/>
    <w:rsid w:val="003408DB"/>
    <w:pPr>
      <w:keepLines w:val="0"/>
      <w:tabs>
        <w:tab w:val="left" w:pos="1134"/>
      </w:tabs>
      <w:spacing w:before="360" w:after="40" w:line="240" w:lineRule="atLeast"/>
      <w:textAlignment w:val="auto"/>
      <w:outlineLvl w:val="3"/>
    </w:pPr>
    <w:rPr>
      <w:rFonts w:ascii="OrigGarmnd BT" w:eastAsia="Times New Roman" w:hAnsi="OrigGarmnd BT" w:cs="Times New Roman"/>
      <w:bCs w:val="0"/>
      <w:i/>
      <w:color w:val="auto"/>
      <w:kern w:val="28"/>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5A6D8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5A6D8B"/>
    <w:pPr>
      <w:tabs>
        <w:tab w:val="center" w:pos="4153"/>
        <w:tab w:val="right" w:pos="8306"/>
      </w:tabs>
    </w:pPr>
  </w:style>
  <w:style w:type="character" w:customStyle="1" w:styleId="SidhuvudChar">
    <w:name w:val="Sidhuvud Char"/>
    <w:basedOn w:val="Standardstycketeckensnitt"/>
    <w:link w:val="Sidhuvud"/>
    <w:rsid w:val="005A6D8B"/>
    <w:rPr>
      <w:rFonts w:ascii="OrigGarmnd BT" w:eastAsia="Times New Roman" w:hAnsi="OrigGarmnd BT" w:cs="Times New Roman"/>
      <w:sz w:val="24"/>
      <w:szCs w:val="20"/>
    </w:rPr>
  </w:style>
  <w:style w:type="paragraph" w:customStyle="1" w:styleId="RKnormal">
    <w:name w:val="RKnormal"/>
    <w:basedOn w:val="Normal"/>
    <w:link w:val="RKnormalChar"/>
    <w:rsid w:val="005A6D8B"/>
    <w:pPr>
      <w:tabs>
        <w:tab w:val="left" w:pos="2835"/>
      </w:tabs>
      <w:spacing w:line="240" w:lineRule="atLeast"/>
    </w:pPr>
  </w:style>
  <w:style w:type="paragraph" w:customStyle="1" w:styleId="RKrubrik">
    <w:name w:val="RKrubrik"/>
    <w:basedOn w:val="RKnormal"/>
    <w:next w:val="RKnormal"/>
    <w:link w:val="RKrubrikChar"/>
    <w:rsid w:val="005A6D8B"/>
    <w:pPr>
      <w:keepNext/>
      <w:tabs>
        <w:tab w:val="left" w:pos="1134"/>
      </w:tabs>
      <w:spacing w:before="360" w:after="120"/>
    </w:pPr>
    <w:rPr>
      <w:rFonts w:ascii="TradeGothic" w:hAnsi="TradeGothic"/>
      <w:b/>
      <w:sz w:val="22"/>
    </w:rPr>
  </w:style>
  <w:style w:type="character" w:styleId="Sidnummer">
    <w:name w:val="page number"/>
    <w:basedOn w:val="Standardstycketeckensnitt"/>
    <w:rsid w:val="005A6D8B"/>
  </w:style>
  <w:style w:type="character" w:customStyle="1" w:styleId="RKnormalChar">
    <w:name w:val="RKnormal Char"/>
    <w:link w:val="RKnormal"/>
    <w:rsid w:val="005A6D8B"/>
    <w:rPr>
      <w:rFonts w:ascii="OrigGarmnd BT" w:eastAsia="Times New Roman" w:hAnsi="OrigGarmnd BT" w:cs="Times New Roman"/>
      <w:sz w:val="24"/>
      <w:szCs w:val="20"/>
    </w:rPr>
  </w:style>
  <w:style w:type="paragraph" w:customStyle="1" w:styleId="PointManual1">
    <w:name w:val="Point Manual (1)"/>
    <w:basedOn w:val="Normal"/>
    <w:rsid w:val="005A6D8B"/>
    <w:pPr>
      <w:overflowPunct/>
      <w:autoSpaceDE/>
      <w:autoSpaceDN/>
      <w:adjustRightInd/>
      <w:spacing w:line="240" w:lineRule="auto"/>
      <w:ind w:left="1134" w:hanging="567"/>
      <w:textAlignment w:val="auto"/>
      <w:outlineLvl w:val="0"/>
    </w:pPr>
    <w:rPr>
      <w:rFonts w:ascii="Times New Roman" w:hAnsi="Times New Roman"/>
      <w:szCs w:val="24"/>
    </w:rPr>
  </w:style>
  <w:style w:type="character" w:customStyle="1" w:styleId="RKrubrikChar">
    <w:name w:val="RKrubrik Char"/>
    <w:link w:val="RKrubrik"/>
    <w:locked/>
    <w:rsid w:val="005A6D8B"/>
    <w:rPr>
      <w:rFonts w:ascii="TradeGothic" w:eastAsia="Times New Roman" w:hAnsi="TradeGothic" w:cs="Times New Roman"/>
      <w:b/>
      <w:szCs w:val="20"/>
    </w:rPr>
  </w:style>
  <w:style w:type="paragraph" w:customStyle="1" w:styleId="Text2">
    <w:name w:val="Text 2"/>
    <w:basedOn w:val="Normal"/>
    <w:rsid w:val="005A6D8B"/>
    <w:pPr>
      <w:overflowPunct/>
      <w:autoSpaceDE/>
      <w:autoSpaceDN/>
      <w:adjustRightInd/>
      <w:spacing w:line="240" w:lineRule="auto"/>
      <w:ind w:left="1134"/>
      <w:textAlignment w:val="auto"/>
      <w:outlineLvl w:val="1"/>
    </w:pPr>
    <w:rPr>
      <w:rFonts w:ascii="Times New Roman" w:hAnsi="Times New Roman"/>
      <w:szCs w:val="24"/>
    </w:rPr>
  </w:style>
  <w:style w:type="paragraph" w:customStyle="1" w:styleId="PointManual">
    <w:name w:val="Point Manual"/>
    <w:basedOn w:val="Normal"/>
    <w:rsid w:val="005A6D8B"/>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Dash1">
    <w:name w:val="Dash 1"/>
    <w:basedOn w:val="Normal"/>
    <w:rsid w:val="005A6D8B"/>
    <w:pPr>
      <w:numPr>
        <w:numId w:val="1"/>
      </w:numPr>
      <w:overflowPunct/>
      <w:autoSpaceDE/>
      <w:autoSpaceDN/>
      <w:adjustRightInd/>
      <w:spacing w:line="240" w:lineRule="auto"/>
      <w:textAlignment w:val="auto"/>
      <w:outlineLvl w:val="0"/>
    </w:pPr>
    <w:rPr>
      <w:rFonts w:ascii="Times New Roman" w:hAnsi="Times New Roman"/>
      <w:szCs w:val="24"/>
    </w:rPr>
  </w:style>
  <w:style w:type="paragraph" w:customStyle="1" w:styleId="HeadingLeft">
    <w:name w:val="Heading Left"/>
    <w:basedOn w:val="Normal"/>
    <w:next w:val="Normal"/>
    <w:rsid w:val="005A6D8B"/>
    <w:pPr>
      <w:overflowPunct/>
      <w:autoSpaceDE/>
      <w:autoSpaceDN/>
      <w:adjustRightInd/>
      <w:spacing w:before="480" w:line="240" w:lineRule="auto"/>
      <w:textAlignment w:val="auto"/>
      <w:outlineLvl w:val="0"/>
    </w:pPr>
    <w:rPr>
      <w:rFonts w:ascii="Times New Roman" w:hAnsi="Times New Roman"/>
      <w:b/>
      <w:caps/>
      <w:szCs w:val="24"/>
      <w:u w:val="single"/>
    </w:rPr>
  </w:style>
  <w:style w:type="paragraph" w:customStyle="1" w:styleId="Text3">
    <w:name w:val="Text 3"/>
    <w:basedOn w:val="Normal"/>
    <w:rsid w:val="005A6D8B"/>
    <w:pPr>
      <w:overflowPunct/>
      <w:autoSpaceDE/>
      <w:autoSpaceDN/>
      <w:adjustRightInd/>
      <w:spacing w:line="240" w:lineRule="auto"/>
      <w:ind w:left="1701"/>
      <w:textAlignment w:val="auto"/>
      <w:outlineLvl w:val="2"/>
    </w:pPr>
    <w:rPr>
      <w:rFonts w:ascii="Times New Roman" w:hAnsi="Times New Roman"/>
      <w:szCs w:val="24"/>
    </w:rPr>
  </w:style>
  <w:style w:type="paragraph" w:customStyle="1" w:styleId="PointDoubleManual">
    <w:name w:val="Point Double Manual"/>
    <w:basedOn w:val="Normal"/>
    <w:rsid w:val="005A6D8B"/>
    <w:pPr>
      <w:tabs>
        <w:tab w:val="left" w:pos="567"/>
      </w:tabs>
      <w:overflowPunct/>
      <w:autoSpaceDE/>
      <w:autoSpaceDN/>
      <w:adjustRightInd/>
      <w:spacing w:before="200" w:line="240" w:lineRule="auto"/>
      <w:ind w:left="1134" w:hanging="1134"/>
      <w:textAlignment w:val="auto"/>
    </w:pPr>
    <w:rPr>
      <w:rFonts w:ascii="Times New Roman" w:hAnsi="Times New Roman"/>
      <w:szCs w:val="24"/>
    </w:rPr>
  </w:style>
  <w:style w:type="paragraph" w:customStyle="1" w:styleId="Dash2">
    <w:name w:val="Dash 2"/>
    <w:basedOn w:val="Normal"/>
    <w:rsid w:val="005A6D8B"/>
    <w:pPr>
      <w:numPr>
        <w:numId w:val="3"/>
      </w:numPr>
      <w:overflowPunct/>
      <w:autoSpaceDE/>
      <w:autoSpaceDN/>
      <w:adjustRightInd/>
      <w:spacing w:line="240" w:lineRule="auto"/>
      <w:textAlignment w:val="auto"/>
      <w:outlineLvl w:val="1"/>
    </w:pPr>
    <w:rPr>
      <w:rFonts w:ascii="Times New Roman" w:hAnsi="Times New Roman"/>
      <w:szCs w:val="24"/>
    </w:rPr>
  </w:style>
  <w:style w:type="paragraph" w:styleId="Ballongtext">
    <w:name w:val="Balloon Text"/>
    <w:basedOn w:val="Normal"/>
    <w:link w:val="BallongtextChar"/>
    <w:uiPriority w:val="99"/>
    <w:semiHidden/>
    <w:unhideWhenUsed/>
    <w:rsid w:val="005A6D8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6D8B"/>
    <w:rPr>
      <w:rFonts w:ascii="Tahoma" w:eastAsia="Times New Roman" w:hAnsi="Tahoma" w:cs="Tahoma"/>
      <w:sz w:val="16"/>
      <w:szCs w:val="16"/>
    </w:rPr>
  </w:style>
  <w:style w:type="paragraph" w:styleId="Liststycke">
    <w:name w:val="List Paragraph"/>
    <w:basedOn w:val="Normal"/>
    <w:uiPriority w:val="34"/>
    <w:qFormat/>
    <w:rsid w:val="00151510"/>
    <w:pPr>
      <w:ind w:left="720"/>
      <w:contextualSpacing/>
    </w:pPr>
  </w:style>
  <w:style w:type="character" w:customStyle="1" w:styleId="Rubrik4Char">
    <w:name w:val="Rubrik 4 Char"/>
    <w:basedOn w:val="Standardstycketeckensnitt"/>
    <w:link w:val="Rubrik4"/>
    <w:semiHidden/>
    <w:rsid w:val="003408DB"/>
    <w:rPr>
      <w:rFonts w:ascii="OrigGarmnd BT" w:eastAsia="Times New Roman" w:hAnsi="OrigGarmnd BT" w:cs="Times New Roman"/>
      <w:b/>
      <w:i/>
      <w:kern w:val="28"/>
      <w:szCs w:val="20"/>
    </w:rPr>
  </w:style>
  <w:style w:type="character" w:customStyle="1" w:styleId="Rubrik3Char">
    <w:name w:val="Rubrik 3 Char"/>
    <w:basedOn w:val="Standardstycketeckensnitt"/>
    <w:link w:val="Rubrik3"/>
    <w:uiPriority w:val="9"/>
    <w:semiHidden/>
    <w:rsid w:val="003408DB"/>
    <w:rPr>
      <w:rFonts w:asciiTheme="majorHAnsi" w:eastAsiaTheme="majorEastAsia" w:hAnsiTheme="majorHAnsi" w:cstheme="majorBidi"/>
      <w:b/>
      <w:bCs/>
      <w:color w:val="4F81BD" w:themeColor="accent1"/>
      <w:sz w:val="24"/>
      <w:szCs w:val="20"/>
    </w:rPr>
  </w:style>
  <w:style w:type="character" w:styleId="Kommentarsreferens">
    <w:name w:val="annotation reference"/>
    <w:basedOn w:val="Standardstycketeckensnitt"/>
    <w:uiPriority w:val="99"/>
    <w:semiHidden/>
    <w:unhideWhenUsed/>
    <w:rsid w:val="00014B5A"/>
    <w:rPr>
      <w:sz w:val="16"/>
      <w:szCs w:val="16"/>
    </w:rPr>
  </w:style>
  <w:style w:type="paragraph" w:styleId="Kommentarer">
    <w:name w:val="annotation text"/>
    <w:basedOn w:val="Normal"/>
    <w:link w:val="KommentarerChar"/>
    <w:uiPriority w:val="99"/>
    <w:semiHidden/>
    <w:unhideWhenUsed/>
    <w:rsid w:val="00014B5A"/>
    <w:pPr>
      <w:spacing w:line="240" w:lineRule="auto"/>
    </w:pPr>
    <w:rPr>
      <w:sz w:val="20"/>
    </w:rPr>
  </w:style>
  <w:style w:type="character" w:customStyle="1" w:styleId="KommentarerChar">
    <w:name w:val="Kommentarer Char"/>
    <w:basedOn w:val="Standardstycketeckensnitt"/>
    <w:link w:val="Kommentarer"/>
    <w:uiPriority w:val="99"/>
    <w:semiHidden/>
    <w:rsid w:val="00014B5A"/>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014B5A"/>
    <w:rPr>
      <w:b/>
      <w:bCs/>
    </w:rPr>
  </w:style>
  <w:style w:type="character" w:customStyle="1" w:styleId="KommentarsmneChar">
    <w:name w:val="Kommentarsämne Char"/>
    <w:basedOn w:val="KommentarerChar"/>
    <w:link w:val="Kommentarsmne"/>
    <w:uiPriority w:val="99"/>
    <w:semiHidden/>
    <w:rsid w:val="00014B5A"/>
    <w:rPr>
      <w:rFonts w:ascii="OrigGarmnd BT" w:eastAsia="Times New Roman" w:hAnsi="OrigGarmnd BT" w:cs="Times New Roman"/>
      <w:b/>
      <w:bCs/>
      <w:sz w:val="20"/>
      <w:szCs w:val="20"/>
    </w:rPr>
  </w:style>
  <w:style w:type="paragraph" w:styleId="Revision">
    <w:name w:val="Revision"/>
    <w:hidden/>
    <w:uiPriority w:val="99"/>
    <w:semiHidden/>
    <w:rsid w:val="00FA5D53"/>
    <w:pPr>
      <w:spacing w:after="0" w:line="240" w:lineRule="auto"/>
    </w:pPr>
    <w:rPr>
      <w:rFonts w:ascii="OrigGarmnd BT" w:eastAsia="Times New Roman" w:hAnsi="OrigGarmnd BT" w:cs="Times New Roman"/>
      <w:sz w:val="24"/>
      <w:szCs w:val="20"/>
    </w:rPr>
  </w:style>
  <w:style w:type="character" w:customStyle="1" w:styleId="Rubrik2Char">
    <w:name w:val="Rubrik 2 Char"/>
    <w:basedOn w:val="Standardstycketeckensnitt"/>
    <w:link w:val="Rubrik2"/>
    <w:uiPriority w:val="9"/>
    <w:semiHidden/>
    <w:rsid w:val="007F65D0"/>
    <w:rPr>
      <w:rFonts w:asciiTheme="majorHAnsi" w:eastAsiaTheme="majorEastAsia" w:hAnsiTheme="majorHAnsi" w:cstheme="majorBidi"/>
      <w:b/>
      <w:bCs/>
      <w:color w:val="4F81BD" w:themeColor="accent1"/>
      <w:sz w:val="26"/>
      <w:szCs w:val="26"/>
    </w:rPr>
  </w:style>
  <w:style w:type="paragraph" w:customStyle="1" w:styleId="Default">
    <w:name w:val="Default"/>
    <w:rsid w:val="001E6142"/>
    <w:pPr>
      <w:autoSpaceDE w:val="0"/>
      <w:autoSpaceDN w:val="0"/>
      <w:adjustRightInd w:val="0"/>
      <w:spacing w:after="0" w:line="240" w:lineRule="auto"/>
    </w:pPr>
    <w:rPr>
      <w:rFonts w:ascii="TradeGothic" w:eastAsia="Times New Roman" w:hAnsi="TradeGothic" w:cs="TradeGothic"/>
      <w:color w:val="000000"/>
      <w:sz w:val="24"/>
      <w:szCs w:val="24"/>
      <w:lang w:eastAsia="sv-SE"/>
    </w:rPr>
  </w:style>
  <w:style w:type="character" w:styleId="Fotnotsreferens">
    <w:name w:val="footnote reference"/>
    <w:aliases w:val="number"/>
    <w:rsid w:val="00691EF6"/>
    <w:rPr>
      <w:shd w:val="clear" w:color="auto" w:fill="auto"/>
      <w:vertAlign w:val="superscript"/>
    </w:rPr>
  </w:style>
  <w:style w:type="paragraph" w:styleId="Fotnotstext">
    <w:name w:val="footnote text"/>
    <w:basedOn w:val="Normal"/>
    <w:link w:val="FotnotstextChar"/>
    <w:rsid w:val="00691EF6"/>
    <w:pPr>
      <w:overflowPunct/>
      <w:autoSpaceDE/>
      <w:autoSpaceDN/>
      <w:adjustRightInd/>
      <w:spacing w:line="240" w:lineRule="auto"/>
      <w:ind w:left="720" w:hanging="720"/>
      <w:jc w:val="both"/>
      <w:textAlignment w:val="auto"/>
    </w:pPr>
    <w:rPr>
      <w:rFonts w:ascii="Times New Roman" w:hAnsi="Times New Roman"/>
      <w:snapToGrid w:val="0"/>
      <w:sz w:val="20"/>
      <w:lang w:val="en-GB" w:eastAsia="sv-SE"/>
    </w:rPr>
  </w:style>
  <w:style w:type="character" w:customStyle="1" w:styleId="FotnotstextChar">
    <w:name w:val="Fotnotstext Char"/>
    <w:basedOn w:val="Standardstycketeckensnitt"/>
    <w:link w:val="Fotnotstext"/>
    <w:rsid w:val="00691EF6"/>
    <w:rPr>
      <w:rFonts w:ascii="Times New Roman" w:eastAsia="Times New Roman" w:hAnsi="Times New Roman" w:cs="Times New Roman"/>
      <w:snapToGrid w:val="0"/>
      <w:sz w:val="20"/>
      <w:szCs w:val="20"/>
      <w:lang w:val="en-GB" w:eastAsia="sv-SE"/>
    </w:rPr>
  </w:style>
  <w:style w:type="paragraph" w:styleId="Sidfot">
    <w:name w:val="footer"/>
    <w:basedOn w:val="Normal"/>
    <w:link w:val="SidfotChar"/>
    <w:uiPriority w:val="99"/>
    <w:semiHidden/>
    <w:unhideWhenUsed/>
    <w:rsid w:val="00A36DFC"/>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A36DFC"/>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19335">
      <w:bodyDiv w:val="1"/>
      <w:marLeft w:val="0"/>
      <w:marRight w:val="0"/>
      <w:marTop w:val="0"/>
      <w:marBottom w:val="0"/>
      <w:divBdr>
        <w:top w:val="none" w:sz="0" w:space="0" w:color="auto"/>
        <w:left w:val="none" w:sz="0" w:space="0" w:color="auto"/>
        <w:bottom w:val="none" w:sz="0" w:space="0" w:color="auto"/>
        <w:right w:val="none" w:sz="0" w:space="0" w:color="auto"/>
      </w:divBdr>
    </w:div>
    <w:div w:id="806052097">
      <w:bodyDiv w:val="1"/>
      <w:marLeft w:val="0"/>
      <w:marRight w:val="0"/>
      <w:marTop w:val="0"/>
      <w:marBottom w:val="0"/>
      <w:divBdr>
        <w:top w:val="none" w:sz="0" w:space="0" w:color="auto"/>
        <w:left w:val="none" w:sz="0" w:space="0" w:color="auto"/>
        <w:bottom w:val="none" w:sz="0" w:space="0" w:color="auto"/>
        <w:right w:val="none" w:sz="0" w:space="0" w:color="auto"/>
      </w:divBdr>
    </w:div>
    <w:div w:id="838083721">
      <w:bodyDiv w:val="1"/>
      <w:marLeft w:val="0"/>
      <w:marRight w:val="0"/>
      <w:marTop w:val="0"/>
      <w:marBottom w:val="0"/>
      <w:divBdr>
        <w:top w:val="none" w:sz="0" w:space="0" w:color="auto"/>
        <w:left w:val="none" w:sz="0" w:space="0" w:color="auto"/>
        <w:bottom w:val="none" w:sz="0" w:space="0" w:color="auto"/>
        <w:right w:val="none" w:sz="0" w:space="0" w:color="auto"/>
      </w:divBdr>
    </w:div>
    <w:div w:id="878250837">
      <w:bodyDiv w:val="1"/>
      <w:marLeft w:val="0"/>
      <w:marRight w:val="0"/>
      <w:marTop w:val="0"/>
      <w:marBottom w:val="0"/>
      <w:divBdr>
        <w:top w:val="none" w:sz="0" w:space="0" w:color="auto"/>
        <w:left w:val="none" w:sz="0" w:space="0" w:color="auto"/>
        <w:bottom w:val="none" w:sz="0" w:space="0" w:color="auto"/>
        <w:right w:val="none" w:sz="0" w:space="0" w:color="auto"/>
      </w:divBdr>
    </w:div>
    <w:div w:id="1132096653">
      <w:bodyDiv w:val="1"/>
      <w:marLeft w:val="0"/>
      <w:marRight w:val="0"/>
      <w:marTop w:val="0"/>
      <w:marBottom w:val="0"/>
      <w:divBdr>
        <w:top w:val="none" w:sz="0" w:space="0" w:color="auto"/>
        <w:left w:val="none" w:sz="0" w:space="0" w:color="auto"/>
        <w:bottom w:val="none" w:sz="0" w:space="0" w:color="auto"/>
        <w:right w:val="none" w:sz="0" w:space="0" w:color="auto"/>
      </w:divBdr>
    </w:div>
    <w:div w:id="1173908305">
      <w:bodyDiv w:val="1"/>
      <w:marLeft w:val="0"/>
      <w:marRight w:val="0"/>
      <w:marTop w:val="0"/>
      <w:marBottom w:val="0"/>
      <w:divBdr>
        <w:top w:val="none" w:sz="0" w:space="0" w:color="auto"/>
        <w:left w:val="none" w:sz="0" w:space="0" w:color="auto"/>
        <w:bottom w:val="none" w:sz="0" w:space="0" w:color="auto"/>
        <w:right w:val="none" w:sz="0" w:space="0" w:color="auto"/>
      </w:divBdr>
    </w:div>
    <w:div w:id="1248340659">
      <w:bodyDiv w:val="1"/>
      <w:marLeft w:val="0"/>
      <w:marRight w:val="0"/>
      <w:marTop w:val="0"/>
      <w:marBottom w:val="0"/>
      <w:divBdr>
        <w:top w:val="none" w:sz="0" w:space="0" w:color="auto"/>
        <w:left w:val="none" w:sz="0" w:space="0" w:color="auto"/>
        <w:bottom w:val="none" w:sz="0" w:space="0" w:color="auto"/>
        <w:right w:val="none" w:sz="0" w:space="0" w:color="auto"/>
      </w:divBdr>
    </w:div>
    <w:div w:id="1304238074">
      <w:bodyDiv w:val="1"/>
      <w:marLeft w:val="0"/>
      <w:marRight w:val="0"/>
      <w:marTop w:val="0"/>
      <w:marBottom w:val="0"/>
      <w:divBdr>
        <w:top w:val="none" w:sz="0" w:space="0" w:color="auto"/>
        <w:left w:val="none" w:sz="0" w:space="0" w:color="auto"/>
        <w:bottom w:val="none" w:sz="0" w:space="0" w:color="auto"/>
        <w:right w:val="none" w:sz="0" w:space="0" w:color="auto"/>
      </w:divBdr>
    </w:div>
    <w:div w:id="1310554810">
      <w:bodyDiv w:val="1"/>
      <w:marLeft w:val="0"/>
      <w:marRight w:val="0"/>
      <w:marTop w:val="0"/>
      <w:marBottom w:val="0"/>
      <w:divBdr>
        <w:top w:val="none" w:sz="0" w:space="0" w:color="auto"/>
        <w:left w:val="none" w:sz="0" w:space="0" w:color="auto"/>
        <w:bottom w:val="none" w:sz="0" w:space="0" w:color="auto"/>
        <w:right w:val="none" w:sz="0" w:space="0" w:color="auto"/>
      </w:divBdr>
    </w:div>
    <w:div w:id="1345018633">
      <w:bodyDiv w:val="1"/>
      <w:marLeft w:val="0"/>
      <w:marRight w:val="0"/>
      <w:marTop w:val="0"/>
      <w:marBottom w:val="0"/>
      <w:divBdr>
        <w:top w:val="none" w:sz="0" w:space="0" w:color="auto"/>
        <w:left w:val="none" w:sz="0" w:space="0" w:color="auto"/>
        <w:bottom w:val="none" w:sz="0" w:space="0" w:color="auto"/>
        <w:right w:val="none" w:sz="0" w:space="0" w:color="auto"/>
      </w:divBdr>
    </w:div>
    <w:div w:id="1583224922">
      <w:bodyDiv w:val="1"/>
      <w:marLeft w:val="0"/>
      <w:marRight w:val="0"/>
      <w:marTop w:val="0"/>
      <w:marBottom w:val="0"/>
      <w:divBdr>
        <w:top w:val="none" w:sz="0" w:space="0" w:color="auto"/>
        <w:left w:val="none" w:sz="0" w:space="0" w:color="auto"/>
        <w:bottom w:val="none" w:sz="0" w:space="0" w:color="auto"/>
        <w:right w:val="none" w:sz="0" w:space="0" w:color="auto"/>
      </w:divBdr>
    </w:div>
    <w:div w:id="1586264473">
      <w:bodyDiv w:val="1"/>
      <w:marLeft w:val="0"/>
      <w:marRight w:val="0"/>
      <w:marTop w:val="0"/>
      <w:marBottom w:val="0"/>
      <w:divBdr>
        <w:top w:val="none" w:sz="0" w:space="0" w:color="auto"/>
        <w:left w:val="none" w:sz="0" w:space="0" w:color="auto"/>
        <w:bottom w:val="none" w:sz="0" w:space="0" w:color="auto"/>
        <w:right w:val="none" w:sz="0" w:space="0" w:color="auto"/>
      </w:divBdr>
    </w:div>
    <w:div w:id="1781026160">
      <w:bodyDiv w:val="1"/>
      <w:marLeft w:val="0"/>
      <w:marRight w:val="0"/>
      <w:marTop w:val="0"/>
      <w:marBottom w:val="0"/>
      <w:divBdr>
        <w:top w:val="none" w:sz="0" w:space="0" w:color="auto"/>
        <w:left w:val="none" w:sz="0" w:space="0" w:color="auto"/>
        <w:bottom w:val="none" w:sz="0" w:space="0" w:color="auto"/>
        <w:right w:val="none" w:sz="0" w:space="0" w:color="auto"/>
      </w:divBdr>
    </w:div>
    <w:div w:id="1823499242">
      <w:bodyDiv w:val="1"/>
      <w:marLeft w:val="0"/>
      <w:marRight w:val="0"/>
      <w:marTop w:val="0"/>
      <w:marBottom w:val="0"/>
      <w:divBdr>
        <w:top w:val="none" w:sz="0" w:space="0" w:color="auto"/>
        <w:left w:val="none" w:sz="0" w:space="0" w:color="auto"/>
        <w:bottom w:val="none" w:sz="0" w:space="0" w:color="auto"/>
        <w:right w:val="none" w:sz="0" w:space="0" w:color="auto"/>
      </w:divBdr>
    </w:div>
    <w:div w:id="1897625456">
      <w:bodyDiv w:val="1"/>
      <w:marLeft w:val="0"/>
      <w:marRight w:val="0"/>
      <w:marTop w:val="0"/>
      <w:marBottom w:val="0"/>
      <w:divBdr>
        <w:top w:val="none" w:sz="0" w:space="0" w:color="auto"/>
        <w:left w:val="none" w:sz="0" w:space="0" w:color="auto"/>
        <w:bottom w:val="none" w:sz="0" w:space="0" w:color="auto"/>
        <w:right w:val="none" w:sz="0" w:space="0" w:color="auto"/>
      </w:divBdr>
    </w:div>
    <w:div w:id="207935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Nyckelord xmlns="a7732c97-7fd1-4e24-a876-d49b827acd34" xsi:nil="true"/>
    <k46d94c0acf84ab9a79866a9d8b1905f xmlns="a7732c97-7fd1-4e24-a876-d49b827acd34">
      <Terms xmlns="http://schemas.microsoft.com/office/infopath/2007/PartnerControls"/>
    </k46d94c0acf84ab9a79866a9d8b1905f>
    <QFMSP_x0020_source_x0020_name xmlns="337ba170-f0da-4759-8791-87ac5bde7357" xsi:nil="true"/>
    <TaxCatchAll xmlns="a7732c97-7fd1-4e24-a876-d49b827acd34"/>
    <c9cd366cc722410295b9eacffbd73909 xmlns="a7732c97-7fd1-4e24-a876-d49b827acd34">
      <Terms xmlns="http://schemas.microsoft.com/office/infopath/2007/PartnerControls"/>
    </c9cd366cc722410295b9eacffbd73909>
    <RKOrdnaClass xmlns="337ba170-f0da-4759-8791-87ac5bde7357" xsi:nil="true"/>
    <RKOrdnaCheckInComment xmlns="337ba170-f0da-4759-8791-87ac5bde7357" xsi:nil="true"/>
    <Sekretess_x0020_m.m. xmlns="a7732c97-7fd1-4e24-a876-d49b827acd34">false</Sekretess_x0020_m.m.>
    <Diarienummer xmlns="a7732c97-7fd1-4e24-a876-d49b827acd34" xsi:nil="true"/>
    <_dlc_DocId xmlns="a7732c97-7fd1-4e24-a876-d49b827acd34">J4ACQ3WQMRDN-3-25608</_dlc_DocId>
    <_dlc_DocIdUrl xmlns="a7732c97-7fd1-4e24-a876-d49b827acd34">
      <Url>http://rkdhs-l/enhet/eui/_layouts/DocIdRedir.aspx?ID=J4ACQ3WQMRDN-3-25608</Url>
      <Description>J4ACQ3WQMRDN-3-25608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6C12ABF61EB7E3419B49272BBB4E37FE" ma:contentTypeVersion="15" ma:contentTypeDescription="Skapa ett nytt dokument." ma:contentTypeScope="" ma:versionID="e80a05a867a2fcbaef50234a253d980f">
  <xsd:schema xmlns:xsd="http://www.w3.org/2001/XMLSchema" xmlns:xs="http://www.w3.org/2001/XMLSchema" xmlns:p="http://schemas.microsoft.com/office/2006/metadata/properties" xmlns:ns2="a7732c97-7fd1-4e24-a876-d49b827acd34" xmlns:ns4="337ba170-f0da-4759-8791-87ac5bde7357" targetNamespace="http://schemas.microsoft.com/office/2006/metadata/properties" ma:root="true" ma:fieldsID="11f4381433e4bf3d5d794918b9fab0df" ns2:_="" ns4:_="">
    <xsd:import namespace="a7732c97-7fd1-4e24-a876-d49b827acd34"/>
    <xsd:import namespace="337ba170-f0da-4759-8791-87ac5bde73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4:RKOrdnaClass" minOccurs="0"/>
                <xsd:element ref="ns4:RKOrdnaCheckInComment" minOccurs="0"/>
                <xsd:element ref="ns4:QFMSP_x0020_source_x0020_name"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32c97-7fd1-4e24-a876-d49b827acd3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d1e0fb4-e382-4741-93ce-21ce052d7249}" ma:internalName="TaxCatchAll" ma:showField="CatchAllData"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d1e0fb4-e382-4741-93ce-21ce052d7249}" ma:internalName="TaxCatchAllLabel" ma:readOnly="true" ma:showField="CatchAllDataLabel"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21"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3"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ba170-f0da-4759-8791-87ac5bde7357"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xsd:simpleType>
        <xsd:restriction base="dms:Text"/>
      </xsd:simpleType>
    </xsd:element>
    <xsd:element name="RKOrdnaCheckInComment" ma:index="19" nillable="true" ma:displayName="RKOrdnaCheckInComment" ma:hidden="true" ma:internalName="RKOrdnaCheckInComment">
      <xsd:simpleType>
        <xsd:restriction base="dms:Text"/>
      </xsd:simpleType>
    </xsd:element>
    <xsd:element name="QFMSP_x0020_source_x0020_name" ma:index="20" nillable="true" ma:displayName="QFMSP_x0020_source_x0020_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RKOrdnaSearchKeywords" ma:readOnly="true"/>
        <xsd:element ref="dc:language" minOccurs="0" maxOccurs="1"/>
        <xsd:element name="category" minOccurs="0" maxOccurs="1" type="xsd:string" ma:index="18"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BE401-F8E2-46F1-A576-79C19E4D2D69}">
  <ds:schemaRefs>
    <ds:schemaRef ds:uri="http://schemas.microsoft.com/office/2006/metadata/customXsn"/>
  </ds:schemaRefs>
</ds:datastoreItem>
</file>

<file path=customXml/itemProps2.xml><?xml version="1.0" encoding="utf-8"?>
<ds:datastoreItem xmlns:ds="http://schemas.openxmlformats.org/officeDocument/2006/customXml" ds:itemID="{5B00DA2D-4BA1-477E-BA18-D19AF49B6B5A}">
  <ds:schemaRefs>
    <ds:schemaRef ds:uri="http://schemas.microsoft.com/office/infopath/2007/PartnerControls"/>
    <ds:schemaRef ds:uri="http://purl.org/dc/terms/"/>
    <ds:schemaRef ds:uri="http://schemas.microsoft.com/office/2006/metadata/properties"/>
    <ds:schemaRef ds:uri="a7732c97-7fd1-4e24-a876-d49b827acd34"/>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337ba170-f0da-4759-8791-87ac5bde7357"/>
  </ds:schemaRefs>
</ds:datastoreItem>
</file>

<file path=customXml/itemProps3.xml><?xml version="1.0" encoding="utf-8"?>
<ds:datastoreItem xmlns:ds="http://schemas.openxmlformats.org/officeDocument/2006/customXml" ds:itemID="{77305D42-FC5C-41E8-B59B-7B892B926003}">
  <ds:schemaRefs>
    <ds:schemaRef ds:uri="http://schemas.microsoft.com/sharepoint/events"/>
  </ds:schemaRefs>
</ds:datastoreItem>
</file>

<file path=customXml/itemProps4.xml><?xml version="1.0" encoding="utf-8"?>
<ds:datastoreItem xmlns:ds="http://schemas.openxmlformats.org/officeDocument/2006/customXml" ds:itemID="{825F3A64-3DC8-45DE-A7FF-A9EDD9B88531}">
  <ds:schemaRefs>
    <ds:schemaRef ds:uri="http://schemas.microsoft.com/sharepoint/v3/contenttype/forms/url"/>
  </ds:schemaRefs>
</ds:datastoreItem>
</file>

<file path=customXml/itemProps5.xml><?xml version="1.0" encoding="utf-8"?>
<ds:datastoreItem xmlns:ds="http://schemas.openxmlformats.org/officeDocument/2006/customXml" ds:itemID="{59E37EC6-851F-4480-82CF-58E5C74011E6}">
  <ds:schemaRefs>
    <ds:schemaRef ds:uri="http://schemas.microsoft.com/sharepoint/v3/contenttype/forms"/>
  </ds:schemaRefs>
</ds:datastoreItem>
</file>

<file path=customXml/itemProps6.xml><?xml version="1.0" encoding="utf-8"?>
<ds:datastoreItem xmlns:ds="http://schemas.openxmlformats.org/officeDocument/2006/customXml" ds:itemID="{35C17778-81BC-43EE-97DC-C5194789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32c97-7fd1-4e24-a876-d49b827acd34"/>
    <ds:schemaRef ds:uri="337ba170-f0da-4759-8791-87ac5bde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3163</Words>
  <Characters>20371</Characters>
  <Application>Microsoft Office Word</Application>
  <DocSecurity>4</DocSecurity>
  <Lines>657</Lines>
  <Paragraphs>217</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Jonsson</dc:creator>
  <cp:keywords/>
  <dc:description/>
  <cp:lastModifiedBy>Johan Eriksson</cp:lastModifiedBy>
  <cp:revision>2</cp:revision>
  <cp:lastPrinted>2014-06-09T13:16:00Z</cp:lastPrinted>
  <dcterms:created xsi:type="dcterms:W3CDTF">2014-06-09T13:17:00Z</dcterms:created>
  <dcterms:modified xsi:type="dcterms:W3CDTF">2014-06-09T13:17:00Z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d6e49f8e-0cad-46a5-a8cd-4929b149a272</vt:lpwstr>
  </property>
</Properties>
</file>