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652DF8">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A874D0" w:rsidRPr="00652DF8" w:rsidRDefault="00652DF8">
            <w:pPr>
              <w:pStyle w:val="EntLogo"/>
            </w:pPr>
            <w:r w:rsidRPr="00652DF8">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4D0" w:rsidRPr="00652DF8">
              <w:t xml:space="preserve"> </w:t>
            </w:r>
          </w:p>
        </w:tc>
      </w:tr>
      <w:tr w:rsidR="00000000" w:rsidRPr="00652DF8">
        <w:tblPrEx>
          <w:tblCellMar>
            <w:top w:w="0" w:type="dxa"/>
            <w:left w:w="0" w:type="dxa"/>
            <w:bottom w:w="0" w:type="dxa"/>
            <w:right w:w="0" w:type="dxa"/>
          </w:tblCellMar>
        </w:tblPrEx>
        <w:trPr>
          <w:cantSplit/>
          <w:trHeight w:val="1120"/>
        </w:trPr>
        <w:tc>
          <w:tcPr>
            <w:tcW w:w="4821" w:type="dxa"/>
            <w:gridSpan w:val="2"/>
          </w:tcPr>
          <w:p w:rsidR="00A874D0" w:rsidRPr="00652DF8" w:rsidRDefault="00A874D0">
            <w:pPr>
              <w:pStyle w:val="EntInstit"/>
            </w:pPr>
            <w:bookmarkStart w:id="0" w:name="Entete"/>
            <w:bookmarkEnd w:id="0"/>
            <w:r w:rsidRPr="00652DF8">
              <w:t>COUNCIL OF</w:t>
            </w:r>
          </w:p>
          <w:p w:rsidR="00A874D0" w:rsidRPr="00652DF8" w:rsidRDefault="00A874D0">
            <w:pPr>
              <w:pStyle w:val="EntInstit"/>
            </w:pPr>
            <w:r w:rsidRPr="00652DF8">
              <w:t>THE EUROPEAN UNION</w:t>
            </w:r>
          </w:p>
        </w:tc>
        <w:tc>
          <w:tcPr>
            <w:tcW w:w="1701" w:type="dxa"/>
          </w:tcPr>
          <w:p w:rsidR="00A874D0" w:rsidRPr="00652DF8" w:rsidRDefault="00A874D0">
            <w:pPr>
              <w:spacing w:line="240" w:lineRule="auto"/>
              <w:jc w:val="right"/>
              <w:rPr>
                <w:b/>
              </w:rPr>
            </w:pPr>
          </w:p>
        </w:tc>
        <w:tc>
          <w:tcPr>
            <w:tcW w:w="4820" w:type="dxa"/>
            <w:gridSpan w:val="2"/>
          </w:tcPr>
          <w:p w:rsidR="00A874D0" w:rsidRPr="00652DF8" w:rsidRDefault="00A874D0">
            <w:pPr>
              <w:pStyle w:val="EntRefer"/>
            </w:pPr>
            <w:bookmarkStart w:id="1" w:name="Lieu"/>
            <w:bookmarkEnd w:id="1"/>
            <w:r w:rsidRPr="00652DF8">
              <w:t xml:space="preserve">Brussels, </w:t>
            </w:r>
            <w:bookmarkStart w:id="2" w:name="Date"/>
            <w:bookmarkEnd w:id="2"/>
            <w:r w:rsidRPr="00652DF8">
              <w:t xml:space="preserve">11 May 2006 </w:t>
            </w:r>
            <w:bookmarkStart w:id="3" w:name="DateEntree"/>
            <w:bookmarkStart w:id="4" w:name="LangueOrig"/>
            <w:bookmarkEnd w:id="3"/>
            <w:bookmarkEnd w:id="4"/>
          </w:p>
        </w:tc>
      </w:tr>
      <w:tr w:rsidR="00000000" w:rsidRPr="00652DF8">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A874D0" w:rsidRPr="00652DF8" w:rsidRDefault="00A874D0">
            <w:pPr>
              <w:pStyle w:val="EntRefer"/>
              <w:jc w:val="center"/>
            </w:pPr>
            <w:bookmarkStart w:id="5" w:name="DossierInterInst"/>
            <w:bookmarkEnd w:id="5"/>
          </w:p>
        </w:tc>
        <w:tc>
          <w:tcPr>
            <w:tcW w:w="1701" w:type="dxa"/>
            <w:vAlign w:val="center"/>
          </w:tcPr>
          <w:p w:rsidR="00A874D0" w:rsidRPr="00652DF8" w:rsidRDefault="00A874D0">
            <w:pPr>
              <w:spacing w:line="240" w:lineRule="auto"/>
              <w:rPr>
                <w:b/>
              </w:rPr>
            </w:pPr>
          </w:p>
        </w:tc>
        <w:tc>
          <w:tcPr>
            <w:tcW w:w="3970" w:type="dxa"/>
          </w:tcPr>
          <w:p w:rsidR="00A874D0" w:rsidRPr="00652DF8" w:rsidRDefault="00A874D0">
            <w:pPr>
              <w:pStyle w:val="EntRefer"/>
            </w:pPr>
            <w:bookmarkStart w:id="6" w:name="Cote"/>
            <w:bookmarkEnd w:id="6"/>
            <w:r w:rsidRPr="00652DF8">
              <w:t>8827/06</w:t>
            </w:r>
          </w:p>
          <w:p w:rsidR="00A874D0" w:rsidRPr="00652DF8" w:rsidRDefault="00A874D0">
            <w:pPr>
              <w:pStyle w:val="EntRefer"/>
            </w:pPr>
          </w:p>
          <w:p w:rsidR="00A874D0" w:rsidRPr="00652DF8" w:rsidRDefault="00A874D0">
            <w:pPr>
              <w:pStyle w:val="EntRefer"/>
            </w:pPr>
            <w:bookmarkStart w:id="7" w:name="CoteRev"/>
            <w:bookmarkEnd w:id="7"/>
          </w:p>
          <w:p w:rsidR="00A874D0" w:rsidRPr="00652DF8" w:rsidRDefault="00A874D0">
            <w:pPr>
              <w:pStyle w:val="EntRefer"/>
            </w:pPr>
            <w:bookmarkStart w:id="8" w:name="CoteSec"/>
            <w:bookmarkEnd w:id="8"/>
            <w:r w:rsidRPr="00652DF8">
              <w:t>LIMITE</w:t>
            </w:r>
          </w:p>
        </w:tc>
      </w:tr>
      <w:tr w:rsidR="00000000" w:rsidRPr="00652DF8">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A874D0" w:rsidRPr="00652DF8" w:rsidRDefault="00A874D0">
            <w:pPr>
              <w:pStyle w:val="EntRefer"/>
              <w:jc w:val="center"/>
            </w:pPr>
            <w:bookmarkStart w:id="9" w:name="SousEmbargo"/>
            <w:bookmarkEnd w:id="9"/>
          </w:p>
        </w:tc>
        <w:tc>
          <w:tcPr>
            <w:tcW w:w="1701" w:type="dxa"/>
            <w:vAlign w:val="center"/>
          </w:tcPr>
          <w:p w:rsidR="00A874D0" w:rsidRPr="00652DF8" w:rsidRDefault="00A874D0">
            <w:pPr>
              <w:spacing w:line="240" w:lineRule="auto"/>
              <w:rPr>
                <w:b/>
              </w:rPr>
            </w:pPr>
          </w:p>
        </w:tc>
        <w:tc>
          <w:tcPr>
            <w:tcW w:w="3970" w:type="dxa"/>
          </w:tcPr>
          <w:p w:rsidR="00A874D0" w:rsidRPr="00652DF8" w:rsidRDefault="00A874D0">
            <w:pPr>
              <w:pStyle w:val="EntRefer"/>
            </w:pPr>
            <w:r w:rsidRPr="00652DF8">
              <w:t>CONSOM 30</w:t>
            </w:r>
          </w:p>
          <w:p w:rsidR="00A874D0" w:rsidRPr="00652DF8" w:rsidRDefault="00A874D0">
            <w:pPr>
              <w:pStyle w:val="EntRefer"/>
            </w:pPr>
            <w:r w:rsidRPr="00652DF8">
              <w:t>CODEC 400</w:t>
            </w:r>
          </w:p>
          <w:p w:rsidR="00A874D0" w:rsidRPr="00652DF8" w:rsidRDefault="00A874D0">
            <w:pPr>
              <w:pStyle w:val="EntRefer"/>
            </w:pPr>
            <w:r w:rsidRPr="00652DF8">
              <w:t>JUSTCIV 119</w:t>
            </w:r>
          </w:p>
          <w:p w:rsidR="00A874D0" w:rsidRPr="00652DF8" w:rsidRDefault="00A874D0">
            <w:pPr>
              <w:pStyle w:val="EntRefer"/>
            </w:pPr>
          </w:p>
        </w:tc>
      </w:tr>
    </w:tbl>
    <w:p w:rsidR="00A874D0" w:rsidRPr="00652DF8" w:rsidRDefault="00A874D0">
      <w:pPr>
        <w:pStyle w:val="EntRefer"/>
      </w:pPr>
      <w:bookmarkStart w:id="10" w:name="AC"/>
    </w:p>
    <w:p w:rsidR="00A874D0" w:rsidRPr="00652DF8" w:rsidRDefault="00A874D0">
      <w:pPr>
        <w:pStyle w:val="EntRefer"/>
        <w:outlineLvl w:val="0"/>
      </w:pPr>
      <w:bookmarkStart w:id="11" w:name="Title"/>
      <w:bookmarkEnd w:id="11"/>
      <w:r w:rsidRPr="00652DF8">
        <w:t>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000000" w:rsidRPr="00652DF8">
        <w:tblPrEx>
          <w:tblCellMar>
            <w:top w:w="0" w:type="dxa"/>
            <w:left w:w="0" w:type="dxa"/>
            <w:bottom w:w="0" w:type="dxa"/>
            <w:right w:w="0" w:type="dxa"/>
          </w:tblCellMar>
        </w:tblPrEx>
        <w:tc>
          <w:tcPr>
            <w:tcW w:w="1701" w:type="dxa"/>
            <w:tcBorders>
              <w:top w:val="single" w:sz="4" w:space="0" w:color="auto"/>
            </w:tcBorders>
          </w:tcPr>
          <w:p w:rsidR="00A874D0" w:rsidRPr="00652DF8" w:rsidRDefault="00A874D0">
            <w:pPr>
              <w:pStyle w:val="EntEmet"/>
            </w:pPr>
            <w:r w:rsidRPr="00652DF8">
              <w:t>from:</w:t>
            </w:r>
          </w:p>
        </w:tc>
        <w:tc>
          <w:tcPr>
            <w:tcW w:w="7939" w:type="dxa"/>
            <w:tcBorders>
              <w:top w:val="single" w:sz="4" w:space="0" w:color="auto"/>
            </w:tcBorders>
          </w:tcPr>
          <w:p w:rsidR="00A874D0" w:rsidRPr="00652DF8" w:rsidRDefault="00A874D0">
            <w:pPr>
              <w:pStyle w:val="EntEmet"/>
            </w:pPr>
            <w:r w:rsidRPr="00652DF8">
              <w:t>Presidency</w:t>
            </w:r>
          </w:p>
        </w:tc>
      </w:tr>
      <w:tr w:rsidR="00000000" w:rsidRPr="00652DF8">
        <w:tblPrEx>
          <w:tblCellMar>
            <w:top w:w="0" w:type="dxa"/>
            <w:left w:w="0" w:type="dxa"/>
            <w:bottom w:w="0" w:type="dxa"/>
            <w:right w:w="0" w:type="dxa"/>
          </w:tblCellMar>
        </w:tblPrEx>
        <w:tc>
          <w:tcPr>
            <w:tcW w:w="1701" w:type="dxa"/>
            <w:tcBorders>
              <w:bottom w:val="single" w:sz="4" w:space="0" w:color="auto"/>
            </w:tcBorders>
          </w:tcPr>
          <w:p w:rsidR="00A874D0" w:rsidRPr="00652DF8" w:rsidRDefault="00A874D0">
            <w:pPr>
              <w:pStyle w:val="EntEmet"/>
            </w:pPr>
            <w:r w:rsidRPr="00652DF8">
              <w:t>to:</w:t>
            </w:r>
          </w:p>
        </w:tc>
        <w:tc>
          <w:tcPr>
            <w:tcW w:w="7939" w:type="dxa"/>
            <w:tcBorders>
              <w:bottom w:val="single" w:sz="4" w:space="0" w:color="auto"/>
            </w:tcBorders>
          </w:tcPr>
          <w:p w:rsidR="00A874D0" w:rsidRPr="00652DF8" w:rsidRDefault="00A874D0">
            <w:pPr>
              <w:pStyle w:val="EntEmet"/>
            </w:pPr>
            <w:r w:rsidRPr="00652DF8">
              <w:rPr>
                <w:szCs w:val="24"/>
              </w:rPr>
              <w:t>Permanent Representatives Committee</w:t>
            </w:r>
          </w:p>
        </w:tc>
      </w:tr>
      <w:tr w:rsidR="00000000" w:rsidRPr="00652DF8">
        <w:tblPrEx>
          <w:tblCellMar>
            <w:top w:w="0" w:type="dxa"/>
            <w:left w:w="0" w:type="dxa"/>
            <w:bottom w:w="0" w:type="dxa"/>
            <w:right w:w="0" w:type="dxa"/>
          </w:tblCellMar>
        </w:tblPrEx>
        <w:tc>
          <w:tcPr>
            <w:tcW w:w="1701" w:type="dxa"/>
            <w:tcBorders>
              <w:top w:val="single" w:sz="4" w:space="0" w:color="auto"/>
              <w:bottom w:val="single" w:sz="4" w:space="0" w:color="auto"/>
            </w:tcBorders>
          </w:tcPr>
          <w:p w:rsidR="00A874D0" w:rsidRPr="00652DF8" w:rsidRDefault="00A874D0">
            <w:pPr>
              <w:pStyle w:val="EntEmet"/>
            </w:pPr>
            <w:r w:rsidRPr="00652DF8">
              <w:t>No. Cion prop.:</w:t>
            </w:r>
          </w:p>
        </w:tc>
        <w:tc>
          <w:tcPr>
            <w:tcW w:w="7939" w:type="dxa"/>
            <w:tcBorders>
              <w:top w:val="single" w:sz="4" w:space="0" w:color="auto"/>
              <w:bottom w:val="single" w:sz="4" w:space="0" w:color="auto"/>
            </w:tcBorders>
          </w:tcPr>
          <w:p w:rsidR="00A874D0" w:rsidRPr="00652DF8" w:rsidRDefault="00A874D0">
            <w:pPr>
              <w:pStyle w:val="EntEmet"/>
            </w:pPr>
            <w:r w:rsidRPr="00652DF8">
              <w:t>13193/05 CONSOM 37 CODEC 865</w:t>
            </w:r>
          </w:p>
        </w:tc>
      </w:tr>
      <w:tr w:rsidR="00000000" w:rsidRPr="00652DF8">
        <w:tblPrEx>
          <w:tblCellMar>
            <w:top w:w="0" w:type="dxa"/>
            <w:left w:w="0" w:type="dxa"/>
            <w:bottom w:w="0" w:type="dxa"/>
            <w:right w:w="0" w:type="dxa"/>
          </w:tblCellMar>
        </w:tblPrEx>
        <w:tc>
          <w:tcPr>
            <w:tcW w:w="1701" w:type="dxa"/>
            <w:tcBorders>
              <w:top w:val="single" w:sz="4" w:space="0" w:color="auto"/>
              <w:bottom w:val="single" w:sz="4" w:space="0" w:color="auto"/>
            </w:tcBorders>
          </w:tcPr>
          <w:p w:rsidR="00A874D0" w:rsidRPr="00652DF8" w:rsidRDefault="00A874D0">
            <w:pPr>
              <w:pStyle w:val="EntEmet"/>
            </w:pPr>
            <w:r w:rsidRPr="00652DF8">
              <w:t>Subject:</w:t>
            </w:r>
          </w:p>
        </w:tc>
        <w:tc>
          <w:tcPr>
            <w:tcW w:w="7939" w:type="dxa"/>
            <w:tcBorders>
              <w:top w:val="single" w:sz="4" w:space="0" w:color="auto"/>
              <w:bottom w:val="single" w:sz="4" w:space="0" w:color="auto"/>
            </w:tcBorders>
          </w:tcPr>
          <w:p w:rsidR="00A874D0" w:rsidRPr="00652DF8" w:rsidRDefault="00A874D0">
            <w:pPr>
              <w:pStyle w:val="EntEmet"/>
              <w:rPr>
                <w:b/>
              </w:rPr>
            </w:pPr>
            <w:bookmarkStart w:id="12" w:name="Subject"/>
            <w:bookmarkEnd w:id="12"/>
            <w:r w:rsidRPr="00652DF8">
              <w:rPr>
                <w:b/>
              </w:rPr>
              <w:t>Preparation of the Council meeting (Competitiveness) on 29 May 2006</w:t>
            </w:r>
          </w:p>
          <w:p w:rsidR="00A874D0" w:rsidRPr="00652DF8" w:rsidRDefault="00A874D0">
            <w:pPr>
              <w:pStyle w:val="EntEmet"/>
            </w:pPr>
            <w:r w:rsidRPr="00652DF8">
              <w:t>Modified proposal for a Directive of the European Parliament and of the Council on credit agreements for consumers amending Council Directive 93/13/EC</w:t>
            </w:r>
          </w:p>
          <w:p w:rsidR="00A874D0" w:rsidRPr="00652DF8" w:rsidRDefault="00A874D0">
            <w:pPr>
              <w:pStyle w:val="EntEmet"/>
            </w:pPr>
            <w:r w:rsidRPr="00652DF8">
              <w:t>- Policy debate</w:t>
            </w:r>
          </w:p>
        </w:tc>
      </w:tr>
    </w:tbl>
    <w:p w:rsidR="00A874D0" w:rsidRPr="00652DF8" w:rsidRDefault="00A874D0">
      <w:pPr>
        <w:spacing w:line="240" w:lineRule="auto"/>
      </w:pPr>
    </w:p>
    <w:p w:rsidR="00A874D0" w:rsidRPr="00652DF8" w:rsidRDefault="00A874D0">
      <w:pPr>
        <w:tabs>
          <w:tab w:val="left" w:pos="3969"/>
        </w:tabs>
      </w:pPr>
    </w:p>
    <w:p w:rsidR="00A874D0" w:rsidRPr="00652DF8" w:rsidRDefault="00A874D0">
      <w:pPr>
        <w:rPr>
          <w:b/>
        </w:rPr>
      </w:pPr>
      <w:r w:rsidRPr="00652DF8">
        <w:rPr>
          <w:b/>
        </w:rPr>
        <w:t xml:space="preserve">I. </w:t>
      </w:r>
      <w:r w:rsidRPr="00652DF8">
        <w:rPr>
          <w:b/>
        </w:rPr>
        <w:tab/>
        <w:t>INTRODUCTION</w:t>
      </w:r>
    </w:p>
    <w:p w:rsidR="00A874D0" w:rsidRPr="00652DF8" w:rsidRDefault="00A874D0">
      <w:pPr>
        <w:rPr>
          <w:b/>
          <w:u w:val="single"/>
        </w:rPr>
      </w:pPr>
    </w:p>
    <w:p w:rsidR="00A874D0" w:rsidRPr="00652DF8" w:rsidRDefault="00A874D0">
      <w:pPr>
        <w:ind w:left="567" w:hanging="567"/>
      </w:pPr>
      <w:r w:rsidRPr="00652DF8">
        <w:t>1.</w:t>
      </w:r>
      <w:r w:rsidRPr="00652DF8">
        <w:tab/>
        <w:t>In September 2002, the Commission submitted to the Council and the European Parliament a proposal for a Directive concerning credit for consumers</w:t>
      </w:r>
      <w:r w:rsidRPr="00652DF8">
        <w:rPr>
          <w:rStyle w:val="Fotnotsreferens"/>
          <w:b w:val="0"/>
        </w:rPr>
        <w:footnoteReference w:id="1"/>
      </w:r>
      <w:r w:rsidRPr="00652DF8">
        <w:t>.</w:t>
      </w:r>
    </w:p>
    <w:p w:rsidR="00A874D0" w:rsidRPr="00652DF8" w:rsidRDefault="00A874D0">
      <w:pPr>
        <w:ind w:left="567" w:hanging="567"/>
      </w:pPr>
    </w:p>
    <w:p w:rsidR="00A874D0" w:rsidRPr="00652DF8" w:rsidRDefault="00A874D0">
      <w:pPr>
        <w:pStyle w:val="Sidfot"/>
        <w:tabs>
          <w:tab w:val="clear" w:pos="4820"/>
          <w:tab w:val="clear" w:pos="7371"/>
          <w:tab w:val="clear" w:pos="9639"/>
        </w:tabs>
        <w:spacing w:line="360" w:lineRule="auto"/>
        <w:ind w:left="600" w:hanging="600"/>
      </w:pPr>
      <w:r w:rsidRPr="00652DF8">
        <w:tab/>
        <w:t xml:space="preserve">The Commission considered that the differences in national legislation constituted obstacles to the internal market and dissuaded businesses from offering pan-European products.  Therefore, the proposal aimed at establishing the conditions for a genuine internal market, ensuring a high level of consumer protection and improving the clarity of EC regulation by recasting the three existing Directives on consumer credit (87/102/CE, 90/88/CE and 98/8/CE). </w:t>
      </w:r>
    </w:p>
    <w:p w:rsidR="00A874D0" w:rsidRPr="00652DF8" w:rsidRDefault="00A874D0">
      <w:pPr>
        <w:pStyle w:val="Sidfot"/>
        <w:tabs>
          <w:tab w:val="clear" w:pos="4820"/>
          <w:tab w:val="clear" w:pos="7371"/>
          <w:tab w:val="clear" w:pos="9639"/>
        </w:tabs>
        <w:spacing w:line="360" w:lineRule="auto"/>
        <w:ind w:left="567" w:hanging="567"/>
      </w:pPr>
      <w:r w:rsidRPr="00652DF8">
        <w:br w:type="page"/>
      </w:r>
      <w:r w:rsidRPr="00652DF8">
        <w:lastRenderedPageBreak/>
        <w:t>2.</w:t>
      </w:r>
      <w:r w:rsidRPr="00652DF8">
        <w:tab/>
        <w:t>The Council (Competitiveness) held a policy debate on this Commission proposal on 19 May 2003. The great majority of delegations supported in general the objective of full harmonisation provided that the Directive does not lower the level of consumer protection</w:t>
      </w:r>
      <w:r w:rsidRPr="00652DF8">
        <w:rPr>
          <w:rStyle w:val="Fotnotsreferens"/>
          <w:b w:val="0"/>
        </w:rPr>
        <w:footnoteReference w:id="2"/>
      </w:r>
      <w:r w:rsidRPr="00652DF8">
        <w:t>. The Economic and Social Committee gave its opinion on 16-17 July 2003</w:t>
      </w:r>
      <w:r w:rsidRPr="00652DF8">
        <w:rPr>
          <w:rStyle w:val="Fotnotsreferens"/>
          <w:b w:val="0"/>
        </w:rPr>
        <w:footnoteReference w:id="3"/>
      </w:r>
      <w:r w:rsidRPr="00652DF8">
        <w:t xml:space="preserve"> and the European Parliament adopted its first-reading Opinion on 20 April 2004</w:t>
      </w:r>
      <w:r w:rsidRPr="00652DF8">
        <w:rPr>
          <w:rStyle w:val="Fotnotsreferens"/>
          <w:b w:val="0"/>
        </w:rPr>
        <w:footnoteReference w:id="4"/>
      </w:r>
      <w:r w:rsidRPr="00652DF8">
        <w:t xml:space="preserve">. </w:t>
      </w:r>
    </w:p>
    <w:p w:rsidR="00A874D0" w:rsidRPr="00652DF8" w:rsidRDefault="00A874D0">
      <w:pPr>
        <w:ind w:left="567" w:hanging="567"/>
      </w:pPr>
    </w:p>
    <w:p w:rsidR="00A874D0" w:rsidRPr="00652DF8" w:rsidRDefault="00A874D0">
      <w:pPr>
        <w:ind w:left="567" w:hanging="567"/>
      </w:pPr>
      <w:r w:rsidRPr="00652DF8">
        <w:t>3.</w:t>
      </w:r>
      <w:r w:rsidRPr="00652DF8">
        <w:tab/>
        <w:t>The Commission incorporated 108 of the 152 amendments proposed by the European Parliament and submitted its modified proposal on 29 October 2004</w:t>
      </w:r>
      <w:r w:rsidRPr="00652DF8">
        <w:rPr>
          <w:rStyle w:val="Fotnotsreferens"/>
          <w:b w:val="0"/>
          <w:szCs w:val="24"/>
        </w:rPr>
        <w:footnoteReference w:id="5"/>
      </w:r>
      <w:r w:rsidRPr="00652DF8">
        <w:t>.  The consolidated text of the modified proposal was then forwarded to the Council on 13 October 2005</w:t>
      </w:r>
      <w:r w:rsidRPr="00652DF8">
        <w:rPr>
          <w:rStyle w:val="Fotnotsreferens"/>
          <w:b w:val="0"/>
          <w:szCs w:val="24"/>
        </w:rPr>
        <w:footnoteReference w:id="6"/>
      </w:r>
      <w:r w:rsidRPr="00652DF8">
        <w:t>.</w:t>
      </w:r>
    </w:p>
    <w:p w:rsidR="00A874D0" w:rsidRPr="00652DF8" w:rsidRDefault="00A874D0">
      <w:pPr>
        <w:pStyle w:val="Sidfot"/>
        <w:tabs>
          <w:tab w:val="clear" w:pos="4820"/>
          <w:tab w:val="clear" w:pos="7371"/>
          <w:tab w:val="clear" w:pos="9639"/>
        </w:tabs>
        <w:spacing w:line="360" w:lineRule="auto"/>
        <w:ind w:left="567" w:hanging="567"/>
      </w:pPr>
    </w:p>
    <w:p w:rsidR="00A874D0" w:rsidRPr="00652DF8" w:rsidRDefault="00A874D0">
      <w:pPr>
        <w:pStyle w:val="Sidfot"/>
        <w:tabs>
          <w:tab w:val="clear" w:pos="4820"/>
          <w:tab w:val="clear" w:pos="7371"/>
          <w:tab w:val="clear" w:pos="9639"/>
        </w:tabs>
        <w:spacing w:line="360" w:lineRule="auto"/>
        <w:ind w:left="567" w:hanging="567"/>
      </w:pPr>
      <w:r w:rsidRPr="00652DF8">
        <w:t>4.</w:t>
      </w:r>
      <w:r w:rsidRPr="00652DF8">
        <w:tab/>
        <w:t>Following a presentation and general discussion under the UK Presidency, the Austrian Presidency concentrated the discussion within the Working Party on Consumer Protection and Information on an in-depth examination of the following key issues:</w:t>
      </w:r>
    </w:p>
    <w:p w:rsidR="00A874D0" w:rsidRPr="00652DF8" w:rsidRDefault="00A874D0">
      <w:pPr>
        <w:pStyle w:val="Sidfot"/>
        <w:tabs>
          <w:tab w:val="clear" w:pos="4820"/>
          <w:tab w:val="clear" w:pos="7371"/>
          <w:tab w:val="clear" w:pos="9639"/>
        </w:tabs>
        <w:spacing w:line="360" w:lineRule="auto"/>
        <w:ind w:left="567" w:hanging="567"/>
      </w:pP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scope and definitions (Articles 1 to 3),</w:t>
      </w: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information requirements (Articles 4, 5 and 9),</w:t>
      </w: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overdraft facility (Article 11) and overrunning (Article 17),</w:t>
      </w: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right of withdrawal (Article13),</w:t>
      </w: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linked transactions (Article14),</w:t>
      </w: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early repayment (Article 15),</w:t>
      </w: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 xml:space="preserve">regulation of creditors and credit intermediaries (Article 19) and </w:t>
      </w:r>
    </w:p>
    <w:p w:rsidR="00A874D0" w:rsidRPr="00652DF8" w:rsidRDefault="00A874D0">
      <w:pPr>
        <w:pStyle w:val="Sidfot"/>
        <w:tabs>
          <w:tab w:val="clear" w:pos="4820"/>
          <w:tab w:val="clear" w:pos="7371"/>
          <w:tab w:val="clear" w:pos="9639"/>
          <w:tab w:val="left" w:pos="993"/>
        </w:tabs>
        <w:spacing w:line="360" w:lineRule="auto"/>
        <w:ind w:left="567" w:hanging="567"/>
      </w:pPr>
      <w:r w:rsidRPr="00652DF8">
        <w:tab/>
        <w:t xml:space="preserve">- </w:t>
      </w:r>
      <w:r w:rsidRPr="00652DF8">
        <w:tab/>
        <w:t>harmonisation and mutual recognition (Article 21).</w:t>
      </w:r>
    </w:p>
    <w:p w:rsidR="00A874D0" w:rsidRPr="00652DF8" w:rsidRDefault="00A874D0">
      <w:pPr>
        <w:pStyle w:val="Sidfot"/>
        <w:tabs>
          <w:tab w:val="clear" w:pos="4820"/>
          <w:tab w:val="clear" w:pos="7371"/>
          <w:tab w:val="clear" w:pos="9639"/>
        </w:tabs>
        <w:spacing w:line="360" w:lineRule="auto"/>
        <w:ind w:left="567" w:hanging="567"/>
      </w:pPr>
    </w:p>
    <w:p w:rsidR="00A874D0" w:rsidRPr="00652DF8" w:rsidRDefault="00A874D0">
      <w:pPr>
        <w:tabs>
          <w:tab w:val="left" w:pos="567"/>
        </w:tabs>
        <w:ind w:left="851" w:hanging="851"/>
      </w:pPr>
      <w:r w:rsidRPr="00652DF8">
        <w:br w:type="page"/>
        <w:t>5.</w:t>
      </w:r>
      <w:r w:rsidRPr="00652DF8">
        <w:tab/>
        <w:t>The Presidency presented a compromise text on the above-mentioned issues with the view to</w:t>
      </w:r>
    </w:p>
    <w:p w:rsidR="00A874D0" w:rsidRPr="00652DF8" w:rsidRDefault="00A874D0">
      <w:pPr>
        <w:pStyle w:val="Sidfot"/>
        <w:tabs>
          <w:tab w:val="clear" w:pos="4820"/>
          <w:tab w:val="clear" w:pos="7371"/>
          <w:tab w:val="clear" w:pos="9639"/>
        </w:tabs>
        <w:spacing w:line="360" w:lineRule="auto"/>
        <w:ind w:left="567" w:hanging="567"/>
        <w:rPr>
          <w:szCs w:val="24"/>
        </w:rPr>
      </w:pPr>
      <w:r w:rsidRPr="00652DF8">
        <w:tab/>
        <w:t xml:space="preserve">finding mutually acceptable solutions. Based on the </w:t>
      </w:r>
      <w:r w:rsidRPr="00652DF8">
        <w:rPr>
          <w:szCs w:val="24"/>
        </w:rPr>
        <w:t>in-depth discussion at the Working Party level</w:t>
      </w:r>
      <w:r w:rsidRPr="00652DF8">
        <w:t xml:space="preserve">, the Presidency considers that </w:t>
      </w:r>
      <w:r w:rsidRPr="00652DF8">
        <w:rPr>
          <w:szCs w:val="24"/>
        </w:rPr>
        <w:t>consensus</w:t>
      </w:r>
      <w:r w:rsidRPr="00652DF8">
        <w:t xml:space="preserve"> could be reached </w:t>
      </w:r>
      <w:r w:rsidRPr="00652DF8">
        <w:rPr>
          <w:szCs w:val="24"/>
        </w:rPr>
        <w:t xml:space="preserve">in the near future, subject to future clarifications and without prejudice to the discussion on other parts of the proposed Directive, on the following Articles: </w:t>
      </w: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t>-</w:t>
      </w:r>
      <w:r w:rsidRPr="00652DF8">
        <w:rPr>
          <w:szCs w:val="24"/>
        </w:rPr>
        <w:tab/>
        <w:t>Article 5, paragraph 2 - Content of the pre-contractual information,</w:t>
      </w: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t>-</w:t>
      </w:r>
      <w:r w:rsidRPr="00652DF8">
        <w:rPr>
          <w:szCs w:val="24"/>
        </w:rPr>
        <w:tab/>
        <w:t>Article 9, paragraph 2 - Content of the contractual information,</w:t>
      </w: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t>-</w:t>
      </w:r>
      <w:r w:rsidRPr="00652DF8">
        <w:rPr>
          <w:szCs w:val="24"/>
        </w:rPr>
        <w:tab/>
        <w:t>Article 13 - Right of withdrawal,</w:t>
      </w: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t>-</w:t>
      </w:r>
      <w:r w:rsidRPr="00652DF8">
        <w:rPr>
          <w:szCs w:val="24"/>
        </w:rPr>
        <w:tab/>
        <w:t>Article 14 - Linked transactions,</w:t>
      </w:r>
    </w:p>
    <w:p w:rsidR="00A874D0" w:rsidRPr="00652DF8" w:rsidRDefault="00A874D0">
      <w:pPr>
        <w:tabs>
          <w:tab w:val="left" w:pos="567"/>
        </w:tabs>
        <w:ind w:left="851" w:hanging="851"/>
      </w:pPr>
      <w:r w:rsidRPr="00652DF8">
        <w:rPr>
          <w:szCs w:val="24"/>
        </w:rPr>
        <w:tab/>
        <w:t xml:space="preserve">- </w:t>
      </w:r>
      <w:r w:rsidRPr="00652DF8">
        <w:rPr>
          <w:szCs w:val="24"/>
        </w:rPr>
        <w:tab/>
      </w:r>
      <w:r w:rsidRPr="00652DF8">
        <w:rPr>
          <w:szCs w:val="24"/>
        </w:rPr>
        <w:tab/>
        <w:t>Article 17 - Overrunning.</w:t>
      </w:r>
    </w:p>
    <w:p w:rsidR="00A874D0" w:rsidRPr="00652DF8" w:rsidRDefault="00A874D0">
      <w:pPr>
        <w:pStyle w:val="Sidfot"/>
        <w:tabs>
          <w:tab w:val="clear" w:pos="4820"/>
          <w:tab w:val="clear" w:pos="7371"/>
          <w:tab w:val="clear" w:pos="9639"/>
        </w:tabs>
        <w:spacing w:line="360" w:lineRule="auto"/>
        <w:ind w:left="567" w:hanging="567"/>
      </w:pPr>
      <w:r w:rsidRPr="00652DF8">
        <w:tab/>
      </w:r>
    </w:p>
    <w:p w:rsidR="00A874D0" w:rsidRPr="00652DF8" w:rsidRDefault="00A874D0">
      <w:pPr>
        <w:pStyle w:val="Sidfot"/>
        <w:tabs>
          <w:tab w:val="clear" w:pos="4820"/>
          <w:tab w:val="clear" w:pos="7371"/>
          <w:tab w:val="clear" w:pos="9639"/>
        </w:tabs>
        <w:spacing w:line="360" w:lineRule="auto"/>
        <w:ind w:left="567" w:hanging="567"/>
      </w:pPr>
      <w:r w:rsidRPr="00652DF8">
        <w:tab/>
        <w:t>Concerning issues of a more controversial nature, the Presidency considers that a policy debate at the Council level would be useful in order to give guidance on how the work in the Working Party should progress in the coming months.</w:t>
      </w:r>
    </w:p>
    <w:p w:rsidR="00A874D0" w:rsidRPr="00652DF8" w:rsidRDefault="00A874D0">
      <w:pPr>
        <w:pStyle w:val="Sidfot"/>
        <w:tabs>
          <w:tab w:val="clear" w:pos="4820"/>
          <w:tab w:val="clear" w:pos="7371"/>
          <w:tab w:val="clear" w:pos="9639"/>
        </w:tabs>
        <w:spacing w:line="360" w:lineRule="auto"/>
        <w:ind w:left="567" w:hanging="567"/>
      </w:pPr>
    </w:p>
    <w:p w:rsidR="00A874D0" w:rsidRPr="00652DF8" w:rsidRDefault="00A874D0">
      <w:pPr>
        <w:pStyle w:val="Sidfot"/>
        <w:tabs>
          <w:tab w:val="clear" w:pos="4820"/>
          <w:tab w:val="clear" w:pos="7371"/>
          <w:tab w:val="clear" w:pos="9639"/>
        </w:tabs>
        <w:spacing w:line="360" w:lineRule="auto"/>
        <w:ind w:left="567" w:hanging="567"/>
      </w:pPr>
      <w:r w:rsidRPr="00652DF8">
        <w:t>6.</w:t>
      </w:r>
      <w:r w:rsidRPr="00652DF8">
        <w:tab/>
        <w:t xml:space="preserve">The </w:t>
      </w:r>
      <w:r w:rsidRPr="00652DF8">
        <w:rPr>
          <w:u w:val="single"/>
        </w:rPr>
        <w:t>Presidency</w:t>
      </w:r>
      <w:r w:rsidRPr="00652DF8">
        <w:t xml:space="preserve"> has therefore decided to submit a questionnaire</w:t>
      </w:r>
      <w:bookmarkEnd w:id="10"/>
      <w:r w:rsidRPr="00652DF8">
        <w:t xml:space="preserve">, which was examined by the Working Party on 10 May 2006 and is set out in the Annex. </w:t>
      </w:r>
      <w:r w:rsidRPr="00652DF8">
        <w:rPr>
          <w:u w:val="single"/>
        </w:rPr>
        <w:t>The Permanent Representatives Committee</w:t>
      </w:r>
      <w:r w:rsidRPr="00652DF8">
        <w:t xml:space="preserve"> is invited to give its view on the questions proposed by the Presidency, which will be submitted to Ministers at the (Competitiveness) Council on 29 May 2006.</w:t>
      </w:r>
    </w:p>
    <w:p w:rsidR="00A874D0" w:rsidRPr="00652DF8" w:rsidRDefault="00A874D0">
      <w:pPr>
        <w:pStyle w:val="Sidfot"/>
        <w:tabs>
          <w:tab w:val="clear" w:pos="4820"/>
          <w:tab w:val="clear" w:pos="7371"/>
          <w:tab w:val="clear" w:pos="9639"/>
        </w:tabs>
        <w:spacing w:line="360" w:lineRule="auto"/>
        <w:ind w:left="567" w:hanging="567"/>
      </w:pPr>
    </w:p>
    <w:p w:rsidR="00A874D0" w:rsidRPr="00652DF8" w:rsidRDefault="00A874D0">
      <w:pPr>
        <w:pStyle w:val="Sidfot"/>
        <w:tabs>
          <w:tab w:val="clear" w:pos="4820"/>
          <w:tab w:val="clear" w:pos="7371"/>
          <w:tab w:val="clear" w:pos="9639"/>
        </w:tabs>
        <w:spacing w:line="360" w:lineRule="auto"/>
        <w:ind w:left="567" w:hanging="567"/>
      </w:pPr>
    </w:p>
    <w:p w:rsidR="00A874D0" w:rsidRPr="00652DF8" w:rsidRDefault="00A874D0">
      <w:pPr>
        <w:jc w:val="center"/>
      </w:pPr>
      <w:r w:rsidRPr="00652DF8">
        <w:t>________________________</w:t>
      </w:r>
    </w:p>
    <w:p w:rsidR="00A874D0" w:rsidRPr="00652DF8" w:rsidRDefault="00A874D0">
      <w:pPr>
        <w:pStyle w:val="Sidfot"/>
        <w:tabs>
          <w:tab w:val="clear" w:pos="4820"/>
          <w:tab w:val="clear" w:pos="7371"/>
          <w:tab w:val="clear" w:pos="9639"/>
        </w:tabs>
        <w:spacing w:line="360" w:lineRule="auto"/>
        <w:ind w:left="567" w:hanging="567"/>
        <w:sectPr w:rsidR="00000000" w:rsidRPr="00652DF8">
          <w:footerReference w:type="default" r:id="rId8"/>
          <w:endnotePr>
            <w:numFmt w:val="decimal"/>
          </w:endnotePr>
          <w:pgSz w:w="11907" w:h="16840" w:code="9"/>
          <w:pgMar w:top="1134" w:right="1134" w:bottom="1134" w:left="1134" w:header="567" w:footer="567" w:gutter="0"/>
          <w:cols w:space="720"/>
        </w:sectPr>
      </w:pPr>
    </w:p>
    <w:p w:rsidR="00A874D0" w:rsidRPr="00652DF8" w:rsidRDefault="00A874D0">
      <w:pPr>
        <w:pStyle w:val="Sidfot"/>
        <w:tabs>
          <w:tab w:val="clear" w:pos="4820"/>
          <w:tab w:val="clear" w:pos="7371"/>
          <w:tab w:val="clear" w:pos="9639"/>
        </w:tabs>
        <w:spacing w:line="360" w:lineRule="auto"/>
        <w:ind w:left="567" w:hanging="567"/>
        <w:jc w:val="right"/>
        <w:rPr>
          <w:b/>
        </w:rPr>
      </w:pPr>
      <w:r w:rsidRPr="00652DF8">
        <w:rPr>
          <w:b/>
        </w:rPr>
        <w:t>ANNEX</w:t>
      </w:r>
    </w:p>
    <w:p w:rsidR="00A874D0" w:rsidRPr="00652DF8" w:rsidRDefault="00A874D0">
      <w:pPr>
        <w:tabs>
          <w:tab w:val="left" w:pos="360"/>
        </w:tabs>
        <w:outlineLvl w:val="0"/>
        <w:rPr>
          <w:b/>
          <w:snapToGrid w:val="0"/>
          <w:color w:val="000000"/>
          <w:lang w:eastAsia="en-US"/>
        </w:rPr>
      </w:pPr>
    </w:p>
    <w:p w:rsidR="00A874D0" w:rsidRPr="00652DF8" w:rsidRDefault="00A874D0">
      <w:pPr>
        <w:tabs>
          <w:tab w:val="left" w:pos="360"/>
        </w:tabs>
        <w:outlineLvl w:val="0"/>
        <w:rPr>
          <w:b/>
          <w:snapToGrid w:val="0"/>
          <w:color w:val="000000"/>
          <w:lang w:eastAsia="en-US"/>
        </w:rPr>
      </w:pPr>
      <w:r w:rsidRPr="00652DF8">
        <w:rPr>
          <w:b/>
          <w:snapToGrid w:val="0"/>
          <w:color w:val="000000"/>
          <w:lang w:eastAsia="en-US"/>
        </w:rPr>
        <w:t>QUESTIONS FOR THE POLICY DEBATE</w:t>
      </w:r>
    </w:p>
    <w:p w:rsidR="00A874D0" w:rsidRPr="00652DF8" w:rsidRDefault="00A874D0">
      <w:pPr>
        <w:tabs>
          <w:tab w:val="left" w:pos="360"/>
        </w:tabs>
        <w:rPr>
          <w:snapToGrid w:val="0"/>
          <w:color w:val="000000"/>
          <w:lang w:eastAsia="en-US"/>
        </w:rPr>
      </w:pPr>
    </w:p>
    <w:p w:rsidR="00A874D0" w:rsidRPr="00652DF8" w:rsidRDefault="00A874D0">
      <w:pPr>
        <w:ind w:left="567" w:hanging="567"/>
        <w:outlineLvl w:val="0"/>
        <w:rPr>
          <w:snapToGrid w:val="0"/>
          <w:color w:val="000000"/>
          <w:szCs w:val="24"/>
          <w:lang w:eastAsia="en-US"/>
        </w:rPr>
      </w:pPr>
      <w:r w:rsidRPr="00652DF8">
        <w:rPr>
          <w:snapToGrid w:val="0"/>
          <w:color w:val="000000"/>
          <w:szCs w:val="24"/>
          <w:lang w:eastAsia="en-US"/>
        </w:rPr>
        <w:t>I.</w:t>
      </w:r>
      <w:r w:rsidRPr="00652DF8">
        <w:rPr>
          <w:snapToGrid w:val="0"/>
          <w:color w:val="000000"/>
          <w:szCs w:val="24"/>
          <w:lang w:eastAsia="en-US"/>
        </w:rPr>
        <w:tab/>
        <w:t>Harmonisation</w:t>
      </w:r>
    </w:p>
    <w:p w:rsidR="00A874D0" w:rsidRPr="00652DF8" w:rsidRDefault="00A874D0">
      <w:pPr>
        <w:tabs>
          <w:tab w:val="left" w:pos="360"/>
        </w:tabs>
        <w:rPr>
          <w:snapToGrid w:val="0"/>
          <w:color w:val="000000"/>
          <w:szCs w:val="24"/>
          <w:lang w:eastAsia="en-US"/>
        </w:rPr>
      </w:pP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t>The existing Consumer Credit Directive (87/102/EC) is based on minimum harmonisation.  Since its adoption, Member States have adopted measures exceeding the Directive’s provisions by differing degrees according to needs at national level.  As the relevant provisions of the Directive are mostly of a mandatory nature, these differences in national legislation constitute obstacles to the internal market.  Consequently, in September 2002 the Commission proposed a Directive with a view to achieving full harmoni</w:t>
      </w:r>
      <w:r w:rsidRPr="00652DF8">
        <w:rPr>
          <w:szCs w:val="24"/>
        </w:rPr>
        <w:t>sation.</w:t>
      </w: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r>
    </w:p>
    <w:p w:rsidR="00A874D0" w:rsidRPr="00652DF8" w:rsidRDefault="00A874D0">
      <w:pPr>
        <w:pStyle w:val="Sidfot"/>
        <w:tabs>
          <w:tab w:val="clear" w:pos="4820"/>
          <w:tab w:val="clear" w:pos="7371"/>
          <w:tab w:val="clear" w:pos="9639"/>
        </w:tabs>
        <w:spacing w:line="360" w:lineRule="auto"/>
        <w:ind w:left="567" w:hanging="567"/>
        <w:rPr>
          <w:szCs w:val="24"/>
        </w:rPr>
      </w:pPr>
      <w:r w:rsidRPr="00652DF8">
        <w:rPr>
          <w:szCs w:val="24"/>
        </w:rPr>
        <w:tab/>
        <w:t>In its first-reading Opinion of April 2004, the European Parliament preferred that this Directive should provide for a level of harmonisation that would permit stricter provisions in order to achieve optimum protection for the consumer.</w:t>
      </w:r>
    </w:p>
    <w:p w:rsidR="00A874D0" w:rsidRPr="00652DF8" w:rsidRDefault="00A874D0">
      <w:pPr>
        <w:pStyle w:val="Sidfot"/>
        <w:tabs>
          <w:tab w:val="clear" w:pos="4820"/>
          <w:tab w:val="clear" w:pos="7371"/>
          <w:tab w:val="clear" w:pos="9639"/>
        </w:tabs>
        <w:spacing w:line="360" w:lineRule="auto"/>
        <w:ind w:left="567" w:hanging="567"/>
        <w:rPr>
          <w:szCs w:val="24"/>
        </w:rPr>
      </w:pPr>
    </w:p>
    <w:p w:rsidR="00A874D0" w:rsidRPr="00652DF8" w:rsidRDefault="00A874D0">
      <w:pPr>
        <w:pStyle w:val="Sidfot"/>
        <w:tabs>
          <w:tab w:val="clear" w:pos="4820"/>
          <w:tab w:val="clear" w:pos="7371"/>
          <w:tab w:val="clear" w:pos="9639"/>
        </w:tabs>
        <w:spacing w:line="360" w:lineRule="auto"/>
        <w:ind w:left="600" w:hanging="600"/>
        <w:rPr>
          <w:szCs w:val="24"/>
        </w:rPr>
      </w:pPr>
      <w:r w:rsidRPr="00652DF8">
        <w:rPr>
          <w:szCs w:val="24"/>
        </w:rPr>
        <w:tab/>
        <w:t>The Commission based its modified proposal of October 2005 on the following considerations:</w:t>
      </w:r>
    </w:p>
    <w:p w:rsidR="00A874D0" w:rsidRPr="00652DF8" w:rsidRDefault="00A874D0">
      <w:pPr>
        <w:pStyle w:val="Sidfot"/>
        <w:tabs>
          <w:tab w:val="clear" w:pos="4820"/>
          <w:tab w:val="clear" w:pos="7371"/>
          <w:tab w:val="clear" w:pos="9639"/>
        </w:tabs>
        <w:spacing w:line="360" w:lineRule="auto"/>
        <w:ind w:left="600" w:hanging="600"/>
        <w:rPr>
          <w:szCs w:val="24"/>
        </w:rPr>
      </w:pPr>
    </w:p>
    <w:p w:rsidR="00A874D0" w:rsidRPr="00652DF8" w:rsidRDefault="00A874D0">
      <w:pPr>
        <w:pStyle w:val="Text1"/>
        <w:spacing w:before="0" w:after="0" w:line="360" w:lineRule="auto"/>
        <w:ind w:hanging="284"/>
        <w:jc w:val="left"/>
        <w:rPr>
          <w:szCs w:val="24"/>
        </w:rPr>
      </w:pPr>
      <w:r w:rsidRPr="00652DF8">
        <w:rPr>
          <w:szCs w:val="24"/>
        </w:rPr>
        <w:t>-</w:t>
      </w:r>
      <w:r w:rsidRPr="00652DF8">
        <w:rPr>
          <w:szCs w:val="24"/>
        </w:rPr>
        <w:tab/>
        <w:t>full harmonisation remains the only way to establish a genuine single market for consumer credit while at the same time guaranteeing an appropriately high level of consumer protection;</w:t>
      </w:r>
    </w:p>
    <w:p w:rsidR="00A874D0" w:rsidRPr="00652DF8" w:rsidRDefault="00A874D0">
      <w:pPr>
        <w:pStyle w:val="Text1"/>
        <w:spacing w:before="0" w:after="0" w:line="360" w:lineRule="auto"/>
        <w:ind w:hanging="284"/>
        <w:rPr>
          <w:szCs w:val="24"/>
        </w:rPr>
      </w:pPr>
    </w:p>
    <w:p w:rsidR="00A874D0" w:rsidRPr="00652DF8" w:rsidRDefault="00A874D0">
      <w:pPr>
        <w:pStyle w:val="Text1"/>
        <w:spacing w:before="0" w:after="0" w:line="360" w:lineRule="auto"/>
        <w:ind w:hanging="284"/>
        <w:jc w:val="left"/>
        <w:rPr>
          <w:szCs w:val="24"/>
        </w:rPr>
      </w:pPr>
      <w:r w:rsidRPr="00652DF8">
        <w:rPr>
          <w:szCs w:val="24"/>
        </w:rPr>
        <w:t>-</w:t>
      </w:r>
      <w:r w:rsidRPr="00652DF8">
        <w:rPr>
          <w:szCs w:val="24"/>
        </w:rPr>
        <w:tab/>
        <w:t>a certain degree of leeway in national implementation should be given in a restricted number of provisions, taking into account existing heterogeneity as regards national markets or national legislation and the principles of better regulation;</w:t>
      </w:r>
    </w:p>
    <w:p w:rsidR="00A874D0" w:rsidRPr="00652DF8" w:rsidRDefault="00A874D0">
      <w:pPr>
        <w:pStyle w:val="Text1"/>
        <w:spacing w:before="0" w:after="0" w:line="360" w:lineRule="auto"/>
        <w:ind w:hanging="284"/>
        <w:jc w:val="left"/>
        <w:rPr>
          <w:szCs w:val="24"/>
        </w:rPr>
      </w:pPr>
    </w:p>
    <w:p w:rsidR="00A874D0" w:rsidRPr="00652DF8" w:rsidRDefault="00A874D0">
      <w:pPr>
        <w:pStyle w:val="Text1"/>
        <w:spacing w:before="0" w:after="0" w:line="360" w:lineRule="auto"/>
        <w:ind w:hanging="284"/>
        <w:jc w:val="left"/>
        <w:rPr>
          <w:szCs w:val="24"/>
        </w:rPr>
      </w:pPr>
      <w:r w:rsidRPr="00652DF8">
        <w:rPr>
          <w:szCs w:val="24"/>
        </w:rPr>
        <w:br w:type="page"/>
        <w:t>-</w:t>
      </w:r>
      <w:r w:rsidRPr="00652DF8">
        <w:rPr>
          <w:szCs w:val="24"/>
        </w:rPr>
        <w:tab/>
        <w:t>mutual recognition should complement the full harmonisation approach for a limited number of issues (exhaustively enumerated in Article 21(2) of the proposal), in order to ensure that the degree of flexibility provided for national implementation within the limits of the Directive does not contribute to raising additional barriers to the single market in consumer credit.</w:t>
      </w:r>
    </w:p>
    <w:p w:rsidR="00A874D0" w:rsidRPr="00652DF8" w:rsidRDefault="00A874D0">
      <w:pPr>
        <w:pStyle w:val="Text1"/>
        <w:spacing w:before="0" w:after="0" w:line="360" w:lineRule="auto"/>
        <w:ind w:left="567"/>
        <w:jc w:val="left"/>
        <w:rPr>
          <w:szCs w:val="24"/>
        </w:rPr>
      </w:pPr>
    </w:p>
    <w:p w:rsidR="00A874D0" w:rsidRPr="00652DF8" w:rsidRDefault="00A874D0">
      <w:pPr>
        <w:pStyle w:val="Text1"/>
        <w:spacing w:before="0" w:after="0" w:line="360" w:lineRule="auto"/>
        <w:ind w:left="567"/>
        <w:jc w:val="left"/>
        <w:rPr>
          <w:szCs w:val="24"/>
        </w:rPr>
      </w:pPr>
      <w:r w:rsidRPr="00652DF8">
        <w:rPr>
          <w:szCs w:val="24"/>
        </w:rPr>
        <w:t>It should be noted that a combination of full harmonisation with mutual recognition in European Community consumer contractual law has been proposed for the first time.</w:t>
      </w:r>
    </w:p>
    <w:p w:rsidR="00A874D0" w:rsidRPr="00652DF8" w:rsidRDefault="00A874D0">
      <w:pPr>
        <w:pStyle w:val="Text1"/>
        <w:spacing w:before="0" w:after="0" w:line="360" w:lineRule="auto"/>
        <w:ind w:left="567"/>
        <w:jc w:val="left"/>
        <w:rPr>
          <w:szCs w:val="24"/>
        </w:rPr>
      </w:pPr>
    </w:p>
    <w:p w:rsidR="00A874D0" w:rsidRPr="00652DF8" w:rsidRDefault="00A874D0">
      <w:pPr>
        <w:pStyle w:val="Text1"/>
        <w:spacing w:before="0" w:after="0" w:line="360" w:lineRule="auto"/>
        <w:ind w:left="567"/>
        <w:jc w:val="left"/>
        <w:rPr>
          <w:szCs w:val="24"/>
        </w:rPr>
      </w:pPr>
      <w:r w:rsidRPr="00652DF8">
        <w:rPr>
          <w:szCs w:val="24"/>
        </w:rPr>
        <w:t xml:space="preserve">At Consumer Protection and Information Working Party level, a large majority of delegations have expressed their support for the proposed full harmonisation approach.  On the other hand, many concerns were voiced about the use of the mutual recognition clause, its impact on the level of consumer protection and the possible legal uncertainty with respect to the choice of applicable law. </w:t>
      </w:r>
    </w:p>
    <w:p w:rsidR="00A874D0" w:rsidRPr="00652DF8" w:rsidRDefault="00A874D0">
      <w:pPr>
        <w:pStyle w:val="Text1"/>
        <w:spacing w:before="0" w:after="0" w:line="360" w:lineRule="auto"/>
        <w:ind w:left="567"/>
        <w:rPr>
          <w:szCs w:val="24"/>
        </w:rPr>
      </w:pPr>
    </w:p>
    <w:p w:rsidR="00A874D0" w:rsidRPr="00652DF8" w:rsidRDefault="00A874D0">
      <w:pPr>
        <w:ind w:left="567"/>
        <w:rPr>
          <w:szCs w:val="24"/>
        </w:rPr>
      </w:pPr>
      <w:r w:rsidRPr="00652DF8">
        <w:rPr>
          <w:szCs w:val="24"/>
        </w:rPr>
        <w:t>The clause relating to the use of mutual recognition has also been examined by the Civil Law Committee in the light of the 1980 Rome Convention on the law applicable to contractual obligations.  In order to ensure coherence with international private law at European level, the Committee suggested that a possible outcome would be either the deletion of this provision/clause or the application of only those provisions of the proposed Directive that would not have an impact on consumers' contractual rights</w:t>
      </w:r>
      <w:r w:rsidRPr="00652DF8">
        <w:rPr>
          <w:rStyle w:val="Fotnotsreferens"/>
          <w:b w:val="0"/>
          <w:szCs w:val="24"/>
        </w:rPr>
        <w:footnoteReference w:id="7"/>
      </w:r>
      <w:r w:rsidRPr="00652DF8">
        <w:rPr>
          <w:szCs w:val="24"/>
        </w:rPr>
        <w:t xml:space="preserve">.  </w:t>
      </w:r>
    </w:p>
    <w:p w:rsidR="00A874D0" w:rsidRPr="00652DF8" w:rsidRDefault="00A874D0">
      <w:pPr>
        <w:ind w:left="567"/>
        <w:rPr>
          <w:szCs w:val="24"/>
        </w:rPr>
      </w:pPr>
    </w:p>
    <w:p w:rsidR="00A874D0" w:rsidRPr="00652DF8" w:rsidRDefault="00A874D0">
      <w:pPr>
        <w:pStyle w:val="Text1"/>
        <w:spacing w:before="0" w:after="0" w:line="360" w:lineRule="auto"/>
        <w:ind w:left="567"/>
        <w:jc w:val="left"/>
        <w:rPr>
          <w:szCs w:val="24"/>
        </w:rPr>
      </w:pPr>
      <w:r w:rsidRPr="00652DF8">
        <w:rPr>
          <w:szCs w:val="24"/>
        </w:rPr>
        <w:t>It should be noted that the Legal Service of the Council also gave its opinion</w:t>
      </w:r>
      <w:r w:rsidRPr="00652DF8">
        <w:rPr>
          <w:rStyle w:val="Fotnotsreferens"/>
          <w:b w:val="0"/>
          <w:szCs w:val="24"/>
        </w:rPr>
        <w:footnoteReference w:id="8"/>
      </w:r>
      <w:r w:rsidRPr="00652DF8">
        <w:rPr>
          <w:szCs w:val="24"/>
        </w:rPr>
        <w:t xml:space="preserve"> concerning the level of harmonisation and the use of mutual recognition as proposed in the Article 21of the proposal. </w:t>
      </w:r>
    </w:p>
    <w:p w:rsidR="00A874D0" w:rsidRPr="00652DF8" w:rsidRDefault="00A874D0">
      <w:pPr>
        <w:pStyle w:val="Brdtextmedindrag3"/>
        <w:ind w:left="567" w:hanging="567"/>
        <w:rPr>
          <w:szCs w:val="24"/>
        </w:rPr>
      </w:pPr>
    </w:p>
    <w:p w:rsidR="00A874D0" w:rsidRPr="00652DF8" w:rsidRDefault="00A874D0">
      <w:pPr>
        <w:pStyle w:val="Brdtextmedindrag3"/>
        <w:ind w:left="567" w:hanging="567"/>
        <w:rPr>
          <w:szCs w:val="24"/>
        </w:rPr>
      </w:pPr>
      <w:r w:rsidRPr="00652DF8">
        <w:rPr>
          <w:szCs w:val="24"/>
        </w:rPr>
        <w:tab/>
      </w:r>
    </w:p>
    <w:p w:rsidR="00A874D0" w:rsidRPr="00652DF8" w:rsidRDefault="00A874D0">
      <w:pPr>
        <w:pStyle w:val="Brdtextmedindrag3"/>
        <w:ind w:left="567" w:hanging="567"/>
        <w:rPr>
          <w:szCs w:val="24"/>
        </w:rPr>
      </w:pPr>
      <w:r w:rsidRPr="00652DF8">
        <w:rPr>
          <w:szCs w:val="24"/>
        </w:rPr>
        <w:br w:type="page"/>
      </w:r>
      <w:r w:rsidRPr="00652DF8">
        <w:rPr>
          <w:szCs w:val="24"/>
        </w:rPr>
        <w:tab/>
        <w:t>Questions:</w:t>
      </w:r>
    </w:p>
    <w:p w:rsidR="00A874D0" w:rsidRPr="00652DF8" w:rsidRDefault="00A874D0">
      <w:pPr>
        <w:pStyle w:val="Brdtextmedindrag3"/>
        <w:ind w:left="567" w:hanging="567"/>
        <w:rPr>
          <w:szCs w:val="24"/>
        </w:rPr>
      </w:pPr>
    </w:p>
    <w:p w:rsidR="00A874D0" w:rsidRPr="00652DF8" w:rsidRDefault="00A874D0">
      <w:pPr>
        <w:pStyle w:val="Brdtextmedindrag3"/>
        <w:ind w:left="1134" w:hanging="567"/>
        <w:jc w:val="left"/>
        <w:rPr>
          <w:szCs w:val="24"/>
        </w:rPr>
      </w:pPr>
      <w:r w:rsidRPr="00652DF8">
        <w:rPr>
          <w:szCs w:val="24"/>
        </w:rPr>
        <w:t>a.</w:t>
      </w:r>
      <w:r w:rsidRPr="00652DF8">
        <w:rPr>
          <w:szCs w:val="24"/>
        </w:rPr>
        <w:tab/>
      </w:r>
      <w:r w:rsidRPr="00652DF8">
        <w:rPr>
          <w:snapToGrid w:val="0"/>
          <w:color w:val="000000"/>
          <w:szCs w:val="24"/>
          <w:lang w:eastAsia="en-US"/>
        </w:rPr>
        <w:t xml:space="preserve">Do you agree with the </w:t>
      </w:r>
      <w:r w:rsidRPr="00652DF8">
        <w:rPr>
          <w:szCs w:val="24"/>
        </w:rPr>
        <w:t>full harmonisation approach, which extends only to the matters regulated in the Directive as currently proposed by the Commission?</w:t>
      </w:r>
    </w:p>
    <w:p w:rsidR="00A874D0" w:rsidRPr="00652DF8" w:rsidRDefault="00A874D0">
      <w:pPr>
        <w:ind w:left="567" w:hanging="567"/>
        <w:rPr>
          <w:b/>
          <w:snapToGrid w:val="0"/>
          <w:color w:val="000000"/>
          <w:szCs w:val="24"/>
          <w:lang w:eastAsia="en-US"/>
        </w:rPr>
      </w:pPr>
    </w:p>
    <w:p w:rsidR="00A874D0" w:rsidRPr="00652DF8" w:rsidRDefault="00A874D0">
      <w:pPr>
        <w:ind w:left="1134" w:hanging="567"/>
        <w:rPr>
          <w:b/>
          <w:szCs w:val="24"/>
        </w:rPr>
      </w:pPr>
      <w:r w:rsidRPr="00652DF8">
        <w:rPr>
          <w:b/>
          <w:snapToGrid w:val="0"/>
          <w:szCs w:val="24"/>
          <w:lang w:eastAsia="en-US"/>
        </w:rPr>
        <w:t>b.</w:t>
      </w:r>
      <w:r w:rsidRPr="00652DF8">
        <w:rPr>
          <w:snapToGrid w:val="0"/>
          <w:szCs w:val="24"/>
          <w:lang w:eastAsia="en-US"/>
        </w:rPr>
        <w:tab/>
      </w:r>
      <w:r w:rsidRPr="00652DF8">
        <w:rPr>
          <w:b/>
          <w:snapToGrid w:val="0"/>
          <w:szCs w:val="24"/>
          <w:lang w:eastAsia="en-US"/>
        </w:rPr>
        <w:t xml:space="preserve">Do you consider that the combination of the proposed level of harmonisation with the </w:t>
      </w:r>
      <w:r w:rsidRPr="00652DF8">
        <w:rPr>
          <w:b/>
          <w:szCs w:val="24"/>
        </w:rPr>
        <w:t>mutual recognition clause, as currently drafted in Article 21(2), will provide a high level of consumer protection and achieve the objectives of the single market in the area of consumer credit?</w:t>
      </w:r>
    </w:p>
    <w:p w:rsidR="00A874D0" w:rsidRPr="00652DF8" w:rsidRDefault="00A874D0">
      <w:pPr>
        <w:ind w:left="567" w:hanging="567"/>
        <w:outlineLvl w:val="0"/>
        <w:rPr>
          <w:snapToGrid w:val="0"/>
          <w:color w:val="000000"/>
          <w:szCs w:val="24"/>
          <w:lang w:eastAsia="en-US"/>
        </w:rPr>
      </w:pPr>
    </w:p>
    <w:p w:rsidR="00A874D0" w:rsidRPr="00652DF8" w:rsidRDefault="00A874D0">
      <w:pPr>
        <w:ind w:left="567" w:hanging="567"/>
        <w:outlineLvl w:val="0"/>
        <w:rPr>
          <w:snapToGrid w:val="0"/>
          <w:color w:val="000000"/>
          <w:szCs w:val="24"/>
          <w:lang w:eastAsia="en-US"/>
        </w:rPr>
      </w:pPr>
      <w:r w:rsidRPr="00652DF8">
        <w:rPr>
          <w:snapToGrid w:val="0"/>
          <w:color w:val="000000"/>
          <w:szCs w:val="24"/>
          <w:lang w:eastAsia="en-US"/>
        </w:rPr>
        <w:t>II.</w:t>
      </w:r>
      <w:r w:rsidRPr="00652DF8">
        <w:rPr>
          <w:snapToGrid w:val="0"/>
          <w:color w:val="000000"/>
          <w:szCs w:val="24"/>
          <w:lang w:eastAsia="en-US"/>
        </w:rPr>
        <w:tab/>
        <w:t>Early repayment</w:t>
      </w:r>
    </w:p>
    <w:p w:rsidR="00A874D0" w:rsidRPr="00652DF8" w:rsidRDefault="00A874D0">
      <w:pPr>
        <w:ind w:left="993" w:hanging="426"/>
        <w:rPr>
          <w:snapToGrid w:val="0"/>
          <w:color w:val="000000"/>
          <w:szCs w:val="24"/>
          <w:lang w:eastAsia="en-US"/>
        </w:rPr>
      </w:pPr>
    </w:p>
    <w:p w:rsidR="00A874D0" w:rsidRPr="00652DF8" w:rsidRDefault="00A874D0">
      <w:pPr>
        <w:ind w:left="567"/>
        <w:rPr>
          <w:snapToGrid w:val="0"/>
          <w:color w:val="000000"/>
          <w:szCs w:val="24"/>
          <w:lang w:eastAsia="en-US"/>
        </w:rPr>
      </w:pPr>
      <w:r w:rsidRPr="00652DF8">
        <w:rPr>
          <w:snapToGrid w:val="0"/>
          <w:color w:val="000000"/>
          <w:szCs w:val="24"/>
          <w:lang w:eastAsia="en-US"/>
        </w:rPr>
        <w:t>The provisions relating to early repayment of credit deserve careful consideration as the existing mechanisms in Member States differ significantly: specific obligations for creditors exist in some Member States but not in others.  The Commission proposal foresees a fair and objective indemnity for early repayment, leaving Member States some leeway for their implementation.  Delegations have therefore expressed diverging views on the proposed provisions of Article 15 of the Directive, namely regarding the r</w:t>
      </w:r>
      <w:r w:rsidRPr="00652DF8">
        <w:rPr>
          <w:snapToGrid w:val="0"/>
          <w:color w:val="000000"/>
          <w:szCs w:val="24"/>
          <w:lang w:eastAsia="en-US"/>
        </w:rPr>
        <w:t xml:space="preserve">ight of the creditor to claim a fair and objective indemnity for early repayment. </w:t>
      </w:r>
    </w:p>
    <w:p w:rsidR="00A874D0" w:rsidRPr="00652DF8" w:rsidRDefault="00A874D0">
      <w:pPr>
        <w:ind w:left="567" w:hanging="567"/>
        <w:rPr>
          <w:snapToGrid w:val="0"/>
          <w:color w:val="000000"/>
          <w:szCs w:val="24"/>
          <w:lang w:eastAsia="en-US"/>
        </w:rPr>
      </w:pPr>
    </w:p>
    <w:p w:rsidR="00A874D0" w:rsidRPr="00652DF8" w:rsidRDefault="00A874D0">
      <w:pPr>
        <w:ind w:left="567" w:hanging="567"/>
        <w:rPr>
          <w:b/>
          <w:szCs w:val="24"/>
        </w:rPr>
      </w:pPr>
      <w:r w:rsidRPr="00652DF8">
        <w:rPr>
          <w:b/>
          <w:szCs w:val="24"/>
        </w:rPr>
        <w:tab/>
        <w:t>Questions:</w:t>
      </w:r>
    </w:p>
    <w:p w:rsidR="00A874D0" w:rsidRPr="00652DF8" w:rsidRDefault="00A874D0">
      <w:pPr>
        <w:ind w:left="567" w:hanging="567"/>
        <w:rPr>
          <w:b/>
          <w:szCs w:val="24"/>
        </w:rPr>
      </w:pPr>
    </w:p>
    <w:p w:rsidR="00A874D0" w:rsidRPr="00652DF8" w:rsidRDefault="00A874D0">
      <w:pPr>
        <w:ind w:left="1134" w:hanging="567"/>
        <w:rPr>
          <w:b/>
          <w:szCs w:val="24"/>
        </w:rPr>
      </w:pPr>
      <w:r w:rsidRPr="00652DF8">
        <w:rPr>
          <w:b/>
          <w:szCs w:val="24"/>
        </w:rPr>
        <w:t>a.</w:t>
      </w:r>
      <w:r w:rsidRPr="00652DF8">
        <w:rPr>
          <w:b/>
          <w:szCs w:val="24"/>
        </w:rPr>
        <w:tab/>
        <w:t>Given that the Directive grants the consumer the right to discharge fully or partially his obligations under a credit agreement at any time, do you agree that the exercise of this right shall be subject to the payment of an indemnity to the creditor?</w:t>
      </w:r>
    </w:p>
    <w:p w:rsidR="00A874D0" w:rsidRPr="00652DF8" w:rsidRDefault="00A874D0">
      <w:pPr>
        <w:ind w:left="1134" w:hanging="567"/>
        <w:rPr>
          <w:b/>
          <w:szCs w:val="24"/>
        </w:rPr>
      </w:pPr>
    </w:p>
    <w:p w:rsidR="00A874D0" w:rsidRPr="00652DF8" w:rsidRDefault="00A874D0">
      <w:pPr>
        <w:ind w:left="1134" w:hanging="567"/>
        <w:rPr>
          <w:b/>
          <w:szCs w:val="24"/>
        </w:rPr>
      </w:pPr>
      <w:r w:rsidRPr="00652DF8">
        <w:rPr>
          <w:b/>
          <w:szCs w:val="24"/>
        </w:rPr>
        <w:t>b.</w:t>
      </w:r>
      <w:r w:rsidRPr="00652DF8">
        <w:rPr>
          <w:b/>
          <w:szCs w:val="24"/>
        </w:rPr>
        <w:tab/>
        <w:t xml:space="preserve">If yes, do you agree that this indemnity shall only apply in case of credits the amount of which exceeds a certain threshold or </w:t>
      </w:r>
      <w:r w:rsidRPr="00652DF8">
        <w:rPr>
          <w:b/>
          <w:snapToGrid w:val="0"/>
          <w:color w:val="000000"/>
          <w:szCs w:val="24"/>
          <w:lang w:eastAsia="en-US"/>
        </w:rPr>
        <w:t>where the early repayment falls into a period for which a fixed borrowing rate is agreed and which exceeds one year?</w:t>
      </w:r>
    </w:p>
    <w:p w:rsidR="00A874D0" w:rsidRPr="00652DF8" w:rsidRDefault="00A874D0">
      <w:pPr>
        <w:ind w:left="567" w:hanging="567"/>
        <w:rPr>
          <w:snapToGrid w:val="0"/>
          <w:color w:val="000000"/>
          <w:szCs w:val="24"/>
          <w:lang w:eastAsia="en-US"/>
        </w:rPr>
      </w:pPr>
    </w:p>
    <w:p w:rsidR="00A874D0" w:rsidRPr="00652DF8" w:rsidRDefault="00A874D0">
      <w:pPr>
        <w:ind w:left="567" w:hanging="567"/>
        <w:rPr>
          <w:snapToGrid w:val="0"/>
          <w:color w:val="000000"/>
          <w:szCs w:val="24"/>
          <w:lang w:eastAsia="en-US"/>
        </w:rPr>
      </w:pPr>
      <w:r w:rsidRPr="00652DF8">
        <w:rPr>
          <w:snapToGrid w:val="0"/>
          <w:color w:val="000000"/>
          <w:szCs w:val="24"/>
          <w:lang w:eastAsia="en-US"/>
        </w:rPr>
        <w:br w:type="page"/>
      </w:r>
      <w:bookmarkStart w:id="19" w:name="ControlPages"/>
      <w:bookmarkEnd w:id="19"/>
      <w:r w:rsidRPr="00652DF8">
        <w:rPr>
          <w:snapToGrid w:val="0"/>
          <w:color w:val="000000"/>
          <w:szCs w:val="24"/>
          <w:lang w:eastAsia="en-US"/>
        </w:rPr>
        <w:t>III.</w:t>
      </w:r>
      <w:r w:rsidRPr="00652DF8">
        <w:rPr>
          <w:snapToGrid w:val="0"/>
          <w:color w:val="000000"/>
          <w:szCs w:val="24"/>
          <w:lang w:eastAsia="en-US"/>
        </w:rPr>
        <w:tab/>
        <w:t xml:space="preserve">Cross-border comparability of consumer credit agreements </w:t>
      </w:r>
    </w:p>
    <w:p w:rsidR="00A874D0" w:rsidRPr="00652DF8" w:rsidRDefault="00A874D0">
      <w:pPr>
        <w:ind w:left="567"/>
        <w:rPr>
          <w:snapToGrid w:val="0"/>
          <w:color w:val="000000"/>
          <w:szCs w:val="24"/>
          <w:lang w:eastAsia="en-US"/>
        </w:rPr>
      </w:pPr>
    </w:p>
    <w:p w:rsidR="00A874D0" w:rsidRPr="00652DF8" w:rsidRDefault="00A874D0">
      <w:pPr>
        <w:ind w:left="567"/>
        <w:rPr>
          <w:snapToGrid w:val="0"/>
          <w:color w:val="000000"/>
          <w:szCs w:val="24"/>
          <w:lang w:eastAsia="en-US"/>
        </w:rPr>
      </w:pPr>
      <w:r w:rsidRPr="00652DF8">
        <w:rPr>
          <w:snapToGrid w:val="0"/>
          <w:color w:val="000000"/>
          <w:szCs w:val="24"/>
          <w:lang w:eastAsia="en-US"/>
        </w:rPr>
        <w:t>Credit agreements are concluded under rules governing the contract which may differ significantly from one Member State to another.  This may imply that the costs for a credit agreement of the same amount and subject to the same conditions may differ among Member States.</w:t>
      </w:r>
    </w:p>
    <w:p w:rsidR="00A874D0" w:rsidRPr="00652DF8" w:rsidRDefault="00A874D0">
      <w:pPr>
        <w:ind w:left="567"/>
        <w:rPr>
          <w:snapToGrid w:val="0"/>
          <w:color w:val="000000"/>
          <w:szCs w:val="24"/>
          <w:lang w:eastAsia="en-US"/>
        </w:rPr>
      </w:pPr>
    </w:p>
    <w:p w:rsidR="00A874D0" w:rsidRPr="00652DF8" w:rsidRDefault="00A874D0">
      <w:pPr>
        <w:ind w:left="567"/>
        <w:rPr>
          <w:snapToGrid w:val="0"/>
          <w:color w:val="000000"/>
          <w:szCs w:val="24"/>
          <w:lang w:eastAsia="en-US"/>
        </w:rPr>
      </w:pPr>
      <w:r w:rsidRPr="00652DF8">
        <w:rPr>
          <w:snapToGrid w:val="0"/>
          <w:color w:val="000000"/>
          <w:szCs w:val="24"/>
          <w:lang w:eastAsia="en-US"/>
        </w:rPr>
        <w:t>With a view to allowing the consumer to contract consumer credit agreements in a Member State other than the one where he resides, it is necessary to ensure the full comparability of the costs of such contracts.  In Presidency</w:t>
      </w:r>
      <w:r w:rsidRPr="00652DF8">
        <w:rPr>
          <w:snapToGrid w:val="0"/>
          <w:color w:val="000000"/>
          <w:szCs w:val="24"/>
          <w:lang w:eastAsia="en-US"/>
        </w:rPr>
        <w:t>'</w:t>
      </w:r>
      <w:r w:rsidRPr="00652DF8">
        <w:rPr>
          <w:snapToGrid w:val="0"/>
          <w:color w:val="000000"/>
          <w:szCs w:val="24"/>
          <w:lang w:eastAsia="en-US"/>
        </w:rPr>
        <w:t xml:space="preserve">s view, this could  be achieved through an </w:t>
      </w:r>
      <w:r w:rsidRPr="00652DF8">
        <w:rPr>
          <w:szCs w:val="24"/>
        </w:rPr>
        <w:t>Annual Percentage Rate</w:t>
      </w:r>
      <w:r w:rsidRPr="00652DF8">
        <w:rPr>
          <w:b/>
          <w:szCs w:val="24"/>
        </w:rPr>
        <w:t xml:space="preserve"> (</w:t>
      </w:r>
      <w:r w:rsidRPr="00652DF8">
        <w:rPr>
          <w:snapToGrid w:val="0"/>
          <w:color w:val="000000"/>
          <w:szCs w:val="24"/>
          <w:lang w:eastAsia="en-US"/>
        </w:rPr>
        <w:t xml:space="preserve">APR), which would be calculated in the same way in all Member States on the basis of all relevant costs, including costs for insurance to secure the amount of credit as well as taxes and notary costs.  Such calculation is not comparable now as the constituent parts of the APR are not identical. </w:t>
      </w:r>
    </w:p>
    <w:p w:rsidR="00A874D0" w:rsidRPr="00652DF8" w:rsidRDefault="00A874D0">
      <w:pPr>
        <w:tabs>
          <w:tab w:val="left" w:pos="360"/>
        </w:tabs>
        <w:rPr>
          <w:snapToGrid w:val="0"/>
          <w:color w:val="000000"/>
          <w:szCs w:val="24"/>
          <w:lang w:eastAsia="en-US"/>
        </w:rPr>
      </w:pPr>
    </w:p>
    <w:p w:rsidR="00A874D0" w:rsidRPr="00652DF8" w:rsidRDefault="00A874D0">
      <w:pPr>
        <w:ind w:left="567" w:hanging="567"/>
        <w:rPr>
          <w:b/>
          <w:szCs w:val="24"/>
        </w:rPr>
      </w:pPr>
      <w:r w:rsidRPr="00652DF8">
        <w:rPr>
          <w:b/>
          <w:szCs w:val="24"/>
        </w:rPr>
        <w:tab/>
        <w:t>Questions:</w:t>
      </w:r>
    </w:p>
    <w:p w:rsidR="00A874D0" w:rsidRPr="00652DF8" w:rsidRDefault="00A874D0">
      <w:pPr>
        <w:ind w:left="567" w:hanging="567"/>
        <w:rPr>
          <w:b/>
          <w:szCs w:val="24"/>
        </w:rPr>
      </w:pPr>
    </w:p>
    <w:p w:rsidR="00A874D0" w:rsidRPr="00652DF8" w:rsidRDefault="00A874D0">
      <w:pPr>
        <w:numPr>
          <w:ilvl w:val="0"/>
          <w:numId w:val="163"/>
        </w:numPr>
        <w:tabs>
          <w:tab w:val="clear" w:pos="747"/>
          <w:tab w:val="left" w:pos="567"/>
          <w:tab w:val="num" w:pos="1134"/>
        </w:tabs>
        <w:ind w:left="1134" w:hanging="425"/>
        <w:rPr>
          <w:b/>
          <w:szCs w:val="24"/>
        </w:rPr>
      </w:pPr>
      <w:r w:rsidRPr="00652DF8">
        <w:rPr>
          <w:b/>
          <w:szCs w:val="24"/>
        </w:rPr>
        <w:t>Do you agree that the APR is the appropriate instrument for comparing credit offers?</w:t>
      </w:r>
    </w:p>
    <w:p w:rsidR="00A874D0" w:rsidRPr="00652DF8" w:rsidRDefault="00A874D0">
      <w:pPr>
        <w:tabs>
          <w:tab w:val="num" w:pos="1134"/>
        </w:tabs>
        <w:ind w:left="567" w:hanging="425"/>
        <w:rPr>
          <w:b/>
          <w:szCs w:val="24"/>
        </w:rPr>
      </w:pPr>
    </w:p>
    <w:p w:rsidR="00A874D0" w:rsidRPr="00652DF8" w:rsidRDefault="00A874D0">
      <w:pPr>
        <w:numPr>
          <w:ilvl w:val="0"/>
          <w:numId w:val="163"/>
        </w:numPr>
        <w:tabs>
          <w:tab w:val="clear" w:pos="747"/>
          <w:tab w:val="num" w:pos="1134"/>
        </w:tabs>
        <w:ind w:left="1134" w:hanging="425"/>
        <w:rPr>
          <w:b/>
          <w:szCs w:val="24"/>
        </w:rPr>
      </w:pPr>
      <w:r w:rsidRPr="00652DF8">
        <w:rPr>
          <w:b/>
          <w:szCs w:val="24"/>
        </w:rPr>
        <w:t xml:space="preserve">In order to allow full cross-border comparability should the APR include all costs to be paid by the consumer or only costs caused by the creditor as currently proposed by the Commission? </w:t>
      </w:r>
    </w:p>
    <w:p w:rsidR="00A874D0" w:rsidRPr="00652DF8" w:rsidRDefault="00A874D0">
      <w:pPr>
        <w:ind w:left="567"/>
        <w:rPr>
          <w:b/>
          <w:szCs w:val="24"/>
        </w:rPr>
      </w:pPr>
    </w:p>
    <w:p w:rsidR="00A874D0" w:rsidRPr="00652DF8" w:rsidRDefault="00A874D0">
      <w:pPr>
        <w:pStyle w:val="Sidfot"/>
        <w:tabs>
          <w:tab w:val="clear" w:pos="4820"/>
          <w:tab w:val="clear" w:pos="7371"/>
          <w:tab w:val="clear" w:pos="9639"/>
        </w:tabs>
        <w:spacing w:line="360" w:lineRule="auto"/>
        <w:ind w:left="567" w:hanging="567"/>
      </w:pPr>
    </w:p>
    <w:p w:rsidR="00A874D0" w:rsidRPr="00652DF8" w:rsidRDefault="00A874D0">
      <w:pPr>
        <w:jc w:val="center"/>
      </w:pPr>
      <w:r w:rsidRPr="00652DF8">
        <w:t>________________________</w:t>
      </w:r>
    </w:p>
    <w:sectPr w:rsidR="00A874D0" w:rsidRPr="00652DF8">
      <w:footerReference w:type="default" r:id="rId9"/>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4D0" w:rsidRPr="00652DF8" w:rsidRDefault="00A874D0">
      <w:r w:rsidRPr="00652DF8">
        <w:separator/>
      </w:r>
    </w:p>
  </w:endnote>
  <w:endnote w:type="continuationSeparator" w:id="0">
    <w:p w:rsidR="00A874D0" w:rsidRPr="00652DF8" w:rsidRDefault="00A874D0">
      <w:r w:rsidRPr="00652DF8">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4D0" w:rsidRPr="00652DF8" w:rsidRDefault="00A874D0">
    <w:pPr>
      <w:pStyle w:val="Sidfot"/>
      <w:pBdr>
        <w:bottom w:val="single" w:sz="4" w:space="1" w:color="auto"/>
      </w:pBdr>
      <w:spacing w:after="60"/>
    </w:pPr>
  </w:p>
  <w:p w:rsidR="00A874D0" w:rsidRPr="00652DF8" w:rsidRDefault="00A874D0">
    <w:pPr>
      <w:pStyle w:val="Sidfot"/>
    </w:pPr>
    <w:bookmarkStart w:id="13" w:name="CoteFooter"/>
    <w:bookmarkEnd w:id="13"/>
    <w:r w:rsidRPr="00652DF8">
      <w:t>8827/06</w:t>
    </w:r>
    <w:r w:rsidRPr="00652DF8">
      <w:tab/>
    </w:r>
    <w:bookmarkStart w:id="14" w:name="SuplCote"/>
    <w:bookmarkEnd w:id="14"/>
    <w:r w:rsidRPr="00652DF8">
      <w:tab/>
    </w:r>
    <w:bookmarkStart w:id="15" w:name="Init"/>
    <w:bookmarkEnd w:id="15"/>
    <w:r w:rsidRPr="00652DF8">
      <w:t>LL/ar</w:t>
    </w:r>
    <w:r w:rsidRPr="00652DF8">
      <w:tab/>
    </w:r>
    <w:r w:rsidRPr="00652DF8">
      <w:rPr>
        <w:rStyle w:val="Sidnummer"/>
      </w:rPr>
      <w:fldChar w:fldCharType="begin" w:fldLock="1"/>
    </w:r>
    <w:r w:rsidRPr="00652DF8">
      <w:rPr>
        <w:rStyle w:val="Sidnummer"/>
      </w:rPr>
      <w:instrText xml:space="preserve"> PAGE </w:instrText>
    </w:r>
    <w:r w:rsidRPr="00652DF8">
      <w:rPr>
        <w:rStyle w:val="Sidnummer"/>
      </w:rPr>
      <w:fldChar w:fldCharType="separate"/>
    </w:r>
    <w:r w:rsidRPr="00652DF8">
      <w:rPr>
        <w:rStyle w:val="Sidnummer"/>
      </w:rPr>
      <w:t>1</w:t>
    </w:r>
    <w:r w:rsidRPr="00652DF8">
      <w:rPr>
        <w:rStyle w:val="Sidnummer"/>
      </w:rPr>
      <w:fldChar w:fldCharType="end"/>
    </w:r>
  </w:p>
  <w:p w:rsidR="00A874D0" w:rsidRPr="00652DF8" w:rsidRDefault="00A874D0">
    <w:pPr>
      <w:pStyle w:val="Sidfot"/>
      <w:tabs>
        <w:tab w:val="clear" w:pos="7371"/>
      </w:tabs>
      <w:spacing w:line="280" w:lineRule="exact"/>
    </w:pPr>
    <w:r w:rsidRPr="00652DF8">
      <w:tab/>
    </w:r>
    <w:bookmarkStart w:id="16" w:name="DG"/>
    <w:bookmarkEnd w:id="16"/>
    <w:r w:rsidRPr="00652DF8">
      <w:t>DG I</w:t>
    </w:r>
    <w:r w:rsidRPr="00652DF8">
      <w:tab/>
    </w:r>
    <w:bookmarkStart w:id="17" w:name="FooterCoteSec"/>
    <w:r w:rsidRPr="00652DF8">
      <w:rPr>
        <w:b/>
        <w:position w:val="-4"/>
        <w:sz w:val="36"/>
      </w:rPr>
      <w:t xml:space="preserve"> </w:t>
    </w:r>
    <w:bookmarkEnd w:id="17"/>
    <w:r w:rsidRPr="00652DF8">
      <w:rPr>
        <w:b/>
        <w:position w:val="-4"/>
        <w:sz w:val="36"/>
      </w:rPr>
      <w:t>LIMITE</w:t>
    </w:r>
    <w:r w:rsidRPr="00652DF8">
      <w:rPr>
        <w:b/>
        <w:position w:val="-4"/>
        <w:sz w:val="36"/>
      </w:rPr>
      <w:t> </w:t>
    </w:r>
    <w:bookmarkStart w:id="18" w:name="Langue"/>
    <w:r w:rsidRPr="00652DF8">
      <w:rPr>
        <w:b/>
        <w:position w:val="-4"/>
        <w:sz w:val="36"/>
      </w:rPr>
      <w:t>EN</w:t>
    </w:r>
    <w:bookmarkEnd w:id="1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4D0" w:rsidRPr="00652DF8" w:rsidRDefault="00A874D0">
    <w:pPr>
      <w:pStyle w:val="Sidfot"/>
      <w:pBdr>
        <w:bottom w:val="single" w:sz="4" w:space="1" w:color="auto"/>
      </w:pBdr>
      <w:spacing w:after="60"/>
    </w:pPr>
  </w:p>
  <w:p w:rsidR="00A874D0" w:rsidRPr="00652DF8" w:rsidRDefault="00A874D0">
    <w:pPr>
      <w:pStyle w:val="Sidfot"/>
    </w:pPr>
    <w:r w:rsidRPr="00652DF8">
      <w:t>8827/06</w:t>
    </w:r>
    <w:r w:rsidRPr="00652DF8">
      <w:tab/>
    </w:r>
    <w:r w:rsidRPr="00652DF8">
      <w:tab/>
      <w:t>LL/ar</w:t>
    </w:r>
    <w:r w:rsidRPr="00652DF8">
      <w:tab/>
    </w:r>
    <w:r w:rsidRPr="00652DF8">
      <w:rPr>
        <w:rStyle w:val="Sidnummer"/>
      </w:rPr>
      <w:fldChar w:fldCharType="begin" w:fldLock="1"/>
    </w:r>
    <w:r w:rsidRPr="00652DF8">
      <w:rPr>
        <w:rStyle w:val="Sidnummer"/>
      </w:rPr>
      <w:instrText xml:space="preserve"> PAGE </w:instrText>
    </w:r>
    <w:r w:rsidRPr="00652DF8">
      <w:rPr>
        <w:rStyle w:val="Sidnummer"/>
      </w:rPr>
      <w:fldChar w:fldCharType="separate"/>
    </w:r>
    <w:r w:rsidRPr="00652DF8">
      <w:rPr>
        <w:rStyle w:val="Sidnummer"/>
      </w:rPr>
      <w:t>7</w:t>
    </w:r>
    <w:r w:rsidRPr="00652DF8">
      <w:rPr>
        <w:rStyle w:val="Sidnummer"/>
      </w:rPr>
      <w:fldChar w:fldCharType="end"/>
    </w:r>
  </w:p>
  <w:p w:rsidR="00A874D0" w:rsidRPr="00652DF8" w:rsidRDefault="00A874D0">
    <w:pPr>
      <w:pStyle w:val="Sidfot"/>
      <w:tabs>
        <w:tab w:val="clear" w:pos="7371"/>
      </w:tabs>
      <w:spacing w:line="280" w:lineRule="exact"/>
    </w:pPr>
    <w:r w:rsidRPr="00652DF8">
      <w:t>ANNEX</w:t>
    </w:r>
    <w:r w:rsidRPr="00652DF8">
      <w:tab/>
      <w:t>DG I</w:t>
    </w:r>
    <w:r w:rsidRPr="00652DF8">
      <w:tab/>
    </w:r>
    <w:r w:rsidRPr="00652DF8">
      <w:rPr>
        <w:b/>
        <w:position w:val="-4"/>
        <w:sz w:val="36"/>
      </w:rPr>
      <w:t xml:space="preserve"> LIMITE</w:t>
    </w:r>
    <w:r w:rsidRPr="00652DF8">
      <w:rPr>
        <w:b/>
        <w:position w:val="-4"/>
        <w:sz w:val="36"/>
      </w:rPr>
      <w:t> </w:t>
    </w:r>
    <w:r w:rsidRPr="00652DF8">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4D0" w:rsidRPr="00652DF8" w:rsidRDefault="00A874D0">
      <w:pPr>
        <w:pStyle w:val="Fotnotstext"/>
      </w:pPr>
      <w:r w:rsidRPr="00652DF8">
        <w:separator/>
      </w:r>
    </w:p>
  </w:footnote>
  <w:footnote w:type="continuationSeparator" w:id="0">
    <w:p w:rsidR="00A874D0" w:rsidRPr="00652DF8" w:rsidRDefault="00A874D0">
      <w:pPr>
        <w:pStyle w:val="Fotnotstext"/>
      </w:pPr>
      <w:r w:rsidRPr="00652DF8">
        <w:separator/>
      </w:r>
    </w:p>
  </w:footnote>
  <w:footnote w:id="1">
    <w:p w:rsidR="00A874D0" w:rsidRPr="00652DF8" w:rsidRDefault="00A874D0">
      <w:pPr>
        <w:pStyle w:val="Fotnotstext"/>
        <w:rPr>
          <w:b/>
        </w:rPr>
      </w:pPr>
      <w:r w:rsidRPr="00652DF8">
        <w:rPr>
          <w:rStyle w:val="Fotnotsreferens"/>
          <w:b w:val="0"/>
        </w:rPr>
        <w:footnoteRef/>
      </w:r>
      <w:r w:rsidRPr="00652DF8">
        <w:rPr>
          <w:b/>
        </w:rPr>
        <w:tab/>
      </w:r>
      <w:r w:rsidRPr="00652DF8">
        <w:t>OJ C 331 E, 31.12.2002, p. 200.</w:t>
      </w:r>
    </w:p>
  </w:footnote>
  <w:footnote w:id="2">
    <w:p w:rsidR="00A874D0" w:rsidRPr="00652DF8" w:rsidRDefault="00A874D0">
      <w:pPr>
        <w:pStyle w:val="Fotnotstext"/>
        <w:rPr>
          <w:b/>
        </w:rPr>
      </w:pPr>
      <w:r w:rsidRPr="00652DF8">
        <w:rPr>
          <w:rStyle w:val="Fotnotsreferens"/>
          <w:b w:val="0"/>
        </w:rPr>
        <w:footnoteRef/>
      </w:r>
      <w:r w:rsidRPr="00652DF8">
        <w:rPr>
          <w:b/>
        </w:rPr>
        <w:t xml:space="preserve"> </w:t>
      </w:r>
      <w:r w:rsidRPr="00652DF8">
        <w:rPr>
          <w:b/>
        </w:rPr>
        <w:tab/>
      </w:r>
      <w:r w:rsidRPr="00652DF8">
        <w:t>10912/03</w:t>
      </w:r>
    </w:p>
  </w:footnote>
  <w:footnote w:id="3">
    <w:p w:rsidR="00A874D0" w:rsidRPr="00652DF8" w:rsidRDefault="00A874D0">
      <w:pPr>
        <w:pStyle w:val="Fotnotstext"/>
        <w:rPr>
          <w:b/>
        </w:rPr>
      </w:pPr>
      <w:r w:rsidRPr="00652DF8">
        <w:rPr>
          <w:rStyle w:val="Fotnotsreferens"/>
          <w:b w:val="0"/>
        </w:rPr>
        <w:footnoteRef/>
      </w:r>
      <w:r w:rsidRPr="00652DF8">
        <w:rPr>
          <w:b/>
        </w:rPr>
        <w:t xml:space="preserve"> </w:t>
      </w:r>
      <w:r w:rsidRPr="00652DF8">
        <w:rPr>
          <w:b/>
        </w:rPr>
        <w:tab/>
      </w:r>
      <w:r w:rsidRPr="00652DF8">
        <w:t>OJ C 234, 30.9.2003, p. 1.</w:t>
      </w:r>
    </w:p>
  </w:footnote>
  <w:footnote w:id="4">
    <w:p w:rsidR="00A874D0" w:rsidRPr="00652DF8" w:rsidRDefault="00A874D0">
      <w:pPr>
        <w:pStyle w:val="Fotnotstext"/>
        <w:rPr>
          <w:b/>
        </w:rPr>
      </w:pPr>
      <w:r w:rsidRPr="00652DF8">
        <w:rPr>
          <w:rStyle w:val="Fotnotsreferens"/>
          <w:b w:val="0"/>
        </w:rPr>
        <w:footnoteRef/>
      </w:r>
      <w:r w:rsidRPr="00652DF8">
        <w:rPr>
          <w:b/>
        </w:rPr>
        <w:t xml:space="preserve"> </w:t>
      </w:r>
      <w:r w:rsidRPr="00652DF8">
        <w:rPr>
          <w:b/>
        </w:rPr>
        <w:tab/>
      </w:r>
      <w:r w:rsidRPr="00652DF8">
        <w:t>8493/04</w:t>
      </w:r>
    </w:p>
  </w:footnote>
  <w:footnote w:id="5">
    <w:p w:rsidR="00A874D0" w:rsidRPr="00652DF8" w:rsidRDefault="00A874D0">
      <w:pPr>
        <w:pStyle w:val="Fotnotstext"/>
        <w:rPr>
          <w:b/>
        </w:rPr>
      </w:pPr>
      <w:r w:rsidRPr="00652DF8">
        <w:rPr>
          <w:rStyle w:val="Fotnotsreferens"/>
          <w:b w:val="0"/>
        </w:rPr>
        <w:footnoteRef/>
      </w:r>
      <w:r w:rsidRPr="00652DF8">
        <w:rPr>
          <w:b/>
        </w:rPr>
        <w:tab/>
      </w:r>
      <w:r w:rsidRPr="00652DF8">
        <w:t>14246/04</w:t>
      </w:r>
      <w:r w:rsidRPr="00652DF8">
        <w:tab/>
      </w:r>
    </w:p>
  </w:footnote>
  <w:footnote w:id="6">
    <w:p w:rsidR="00A874D0" w:rsidRPr="00652DF8" w:rsidRDefault="00A874D0">
      <w:pPr>
        <w:pStyle w:val="Fotnotstext"/>
      </w:pPr>
      <w:r w:rsidRPr="00652DF8">
        <w:rPr>
          <w:rStyle w:val="Fotnotsreferens"/>
          <w:b w:val="0"/>
        </w:rPr>
        <w:footnoteRef/>
      </w:r>
      <w:r w:rsidRPr="00652DF8">
        <w:rPr>
          <w:b/>
        </w:rPr>
        <w:tab/>
      </w:r>
      <w:r w:rsidRPr="00652DF8">
        <w:t>13193/05</w:t>
      </w:r>
    </w:p>
  </w:footnote>
  <w:footnote w:id="7">
    <w:p w:rsidR="00A874D0" w:rsidRPr="00652DF8" w:rsidRDefault="00A874D0">
      <w:pPr>
        <w:pStyle w:val="Fotnotstext"/>
      </w:pPr>
      <w:r w:rsidRPr="00652DF8">
        <w:rPr>
          <w:rStyle w:val="Fotnotsreferens"/>
          <w:b w:val="0"/>
        </w:rPr>
        <w:footnoteRef/>
      </w:r>
      <w:r w:rsidRPr="00652DF8">
        <w:tab/>
      </w:r>
      <w:r w:rsidRPr="00652DF8">
        <w:rPr>
          <w:szCs w:val="24"/>
        </w:rPr>
        <w:t>Two delegations stated that another possible outcome would be the acceptance</w:t>
      </w:r>
      <w:r w:rsidRPr="00652DF8">
        <w:rPr>
          <w:szCs w:val="24"/>
        </w:rPr>
        <w:t xml:space="preserve"> of such a provision on the basis that there is sound internal market justification for it</w:t>
      </w:r>
      <w:r w:rsidRPr="00652DF8">
        <w:t xml:space="preserve"> </w:t>
      </w:r>
      <w:r w:rsidRPr="00652DF8">
        <w:t>(</w:t>
      </w:r>
      <w:r w:rsidRPr="00652DF8">
        <w:t>see doc. 8299/06)</w:t>
      </w:r>
    </w:p>
    <w:p w:rsidR="00A874D0" w:rsidRPr="00652DF8" w:rsidRDefault="00A874D0">
      <w:pPr>
        <w:pStyle w:val="Fotnotstext"/>
      </w:pPr>
    </w:p>
  </w:footnote>
  <w:footnote w:id="8">
    <w:p w:rsidR="00A874D0" w:rsidRPr="00652DF8" w:rsidRDefault="00A874D0">
      <w:pPr>
        <w:pStyle w:val="Fotnotstext"/>
      </w:pPr>
      <w:r w:rsidRPr="00652DF8">
        <w:rPr>
          <w:rStyle w:val="Fotnotsreferens"/>
          <w:b w:val="0"/>
        </w:rPr>
        <w:footnoteRef/>
      </w:r>
      <w:r w:rsidRPr="00652DF8">
        <w:rPr>
          <w:b/>
        </w:rPr>
        <w:t xml:space="preserve"> </w:t>
      </w:r>
      <w:r w:rsidRPr="00652DF8">
        <w:tab/>
        <w:t>5778/06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23A7D46"/>
    <w:multiLevelType w:val="hybridMultilevel"/>
    <w:tmpl w:val="970A043E"/>
    <w:lvl w:ilvl="0" w:tplc="93B65530">
      <w:start w:val="1"/>
      <w:numFmt w:val="lowerLetter"/>
      <w:lvlText w:val="%1."/>
      <w:lvlJc w:val="right"/>
      <w:pPr>
        <w:tabs>
          <w:tab w:val="num" w:pos="747"/>
        </w:tabs>
        <w:ind w:left="747" w:hanging="180"/>
      </w:pPr>
      <w:rPr>
        <w:rFonts w:hint="default"/>
      </w:rPr>
    </w:lvl>
    <w:lvl w:ilvl="1" w:tplc="080C0019" w:tentative="1">
      <w:start w:val="1"/>
      <w:numFmt w:val="lowerLetter"/>
      <w:lvlText w:val="%2."/>
      <w:lvlJc w:val="left"/>
      <w:pPr>
        <w:tabs>
          <w:tab w:val="num" w:pos="1388"/>
        </w:tabs>
        <w:ind w:left="1388" w:hanging="360"/>
      </w:pPr>
    </w:lvl>
    <w:lvl w:ilvl="2" w:tplc="080C001B" w:tentative="1">
      <w:start w:val="1"/>
      <w:numFmt w:val="lowerRoman"/>
      <w:lvlText w:val="%3."/>
      <w:lvlJc w:val="right"/>
      <w:pPr>
        <w:tabs>
          <w:tab w:val="num" w:pos="2108"/>
        </w:tabs>
        <w:ind w:left="2108" w:hanging="180"/>
      </w:pPr>
    </w:lvl>
    <w:lvl w:ilvl="3" w:tplc="080C000F" w:tentative="1">
      <w:start w:val="1"/>
      <w:numFmt w:val="decimal"/>
      <w:lvlText w:val="%4."/>
      <w:lvlJc w:val="left"/>
      <w:pPr>
        <w:tabs>
          <w:tab w:val="num" w:pos="2828"/>
        </w:tabs>
        <w:ind w:left="2828" w:hanging="360"/>
      </w:pPr>
    </w:lvl>
    <w:lvl w:ilvl="4" w:tplc="080C0019" w:tentative="1">
      <w:start w:val="1"/>
      <w:numFmt w:val="lowerLetter"/>
      <w:lvlText w:val="%5."/>
      <w:lvlJc w:val="left"/>
      <w:pPr>
        <w:tabs>
          <w:tab w:val="num" w:pos="3548"/>
        </w:tabs>
        <w:ind w:left="3548" w:hanging="360"/>
      </w:pPr>
    </w:lvl>
    <w:lvl w:ilvl="5" w:tplc="080C001B" w:tentative="1">
      <w:start w:val="1"/>
      <w:numFmt w:val="lowerRoman"/>
      <w:lvlText w:val="%6."/>
      <w:lvlJc w:val="right"/>
      <w:pPr>
        <w:tabs>
          <w:tab w:val="num" w:pos="4268"/>
        </w:tabs>
        <w:ind w:left="4268" w:hanging="180"/>
      </w:pPr>
    </w:lvl>
    <w:lvl w:ilvl="6" w:tplc="080C000F" w:tentative="1">
      <w:start w:val="1"/>
      <w:numFmt w:val="decimal"/>
      <w:lvlText w:val="%7."/>
      <w:lvlJc w:val="left"/>
      <w:pPr>
        <w:tabs>
          <w:tab w:val="num" w:pos="4988"/>
        </w:tabs>
        <w:ind w:left="4988" w:hanging="360"/>
      </w:pPr>
    </w:lvl>
    <w:lvl w:ilvl="7" w:tplc="080C0019" w:tentative="1">
      <w:start w:val="1"/>
      <w:numFmt w:val="lowerLetter"/>
      <w:lvlText w:val="%8."/>
      <w:lvlJc w:val="left"/>
      <w:pPr>
        <w:tabs>
          <w:tab w:val="num" w:pos="5708"/>
        </w:tabs>
        <w:ind w:left="5708" w:hanging="360"/>
      </w:pPr>
    </w:lvl>
    <w:lvl w:ilvl="8" w:tplc="080C001B" w:tentative="1">
      <w:start w:val="1"/>
      <w:numFmt w:val="lowerRoman"/>
      <w:lvlText w:val="%9."/>
      <w:lvlJc w:val="right"/>
      <w:pPr>
        <w:tabs>
          <w:tab w:val="num" w:pos="6428"/>
        </w:tabs>
        <w:ind w:left="6428" w:hanging="180"/>
      </w:pPr>
    </w:lvl>
  </w:abstractNum>
  <w:abstractNum w:abstractNumId="14"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8"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2"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4"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5"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0"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5"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6"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7"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8"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1"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2"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582229564">
    <w:abstractNumId w:val="9"/>
  </w:num>
  <w:num w:numId="2" w16cid:durableId="519666756">
    <w:abstractNumId w:val="7"/>
  </w:num>
  <w:num w:numId="3" w16cid:durableId="115418897">
    <w:abstractNumId w:val="6"/>
  </w:num>
  <w:num w:numId="4" w16cid:durableId="1610041051">
    <w:abstractNumId w:val="5"/>
  </w:num>
  <w:num w:numId="5" w16cid:durableId="173424319">
    <w:abstractNumId w:val="4"/>
  </w:num>
  <w:num w:numId="6" w16cid:durableId="1986398241">
    <w:abstractNumId w:val="8"/>
  </w:num>
  <w:num w:numId="7" w16cid:durableId="258949868">
    <w:abstractNumId w:val="3"/>
  </w:num>
  <w:num w:numId="8" w16cid:durableId="407725962">
    <w:abstractNumId w:val="2"/>
  </w:num>
  <w:num w:numId="9" w16cid:durableId="1635255889">
    <w:abstractNumId w:val="1"/>
  </w:num>
  <w:num w:numId="10" w16cid:durableId="1896700635">
    <w:abstractNumId w:val="0"/>
  </w:num>
  <w:num w:numId="11" w16cid:durableId="1536194955">
    <w:abstractNumId w:val="26"/>
  </w:num>
  <w:num w:numId="12" w16cid:durableId="195428376">
    <w:abstractNumId w:val="43"/>
  </w:num>
  <w:num w:numId="13" w16cid:durableId="1120687404">
    <w:abstractNumId w:val="41"/>
  </w:num>
  <w:num w:numId="14" w16cid:durableId="988481441">
    <w:abstractNumId w:val="32"/>
  </w:num>
  <w:num w:numId="15" w16cid:durableId="1728142491">
    <w:abstractNumId w:val="14"/>
  </w:num>
  <w:num w:numId="16" w16cid:durableId="1625884130">
    <w:abstractNumId w:val="34"/>
  </w:num>
  <w:num w:numId="17" w16cid:durableId="1357001645">
    <w:abstractNumId w:val="22"/>
  </w:num>
  <w:num w:numId="18" w16cid:durableId="529757658">
    <w:abstractNumId w:val="16"/>
  </w:num>
  <w:num w:numId="19" w16cid:durableId="1823353723">
    <w:abstractNumId w:val="15"/>
  </w:num>
  <w:num w:numId="20" w16cid:durableId="1063723578">
    <w:abstractNumId w:val="15"/>
  </w:num>
  <w:num w:numId="21" w16cid:durableId="1146896915">
    <w:abstractNumId w:val="15"/>
  </w:num>
  <w:num w:numId="22" w16cid:durableId="380252602">
    <w:abstractNumId w:val="15"/>
  </w:num>
  <w:num w:numId="23" w16cid:durableId="1779834895">
    <w:abstractNumId w:val="15"/>
  </w:num>
  <w:num w:numId="24" w16cid:durableId="185096566">
    <w:abstractNumId w:val="15"/>
  </w:num>
  <w:num w:numId="25" w16cid:durableId="1251114799">
    <w:abstractNumId w:val="15"/>
  </w:num>
  <w:num w:numId="26" w16cid:durableId="2112431997">
    <w:abstractNumId w:val="15"/>
  </w:num>
  <w:num w:numId="27" w16cid:durableId="464200849">
    <w:abstractNumId w:val="15"/>
  </w:num>
  <w:num w:numId="28" w16cid:durableId="91437238">
    <w:abstractNumId w:val="15"/>
  </w:num>
  <w:num w:numId="29" w16cid:durableId="1740666761">
    <w:abstractNumId w:val="15"/>
  </w:num>
  <w:num w:numId="30" w16cid:durableId="489057945">
    <w:abstractNumId w:val="15"/>
  </w:num>
  <w:num w:numId="31" w16cid:durableId="565183667">
    <w:abstractNumId w:val="15"/>
  </w:num>
  <w:num w:numId="32" w16cid:durableId="1860387210">
    <w:abstractNumId w:val="15"/>
  </w:num>
  <w:num w:numId="33" w16cid:durableId="351034164">
    <w:abstractNumId w:val="15"/>
  </w:num>
  <w:num w:numId="34" w16cid:durableId="754209665">
    <w:abstractNumId w:val="15"/>
  </w:num>
  <w:num w:numId="35" w16cid:durableId="1088964851">
    <w:abstractNumId w:val="15"/>
  </w:num>
  <w:num w:numId="36" w16cid:durableId="1751998944">
    <w:abstractNumId w:val="15"/>
  </w:num>
  <w:num w:numId="37" w16cid:durableId="377322741">
    <w:abstractNumId w:val="38"/>
  </w:num>
  <w:num w:numId="38" w16cid:durableId="369309041">
    <w:abstractNumId w:val="40"/>
  </w:num>
  <w:num w:numId="39" w16cid:durableId="2142916443">
    <w:abstractNumId w:val="33"/>
  </w:num>
  <w:num w:numId="40" w16cid:durableId="645548029">
    <w:abstractNumId w:val="36"/>
  </w:num>
  <w:num w:numId="41" w16cid:durableId="28845859">
    <w:abstractNumId w:val="25"/>
  </w:num>
  <w:num w:numId="42" w16cid:durableId="475024646">
    <w:abstractNumId w:val="45"/>
  </w:num>
  <w:num w:numId="43" w16cid:durableId="387187092">
    <w:abstractNumId w:val="31"/>
  </w:num>
  <w:num w:numId="44" w16cid:durableId="770053579">
    <w:abstractNumId w:val="24"/>
  </w:num>
  <w:num w:numId="45" w16cid:durableId="1314749096">
    <w:abstractNumId w:val="27"/>
  </w:num>
  <w:num w:numId="46" w16cid:durableId="1169176450">
    <w:abstractNumId w:val="44"/>
  </w:num>
  <w:num w:numId="47" w16cid:durableId="608271805">
    <w:abstractNumId w:val="11"/>
  </w:num>
  <w:num w:numId="48" w16cid:durableId="326902457">
    <w:abstractNumId w:val="17"/>
  </w:num>
  <w:num w:numId="49" w16cid:durableId="1052578497">
    <w:abstractNumId w:val="15"/>
  </w:num>
  <w:num w:numId="50" w16cid:durableId="524099272">
    <w:abstractNumId w:val="15"/>
  </w:num>
  <w:num w:numId="51" w16cid:durableId="178399040">
    <w:abstractNumId w:val="15"/>
  </w:num>
  <w:num w:numId="52" w16cid:durableId="3361175">
    <w:abstractNumId w:val="15"/>
  </w:num>
  <w:num w:numId="53" w16cid:durableId="2051108854">
    <w:abstractNumId w:val="15"/>
  </w:num>
  <w:num w:numId="54" w16cid:durableId="2126997726">
    <w:abstractNumId w:val="15"/>
  </w:num>
  <w:num w:numId="55" w16cid:durableId="1675455615">
    <w:abstractNumId w:val="15"/>
  </w:num>
  <w:num w:numId="56" w16cid:durableId="13460402">
    <w:abstractNumId w:val="15"/>
  </w:num>
  <w:num w:numId="57" w16cid:durableId="1821724364">
    <w:abstractNumId w:val="15"/>
  </w:num>
  <w:num w:numId="58" w16cid:durableId="724332855">
    <w:abstractNumId w:val="45"/>
  </w:num>
  <w:num w:numId="59" w16cid:durableId="426655838">
    <w:abstractNumId w:val="31"/>
  </w:num>
  <w:num w:numId="60" w16cid:durableId="588854736">
    <w:abstractNumId w:val="24"/>
  </w:num>
  <w:num w:numId="61" w16cid:durableId="432366500">
    <w:abstractNumId w:val="27"/>
  </w:num>
  <w:num w:numId="62" w16cid:durableId="1429886255">
    <w:abstractNumId w:val="44"/>
  </w:num>
  <w:num w:numId="63" w16cid:durableId="1041326171">
    <w:abstractNumId w:val="11"/>
  </w:num>
  <w:num w:numId="64" w16cid:durableId="1028532823">
    <w:abstractNumId w:val="17"/>
  </w:num>
  <w:num w:numId="65" w16cid:durableId="65107774">
    <w:abstractNumId w:val="23"/>
  </w:num>
  <w:num w:numId="66" w16cid:durableId="1165317667">
    <w:abstractNumId w:val="12"/>
  </w:num>
  <w:num w:numId="67" w16cid:durableId="1125350437">
    <w:abstractNumId w:val="22"/>
  </w:num>
  <w:num w:numId="68" w16cid:durableId="2079132549">
    <w:abstractNumId w:val="29"/>
  </w:num>
  <w:num w:numId="69" w16cid:durableId="295334513">
    <w:abstractNumId w:val="20"/>
  </w:num>
  <w:num w:numId="70" w16cid:durableId="669210499">
    <w:abstractNumId w:val="21"/>
  </w:num>
  <w:num w:numId="71" w16cid:durableId="132793021">
    <w:abstractNumId w:val="20"/>
  </w:num>
  <w:num w:numId="72" w16cid:durableId="308217516">
    <w:abstractNumId w:val="15"/>
  </w:num>
  <w:num w:numId="73" w16cid:durableId="887031288">
    <w:abstractNumId w:val="15"/>
  </w:num>
  <w:num w:numId="74" w16cid:durableId="802112619">
    <w:abstractNumId w:val="15"/>
  </w:num>
  <w:num w:numId="75" w16cid:durableId="84569827">
    <w:abstractNumId w:val="15"/>
  </w:num>
  <w:num w:numId="76" w16cid:durableId="1067386778">
    <w:abstractNumId w:val="15"/>
  </w:num>
  <w:num w:numId="77" w16cid:durableId="1175681407">
    <w:abstractNumId w:val="15"/>
  </w:num>
  <w:num w:numId="78" w16cid:durableId="1629162122">
    <w:abstractNumId w:val="15"/>
  </w:num>
  <w:num w:numId="79" w16cid:durableId="32391315">
    <w:abstractNumId w:val="15"/>
  </w:num>
  <w:num w:numId="80" w16cid:durableId="414593677">
    <w:abstractNumId w:val="15"/>
  </w:num>
  <w:num w:numId="81" w16cid:durableId="122312990">
    <w:abstractNumId w:val="45"/>
  </w:num>
  <w:num w:numId="82" w16cid:durableId="667905216">
    <w:abstractNumId w:val="17"/>
  </w:num>
  <w:num w:numId="83" w16cid:durableId="1459882082">
    <w:abstractNumId w:val="31"/>
  </w:num>
  <w:num w:numId="84" w16cid:durableId="1040206992">
    <w:abstractNumId w:val="24"/>
  </w:num>
  <w:num w:numId="85" w16cid:durableId="91123027">
    <w:abstractNumId w:val="20"/>
  </w:num>
  <w:num w:numId="86" w16cid:durableId="1301379780">
    <w:abstractNumId w:val="21"/>
  </w:num>
  <w:num w:numId="87" w16cid:durableId="59836829">
    <w:abstractNumId w:val="20"/>
  </w:num>
  <w:num w:numId="88" w16cid:durableId="1951545859">
    <w:abstractNumId w:val="11"/>
  </w:num>
  <w:num w:numId="89" w16cid:durableId="1410154431">
    <w:abstractNumId w:val="44"/>
  </w:num>
  <w:num w:numId="90" w16cid:durableId="1164861341">
    <w:abstractNumId w:val="28"/>
  </w:num>
  <w:num w:numId="91" w16cid:durableId="1504586675">
    <w:abstractNumId w:val="29"/>
  </w:num>
  <w:num w:numId="92" w16cid:durableId="697244708">
    <w:abstractNumId w:val="21"/>
  </w:num>
  <w:num w:numId="93" w16cid:durableId="1258440956">
    <w:abstractNumId w:val="17"/>
  </w:num>
  <w:num w:numId="94" w16cid:durableId="967123694">
    <w:abstractNumId w:val="31"/>
  </w:num>
  <w:num w:numId="95" w16cid:durableId="1290629734">
    <w:abstractNumId w:val="45"/>
  </w:num>
  <w:num w:numId="96" w16cid:durableId="99574570">
    <w:abstractNumId w:val="27"/>
  </w:num>
  <w:num w:numId="97" w16cid:durableId="360981934">
    <w:abstractNumId w:val="19"/>
  </w:num>
  <w:num w:numId="98" w16cid:durableId="766539474">
    <w:abstractNumId w:val="19"/>
  </w:num>
  <w:num w:numId="99" w16cid:durableId="603465643">
    <w:abstractNumId w:val="19"/>
  </w:num>
  <w:num w:numId="100" w16cid:durableId="309943615">
    <w:abstractNumId w:val="19"/>
  </w:num>
  <w:num w:numId="101" w16cid:durableId="387262212">
    <w:abstractNumId w:val="19"/>
  </w:num>
  <w:num w:numId="102" w16cid:durableId="226495082">
    <w:abstractNumId w:val="19"/>
  </w:num>
  <w:num w:numId="103" w16cid:durableId="1037316659">
    <w:abstractNumId w:val="19"/>
  </w:num>
  <w:num w:numId="104" w16cid:durableId="202713428">
    <w:abstractNumId w:val="19"/>
  </w:num>
  <w:num w:numId="105" w16cid:durableId="991328861">
    <w:abstractNumId w:val="19"/>
  </w:num>
  <w:num w:numId="106" w16cid:durableId="68767678">
    <w:abstractNumId w:val="19"/>
  </w:num>
  <w:num w:numId="107" w16cid:durableId="1634557995">
    <w:abstractNumId w:val="19"/>
  </w:num>
  <w:num w:numId="108" w16cid:durableId="576981569">
    <w:abstractNumId w:val="19"/>
  </w:num>
  <w:num w:numId="109" w16cid:durableId="541862261">
    <w:abstractNumId w:val="19"/>
  </w:num>
  <w:num w:numId="110" w16cid:durableId="795560113">
    <w:abstractNumId w:val="15"/>
  </w:num>
  <w:num w:numId="111" w16cid:durableId="1720284117">
    <w:abstractNumId w:val="15"/>
  </w:num>
  <w:num w:numId="112" w16cid:durableId="2143231156">
    <w:abstractNumId w:val="15"/>
  </w:num>
  <w:num w:numId="113" w16cid:durableId="1464538232">
    <w:abstractNumId w:val="15"/>
  </w:num>
  <w:num w:numId="114" w16cid:durableId="47608174">
    <w:abstractNumId w:val="15"/>
  </w:num>
  <w:num w:numId="115" w16cid:durableId="1323894956">
    <w:abstractNumId w:val="15"/>
  </w:num>
  <w:num w:numId="116" w16cid:durableId="1425876287">
    <w:abstractNumId w:val="15"/>
  </w:num>
  <w:num w:numId="117" w16cid:durableId="654535304">
    <w:abstractNumId w:val="15"/>
  </w:num>
  <w:num w:numId="118" w16cid:durableId="1145394577">
    <w:abstractNumId w:val="15"/>
  </w:num>
  <w:num w:numId="119" w16cid:durableId="1796368814">
    <w:abstractNumId w:val="15"/>
  </w:num>
  <w:num w:numId="120" w16cid:durableId="2138256558">
    <w:abstractNumId w:val="15"/>
  </w:num>
  <w:num w:numId="121" w16cid:durableId="792872279">
    <w:abstractNumId w:val="15"/>
  </w:num>
  <w:num w:numId="122" w16cid:durableId="1698775092">
    <w:abstractNumId w:val="15"/>
  </w:num>
  <w:num w:numId="123" w16cid:durableId="1058816958">
    <w:abstractNumId w:val="15"/>
  </w:num>
  <w:num w:numId="124" w16cid:durableId="65155001">
    <w:abstractNumId w:val="15"/>
  </w:num>
  <w:num w:numId="125" w16cid:durableId="746174">
    <w:abstractNumId w:val="15"/>
  </w:num>
  <w:num w:numId="126" w16cid:durableId="1839030087">
    <w:abstractNumId w:val="15"/>
  </w:num>
  <w:num w:numId="127" w16cid:durableId="1585995742">
    <w:abstractNumId w:val="15"/>
  </w:num>
  <w:num w:numId="128" w16cid:durableId="564025845">
    <w:abstractNumId w:val="28"/>
  </w:num>
  <w:num w:numId="129" w16cid:durableId="1513445779">
    <w:abstractNumId w:val="24"/>
  </w:num>
  <w:num w:numId="130" w16cid:durableId="807280053">
    <w:abstractNumId w:val="15"/>
  </w:num>
  <w:num w:numId="131" w16cid:durableId="1900634063">
    <w:abstractNumId w:val="15"/>
  </w:num>
  <w:num w:numId="132" w16cid:durableId="1327780178">
    <w:abstractNumId w:val="15"/>
  </w:num>
  <w:num w:numId="133" w16cid:durableId="1997952411">
    <w:abstractNumId w:val="15"/>
  </w:num>
  <w:num w:numId="134" w16cid:durableId="1348092374">
    <w:abstractNumId w:val="15"/>
  </w:num>
  <w:num w:numId="135" w16cid:durableId="1988439172">
    <w:abstractNumId w:val="15"/>
  </w:num>
  <w:num w:numId="136" w16cid:durableId="157775424">
    <w:abstractNumId w:val="15"/>
  </w:num>
  <w:num w:numId="137" w16cid:durableId="1505705845">
    <w:abstractNumId w:val="15"/>
  </w:num>
  <w:num w:numId="138" w16cid:durableId="778447315">
    <w:abstractNumId w:val="15"/>
  </w:num>
  <w:num w:numId="139" w16cid:durableId="919487225">
    <w:abstractNumId w:val="45"/>
  </w:num>
  <w:num w:numId="140" w16cid:durableId="140073972">
    <w:abstractNumId w:val="17"/>
  </w:num>
  <w:num w:numId="141" w16cid:durableId="1447966232">
    <w:abstractNumId w:val="31"/>
  </w:num>
  <w:num w:numId="142" w16cid:durableId="1800108141">
    <w:abstractNumId w:val="27"/>
  </w:num>
  <w:num w:numId="143" w16cid:durableId="1370490611">
    <w:abstractNumId w:val="29"/>
  </w:num>
  <w:num w:numId="144" w16cid:durableId="899562035">
    <w:abstractNumId w:val="44"/>
  </w:num>
  <w:num w:numId="145" w16cid:durableId="1762019387">
    <w:abstractNumId w:val="28"/>
  </w:num>
  <w:num w:numId="146" w16cid:durableId="1109859772">
    <w:abstractNumId w:val="20"/>
  </w:num>
  <w:num w:numId="147" w16cid:durableId="2038265746">
    <w:abstractNumId w:val="21"/>
  </w:num>
  <w:num w:numId="148" w16cid:durableId="1774087829">
    <w:abstractNumId w:val="11"/>
  </w:num>
  <w:num w:numId="149" w16cid:durableId="659774146">
    <w:abstractNumId w:val="15"/>
  </w:num>
  <w:num w:numId="150" w16cid:durableId="301471669">
    <w:abstractNumId w:val="37"/>
  </w:num>
  <w:num w:numId="151" w16cid:durableId="539755018">
    <w:abstractNumId w:val="35"/>
  </w:num>
  <w:num w:numId="152" w16cid:durableId="1794908699">
    <w:abstractNumId w:val="21"/>
  </w:num>
  <w:num w:numId="153" w16cid:durableId="389809972">
    <w:abstractNumId w:val="39"/>
  </w:num>
  <w:num w:numId="154" w16cid:durableId="2049795463">
    <w:abstractNumId w:val="39"/>
  </w:num>
  <w:num w:numId="155" w16cid:durableId="1080830910">
    <w:abstractNumId w:val="39"/>
  </w:num>
  <w:num w:numId="156" w16cid:durableId="1436245512">
    <w:abstractNumId w:val="39"/>
  </w:num>
  <w:num w:numId="157" w16cid:durableId="621232563">
    <w:abstractNumId w:val="18"/>
  </w:num>
  <w:num w:numId="158" w16cid:durableId="707266883">
    <w:abstractNumId w:val="18"/>
  </w:num>
  <w:num w:numId="159" w16cid:durableId="1970821339">
    <w:abstractNumId w:val="18"/>
  </w:num>
  <w:num w:numId="160" w16cid:durableId="348875178">
    <w:abstractNumId w:val="18"/>
  </w:num>
  <w:num w:numId="161" w16cid:durableId="1659578564">
    <w:abstractNumId w:val="30"/>
  </w:num>
  <w:num w:numId="162" w16cid:durableId="857156607">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66598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0"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AF"/>
    <w:rsid w:val="003836AF"/>
    <w:rsid w:val="00652DF8"/>
    <w:rsid w:val="00A874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0F2CD7-AAD5-4B82-8429-ED13178E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paragraph" w:customStyle="1" w:styleId="Text1">
    <w:name w:val="Text 1"/>
    <w:basedOn w:val="Normal"/>
    <w:pPr>
      <w:widowControl/>
      <w:spacing w:before="120" w:after="120" w:line="240" w:lineRule="auto"/>
      <w:ind w:left="851"/>
      <w:jc w:val="both"/>
    </w:pPr>
  </w:style>
  <w:style w:type="paragraph" w:styleId="Brdtextmedindrag3">
    <w:name w:val="Body Text Indent 3"/>
    <w:basedOn w:val="Normal"/>
    <w:semiHidden/>
    <w:pPr>
      <w:widowControl/>
      <w:ind w:left="720" w:hanging="720"/>
      <w:jc w:val="both"/>
    </w:pPr>
    <w:rPr>
      <w:b/>
    </w:rPr>
  </w:style>
  <w:style w:type="character" w:customStyle="1" w:styleId="Text1Char1">
    <w:name w:val="Text 1 Char1"/>
    <w:basedOn w:val="Standardstycketeckensnitt"/>
    <w:rPr>
      <w:sz w:val="24"/>
      <w:lang w:val="en-GB" w:eastAsia="fr-BE" w:bidi="ar-SA"/>
    </w:rPr>
  </w:style>
  <w:style w:type="paragraph" w:customStyle="1" w:styleId="ZchnZchn1">
    <w:name w:val=" Zchn Zchn1"/>
    <w:basedOn w:val="Normal"/>
    <w:pPr>
      <w:widowControl/>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en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GenEN.doc</Template>
  <TotalTime>0</TotalTime>
  <Pages>2</Pages>
  <Words>1483</Words>
  <Characters>8057</Characters>
  <Application>Microsoft Office Word</Application>
  <DocSecurity>4</DocSecurity>
  <Lines>212</Lines>
  <Paragraphs>84</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9456</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2006-05-11T07:41:00Z</cp:lastPrinted>
  <dcterms:created xsi:type="dcterms:W3CDTF">2025-12-16T23:07:00Z</dcterms:created>
  <dcterms:modified xsi:type="dcterms:W3CDTF">2025-12-16T23:07:00Z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