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7024F9">
        <w:tc>
          <w:tcPr>
            <w:tcW w:w="2268" w:type="dxa"/>
          </w:tcPr>
          <w:p w:rsidR="007024F9" w:rsidRDefault="007024F9">
            <w:pPr>
              <w:framePr w:w="4400" w:h="1644" w:wrap="notBeside" w:vAnchor="page" w:hAnchor="page" w:x="6573" w:y="721"/>
              <w:rPr>
                <w:rFonts w:ascii="TradeGothic" w:hAnsi="TradeGothic"/>
                <w:i/>
                <w:sz w:val="18"/>
              </w:rPr>
            </w:pPr>
          </w:p>
        </w:tc>
        <w:tc>
          <w:tcPr>
            <w:tcW w:w="2347" w:type="dxa"/>
            <w:gridSpan w:val="2"/>
          </w:tcPr>
          <w:p w:rsidR="007024F9" w:rsidRDefault="007024F9">
            <w:pPr>
              <w:framePr w:w="4400" w:h="1644" w:wrap="notBeside" w:vAnchor="page" w:hAnchor="page" w:x="6573" w:y="721"/>
              <w:rPr>
                <w:rFonts w:ascii="TradeGothic" w:hAnsi="TradeGothic"/>
                <w:i/>
                <w:sz w:val="18"/>
              </w:rPr>
            </w:pPr>
          </w:p>
        </w:tc>
      </w:tr>
      <w:tr w:rsidR="007024F9">
        <w:tc>
          <w:tcPr>
            <w:tcW w:w="2268" w:type="dxa"/>
          </w:tcPr>
          <w:p w:rsidR="007024F9" w:rsidRDefault="007024F9">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7024F9" w:rsidRDefault="007024F9">
            <w:pPr>
              <w:framePr w:w="4400" w:h="1644" w:wrap="notBeside" w:vAnchor="page" w:hAnchor="page" w:x="6573" w:y="721"/>
              <w:rPr>
                <w:rFonts w:ascii="TradeGothic" w:hAnsi="TradeGothic"/>
                <w:b/>
                <w:sz w:val="22"/>
              </w:rPr>
            </w:pPr>
          </w:p>
        </w:tc>
      </w:tr>
      <w:tr w:rsidR="007024F9">
        <w:trPr>
          <w:trHeight w:val="343"/>
        </w:trPr>
        <w:tc>
          <w:tcPr>
            <w:tcW w:w="3402" w:type="dxa"/>
            <w:gridSpan w:val="2"/>
          </w:tcPr>
          <w:p w:rsidR="007024F9" w:rsidRDefault="007024F9">
            <w:pPr>
              <w:framePr w:w="4400" w:h="1644" w:wrap="notBeside" w:vAnchor="page" w:hAnchor="page" w:x="6573" w:y="721"/>
            </w:pPr>
          </w:p>
        </w:tc>
        <w:tc>
          <w:tcPr>
            <w:tcW w:w="1213" w:type="dxa"/>
          </w:tcPr>
          <w:p w:rsidR="007024F9" w:rsidRDefault="007024F9">
            <w:pPr>
              <w:framePr w:w="4400" w:h="1644" w:wrap="notBeside" w:vAnchor="page" w:hAnchor="page" w:x="6573" w:y="721"/>
            </w:pPr>
          </w:p>
        </w:tc>
      </w:tr>
      <w:tr w:rsidR="007024F9">
        <w:tc>
          <w:tcPr>
            <w:tcW w:w="2268" w:type="dxa"/>
          </w:tcPr>
          <w:p w:rsidR="007024F9" w:rsidRDefault="007024F9">
            <w:pPr>
              <w:framePr w:w="4400" w:h="1644" w:wrap="notBeside" w:vAnchor="page" w:hAnchor="page" w:x="6573" w:y="721"/>
            </w:pPr>
            <w:fldSimple w:instr=" CREATEDATE  \@ &quot;yyyy-MM-dd&quot;  \* MERGEFORMAT ">
              <w:r>
                <w:rPr>
                  <w:noProof/>
                </w:rPr>
                <w:t>2013-05-02</w:t>
              </w:r>
            </w:fldSimple>
          </w:p>
        </w:tc>
        <w:tc>
          <w:tcPr>
            <w:tcW w:w="2347" w:type="dxa"/>
            <w:gridSpan w:val="2"/>
          </w:tcPr>
          <w:p w:rsidR="007024F9" w:rsidRDefault="007024F9">
            <w:pPr>
              <w:framePr w:w="4400" w:h="1644" w:wrap="notBeside" w:vAnchor="page" w:hAnchor="page" w:x="6573" w:y="721"/>
            </w:pPr>
          </w:p>
        </w:tc>
      </w:tr>
      <w:tr w:rsidR="007024F9">
        <w:tc>
          <w:tcPr>
            <w:tcW w:w="2268" w:type="dxa"/>
          </w:tcPr>
          <w:p w:rsidR="007024F9" w:rsidRDefault="007024F9">
            <w:pPr>
              <w:framePr w:w="4400" w:h="1644" w:wrap="notBeside" w:vAnchor="page" w:hAnchor="page" w:x="6573" w:y="721"/>
            </w:pPr>
          </w:p>
        </w:tc>
        <w:tc>
          <w:tcPr>
            <w:tcW w:w="2347" w:type="dxa"/>
            <w:gridSpan w:val="2"/>
          </w:tcPr>
          <w:p w:rsidR="007024F9" w:rsidRDefault="007024F9">
            <w:pPr>
              <w:framePr w:w="4400" w:h="1644" w:wrap="notBeside" w:vAnchor="page" w:hAnchor="page" w:x="6573" w:y="721"/>
            </w:pPr>
          </w:p>
        </w:tc>
      </w:tr>
    </w:tbl>
    <w:tbl>
      <w:tblPr>
        <w:tblW w:w="0" w:type="auto"/>
        <w:tblLayout w:type="fixed"/>
        <w:tblLook w:val="0000"/>
      </w:tblPr>
      <w:tblGrid>
        <w:gridCol w:w="4911"/>
      </w:tblGrid>
      <w:tr w:rsidR="007024F9">
        <w:trPr>
          <w:trHeight w:val="2400"/>
        </w:trPr>
        <w:tc>
          <w:tcPr>
            <w:tcW w:w="4911" w:type="dxa"/>
          </w:tcPr>
          <w:p w:rsidR="007024F9" w:rsidRDefault="007024F9">
            <w:pPr>
              <w:pStyle w:val="Avsndare"/>
              <w:framePr w:h="2483" w:wrap="notBeside" w:x="1504"/>
              <w:rPr>
                <w:b/>
                <w:i w:val="0"/>
                <w:sz w:val="22"/>
              </w:rPr>
            </w:pPr>
            <w:r>
              <w:rPr>
                <w:b/>
                <w:i w:val="0"/>
                <w:sz w:val="22"/>
              </w:rPr>
              <w:t>Statsrådsberedningen</w:t>
            </w:r>
          </w:p>
          <w:p w:rsidR="007024F9" w:rsidRDefault="007024F9">
            <w:pPr>
              <w:pStyle w:val="Avsndare"/>
              <w:framePr w:h="2483" w:wrap="notBeside" w:x="1504"/>
            </w:pPr>
          </w:p>
          <w:p w:rsidR="007024F9" w:rsidRDefault="007024F9">
            <w:pPr>
              <w:pStyle w:val="Avsndare"/>
              <w:framePr w:h="2483" w:wrap="notBeside" w:x="1504"/>
            </w:pPr>
            <w:r>
              <w:t>EU-kansliet</w:t>
            </w:r>
          </w:p>
          <w:p w:rsidR="007024F9" w:rsidRDefault="007024F9">
            <w:pPr>
              <w:pStyle w:val="Avsndare"/>
              <w:framePr w:h="2483" w:wrap="notBeside" w:x="1504"/>
            </w:pPr>
          </w:p>
          <w:p w:rsidR="007024F9" w:rsidRDefault="007024F9">
            <w:pPr>
              <w:pStyle w:val="Avsndare"/>
              <w:framePr w:h="2483" w:wrap="notBeside" w:x="1504"/>
            </w:pPr>
          </w:p>
          <w:p w:rsidR="007024F9" w:rsidRDefault="007024F9">
            <w:pPr>
              <w:pStyle w:val="Avsndare"/>
              <w:framePr w:h="2483" w:wrap="notBeside" w:x="1504"/>
            </w:pPr>
          </w:p>
          <w:p w:rsidR="007024F9" w:rsidRDefault="007024F9">
            <w:pPr>
              <w:pStyle w:val="Avsndare"/>
              <w:framePr w:h="2483" w:wrap="notBeside" w:x="1504"/>
              <w:rPr>
                <w:b/>
                <w:i w:val="0"/>
                <w:sz w:val="22"/>
              </w:rPr>
            </w:pPr>
          </w:p>
        </w:tc>
      </w:tr>
    </w:tbl>
    <w:p w:rsidR="007024F9" w:rsidRDefault="007024F9">
      <w:pPr>
        <w:framePr w:w="4400" w:h="2523" w:wrap="notBeside" w:vAnchor="page" w:hAnchor="page" w:x="6453" w:y="2445"/>
        <w:ind w:left="142"/>
      </w:pPr>
    </w:p>
    <w:p w:rsidR="007024F9" w:rsidRDefault="007024F9">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förväntas godkännas vid Coreper I och Coreper II</w:t>
      </w:r>
      <w:bookmarkEnd w:id="0"/>
      <w:bookmarkEnd w:id="1"/>
      <w:r>
        <w:rPr>
          <w:rFonts w:cs="Arial"/>
          <w:sz w:val="28"/>
        </w:rPr>
        <w:t xml:space="preserve"> vecka 18.</w:t>
      </w:r>
    </w:p>
    <w:p w:rsidR="007024F9" w:rsidRDefault="007024F9" w:rsidP="00AC22F2">
      <w:pPr>
        <w:pStyle w:val="BodyText"/>
      </w:pPr>
    </w:p>
    <w:p w:rsidR="007024F9" w:rsidRDefault="007024F9" w:rsidP="00AC22F2">
      <w:pPr>
        <w:pStyle w:val="BodyText"/>
      </w:pPr>
      <w:r>
        <w:t>Översänds för skriftligt samråd till fredagen den 3 maj 2013, kl 14.00.</w:t>
      </w:r>
    </w:p>
    <w:p w:rsidR="007024F9" w:rsidRDefault="007024F9">
      <w:pPr>
        <w:spacing w:line="240" w:lineRule="auto"/>
        <w:rPr>
          <w:rFonts w:ascii="Garamond" w:hAnsi="Garamond"/>
        </w:rPr>
      </w:pPr>
      <w:r>
        <w:br w:type="page"/>
      </w:r>
    </w:p>
    <w:p w:rsidR="007024F9" w:rsidRPr="00AC22F2" w:rsidRDefault="007024F9" w:rsidP="00AC22F2">
      <w:pPr>
        <w:pStyle w:val="BodyText"/>
      </w:pPr>
    </w:p>
    <w:p w:rsidR="007024F9" w:rsidRDefault="007024F9">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bookmarkStart w:id="16" w:name="_GoBack"/>
    <w:bookmarkEnd w:id="16"/>
    <w:p w:rsidR="007024F9" w:rsidRDefault="007024F9">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55268723" w:history="1">
        <w:r w:rsidRPr="00496DFC">
          <w:rPr>
            <w:rStyle w:val="Hyperlink"/>
            <w:noProof/>
          </w:rPr>
          <w:t>Frågor som lösts i förberedande instanser</w:t>
        </w:r>
        <w:r>
          <w:rPr>
            <w:noProof/>
            <w:webHidden/>
          </w:rPr>
          <w:tab/>
        </w:r>
        <w:r>
          <w:rPr>
            <w:noProof/>
            <w:webHidden/>
          </w:rPr>
          <w:fldChar w:fldCharType="begin"/>
        </w:r>
        <w:r>
          <w:rPr>
            <w:noProof/>
            <w:webHidden/>
          </w:rPr>
          <w:instrText xml:space="preserve"> PAGEREF _Toc355268723 \h </w:instrText>
        </w:r>
        <w:r>
          <w:rPr>
            <w:noProof/>
            <w:webHidden/>
          </w:rPr>
        </w:r>
        <w:r>
          <w:rPr>
            <w:noProof/>
            <w:webHidden/>
          </w:rPr>
          <w:fldChar w:fldCharType="separate"/>
        </w:r>
        <w:r>
          <w:rPr>
            <w:noProof/>
            <w:webHidden/>
          </w:rPr>
          <w:t>5</w:t>
        </w:r>
        <w:r>
          <w:rPr>
            <w:noProof/>
            <w:webHidden/>
          </w:rPr>
          <w:fldChar w:fldCharType="end"/>
        </w:r>
      </w:hyperlink>
    </w:p>
    <w:p w:rsidR="007024F9" w:rsidRDefault="007024F9">
      <w:pPr>
        <w:pStyle w:val="TOC1"/>
        <w:tabs>
          <w:tab w:val="right" w:leader="dot" w:pos="7644"/>
        </w:tabs>
        <w:rPr>
          <w:rFonts w:ascii="Calibri" w:hAnsi="Calibri"/>
          <w:b w:val="0"/>
          <w:bCs w:val="0"/>
          <w:caps w:val="0"/>
          <w:noProof/>
          <w:sz w:val="22"/>
          <w:szCs w:val="22"/>
          <w:lang w:eastAsia="sv-SE"/>
        </w:rPr>
      </w:pPr>
      <w:hyperlink w:anchor="_Toc355268724" w:history="1">
        <w:r w:rsidRPr="00496DFC">
          <w:rPr>
            <w:rStyle w:val="Hyperlink"/>
            <w:noProof/>
          </w:rPr>
          <w:t>Troliga A-punkter inför kommande rådsmöten som förväntas godkännas vid Coreper I 2013-05-02.</w:t>
        </w:r>
        <w:r>
          <w:rPr>
            <w:noProof/>
            <w:webHidden/>
          </w:rPr>
          <w:tab/>
        </w:r>
        <w:r>
          <w:rPr>
            <w:noProof/>
            <w:webHidden/>
          </w:rPr>
          <w:fldChar w:fldCharType="begin"/>
        </w:r>
        <w:r>
          <w:rPr>
            <w:noProof/>
            <w:webHidden/>
          </w:rPr>
          <w:instrText xml:space="preserve"> PAGEREF _Toc355268724 \h </w:instrText>
        </w:r>
        <w:r>
          <w:rPr>
            <w:noProof/>
            <w:webHidden/>
          </w:rPr>
        </w:r>
        <w:r>
          <w:rPr>
            <w:noProof/>
            <w:webHidden/>
          </w:rPr>
          <w:fldChar w:fldCharType="separate"/>
        </w:r>
        <w:r>
          <w:rPr>
            <w:noProof/>
            <w:webHidden/>
          </w:rPr>
          <w:t>5</w:t>
        </w:r>
        <w:r>
          <w:rPr>
            <w:noProof/>
            <w:webHidden/>
          </w:rPr>
          <w:fldChar w:fldCharType="end"/>
        </w:r>
      </w:hyperlink>
    </w:p>
    <w:p w:rsidR="007024F9" w:rsidRDefault="007024F9">
      <w:pPr>
        <w:pStyle w:val="TOC2"/>
        <w:tabs>
          <w:tab w:val="right" w:leader="dot" w:pos="7644"/>
        </w:tabs>
        <w:rPr>
          <w:rFonts w:ascii="Calibri" w:hAnsi="Calibri"/>
          <w:b w:val="0"/>
          <w:bCs w:val="0"/>
          <w:noProof/>
          <w:sz w:val="22"/>
          <w:szCs w:val="22"/>
          <w:lang w:eastAsia="sv-SE"/>
        </w:rPr>
      </w:pPr>
      <w:hyperlink w:anchor="_Toc355268725" w:history="1">
        <w:r w:rsidRPr="00496DFC">
          <w:rPr>
            <w:rStyle w:val="Hyperlink"/>
            <w:noProof/>
          </w:rPr>
          <w:t>1. Replies to written questions put to the Council by Members of the European Parliament (+)</w:t>
        </w:r>
        <w:r>
          <w:rPr>
            <w:noProof/>
            <w:webHidden/>
          </w:rPr>
          <w:tab/>
        </w:r>
        <w:r>
          <w:rPr>
            <w:noProof/>
            <w:webHidden/>
          </w:rPr>
          <w:fldChar w:fldCharType="begin"/>
        </w:r>
        <w:r>
          <w:rPr>
            <w:noProof/>
            <w:webHidden/>
          </w:rPr>
          <w:instrText xml:space="preserve"> PAGEREF _Toc355268725 \h </w:instrText>
        </w:r>
        <w:r>
          <w:rPr>
            <w:noProof/>
            <w:webHidden/>
          </w:rPr>
        </w:r>
        <w:r>
          <w:rPr>
            <w:noProof/>
            <w:webHidden/>
          </w:rPr>
          <w:fldChar w:fldCharType="separate"/>
        </w:r>
        <w:r>
          <w:rPr>
            <w:noProof/>
            <w:webHidden/>
          </w:rPr>
          <w:t>5</w:t>
        </w:r>
        <w:r>
          <w:rPr>
            <w:noProof/>
            <w:webHidden/>
          </w:rPr>
          <w:fldChar w:fldCharType="end"/>
        </w:r>
      </w:hyperlink>
    </w:p>
    <w:p w:rsidR="007024F9" w:rsidRDefault="007024F9">
      <w:pPr>
        <w:pStyle w:val="TOC2"/>
        <w:tabs>
          <w:tab w:val="right" w:leader="dot" w:pos="7644"/>
        </w:tabs>
        <w:rPr>
          <w:rFonts w:ascii="Calibri" w:hAnsi="Calibri"/>
          <w:b w:val="0"/>
          <w:bCs w:val="0"/>
          <w:noProof/>
          <w:sz w:val="22"/>
          <w:szCs w:val="22"/>
          <w:lang w:eastAsia="sv-SE"/>
        </w:rPr>
      </w:pPr>
      <w:hyperlink w:anchor="_Toc355268726" w:history="1">
        <w:r w:rsidRPr="00496DFC">
          <w:rPr>
            <w:rStyle w:val="Hyperlink"/>
            <w:noProof/>
          </w:rPr>
          <w:t>2. Case before the Court of Justice of the European Union Case C-86/13 (European Commission / Council of the European Union)= Information note for the Permanent Representatives Committee (Part 1)</w:t>
        </w:r>
        <w:r>
          <w:rPr>
            <w:noProof/>
            <w:webHidden/>
          </w:rPr>
          <w:tab/>
        </w:r>
        <w:r>
          <w:rPr>
            <w:noProof/>
            <w:webHidden/>
          </w:rPr>
          <w:fldChar w:fldCharType="begin"/>
        </w:r>
        <w:r>
          <w:rPr>
            <w:noProof/>
            <w:webHidden/>
          </w:rPr>
          <w:instrText xml:space="preserve"> PAGEREF _Toc355268726 \h </w:instrText>
        </w:r>
        <w:r>
          <w:rPr>
            <w:noProof/>
            <w:webHidden/>
          </w:rPr>
        </w:r>
        <w:r>
          <w:rPr>
            <w:noProof/>
            <w:webHidden/>
          </w:rPr>
          <w:fldChar w:fldCharType="separate"/>
        </w:r>
        <w:r>
          <w:rPr>
            <w:noProof/>
            <w:webHidden/>
          </w:rPr>
          <w:t>6</w:t>
        </w:r>
        <w:r>
          <w:rPr>
            <w:noProof/>
            <w:webHidden/>
          </w:rPr>
          <w:fldChar w:fldCharType="end"/>
        </w:r>
      </w:hyperlink>
    </w:p>
    <w:p w:rsidR="007024F9" w:rsidRDefault="007024F9">
      <w:pPr>
        <w:pStyle w:val="TOC2"/>
        <w:tabs>
          <w:tab w:val="right" w:leader="dot" w:pos="7644"/>
        </w:tabs>
        <w:rPr>
          <w:rFonts w:ascii="Calibri" w:hAnsi="Calibri"/>
          <w:b w:val="0"/>
          <w:bCs w:val="0"/>
          <w:noProof/>
          <w:sz w:val="22"/>
          <w:szCs w:val="22"/>
          <w:lang w:eastAsia="sv-SE"/>
        </w:rPr>
      </w:pPr>
      <w:hyperlink w:anchor="_Toc355268727" w:history="1">
        <w:r w:rsidRPr="00496DFC">
          <w:rPr>
            <w:rStyle w:val="Hyperlink"/>
            <w:noProof/>
          </w:rPr>
          <w:t>3. Case before the Court of Justice of the European Union Case-C-19/13 (preliminary ruling Ministero dell'Interno (Repubblica italiana) against FASTWEB S.p.a.) = Information note for the Permanent Representatives Committee (Part 1)</w:t>
        </w:r>
        <w:r>
          <w:rPr>
            <w:noProof/>
            <w:webHidden/>
          </w:rPr>
          <w:tab/>
        </w:r>
        <w:r>
          <w:rPr>
            <w:noProof/>
            <w:webHidden/>
          </w:rPr>
          <w:fldChar w:fldCharType="begin"/>
        </w:r>
        <w:r>
          <w:rPr>
            <w:noProof/>
            <w:webHidden/>
          </w:rPr>
          <w:instrText xml:space="preserve"> PAGEREF _Toc355268727 \h </w:instrText>
        </w:r>
        <w:r>
          <w:rPr>
            <w:noProof/>
            <w:webHidden/>
          </w:rPr>
        </w:r>
        <w:r>
          <w:rPr>
            <w:noProof/>
            <w:webHidden/>
          </w:rPr>
          <w:fldChar w:fldCharType="separate"/>
        </w:r>
        <w:r>
          <w:rPr>
            <w:noProof/>
            <w:webHidden/>
          </w:rPr>
          <w:t>6</w:t>
        </w:r>
        <w:r>
          <w:rPr>
            <w:noProof/>
            <w:webHidden/>
          </w:rPr>
          <w:fldChar w:fldCharType="end"/>
        </w:r>
      </w:hyperlink>
    </w:p>
    <w:p w:rsidR="007024F9" w:rsidRDefault="007024F9">
      <w:pPr>
        <w:pStyle w:val="TOC2"/>
        <w:tabs>
          <w:tab w:val="right" w:leader="dot" w:pos="7644"/>
        </w:tabs>
        <w:rPr>
          <w:rFonts w:ascii="Calibri" w:hAnsi="Calibri"/>
          <w:b w:val="0"/>
          <w:bCs w:val="0"/>
          <w:noProof/>
          <w:sz w:val="22"/>
          <w:szCs w:val="22"/>
          <w:lang w:eastAsia="sv-SE"/>
        </w:rPr>
      </w:pPr>
      <w:hyperlink w:anchor="_Toc355268728" w:history="1">
        <w:r w:rsidRPr="00496DFC">
          <w:rPr>
            <w:rStyle w:val="Hyperlink"/>
            <w:noProof/>
          </w:rPr>
          <w:t>4. Management Board of the European Chemicals Agency= Adoption of a Council Decision appointing twelve members</w:t>
        </w:r>
        <w:r>
          <w:rPr>
            <w:noProof/>
            <w:webHidden/>
          </w:rPr>
          <w:tab/>
        </w:r>
        <w:r>
          <w:rPr>
            <w:noProof/>
            <w:webHidden/>
          </w:rPr>
          <w:fldChar w:fldCharType="begin"/>
        </w:r>
        <w:r>
          <w:rPr>
            <w:noProof/>
            <w:webHidden/>
          </w:rPr>
          <w:instrText xml:space="preserve"> PAGEREF _Toc355268728 \h </w:instrText>
        </w:r>
        <w:r>
          <w:rPr>
            <w:noProof/>
            <w:webHidden/>
          </w:rPr>
        </w:r>
        <w:r>
          <w:rPr>
            <w:noProof/>
            <w:webHidden/>
          </w:rPr>
          <w:fldChar w:fldCharType="separate"/>
        </w:r>
        <w:r>
          <w:rPr>
            <w:noProof/>
            <w:webHidden/>
          </w:rPr>
          <w:t>6</w:t>
        </w:r>
        <w:r>
          <w:rPr>
            <w:noProof/>
            <w:webHidden/>
          </w:rPr>
          <w:fldChar w:fldCharType="end"/>
        </w:r>
      </w:hyperlink>
    </w:p>
    <w:p w:rsidR="007024F9" w:rsidRDefault="007024F9">
      <w:pPr>
        <w:pStyle w:val="TOC2"/>
        <w:tabs>
          <w:tab w:val="right" w:leader="dot" w:pos="7644"/>
        </w:tabs>
        <w:rPr>
          <w:rFonts w:ascii="Calibri" w:hAnsi="Calibri"/>
          <w:b w:val="0"/>
          <w:bCs w:val="0"/>
          <w:noProof/>
          <w:sz w:val="22"/>
          <w:szCs w:val="22"/>
          <w:lang w:eastAsia="sv-SE"/>
        </w:rPr>
      </w:pPr>
      <w:hyperlink w:anchor="_Toc355268729" w:history="1">
        <w:r w:rsidRPr="00496DFC">
          <w:rPr>
            <w:rStyle w:val="Hyperlink"/>
            <w:noProof/>
          </w:rPr>
          <w:t>5. Commission Directive ../.../EU amending Directive 98/8/EC of the European Parliament and of the Council to include 1R-trans phenothrin as an active substance in Annex I thereto = Decision not to oppose adoption</w:t>
        </w:r>
        <w:r>
          <w:rPr>
            <w:noProof/>
            <w:webHidden/>
          </w:rPr>
          <w:tab/>
        </w:r>
        <w:r>
          <w:rPr>
            <w:noProof/>
            <w:webHidden/>
          </w:rPr>
          <w:fldChar w:fldCharType="begin"/>
        </w:r>
        <w:r>
          <w:rPr>
            <w:noProof/>
            <w:webHidden/>
          </w:rPr>
          <w:instrText xml:space="preserve"> PAGEREF _Toc355268729 \h </w:instrText>
        </w:r>
        <w:r>
          <w:rPr>
            <w:noProof/>
            <w:webHidden/>
          </w:rPr>
        </w:r>
        <w:r>
          <w:rPr>
            <w:noProof/>
            <w:webHidden/>
          </w:rPr>
          <w:fldChar w:fldCharType="separate"/>
        </w:r>
        <w:r>
          <w:rPr>
            <w:noProof/>
            <w:webHidden/>
          </w:rPr>
          <w:t>7</w:t>
        </w:r>
        <w:r>
          <w:rPr>
            <w:noProof/>
            <w:webHidden/>
          </w:rPr>
          <w:fldChar w:fldCharType="end"/>
        </w:r>
      </w:hyperlink>
    </w:p>
    <w:p w:rsidR="007024F9" w:rsidRDefault="007024F9">
      <w:pPr>
        <w:pStyle w:val="TOC2"/>
        <w:tabs>
          <w:tab w:val="right" w:leader="dot" w:pos="7644"/>
        </w:tabs>
        <w:rPr>
          <w:rFonts w:ascii="Calibri" w:hAnsi="Calibri"/>
          <w:b w:val="0"/>
          <w:bCs w:val="0"/>
          <w:noProof/>
          <w:sz w:val="22"/>
          <w:szCs w:val="22"/>
          <w:lang w:eastAsia="sv-SE"/>
        </w:rPr>
      </w:pPr>
      <w:hyperlink w:anchor="_Toc355268730" w:history="1">
        <w:r w:rsidRPr="00496DFC">
          <w:rPr>
            <w:rStyle w:val="Hyperlink"/>
            <w:noProof/>
          </w:rPr>
          <w:t>6. Draft Commission Regulation (EU) No .../.. of XXX amending Regulation (EU) No 142/2011 as regards the transit of certain animal by-products from Bosnia and Herzegovina = Decision not to oppose adoption</w:t>
        </w:r>
        <w:r>
          <w:rPr>
            <w:noProof/>
            <w:webHidden/>
          </w:rPr>
          <w:tab/>
        </w:r>
        <w:r>
          <w:rPr>
            <w:noProof/>
            <w:webHidden/>
          </w:rPr>
          <w:fldChar w:fldCharType="begin"/>
        </w:r>
        <w:r>
          <w:rPr>
            <w:noProof/>
            <w:webHidden/>
          </w:rPr>
          <w:instrText xml:space="preserve"> PAGEREF _Toc355268730 \h </w:instrText>
        </w:r>
        <w:r>
          <w:rPr>
            <w:noProof/>
            <w:webHidden/>
          </w:rPr>
        </w:r>
        <w:r>
          <w:rPr>
            <w:noProof/>
            <w:webHidden/>
          </w:rPr>
          <w:fldChar w:fldCharType="separate"/>
        </w:r>
        <w:r>
          <w:rPr>
            <w:noProof/>
            <w:webHidden/>
          </w:rPr>
          <w:t>8</w:t>
        </w:r>
        <w:r>
          <w:rPr>
            <w:noProof/>
            <w:webHidden/>
          </w:rPr>
          <w:fldChar w:fldCharType="end"/>
        </w:r>
      </w:hyperlink>
    </w:p>
    <w:p w:rsidR="007024F9" w:rsidRDefault="007024F9">
      <w:pPr>
        <w:pStyle w:val="TOC2"/>
        <w:tabs>
          <w:tab w:val="right" w:leader="dot" w:pos="7644"/>
        </w:tabs>
        <w:rPr>
          <w:rFonts w:ascii="Calibri" w:hAnsi="Calibri"/>
          <w:b w:val="0"/>
          <w:bCs w:val="0"/>
          <w:noProof/>
          <w:sz w:val="22"/>
          <w:szCs w:val="22"/>
          <w:lang w:eastAsia="sv-SE"/>
        </w:rPr>
      </w:pPr>
      <w:hyperlink w:anchor="_Toc355268731" w:history="1">
        <w:r w:rsidRPr="00496DFC">
          <w:rPr>
            <w:rStyle w:val="Hyperlink"/>
            <w:noProof/>
          </w:rPr>
          <w:t>7. Meeting of the World Anti-Doping Agency (WADA) (Montreal, 11-12 May 2013) = European Union coordination of a common position</w:t>
        </w:r>
        <w:r>
          <w:rPr>
            <w:noProof/>
            <w:webHidden/>
          </w:rPr>
          <w:tab/>
        </w:r>
        <w:r>
          <w:rPr>
            <w:noProof/>
            <w:webHidden/>
          </w:rPr>
          <w:fldChar w:fldCharType="begin"/>
        </w:r>
        <w:r>
          <w:rPr>
            <w:noProof/>
            <w:webHidden/>
          </w:rPr>
          <w:instrText xml:space="preserve"> PAGEREF _Toc355268731 \h </w:instrText>
        </w:r>
        <w:r>
          <w:rPr>
            <w:noProof/>
            <w:webHidden/>
          </w:rPr>
        </w:r>
        <w:r>
          <w:rPr>
            <w:noProof/>
            <w:webHidden/>
          </w:rPr>
          <w:fldChar w:fldCharType="separate"/>
        </w:r>
        <w:r>
          <w:rPr>
            <w:noProof/>
            <w:webHidden/>
          </w:rPr>
          <w:t>8</w:t>
        </w:r>
        <w:r>
          <w:rPr>
            <w:noProof/>
            <w:webHidden/>
          </w:rPr>
          <w:fldChar w:fldCharType="end"/>
        </w:r>
      </w:hyperlink>
    </w:p>
    <w:p w:rsidR="007024F9" w:rsidRDefault="007024F9">
      <w:pPr>
        <w:pStyle w:val="TOC2"/>
        <w:tabs>
          <w:tab w:val="right" w:leader="dot" w:pos="7644"/>
        </w:tabs>
        <w:rPr>
          <w:rFonts w:ascii="Calibri" w:hAnsi="Calibri"/>
          <w:b w:val="0"/>
          <w:bCs w:val="0"/>
          <w:noProof/>
          <w:sz w:val="22"/>
          <w:szCs w:val="22"/>
          <w:lang w:eastAsia="sv-SE"/>
        </w:rPr>
      </w:pPr>
      <w:hyperlink w:anchor="_Toc355268732" w:history="1">
        <w:r w:rsidRPr="00496DFC">
          <w:rPr>
            <w:rStyle w:val="Hyperlink"/>
            <w:noProof/>
          </w:rPr>
          <w:t>8. Draft Council Decision authorising the Commission to open negotiations on linking the EU emissions trading scheme with an emissions trading system in Australia = Adoption</w:t>
        </w:r>
        <w:r>
          <w:rPr>
            <w:noProof/>
            <w:webHidden/>
          </w:rPr>
          <w:tab/>
        </w:r>
        <w:r>
          <w:rPr>
            <w:noProof/>
            <w:webHidden/>
          </w:rPr>
          <w:fldChar w:fldCharType="begin"/>
        </w:r>
        <w:r>
          <w:rPr>
            <w:noProof/>
            <w:webHidden/>
          </w:rPr>
          <w:instrText xml:space="preserve"> PAGEREF _Toc355268732 \h </w:instrText>
        </w:r>
        <w:r>
          <w:rPr>
            <w:noProof/>
            <w:webHidden/>
          </w:rPr>
        </w:r>
        <w:r>
          <w:rPr>
            <w:noProof/>
            <w:webHidden/>
          </w:rPr>
          <w:fldChar w:fldCharType="separate"/>
        </w:r>
        <w:r>
          <w:rPr>
            <w:noProof/>
            <w:webHidden/>
          </w:rPr>
          <w:t>9</w:t>
        </w:r>
        <w:r>
          <w:rPr>
            <w:noProof/>
            <w:webHidden/>
          </w:rPr>
          <w:fldChar w:fldCharType="end"/>
        </w:r>
      </w:hyperlink>
    </w:p>
    <w:p w:rsidR="007024F9" w:rsidRDefault="007024F9">
      <w:pPr>
        <w:pStyle w:val="TOC2"/>
        <w:tabs>
          <w:tab w:val="right" w:leader="dot" w:pos="7644"/>
        </w:tabs>
        <w:rPr>
          <w:rFonts w:ascii="Calibri" w:hAnsi="Calibri"/>
          <w:b w:val="0"/>
          <w:bCs w:val="0"/>
          <w:noProof/>
          <w:sz w:val="22"/>
          <w:szCs w:val="22"/>
          <w:lang w:eastAsia="sv-SE"/>
        </w:rPr>
      </w:pPr>
      <w:hyperlink w:anchor="_Toc355268733" w:history="1">
        <w:r w:rsidRPr="00496DFC">
          <w:rPr>
            <w:rStyle w:val="Hyperlink"/>
            <w:noProof/>
          </w:rPr>
          <w:t>9. Proposal for a Council Regulation on the waiver from the requirement to submit entry and exit summary declarations for Union goods that are moved across the Neum corridor = Adoption</w:t>
        </w:r>
        <w:r>
          <w:rPr>
            <w:noProof/>
            <w:webHidden/>
          </w:rPr>
          <w:tab/>
        </w:r>
        <w:r>
          <w:rPr>
            <w:noProof/>
            <w:webHidden/>
          </w:rPr>
          <w:fldChar w:fldCharType="begin"/>
        </w:r>
        <w:r>
          <w:rPr>
            <w:noProof/>
            <w:webHidden/>
          </w:rPr>
          <w:instrText xml:space="preserve"> PAGEREF _Toc355268733 \h </w:instrText>
        </w:r>
        <w:r>
          <w:rPr>
            <w:noProof/>
            <w:webHidden/>
          </w:rPr>
        </w:r>
        <w:r>
          <w:rPr>
            <w:noProof/>
            <w:webHidden/>
          </w:rPr>
          <w:fldChar w:fldCharType="separate"/>
        </w:r>
        <w:r>
          <w:rPr>
            <w:noProof/>
            <w:webHidden/>
          </w:rPr>
          <w:t>10</w:t>
        </w:r>
        <w:r>
          <w:rPr>
            <w:noProof/>
            <w:webHidden/>
          </w:rPr>
          <w:fldChar w:fldCharType="end"/>
        </w:r>
      </w:hyperlink>
    </w:p>
    <w:p w:rsidR="007024F9" w:rsidRDefault="007024F9">
      <w:pPr>
        <w:pStyle w:val="TOC2"/>
        <w:tabs>
          <w:tab w:val="right" w:leader="dot" w:pos="7644"/>
        </w:tabs>
        <w:rPr>
          <w:rFonts w:ascii="Calibri" w:hAnsi="Calibri"/>
          <w:b w:val="0"/>
          <w:bCs w:val="0"/>
          <w:noProof/>
          <w:sz w:val="22"/>
          <w:szCs w:val="22"/>
          <w:lang w:eastAsia="sv-SE"/>
        </w:rPr>
      </w:pPr>
      <w:hyperlink w:anchor="_Toc355268734" w:history="1">
        <w:r w:rsidRPr="00496DFC">
          <w:rPr>
            <w:rStyle w:val="Hyperlink"/>
            <w:noProof/>
          </w:rPr>
          <w:t>10. Proposal for a Regulation of the European Parliament and of the Council concerning the European Union Agency for Network and Information Security (ENISA) and repealing Regulation (EC) No 460/2004 (First reading) (Legislative deliberation)= Adoption of the legislative act</w:t>
        </w:r>
        <w:r>
          <w:rPr>
            <w:noProof/>
            <w:webHidden/>
          </w:rPr>
          <w:tab/>
        </w:r>
        <w:r>
          <w:rPr>
            <w:noProof/>
            <w:webHidden/>
          </w:rPr>
          <w:fldChar w:fldCharType="begin"/>
        </w:r>
        <w:r>
          <w:rPr>
            <w:noProof/>
            <w:webHidden/>
          </w:rPr>
          <w:instrText xml:space="preserve"> PAGEREF _Toc355268734 \h </w:instrText>
        </w:r>
        <w:r>
          <w:rPr>
            <w:noProof/>
            <w:webHidden/>
          </w:rPr>
        </w:r>
        <w:r>
          <w:rPr>
            <w:noProof/>
            <w:webHidden/>
          </w:rPr>
          <w:fldChar w:fldCharType="separate"/>
        </w:r>
        <w:r>
          <w:rPr>
            <w:noProof/>
            <w:webHidden/>
          </w:rPr>
          <w:t>11</w:t>
        </w:r>
        <w:r>
          <w:rPr>
            <w:noProof/>
            <w:webHidden/>
          </w:rPr>
          <w:fldChar w:fldCharType="end"/>
        </w:r>
      </w:hyperlink>
    </w:p>
    <w:p w:rsidR="007024F9" w:rsidRDefault="007024F9">
      <w:pPr>
        <w:pStyle w:val="TOC1"/>
        <w:tabs>
          <w:tab w:val="right" w:leader="dot" w:pos="7644"/>
        </w:tabs>
        <w:rPr>
          <w:rFonts w:ascii="Calibri" w:hAnsi="Calibri"/>
          <w:b w:val="0"/>
          <w:bCs w:val="0"/>
          <w:caps w:val="0"/>
          <w:noProof/>
          <w:sz w:val="22"/>
          <w:szCs w:val="22"/>
          <w:lang w:eastAsia="sv-SE"/>
        </w:rPr>
      </w:pPr>
      <w:hyperlink w:anchor="_Toc355268735" w:history="1">
        <w:r w:rsidRPr="00496DFC">
          <w:rPr>
            <w:rStyle w:val="Hyperlink"/>
            <w:noProof/>
          </w:rPr>
          <w:t>Troliga A-punkter inför kommande rådsmöten som förväntas godkännas vid Coreper II 2013-05-02.</w:t>
        </w:r>
        <w:r>
          <w:rPr>
            <w:noProof/>
            <w:webHidden/>
          </w:rPr>
          <w:tab/>
        </w:r>
        <w:r>
          <w:rPr>
            <w:noProof/>
            <w:webHidden/>
          </w:rPr>
          <w:fldChar w:fldCharType="begin"/>
        </w:r>
        <w:r>
          <w:rPr>
            <w:noProof/>
            <w:webHidden/>
          </w:rPr>
          <w:instrText xml:space="preserve"> PAGEREF _Toc355268735 \h </w:instrText>
        </w:r>
        <w:r>
          <w:rPr>
            <w:noProof/>
            <w:webHidden/>
          </w:rPr>
        </w:r>
        <w:r>
          <w:rPr>
            <w:noProof/>
            <w:webHidden/>
          </w:rPr>
          <w:fldChar w:fldCharType="separate"/>
        </w:r>
        <w:r>
          <w:rPr>
            <w:noProof/>
            <w:webHidden/>
          </w:rPr>
          <w:t>12</w:t>
        </w:r>
        <w:r>
          <w:rPr>
            <w:noProof/>
            <w:webHidden/>
          </w:rPr>
          <w:fldChar w:fldCharType="end"/>
        </w:r>
      </w:hyperlink>
    </w:p>
    <w:p w:rsidR="007024F9" w:rsidRDefault="007024F9">
      <w:pPr>
        <w:pStyle w:val="TOC2"/>
        <w:tabs>
          <w:tab w:val="right" w:leader="dot" w:pos="7644"/>
        </w:tabs>
        <w:rPr>
          <w:rFonts w:ascii="Calibri" w:hAnsi="Calibri"/>
          <w:b w:val="0"/>
          <w:bCs w:val="0"/>
          <w:noProof/>
          <w:sz w:val="22"/>
          <w:szCs w:val="22"/>
          <w:lang w:eastAsia="sv-SE"/>
        </w:rPr>
      </w:pPr>
      <w:hyperlink w:anchor="_Toc355268736" w:history="1">
        <w:r w:rsidRPr="00496DFC">
          <w:rPr>
            <w:rStyle w:val="Hyperlink"/>
            <w:noProof/>
          </w:rPr>
          <w:t>11. Transparency - Public access to documents= Confirmatory application n° 06/c/02/13</w:t>
        </w:r>
        <w:r>
          <w:rPr>
            <w:noProof/>
            <w:webHidden/>
          </w:rPr>
          <w:tab/>
        </w:r>
        <w:r>
          <w:rPr>
            <w:noProof/>
            <w:webHidden/>
          </w:rPr>
          <w:fldChar w:fldCharType="begin"/>
        </w:r>
        <w:r>
          <w:rPr>
            <w:noProof/>
            <w:webHidden/>
          </w:rPr>
          <w:instrText xml:space="preserve"> PAGEREF _Toc355268736 \h </w:instrText>
        </w:r>
        <w:r>
          <w:rPr>
            <w:noProof/>
            <w:webHidden/>
          </w:rPr>
        </w:r>
        <w:r>
          <w:rPr>
            <w:noProof/>
            <w:webHidden/>
          </w:rPr>
          <w:fldChar w:fldCharType="separate"/>
        </w:r>
        <w:r>
          <w:rPr>
            <w:noProof/>
            <w:webHidden/>
          </w:rPr>
          <w:t>12</w:t>
        </w:r>
        <w:r>
          <w:rPr>
            <w:noProof/>
            <w:webHidden/>
          </w:rPr>
          <w:fldChar w:fldCharType="end"/>
        </w:r>
      </w:hyperlink>
    </w:p>
    <w:p w:rsidR="007024F9" w:rsidRDefault="007024F9">
      <w:pPr>
        <w:pStyle w:val="TOC2"/>
        <w:tabs>
          <w:tab w:val="right" w:leader="dot" w:pos="7644"/>
        </w:tabs>
        <w:rPr>
          <w:rFonts w:ascii="Calibri" w:hAnsi="Calibri"/>
          <w:b w:val="0"/>
          <w:bCs w:val="0"/>
          <w:noProof/>
          <w:sz w:val="22"/>
          <w:szCs w:val="22"/>
          <w:lang w:eastAsia="sv-SE"/>
        </w:rPr>
      </w:pPr>
      <w:hyperlink w:anchor="_Toc355268737" w:history="1">
        <w:r w:rsidRPr="00496DFC">
          <w:rPr>
            <w:rStyle w:val="Hyperlink"/>
            <w:noProof/>
          </w:rPr>
          <w:t>12. Recommendation to the Council concerning the approval of a second-party evaluated cryptographic product</w:t>
        </w:r>
        <w:r>
          <w:rPr>
            <w:noProof/>
            <w:webHidden/>
          </w:rPr>
          <w:tab/>
        </w:r>
        <w:r>
          <w:rPr>
            <w:noProof/>
            <w:webHidden/>
          </w:rPr>
          <w:fldChar w:fldCharType="begin"/>
        </w:r>
        <w:r>
          <w:rPr>
            <w:noProof/>
            <w:webHidden/>
          </w:rPr>
          <w:instrText xml:space="preserve"> PAGEREF _Toc355268737 \h </w:instrText>
        </w:r>
        <w:r>
          <w:rPr>
            <w:noProof/>
            <w:webHidden/>
          </w:rPr>
        </w:r>
        <w:r>
          <w:rPr>
            <w:noProof/>
            <w:webHidden/>
          </w:rPr>
          <w:fldChar w:fldCharType="separate"/>
        </w:r>
        <w:r>
          <w:rPr>
            <w:noProof/>
            <w:webHidden/>
          </w:rPr>
          <w:t>12</w:t>
        </w:r>
        <w:r>
          <w:rPr>
            <w:noProof/>
            <w:webHidden/>
          </w:rPr>
          <w:fldChar w:fldCharType="end"/>
        </w:r>
      </w:hyperlink>
    </w:p>
    <w:p w:rsidR="007024F9" w:rsidRDefault="007024F9">
      <w:pPr>
        <w:pStyle w:val="TOC2"/>
        <w:tabs>
          <w:tab w:val="right" w:leader="dot" w:pos="7644"/>
        </w:tabs>
        <w:rPr>
          <w:rFonts w:ascii="Calibri" w:hAnsi="Calibri"/>
          <w:b w:val="0"/>
          <w:bCs w:val="0"/>
          <w:noProof/>
          <w:sz w:val="22"/>
          <w:szCs w:val="22"/>
          <w:lang w:eastAsia="sv-SE"/>
        </w:rPr>
      </w:pPr>
      <w:hyperlink w:anchor="_Toc355268738" w:history="1">
        <w:r w:rsidRPr="00496DFC">
          <w:rPr>
            <w:rStyle w:val="Hyperlink"/>
            <w:noProof/>
          </w:rPr>
          <w:t>13. Anti-dumping = Proposal for a Council Implementing Regulation imposing a definitive anti-dumping duty and collecting definitively the provisional duty imposed on imports of threaded tube or pipe cast fittings, of malleable cast iron, originating in the People's Republic of China and Thailand and terminating the proceeding with regard to Indonesia</w:t>
        </w:r>
        <w:r>
          <w:rPr>
            <w:noProof/>
            <w:webHidden/>
          </w:rPr>
          <w:tab/>
        </w:r>
        <w:r>
          <w:rPr>
            <w:noProof/>
            <w:webHidden/>
          </w:rPr>
          <w:fldChar w:fldCharType="begin"/>
        </w:r>
        <w:r>
          <w:rPr>
            <w:noProof/>
            <w:webHidden/>
          </w:rPr>
          <w:instrText xml:space="preserve"> PAGEREF _Toc355268738 \h </w:instrText>
        </w:r>
        <w:r>
          <w:rPr>
            <w:noProof/>
            <w:webHidden/>
          </w:rPr>
        </w:r>
        <w:r>
          <w:rPr>
            <w:noProof/>
            <w:webHidden/>
          </w:rPr>
          <w:fldChar w:fldCharType="separate"/>
        </w:r>
        <w:r>
          <w:rPr>
            <w:noProof/>
            <w:webHidden/>
          </w:rPr>
          <w:t>13</w:t>
        </w:r>
        <w:r>
          <w:rPr>
            <w:noProof/>
            <w:webHidden/>
          </w:rPr>
          <w:fldChar w:fldCharType="end"/>
        </w:r>
      </w:hyperlink>
    </w:p>
    <w:p w:rsidR="007024F9" w:rsidRDefault="007024F9">
      <w:pPr>
        <w:pStyle w:val="TOC2"/>
        <w:tabs>
          <w:tab w:val="right" w:leader="dot" w:pos="7644"/>
        </w:tabs>
        <w:rPr>
          <w:rFonts w:ascii="Calibri" w:hAnsi="Calibri"/>
          <w:b w:val="0"/>
          <w:bCs w:val="0"/>
          <w:noProof/>
          <w:sz w:val="22"/>
          <w:szCs w:val="22"/>
          <w:lang w:eastAsia="sv-SE"/>
        </w:rPr>
      </w:pPr>
      <w:hyperlink w:anchor="_Toc355268739" w:history="1">
        <w:r w:rsidRPr="00496DFC">
          <w:rPr>
            <w:rStyle w:val="Hyperlink"/>
            <w:noProof/>
          </w:rPr>
          <w:t>14. Anti-dumping = Proposal for a Council Implementing Regulation imposing a definitive anti-dumping duty and collecting definitively the provisional duty imposed on imports of ceramic tableware and kitchenware originating in the People's Republic of China</w:t>
        </w:r>
        <w:r>
          <w:rPr>
            <w:noProof/>
            <w:webHidden/>
          </w:rPr>
          <w:tab/>
        </w:r>
        <w:r>
          <w:rPr>
            <w:noProof/>
            <w:webHidden/>
          </w:rPr>
          <w:fldChar w:fldCharType="begin"/>
        </w:r>
        <w:r>
          <w:rPr>
            <w:noProof/>
            <w:webHidden/>
          </w:rPr>
          <w:instrText xml:space="preserve"> PAGEREF _Toc355268739 \h </w:instrText>
        </w:r>
        <w:r>
          <w:rPr>
            <w:noProof/>
            <w:webHidden/>
          </w:rPr>
        </w:r>
        <w:r>
          <w:rPr>
            <w:noProof/>
            <w:webHidden/>
          </w:rPr>
          <w:fldChar w:fldCharType="separate"/>
        </w:r>
        <w:r>
          <w:rPr>
            <w:noProof/>
            <w:webHidden/>
          </w:rPr>
          <w:t>13</w:t>
        </w:r>
        <w:r>
          <w:rPr>
            <w:noProof/>
            <w:webHidden/>
          </w:rPr>
          <w:fldChar w:fldCharType="end"/>
        </w:r>
      </w:hyperlink>
    </w:p>
    <w:p w:rsidR="007024F9" w:rsidRDefault="007024F9">
      <w:pPr>
        <w:pStyle w:val="TOC2"/>
        <w:tabs>
          <w:tab w:val="right" w:leader="dot" w:pos="7644"/>
        </w:tabs>
        <w:rPr>
          <w:rFonts w:ascii="Calibri" w:hAnsi="Calibri"/>
          <w:b w:val="0"/>
          <w:bCs w:val="0"/>
          <w:noProof/>
          <w:sz w:val="22"/>
          <w:szCs w:val="22"/>
          <w:lang w:eastAsia="sv-SE"/>
        </w:rPr>
      </w:pPr>
      <w:hyperlink w:anchor="_Toc355268740" w:history="1">
        <w:r w:rsidRPr="00496DFC">
          <w:rPr>
            <w:rStyle w:val="Hyperlink"/>
            <w:noProof/>
          </w:rPr>
          <w:t>15. Draft Council Conclusions on the European Court of Auditors' Special report n° 17/2012 : "The European Development Fund (EDF) contribution to a sustainable road network in sub-Saharan Africa" = Adoption</w:t>
        </w:r>
        <w:r>
          <w:rPr>
            <w:noProof/>
            <w:webHidden/>
          </w:rPr>
          <w:tab/>
        </w:r>
        <w:r>
          <w:rPr>
            <w:noProof/>
            <w:webHidden/>
          </w:rPr>
          <w:fldChar w:fldCharType="begin"/>
        </w:r>
        <w:r>
          <w:rPr>
            <w:noProof/>
            <w:webHidden/>
          </w:rPr>
          <w:instrText xml:space="preserve"> PAGEREF _Toc355268740 \h </w:instrText>
        </w:r>
        <w:r>
          <w:rPr>
            <w:noProof/>
            <w:webHidden/>
          </w:rPr>
        </w:r>
        <w:r>
          <w:rPr>
            <w:noProof/>
            <w:webHidden/>
          </w:rPr>
          <w:fldChar w:fldCharType="separate"/>
        </w:r>
        <w:r>
          <w:rPr>
            <w:noProof/>
            <w:webHidden/>
          </w:rPr>
          <w:t>14</w:t>
        </w:r>
        <w:r>
          <w:rPr>
            <w:noProof/>
            <w:webHidden/>
          </w:rPr>
          <w:fldChar w:fldCharType="end"/>
        </w:r>
      </w:hyperlink>
    </w:p>
    <w:p w:rsidR="007024F9" w:rsidRDefault="007024F9">
      <w:pPr>
        <w:pStyle w:val="TOC2"/>
        <w:tabs>
          <w:tab w:val="right" w:leader="dot" w:pos="7644"/>
        </w:tabs>
        <w:rPr>
          <w:rFonts w:ascii="Calibri" w:hAnsi="Calibri"/>
          <w:b w:val="0"/>
          <w:bCs w:val="0"/>
          <w:noProof/>
          <w:sz w:val="22"/>
          <w:szCs w:val="22"/>
          <w:lang w:eastAsia="sv-SE"/>
        </w:rPr>
      </w:pPr>
      <w:hyperlink w:anchor="_Toc355268741" w:history="1">
        <w:r w:rsidRPr="00496DFC">
          <w:rPr>
            <w:rStyle w:val="Hyperlink"/>
            <w:noProof/>
          </w:rPr>
          <w:t>16. CTA - Technical Centre for Agricultural and Rural Cooperation = Extension of the term of office of the members of the Executive Board</w:t>
        </w:r>
        <w:r>
          <w:rPr>
            <w:noProof/>
            <w:webHidden/>
          </w:rPr>
          <w:tab/>
        </w:r>
        <w:r>
          <w:rPr>
            <w:noProof/>
            <w:webHidden/>
          </w:rPr>
          <w:fldChar w:fldCharType="begin"/>
        </w:r>
        <w:r>
          <w:rPr>
            <w:noProof/>
            <w:webHidden/>
          </w:rPr>
          <w:instrText xml:space="preserve"> PAGEREF _Toc355268741 \h </w:instrText>
        </w:r>
        <w:r>
          <w:rPr>
            <w:noProof/>
            <w:webHidden/>
          </w:rPr>
        </w:r>
        <w:r>
          <w:rPr>
            <w:noProof/>
            <w:webHidden/>
          </w:rPr>
          <w:fldChar w:fldCharType="separate"/>
        </w:r>
        <w:r>
          <w:rPr>
            <w:noProof/>
            <w:webHidden/>
          </w:rPr>
          <w:t>15</w:t>
        </w:r>
        <w:r>
          <w:rPr>
            <w:noProof/>
            <w:webHidden/>
          </w:rPr>
          <w:fldChar w:fldCharType="end"/>
        </w:r>
      </w:hyperlink>
    </w:p>
    <w:p w:rsidR="007024F9" w:rsidRDefault="007024F9">
      <w:pPr>
        <w:pStyle w:val="TOC2"/>
        <w:tabs>
          <w:tab w:val="right" w:leader="dot" w:pos="7644"/>
        </w:tabs>
        <w:rPr>
          <w:rFonts w:ascii="Calibri" w:hAnsi="Calibri"/>
          <w:b w:val="0"/>
          <w:bCs w:val="0"/>
          <w:noProof/>
          <w:sz w:val="22"/>
          <w:szCs w:val="22"/>
          <w:lang w:eastAsia="sv-SE"/>
        </w:rPr>
      </w:pPr>
      <w:hyperlink w:anchor="_Toc355268742" w:history="1">
        <w:r w:rsidRPr="00496DFC">
          <w:rPr>
            <w:rStyle w:val="Hyperlink"/>
            <w:noProof/>
          </w:rPr>
          <w:t>17. Draft Council Decision on the launch of automated data exchange with regard to Vehicle Registration Data (VRD) in Bulgaria</w:t>
        </w:r>
        <w:r>
          <w:rPr>
            <w:noProof/>
            <w:webHidden/>
          </w:rPr>
          <w:tab/>
        </w:r>
        <w:r>
          <w:rPr>
            <w:noProof/>
            <w:webHidden/>
          </w:rPr>
          <w:fldChar w:fldCharType="begin"/>
        </w:r>
        <w:r>
          <w:rPr>
            <w:noProof/>
            <w:webHidden/>
          </w:rPr>
          <w:instrText xml:space="preserve"> PAGEREF _Toc355268742 \h </w:instrText>
        </w:r>
        <w:r>
          <w:rPr>
            <w:noProof/>
            <w:webHidden/>
          </w:rPr>
        </w:r>
        <w:r>
          <w:rPr>
            <w:noProof/>
            <w:webHidden/>
          </w:rPr>
          <w:fldChar w:fldCharType="separate"/>
        </w:r>
        <w:r>
          <w:rPr>
            <w:noProof/>
            <w:webHidden/>
          </w:rPr>
          <w:t>16</w:t>
        </w:r>
        <w:r>
          <w:rPr>
            <w:noProof/>
            <w:webHidden/>
          </w:rPr>
          <w:fldChar w:fldCharType="end"/>
        </w:r>
      </w:hyperlink>
    </w:p>
    <w:p w:rsidR="007024F9" w:rsidRDefault="007024F9">
      <w:pPr>
        <w:pStyle w:val="TOC2"/>
        <w:tabs>
          <w:tab w:val="right" w:leader="dot" w:pos="7644"/>
        </w:tabs>
        <w:rPr>
          <w:rFonts w:ascii="Calibri" w:hAnsi="Calibri"/>
          <w:b w:val="0"/>
          <w:bCs w:val="0"/>
          <w:noProof/>
          <w:sz w:val="22"/>
          <w:szCs w:val="22"/>
          <w:lang w:eastAsia="sv-SE"/>
        </w:rPr>
      </w:pPr>
      <w:hyperlink w:anchor="_Toc355268743" w:history="1">
        <w:r w:rsidRPr="00496DFC">
          <w:rPr>
            <w:rStyle w:val="Hyperlink"/>
            <w:noProof/>
          </w:rPr>
          <w:t>18. Draft Council Decision on the launch of automated data exchange with regard to dactyloscopic data in Romania</w:t>
        </w:r>
        <w:r>
          <w:rPr>
            <w:noProof/>
            <w:webHidden/>
          </w:rPr>
          <w:tab/>
        </w:r>
        <w:r>
          <w:rPr>
            <w:noProof/>
            <w:webHidden/>
          </w:rPr>
          <w:fldChar w:fldCharType="begin"/>
        </w:r>
        <w:r>
          <w:rPr>
            <w:noProof/>
            <w:webHidden/>
          </w:rPr>
          <w:instrText xml:space="preserve"> PAGEREF _Toc355268743 \h </w:instrText>
        </w:r>
        <w:r>
          <w:rPr>
            <w:noProof/>
            <w:webHidden/>
          </w:rPr>
        </w:r>
        <w:r>
          <w:rPr>
            <w:noProof/>
            <w:webHidden/>
          </w:rPr>
          <w:fldChar w:fldCharType="separate"/>
        </w:r>
        <w:r>
          <w:rPr>
            <w:noProof/>
            <w:webHidden/>
          </w:rPr>
          <w:t>16</w:t>
        </w:r>
        <w:r>
          <w:rPr>
            <w:noProof/>
            <w:webHidden/>
          </w:rPr>
          <w:fldChar w:fldCharType="end"/>
        </w:r>
      </w:hyperlink>
    </w:p>
    <w:p w:rsidR="007024F9" w:rsidRDefault="007024F9">
      <w:pPr>
        <w:pStyle w:val="TOC2"/>
        <w:tabs>
          <w:tab w:val="right" w:leader="dot" w:pos="7644"/>
        </w:tabs>
        <w:rPr>
          <w:rFonts w:ascii="Calibri" w:hAnsi="Calibri"/>
          <w:b w:val="0"/>
          <w:bCs w:val="0"/>
          <w:noProof/>
          <w:sz w:val="22"/>
          <w:szCs w:val="22"/>
          <w:lang w:eastAsia="sv-SE"/>
        </w:rPr>
      </w:pPr>
      <w:hyperlink w:anchor="_Toc355268744" w:history="1">
        <w:r w:rsidRPr="00496DFC">
          <w:rPr>
            <w:rStyle w:val="Hyperlink"/>
            <w:noProof/>
          </w:rPr>
          <w:t>19. Amended proposal for a Directive of the European Parliament and of the Council on common procedures for granting and withdrawing international protection status (Recast) [First Reading] = Political agreement</w:t>
        </w:r>
        <w:r>
          <w:rPr>
            <w:noProof/>
            <w:webHidden/>
          </w:rPr>
          <w:tab/>
        </w:r>
        <w:r>
          <w:rPr>
            <w:noProof/>
            <w:webHidden/>
          </w:rPr>
          <w:fldChar w:fldCharType="begin"/>
        </w:r>
        <w:r>
          <w:rPr>
            <w:noProof/>
            <w:webHidden/>
          </w:rPr>
          <w:instrText xml:space="preserve"> PAGEREF _Toc355268744 \h </w:instrText>
        </w:r>
        <w:r>
          <w:rPr>
            <w:noProof/>
            <w:webHidden/>
          </w:rPr>
        </w:r>
        <w:r>
          <w:rPr>
            <w:noProof/>
            <w:webHidden/>
          </w:rPr>
          <w:fldChar w:fldCharType="separate"/>
        </w:r>
        <w:r>
          <w:rPr>
            <w:noProof/>
            <w:webHidden/>
          </w:rPr>
          <w:t>17</w:t>
        </w:r>
        <w:r>
          <w:rPr>
            <w:noProof/>
            <w:webHidden/>
          </w:rPr>
          <w:fldChar w:fldCharType="end"/>
        </w:r>
      </w:hyperlink>
    </w:p>
    <w:p w:rsidR="007024F9" w:rsidRDefault="007024F9">
      <w:pPr>
        <w:pStyle w:val="TOC2"/>
        <w:tabs>
          <w:tab w:val="right" w:leader="dot" w:pos="7644"/>
        </w:tabs>
        <w:rPr>
          <w:rFonts w:ascii="Calibri" w:hAnsi="Calibri"/>
          <w:b w:val="0"/>
          <w:bCs w:val="0"/>
          <w:noProof/>
          <w:sz w:val="22"/>
          <w:szCs w:val="22"/>
          <w:lang w:eastAsia="sv-SE"/>
        </w:rPr>
      </w:pPr>
      <w:hyperlink w:anchor="_Toc355268745" w:history="1">
        <w:r w:rsidRPr="00496DFC">
          <w:rPr>
            <w:rStyle w:val="Hyperlink"/>
            <w:noProof/>
          </w:rPr>
          <w:t>20. High Representative's Report on the Seventeenth Operation ALTHEA Six-Monthly Review</w:t>
        </w:r>
        <w:r>
          <w:rPr>
            <w:noProof/>
            <w:webHidden/>
          </w:rPr>
          <w:tab/>
        </w:r>
        <w:r>
          <w:rPr>
            <w:noProof/>
            <w:webHidden/>
          </w:rPr>
          <w:fldChar w:fldCharType="begin"/>
        </w:r>
        <w:r>
          <w:rPr>
            <w:noProof/>
            <w:webHidden/>
          </w:rPr>
          <w:instrText xml:space="preserve"> PAGEREF _Toc355268745 \h </w:instrText>
        </w:r>
        <w:r>
          <w:rPr>
            <w:noProof/>
            <w:webHidden/>
          </w:rPr>
        </w:r>
        <w:r>
          <w:rPr>
            <w:noProof/>
            <w:webHidden/>
          </w:rPr>
          <w:fldChar w:fldCharType="separate"/>
        </w:r>
        <w:r>
          <w:rPr>
            <w:noProof/>
            <w:webHidden/>
          </w:rPr>
          <w:t>18</w:t>
        </w:r>
        <w:r>
          <w:rPr>
            <w:noProof/>
            <w:webHidden/>
          </w:rPr>
          <w:fldChar w:fldCharType="end"/>
        </w:r>
      </w:hyperlink>
    </w:p>
    <w:p w:rsidR="007024F9" w:rsidRDefault="007024F9">
      <w:pPr>
        <w:pStyle w:val="TOC2"/>
        <w:tabs>
          <w:tab w:val="right" w:leader="dot" w:pos="7644"/>
        </w:tabs>
        <w:rPr>
          <w:rFonts w:ascii="Calibri" w:hAnsi="Calibri"/>
          <w:b w:val="0"/>
          <w:bCs w:val="0"/>
          <w:noProof/>
          <w:sz w:val="22"/>
          <w:szCs w:val="22"/>
          <w:lang w:eastAsia="sv-SE"/>
        </w:rPr>
      </w:pPr>
      <w:hyperlink w:anchor="_Toc355268746" w:history="1">
        <w:r w:rsidRPr="00496DFC">
          <w:rPr>
            <w:rStyle w:val="Hyperlink"/>
            <w:noProof/>
          </w:rPr>
          <w:t>21. Concept of Operations "Plus" (CONOPS PLUS) for the CSDP mission EUBAM Libya</w:t>
        </w:r>
        <w:r>
          <w:rPr>
            <w:noProof/>
            <w:webHidden/>
          </w:rPr>
          <w:tab/>
        </w:r>
        <w:r>
          <w:rPr>
            <w:noProof/>
            <w:webHidden/>
          </w:rPr>
          <w:fldChar w:fldCharType="begin"/>
        </w:r>
        <w:r>
          <w:rPr>
            <w:noProof/>
            <w:webHidden/>
          </w:rPr>
          <w:instrText xml:space="preserve"> PAGEREF _Toc355268746 \h </w:instrText>
        </w:r>
        <w:r>
          <w:rPr>
            <w:noProof/>
            <w:webHidden/>
          </w:rPr>
        </w:r>
        <w:r>
          <w:rPr>
            <w:noProof/>
            <w:webHidden/>
          </w:rPr>
          <w:fldChar w:fldCharType="separate"/>
        </w:r>
        <w:r>
          <w:rPr>
            <w:noProof/>
            <w:webHidden/>
          </w:rPr>
          <w:t>19</w:t>
        </w:r>
        <w:r>
          <w:rPr>
            <w:noProof/>
            <w:webHidden/>
          </w:rPr>
          <w:fldChar w:fldCharType="end"/>
        </w:r>
      </w:hyperlink>
    </w:p>
    <w:p w:rsidR="007024F9" w:rsidRDefault="007024F9">
      <w:pPr>
        <w:pStyle w:val="TOC2"/>
        <w:tabs>
          <w:tab w:val="right" w:leader="dot" w:pos="7644"/>
        </w:tabs>
        <w:rPr>
          <w:rFonts w:ascii="Calibri" w:hAnsi="Calibri"/>
          <w:b w:val="0"/>
          <w:bCs w:val="0"/>
          <w:noProof/>
          <w:sz w:val="22"/>
          <w:szCs w:val="22"/>
          <w:lang w:eastAsia="sv-SE"/>
        </w:rPr>
      </w:pPr>
      <w:hyperlink w:anchor="_Toc355268747" w:history="1">
        <w:r w:rsidRPr="00496DFC">
          <w:rPr>
            <w:rStyle w:val="Hyperlink"/>
            <w:noProof/>
          </w:rPr>
          <w:t>22. Council Decision on the European Union Integrated Border Management Assistance Mission in Libya (EUBAM Libya)</w:t>
        </w:r>
        <w:r>
          <w:rPr>
            <w:noProof/>
            <w:webHidden/>
          </w:rPr>
          <w:tab/>
        </w:r>
        <w:r>
          <w:rPr>
            <w:noProof/>
            <w:webHidden/>
          </w:rPr>
          <w:fldChar w:fldCharType="begin"/>
        </w:r>
        <w:r>
          <w:rPr>
            <w:noProof/>
            <w:webHidden/>
          </w:rPr>
          <w:instrText xml:space="preserve"> PAGEREF _Toc355268747 \h </w:instrText>
        </w:r>
        <w:r>
          <w:rPr>
            <w:noProof/>
            <w:webHidden/>
          </w:rPr>
        </w:r>
        <w:r>
          <w:rPr>
            <w:noProof/>
            <w:webHidden/>
          </w:rPr>
          <w:fldChar w:fldCharType="separate"/>
        </w:r>
        <w:r>
          <w:rPr>
            <w:noProof/>
            <w:webHidden/>
          </w:rPr>
          <w:t>20</w:t>
        </w:r>
        <w:r>
          <w:rPr>
            <w:noProof/>
            <w:webHidden/>
          </w:rPr>
          <w:fldChar w:fldCharType="end"/>
        </w:r>
      </w:hyperlink>
    </w:p>
    <w:p w:rsidR="007024F9" w:rsidRDefault="007024F9">
      <w:pPr>
        <w:pStyle w:val="TOC2"/>
        <w:tabs>
          <w:tab w:val="right" w:leader="dot" w:pos="7644"/>
        </w:tabs>
        <w:rPr>
          <w:rFonts w:ascii="Calibri" w:hAnsi="Calibri"/>
          <w:b w:val="0"/>
          <w:bCs w:val="0"/>
          <w:noProof/>
          <w:sz w:val="22"/>
          <w:szCs w:val="22"/>
          <w:lang w:eastAsia="sv-SE"/>
        </w:rPr>
      </w:pPr>
      <w:hyperlink w:anchor="_Toc355268748" w:history="1">
        <w:r w:rsidRPr="00496DFC">
          <w:rPr>
            <w:rStyle w:val="Hyperlink"/>
            <w:noProof/>
          </w:rPr>
          <w:t>23. Council Decision on the Union position to be adopted in the Cooperation Council established by the Partnership and Cooperation Agreement between the European Union and its Member States, of the one part, and the Republic of Iraq, of the other part, in relation to the adoption of the rules of procedure of the Cooperation Council and of the Cooperation Committee, and the establishment of specialised subcommittees and the adoption of their terms of reference</w:t>
        </w:r>
        <w:r>
          <w:rPr>
            <w:noProof/>
            <w:webHidden/>
          </w:rPr>
          <w:tab/>
        </w:r>
        <w:r>
          <w:rPr>
            <w:noProof/>
            <w:webHidden/>
          </w:rPr>
          <w:fldChar w:fldCharType="begin"/>
        </w:r>
        <w:r>
          <w:rPr>
            <w:noProof/>
            <w:webHidden/>
          </w:rPr>
          <w:instrText xml:space="preserve"> PAGEREF _Toc355268748 \h </w:instrText>
        </w:r>
        <w:r>
          <w:rPr>
            <w:noProof/>
            <w:webHidden/>
          </w:rPr>
        </w:r>
        <w:r>
          <w:rPr>
            <w:noProof/>
            <w:webHidden/>
          </w:rPr>
          <w:fldChar w:fldCharType="separate"/>
        </w:r>
        <w:r>
          <w:rPr>
            <w:noProof/>
            <w:webHidden/>
          </w:rPr>
          <w:t>21</w:t>
        </w:r>
        <w:r>
          <w:rPr>
            <w:noProof/>
            <w:webHidden/>
          </w:rPr>
          <w:fldChar w:fldCharType="end"/>
        </w:r>
      </w:hyperlink>
    </w:p>
    <w:p w:rsidR="007024F9" w:rsidRDefault="007024F9">
      <w:pPr>
        <w:pStyle w:val="TOC2"/>
        <w:tabs>
          <w:tab w:val="right" w:leader="dot" w:pos="7644"/>
        </w:tabs>
        <w:rPr>
          <w:rFonts w:ascii="Calibri" w:hAnsi="Calibri"/>
          <w:b w:val="0"/>
          <w:bCs w:val="0"/>
          <w:noProof/>
          <w:sz w:val="22"/>
          <w:szCs w:val="22"/>
          <w:lang w:eastAsia="sv-SE"/>
        </w:rPr>
      </w:pPr>
      <w:hyperlink w:anchor="_Toc355268749" w:history="1">
        <w:r w:rsidRPr="00496DFC">
          <w:rPr>
            <w:rStyle w:val="Hyperlink"/>
            <w:noProof/>
          </w:rPr>
          <w:t>24. Proposal for a Directive of the European Parliament and of the Council amending Directive 2003/41/EC on the activities and supervision of institutions for occupational retirement provision, Directive 2009/65/EC on the coordination of laws, regulations and administrative provisions relating to undertakings for collective investment in transferable securities (UCITS) and Directive 2011/61/EU on Alternative Investment Funds Managers in respect of over-reliance on credit ratings [First Reading] (LA) - Adoption of the legislative act</w:t>
        </w:r>
        <w:r>
          <w:rPr>
            <w:noProof/>
            <w:webHidden/>
          </w:rPr>
          <w:tab/>
        </w:r>
        <w:r>
          <w:rPr>
            <w:noProof/>
            <w:webHidden/>
          </w:rPr>
          <w:fldChar w:fldCharType="begin"/>
        </w:r>
        <w:r>
          <w:rPr>
            <w:noProof/>
            <w:webHidden/>
          </w:rPr>
          <w:instrText xml:space="preserve"> PAGEREF _Toc355268749 \h </w:instrText>
        </w:r>
        <w:r>
          <w:rPr>
            <w:noProof/>
            <w:webHidden/>
          </w:rPr>
        </w:r>
        <w:r>
          <w:rPr>
            <w:noProof/>
            <w:webHidden/>
          </w:rPr>
          <w:fldChar w:fldCharType="separate"/>
        </w:r>
        <w:r>
          <w:rPr>
            <w:noProof/>
            <w:webHidden/>
          </w:rPr>
          <w:t>22</w:t>
        </w:r>
        <w:r>
          <w:rPr>
            <w:noProof/>
            <w:webHidden/>
          </w:rPr>
          <w:fldChar w:fldCharType="end"/>
        </w:r>
      </w:hyperlink>
    </w:p>
    <w:p w:rsidR="007024F9" w:rsidRDefault="007024F9">
      <w:pPr>
        <w:pStyle w:val="TOC2"/>
        <w:tabs>
          <w:tab w:val="right" w:leader="dot" w:pos="7644"/>
        </w:tabs>
        <w:rPr>
          <w:rFonts w:ascii="Calibri" w:hAnsi="Calibri"/>
          <w:b w:val="0"/>
          <w:bCs w:val="0"/>
          <w:noProof/>
          <w:sz w:val="22"/>
          <w:szCs w:val="22"/>
          <w:lang w:eastAsia="sv-SE"/>
        </w:rPr>
      </w:pPr>
      <w:hyperlink w:anchor="_Toc355268750" w:history="1">
        <w:r w:rsidRPr="00496DFC">
          <w:rPr>
            <w:rStyle w:val="Hyperlink"/>
            <w:noProof/>
          </w:rPr>
          <w:t>25. Proposal for a Regulation of the European Parliament and of the Council amending Regulation (EC) No 1060/2009 on credit rating agencies [First Reading] (LA)- Adoption of the legislative act</w:t>
        </w:r>
        <w:r>
          <w:rPr>
            <w:noProof/>
            <w:webHidden/>
          </w:rPr>
          <w:tab/>
        </w:r>
        <w:r>
          <w:rPr>
            <w:noProof/>
            <w:webHidden/>
          </w:rPr>
          <w:fldChar w:fldCharType="begin"/>
        </w:r>
        <w:r>
          <w:rPr>
            <w:noProof/>
            <w:webHidden/>
          </w:rPr>
          <w:instrText xml:space="preserve"> PAGEREF _Toc355268750 \h </w:instrText>
        </w:r>
        <w:r>
          <w:rPr>
            <w:noProof/>
            <w:webHidden/>
          </w:rPr>
        </w:r>
        <w:r>
          <w:rPr>
            <w:noProof/>
            <w:webHidden/>
          </w:rPr>
          <w:fldChar w:fldCharType="separate"/>
        </w:r>
        <w:r>
          <w:rPr>
            <w:noProof/>
            <w:webHidden/>
          </w:rPr>
          <w:t>23</w:t>
        </w:r>
        <w:r>
          <w:rPr>
            <w:noProof/>
            <w:webHidden/>
          </w:rPr>
          <w:fldChar w:fldCharType="end"/>
        </w:r>
      </w:hyperlink>
    </w:p>
    <w:p w:rsidR="007024F9" w:rsidRDefault="007024F9">
      <w:pPr>
        <w:pStyle w:val="TOC2"/>
        <w:tabs>
          <w:tab w:val="right" w:leader="dot" w:pos="7644"/>
        </w:tabs>
        <w:rPr>
          <w:rFonts w:ascii="Calibri" w:hAnsi="Calibri"/>
          <w:b w:val="0"/>
          <w:bCs w:val="0"/>
          <w:noProof/>
          <w:sz w:val="22"/>
          <w:szCs w:val="22"/>
          <w:lang w:eastAsia="sv-SE"/>
        </w:rPr>
      </w:pPr>
      <w:hyperlink w:anchor="_Toc355268751" w:history="1">
        <w:r w:rsidRPr="00496DFC">
          <w:rPr>
            <w:rStyle w:val="Hyperlink"/>
            <w:noProof/>
          </w:rPr>
          <w:t>26. New method of calculation of the per diem for seconded staff participating in EU civilian crisis management missions and EUSRs teams</w:t>
        </w:r>
        <w:r>
          <w:rPr>
            <w:noProof/>
            <w:webHidden/>
          </w:rPr>
          <w:tab/>
        </w:r>
        <w:r>
          <w:rPr>
            <w:noProof/>
            <w:webHidden/>
          </w:rPr>
          <w:fldChar w:fldCharType="begin"/>
        </w:r>
        <w:r>
          <w:rPr>
            <w:noProof/>
            <w:webHidden/>
          </w:rPr>
          <w:instrText xml:space="preserve"> PAGEREF _Toc355268751 \h </w:instrText>
        </w:r>
        <w:r>
          <w:rPr>
            <w:noProof/>
            <w:webHidden/>
          </w:rPr>
        </w:r>
        <w:r>
          <w:rPr>
            <w:noProof/>
            <w:webHidden/>
          </w:rPr>
          <w:fldChar w:fldCharType="separate"/>
        </w:r>
        <w:r>
          <w:rPr>
            <w:noProof/>
            <w:webHidden/>
          </w:rPr>
          <w:t>24</w:t>
        </w:r>
        <w:r>
          <w:rPr>
            <w:noProof/>
            <w:webHidden/>
          </w:rPr>
          <w:fldChar w:fldCharType="end"/>
        </w:r>
      </w:hyperlink>
    </w:p>
    <w:p w:rsidR="007024F9" w:rsidRDefault="007024F9">
      <w:pPr>
        <w:pStyle w:val="RKnormal"/>
        <w:ind w:left="0"/>
        <w:rPr>
          <w:b/>
          <w:bCs/>
        </w:rPr>
      </w:pPr>
      <w:r>
        <w:rPr>
          <w:b/>
          <w:bCs/>
        </w:rPr>
        <w:fldChar w:fldCharType="end"/>
      </w:r>
    </w:p>
    <w:p w:rsidR="007024F9" w:rsidRDefault="007024F9">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55268723"/>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7024F9" w:rsidRDefault="007024F9">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7024F9" w:rsidRDefault="007024F9">
      <w:pPr>
        <w:pStyle w:val="Heading1"/>
        <w:spacing w:before="0" w:after="0"/>
      </w:pPr>
      <w:r>
        <w:t xml:space="preserve"> </w:t>
      </w:r>
      <w:bookmarkStart w:id="55" w:name="Punkt"/>
      <w:bookmarkEnd w:id="55"/>
    </w:p>
    <w:p w:rsidR="007024F9" w:rsidRDefault="007024F9" w:rsidP="00AC22F2">
      <w:pPr>
        <w:pStyle w:val="Heading1"/>
      </w:pPr>
      <w:bookmarkStart w:id="56" w:name="_Toc355268724"/>
      <w:r>
        <w:t>Troliga A-punkter inför kommande rådsmöten som förväntas godkännas vid Coreper I 2013-05-02.</w:t>
      </w:r>
      <w:bookmarkEnd w:id="56"/>
    </w:p>
    <w:p w:rsidR="007024F9" w:rsidRDefault="007024F9">
      <w:pPr>
        <w:pStyle w:val="RKnormal"/>
        <w:tabs>
          <w:tab w:val="clear" w:pos="1843"/>
          <w:tab w:val="left" w:pos="0"/>
        </w:tabs>
        <w:ind w:left="0"/>
      </w:pPr>
      <w:r>
        <w:t xml:space="preserve">  </w:t>
      </w:r>
    </w:p>
    <w:p w:rsidR="007024F9" w:rsidRDefault="007024F9" w:rsidP="00321C84">
      <w:pPr>
        <w:pStyle w:val="Heading2"/>
      </w:pPr>
      <w:bookmarkStart w:id="57" w:name="_Toc355268725"/>
      <w:r>
        <w:t>1. Replies to written questions put to the Council by Members of the European Parliament (+)</w:t>
      </w:r>
      <w:bookmarkEnd w:id="57"/>
    </w:p>
    <w:p w:rsidR="007024F9" w:rsidRPr="00321C84" w:rsidRDefault="007024F9" w:rsidP="00B04E1A">
      <w:r>
        <w:t>(a) n° E-001563/2013 put by Carlos Coelho "Security of biometric passports"  (b) n° P-001905/2013 put by Anna Záborská "European citizens' initiatives - exceptional extension of deadline - implementation by national authorities" (c) n° E-002146/2013 put by Auke Zijlstra "Necessity of border controls" (d) n° E-002169/2013 put by Mario Borghezio "Clarification on the EU/Turkey readmission agreement"(e) n° E-002266/2013 put by João Ferreira and Inês Cristina Zuber "National envelopes under the common agricultural policy (CAP) (2014-2020) and Portugal's situation" (f) n° E-002458/2013 put by Matteo Salvini "Consequences for European agriculture and agro-food industries of the removal of 55 % of the duties on imports of citrus fruit from Morocco"</w:t>
      </w:r>
    </w:p>
    <w:p w:rsidR="007024F9" w:rsidRDefault="007024F9">
      <w:pPr>
        <w:pStyle w:val="RKnormal"/>
        <w:tabs>
          <w:tab w:val="clear" w:pos="1843"/>
          <w:tab w:val="left" w:pos="0"/>
        </w:tabs>
        <w:ind w:left="0"/>
      </w:pPr>
    </w:p>
    <w:p w:rsidR="007024F9" w:rsidRPr="00321C84" w:rsidRDefault="007024F9" w:rsidP="00321C84">
      <w:r>
        <w:t>8113/13, 8131/13, 8202/13, 8128/13, 8084/13, 8085/13</w:t>
      </w:r>
    </w:p>
    <w:p w:rsidR="007024F9" w:rsidRDefault="007024F9">
      <w:pPr>
        <w:pStyle w:val="RKnormal"/>
        <w:tabs>
          <w:tab w:val="clear" w:pos="1843"/>
          <w:tab w:val="left" w:pos="0"/>
        </w:tabs>
        <w:ind w:left="0"/>
      </w:pPr>
    </w:p>
    <w:p w:rsidR="007024F9" w:rsidRPr="00321C84" w:rsidRDefault="007024F9" w:rsidP="00321C84">
      <w:r>
        <w:t>Ansvarigt departement: Statsrådsberedningen</w:t>
      </w:r>
    </w:p>
    <w:p w:rsidR="007024F9" w:rsidRDefault="007024F9">
      <w:pPr>
        <w:pStyle w:val="RKnormal"/>
        <w:tabs>
          <w:tab w:val="clear" w:pos="1843"/>
          <w:tab w:val="left" w:pos="0"/>
        </w:tabs>
        <w:ind w:left="0"/>
      </w:pPr>
    </w:p>
    <w:p w:rsidR="007024F9" w:rsidRPr="00321C84" w:rsidRDefault="007024F9" w:rsidP="00321C84">
      <w:r>
        <w:t>Ansvarigt statsråd: Birgitta Ohlsson</w:t>
      </w:r>
    </w:p>
    <w:p w:rsidR="007024F9" w:rsidRDefault="007024F9">
      <w:pPr>
        <w:pStyle w:val="RKnormal"/>
        <w:tabs>
          <w:tab w:val="clear" w:pos="1843"/>
          <w:tab w:val="left" w:pos="0"/>
        </w:tabs>
        <w:ind w:left="0"/>
      </w:pPr>
    </w:p>
    <w:p w:rsidR="007024F9" w:rsidRPr="00321C84" w:rsidRDefault="007024F9" w:rsidP="00321C84">
      <w:r>
        <w:t>Förväntas godkännas av Coreper I den 2 maj 2013</w:t>
      </w:r>
    </w:p>
    <w:p w:rsidR="007024F9" w:rsidRDefault="007024F9">
      <w:pPr>
        <w:pStyle w:val="RKnormal"/>
        <w:tabs>
          <w:tab w:val="clear" w:pos="1843"/>
          <w:tab w:val="left" w:pos="0"/>
        </w:tabs>
        <w:ind w:left="0"/>
      </w:pPr>
    </w:p>
    <w:p w:rsidR="007024F9" w:rsidRDefault="007024F9">
      <w:pPr>
        <w:pStyle w:val="RKnormal"/>
        <w:tabs>
          <w:tab w:val="clear" w:pos="1843"/>
          <w:tab w:val="left" w:pos="0"/>
        </w:tabs>
        <w:ind w:left="0"/>
      </w:pPr>
      <w:r w:rsidRPr="00AC22F2">
        <w:t>Föranleder ingen annotering.</w:t>
      </w:r>
      <w:r>
        <w:t xml:space="preserve"> </w:t>
      </w:r>
    </w:p>
    <w:p w:rsidR="007024F9" w:rsidRDefault="007024F9">
      <w:pPr>
        <w:spacing w:line="240" w:lineRule="auto"/>
        <w:rPr>
          <w:rFonts w:ascii="Arial" w:hAnsi="Arial" w:cs="Arial"/>
          <w:b/>
          <w:i/>
          <w:iCs/>
          <w:kern w:val="28"/>
        </w:rPr>
      </w:pPr>
      <w:r>
        <w:br w:type="page"/>
      </w:r>
    </w:p>
    <w:p w:rsidR="007024F9" w:rsidRPr="00321C84" w:rsidRDefault="007024F9" w:rsidP="00321C84">
      <w:pPr>
        <w:pStyle w:val="Heading2"/>
      </w:pPr>
      <w:bookmarkStart w:id="58" w:name="_Toc355268726"/>
      <w:r>
        <w:t>2. Case before the Court of Justice of the European Union Case C-86/13 (European Commission / Council of the European Union)= Information note for the Permanent Representatives Committee (Part 1)</w:t>
      </w:r>
      <w:bookmarkEnd w:id="58"/>
    </w:p>
    <w:p w:rsidR="007024F9" w:rsidRPr="00321C84" w:rsidRDefault="007024F9" w:rsidP="00321C84">
      <w:r>
        <w:t>8924/13</w:t>
      </w:r>
    </w:p>
    <w:p w:rsidR="007024F9" w:rsidRDefault="007024F9">
      <w:pPr>
        <w:pStyle w:val="RKnormal"/>
        <w:tabs>
          <w:tab w:val="clear" w:pos="1843"/>
          <w:tab w:val="left" w:pos="0"/>
        </w:tabs>
        <w:ind w:left="0"/>
      </w:pPr>
    </w:p>
    <w:p w:rsidR="007024F9" w:rsidRPr="00321C84" w:rsidRDefault="007024F9" w:rsidP="00321C84">
      <w:r>
        <w:t>Ansvarigt departement: Utrikesdepartementet</w:t>
      </w:r>
    </w:p>
    <w:p w:rsidR="007024F9" w:rsidRDefault="007024F9">
      <w:pPr>
        <w:pStyle w:val="RKnormal"/>
        <w:tabs>
          <w:tab w:val="clear" w:pos="1843"/>
          <w:tab w:val="left" w:pos="0"/>
        </w:tabs>
        <w:ind w:left="0"/>
      </w:pPr>
    </w:p>
    <w:p w:rsidR="007024F9" w:rsidRPr="00321C84" w:rsidRDefault="007024F9" w:rsidP="00321C84">
      <w:r>
        <w:t>Ansvarigt statsråd: Birgitta Ohlsson</w:t>
      </w:r>
    </w:p>
    <w:p w:rsidR="007024F9" w:rsidRDefault="007024F9">
      <w:pPr>
        <w:pStyle w:val="RKnormal"/>
        <w:tabs>
          <w:tab w:val="clear" w:pos="1843"/>
          <w:tab w:val="left" w:pos="0"/>
        </w:tabs>
        <w:ind w:left="0"/>
      </w:pPr>
    </w:p>
    <w:p w:rsidR="007024F9" w:rsidRPr="00321C84" w:rsidRDefault="007024F9" w:rsidP="00321C84">
      <w:r>
        <w:t>Förväntas godkännas av Coreper I den 2 maj 2013</w:t>
      </w:r>
    </w:p>
    <w:p w:rsidR="007024F9" w:rsidRDefault="007024F9">
      <w:pPr>
        <w:pStyle w:val="RKnormal"/>
        <w:tabs>
          <w:tab w:val="clear" w:pos="1843"/>
          <w:tab w:val="left" w:pos="0"/>
        </w:tabs>
        <w:ind w:left="0"/>
      </w:pPr>
    </w:p>
    <w:p w:rsidR="007024F9" w:rsidRDefault="007024F9" w:rsidP="00B04E1A">
      <w:r>
        <w:t xml:space="preserve">Föranleder ingen annotering. </w:t>
      </w:r>
    </w:p>
    <w:p w:rsidR="007024F9" w:rsidRPr="00321C84" w:rsidRDefault="007024F9" w:rsidP="00321C84">
      <w:pPr>
        <w:pStyle w:val="Heading2"/>
      </w:pPr>
      <w:bookmarkStart w:id="59" w:name="_Toc355268727"/>
      <w:r>
        <w:t>3. Case before the Court of Justice of the European Union Case-C-19/13 (preliminary ruling Ministero dell'Interno (Repubblica italiana) against FASTWEB S.p.a.) = Information note for the Permanent Representatives Committee (Part 1)</w:t>
      </w:r>
      <w:bookmarkEnd w:id="59"/>
    </w:p>
    <w:p w:rsidR="007024F9" w:rsidRPr="00321C84" w:rsidRDefault="007024F9" w:rsidP="00321C84">
      <w:r>
        <w:t>8863/13</w:t>
      </w:r>
    </w:p>
    <w:p w:rsidR="007024F9" w:rsidRDefault="007024F9">
      <w:pPr>
        <w:pStyle w:val="RKnormal"/>
        <w:tabs>
          <w:tab w:val="clear" w:pos="1843"/>
          <w:tab w:val="left" w:pos="0"/>
        </w:tabs>
        <w:ind w:left="0"/>
      </w:pPr>
    </w:p>
    <w:p w:rsidR="007024F9" w:rsidRPr="00321C84" w:rsidRDefault="007024F9" w:rsidP="00321C84">
      <w:r>
        <w:t>Ansvarigt departement: Utrikesdepartementet</w:t>
      </w:r>
    </w:p>
    <w:p w:rsidR="007024F9" w:rsidRDefault="007024F9">
      <w:pPr>
        <w:pStyle w:val="RKnormal"/>
        <w:tabs>
          <w:tab w:val="clear" w:pos="1843"/>
          <w:tab w:val="left" w:pos="0"/>
        </w:tabs>
        <w:ind w:left="0"/>
      </w:pPr>
    </w:p>
    <w:p w:rsidR="007024F9" w:rsidRPr="00321C84" w:rsidRDefault="007024F9" w:rsidP="00321C84">
      <w:r>
        <w:t>Ansvarigt statsråd: Birgitta Ohlsson</w:t>
      </w:r>
    </w:p>
    <w:p w:rsidR="007024F9" w:rsidRDefault="007024F9">
      <w:pPr>
        <w:pStyle w:val="RKnormal"/>
        <w:tabs>
          <w:tab w:val="clear" w:pos="1843"/>
          <w:tab w:val="left" w:pos="0"/>
        </w:tabs>
        <w:ind w:left="0"/>
      </w:pPr>
    </w:p>
    <w:p w:rsidR="007024F9" w:rsidRPr="00321C84" w:rsidRDefault="007024F9" w:rsidP="00321C84">
      <w:r>
        <w:t>Förväntas godkännas av Coreper I den 2 maj 2013</w:t>
      </w:r>
    </w:p>
    <w:p w:rsidR="007024F9" w:rsidRDefault="007024F9">
      <w:pPr>
        <w:pStyle w:val="RKnormal"/>
        <w:tabs>
          <w:tab w:val="clear" w:pos="1843"/>
          <w:tab w:val="left" w:pos="0"/>
        </w:tabs>
        <w:ind w:left="0"/>
      </w:pPr>
    </w:p>
    <w:p w:rsidR="007024F9" w:rsidRDefault="007024F9" w:rsidP="00B04E1A">
      <w:r>
        <w:t xml:space="preserve">Föranleder ingen annotering.  </w:t>
      </w:r>
    </w:p>
    <w:p w:rsidR="007024F9" w:rsidRPr="00321C84" w:rsidRDefault="007024F9" w:rsidP="00321C84">
      <w:pPr>
        <w:pStyle w:val="Heading2"/>
      </w:pPr>
      <w:bookmarkStart w:id="60" w:name="_Toc355268728"/>
      <w:r>
        <w:t>4. Management Board of the European Chemicals Agency= Adoption of a Council Decision appointing twelve members</w:t>
      </w:r>
      <w:bookmarkEnd w:id="60"/>
    </w:p>
    <w:p w:rsidR="007024F9" w:rsidRPr="00321C84" w:rsidRDefault="007024F9" w:rsidP="00321C84">
      <w:r>
        <w:t>8817/13, 8588/13</w:t>
      </w:r>
    </w:p>
    <w:p w:rsidR="007024F9" w:rsidRDefault="007024F9">
      <w:pPr>
        <w:pStyle w:val="RKnormal"/>
        <w:tabs>
          <w:tab w:val="clear" w:pos="1843"/>
          <w:tab w:val="left" w:pos="0"/>
        </w:tabs>
        <w:ind w:left="0"/>
      </w:pPr>
    </w:p>
    <w:p w:rsidR="007024F9" w:rsidRPr="002659F5" w:rsidRDefault="007024F9" w:rsidP="00321C84">
      <w:r w:rsidRPr="002659F5">
        <w:t>Ansvarigt departement: Miljödepartementet</w:t>
      </w:r>
    </w:p>
    <w:p w:rsidR="007024F9" w:rsidRPr="002659F5" w:rsidRDefault="007024F9">
      <w:pPr>
        <w:pStyle w:val="RKnormal"/>
        <w:tabs>
          <w:tab w:val="clear" w:pos="1843"/>
          <w:tab w:val="left" w:pos="0"/>
        </w:tabs>
        <w:ind w:left="0"/>
      </w:pPr>
    </w:p>
    <w:p w:rsidR="007024F9" w:rsidRPr="002659F5" w:rsidRDefault="007024F9" w:rsidP="00321C84">
      <w:r w:rsidRPr="002659F5">
        <w:t>Ansvarigt statsråd: Lena Ek</w:t>
      </w:r>
    </w:p>
    <w:p w:rsidR="007024F9" w:rsidRPr="002659F5" w:rsidRDefault="007024F9">
      <w:pPr>
        <w:pStyle w:val="RKnormal"/>
        <w:tabs>
          <w:tab w:val="clear" w:pos="1843"/>
          <w:tab w:val="left" w:pos="0"/>
        </w:tabs>
        <w:ind w:left="0"/>
      </w:pPr>
    </w:p>
    <w:p w:rsidR="007024F9" w:rsidRPr="002659F5" w:rsidRDefault="007024F9" w:rsidP="00321C84">
      <w:r w:rsidRPr="002659F5">
        <w:t>Tidigare behandling vid rådsmöte: Miljörådet</w:t>
      </w:r>
    </w:p>
    <w:p w:rsidR="007024F9" w:rsidRPr="002659F5" w:rsidRDefault="007024F9">
      <w:pPr>
        <w:pStyle w:val="RKnormal"/>
        <w:tabs>
          <w:tab w:val="clear" w:pos="1843"/>
          <w:tab w:val="left" w:pos="0"/>
        </w:tabs>
        <w:ind w:left="0"/>
      </w:pPr>
    </w:p>
    <w:p w:rsidR="007024F9" w:rsidRDefault="007024F9" w:rsidP="00321C84">
      <w:r>
        <w:t>Förväntas godkännas av Coreper I den 2 maj 2013</w:t>
      </w:r>
    </w:p>
    <w:p w:rsidR="007024F9" w:rsidRDefault="007024F9" w:rsidP="00321C84"/>
    <w:p w:rsidR="007024F9" w:rsidRDefault="007024F9" w:rsidP="002659F5">
      <w:r>
        <w:t xml:space="preserve">Avsikt med behandlingen i rådet: </w:t>
      </w:r>
    </w:p>
    <w:p w:rsidR="007024F9" w:rsidRDefault="007024F9" w:rsidP="002659F5">
      <w:r>
        <w:t>Rådet föreslås anta beslutet om utnämning av tolv ledamöter i Echas styrelse och enas om att offentliggöra detta beslut i Europeiska unionens officiella tidning.</w:t>
      </w:r>
    </w:p>
    <w:p w:rsidR="007024F9" w:rsidRDefault="007024F9" w:rsidP="002659F5"/>
    <w:p w:rsidR="007024F9" w:rsidRDefault="007024F9" w:rsidP="002659F5">
      <w:r>
        <w:t xml:space="preserve">Hur regeringen ställer sig till den blivande a-punkten: </w:t>
      </w:r>
    </w:p>
    <w:p w:rsidR="007024F9" w:rsidRDefault="007024F9" w:rsidP="002659F5">
      <w:r>
        <w:t>Regeringen avser att inte invända mot att rådet antar beslutet samt att publicering sker i EUT.</w:t>
      </w:r>
    </w:p>
    <w:p w:rsidR="007024F9" w:rsidRDefault="007024F9" w:rsidP="002659F5"/>
    <w:p w:rsidR="007024F9" w:rsidRDefault="007024F9" w:rsidP="002659F5">
      <w:r>
        <w:t>Bakgrund:</w:t>
      </w:r>
    </w:p>
    <w:p w:rsidR="007024F9" w:rsidRDefault="007024F9" w:rsidP="00176210">
      <w:r>
        <w:t xml:space="preserve">Den europeiska kemikaliemyndigheten i Helsingfors (ECHA) har inrättats för att handlägga och i vissa fall utföra tekniska, vetenskapliga och administrativa frågor i samband med Europaparlamentets och rådets förordning (EG) nr 1907/2006 om registrering, utvärdering, godkännande och begränsning av kemikalier (Reach). Myndigheten leds av en styrelse som bl.a. består av en representant från varje medlemsstat. Dessa ledamöter föreslås av respektive medlemsstat och utses av rådet. Mandatperioden är fyra år. Styrelseledamöterna som föreslogs av Tjeckien, Irland, Spanien, Frankrike, Italien, Luxemburg, Ungern, Nederländerna, Österrike, Slovenien, Finland och Sverige utnämndes alla för en period som löper ut den 31 maj 2013. Styrelseledamöter har föreslagits från respektive medlemsstat och bör utnämnas för perioden från och med den 1 juni 2013 till och med den 31 maj 2017. </w:t>
      </w:r>
    </w:p>
    <w:p w:rsidR="007024F9" w:rsidRPr="00321C84" w:rsidRDefault="007024F9" w:rsidP="00321C84">
      <w:pPr>
        <w:pStyle w:val="Heading2"/>
      </w:pPr>
      <w:bookmarkStart w:id="61" w:name="_Toc355268729"/>
      <w:r>
        <w:t>5. Commission Directive ../.../EU amending Directive 98/8/EC of the European Parliament and of the Council to include 1R-trans phenothrin as an active substance in Annex I thereto = Decision not to oppose adoption</w:t>
      </w:r>
      <w:bookmarkEnd w:id="61"/>
    </w:p>
    <w:p w:rsidR="007024F9" w:rsidRPr="00176210" w:rsidRDefault="007024F9" w:rsidP="00321C84">
      <w:r w:rsidRPr="00176210">
        <w:t>7773/13, 8330/13</w:t>
      </w:r>
    </w:p>
    <w:p w:rsidR="007024F9" w:rsidRPr="00176210" w:rsidRDefault="007024F9">
      <w:pPr>
        <w:pStyle w:val="RKnormal"/>
        <w:tabs>
          <w:tab w:val="clear" w:pos="1843"/>
          <w:tab w:val="left" w:pos="0"/>
        </w:tabs>
        <w:ind w:left="0"/>
      </w:pPr>
    </w:p>
    <w:p w:rsidR="007024F9" w:rsidRPr="00176210" w:rsidRDefault="007024F9" w:rsidP="00321C84">
      <w:r w:rsidRPr="00176210">
        <w:t>Ansvarigt departement: Miljödepartementet</w:t>
      </w:r>
    </w:p>
    <w:p w:rsidR="007024F9" w:rsidRPr="00176210" w:rsidRDefault="007024F9">
      <w:pPr>
        <w:pStyle w:val="RKnormal"/>
        <w:tabs>
          <w:tab w:val="clear" w:pos="1843"/>
          <w:tab w:val="left" w:pos="0"/>
        </w:tabs>
        <w:ind w:left="0"/>
      </w:pPr>
    </w:p>
    <w:p w:rsidR="007024F9" w:rsidRPr="00176210" w:rsidRDefault="007024F9" w:rsidP="00321C84">
      <w:r w:rsidRPr="00176210">
        <w:t>Ansvarigt statsråd: Lena Ek</w:t>
      </w:r>
    </w:p>
    <w:p w:rsidR="007024F9" w:rsidRPr="00176210" w:rsidRDefault="007024F9">
      <w:pPr>
        <w:pStyle w:val="RKnormal"/>
        <w:tabs>
          <w:tab w:val="clear" w:pos="1843"/>
          <w:tab w:val="left" w:pos="0"/>
        </w:tabs>
        <w:ind w:left="0"/>
      </w:pPr>
    </w:p>
    <w:p w:rsidR="007024F9" w:rsidRPr="00176210" w:rsidRDefault="007024F9" w:rsidP="00321C84">
      <w:r w:rsidRPr="00176210">
        <w:t>Tidigare behandling vid rådsmöte: Miljörådet</w:t>
      </w:r>
    </w:p>
    <w:p w:rsidR="007024F9" w:rsidRPr="00176210" w:rsidRDefault="007024F9">
      <w:pPr>
        <w:pStyle w:val="RKnormal"/>
        <w:tabs>
          <w:tab w:val="clear" w:pos="1843"/>
          <w:tab w:val="left" w:pos="0"/>
        </w:tabs>
        <w:ind w:left="0"/>
      </w:pPr>
    </w:p>
    <w:p w:rsidR="007024F9" w:rsidRDefault="007024F9" w:rsidP="00321C84">
      <w:r>
        <w:t>Förväntas godkännas av Coreper I den 2 maj 2013</w:t>
      </w:r>
    </w:p>
    <w:p w:rsidR="007024F9" w:rsidRDefault="007024F9" w:rsidP="00321C84"/>
    <w:p w:rsidR="007024F9" w:rsidRDefault="007024F9" w:rsidP="00176210">
      <w:r>
        <w:t xml:space="preserve">Avsikt med behandlingen i rådet: </w:t>
      </w:r>
    </w:p>
    <w:p w:rsidR="007024F9" w:rsidRDefault="007024F9" w:rsidP="00176210">
      <w:r>
        <w:t xml:space="preserve">Rådet föreslås inte invända mot att Kommissionen antar beslutet. </w:t>
      </w:r>
    </w:p>
    <w:p w:rsidR="007024F9" w:rsidRDefault="007024F9" w:rsidP="00176210"/>
    <w:p w:rsidR="007024F9" w:rsidRDefault="007024F9" w:rsidP="00176210">
      <w:r>
        <w:t xml:space="preserve">Hur regeringen ställer sig till den blivande a-punkten: </w:t>
      </w:r>
    </w:p>
    <w:p w:rsidR="007024F9" w:rsidRDefault="007024F9" w:rsidP="00176210">
      <w:r>
        <w:t>Regeringen avser att inte invända mot att kommissionen antar direktiv om att ta upp 1R-trans-fenotrin för produkttyp 18 i bilaga I till biociddirektivet.</w:t>
      </w:r>
    </w:p>
    <w:p w:rsidR="007024F9" w:rsidRDefault="007024F9" w:rsidP="00176210"/>
    <w:p w:rsidR="007024F9" w:rsidRDefault="007024F9" w:rsidP="00176210">
      <w:r>
        <w:t xml:space="preserve">Bakgrund: </w:t>
      </w:r>
    </w:p>
    <w:p w:rsidR="007024F9" w:rsidRDefault="007024F9" w:rsidP="00560A78">
      <w:r>
        <w:t xml:space="preserve">Ständiga kommittén för biocider har behandlat ett antal ämnen och tagit ställning till om de ska kunna ingå i biocidprodukter (upptag i bilaga 1 till direktivet om utsläppande av biocidprodukter på marknaden 98/8/EG) eller om de inte ska tas upp (innebär att ämnen inte får förekomma i biocidprodukter inom unionen). Kommittén har röstat enhälligt för det förslag om upptag av 1R-trans-fenotrin på bilaga 1 som KOM har lagt fram. </w:t>
      </w:r>
    </w:p>
    <w:p w:rsidR="007024F9" w:rsidRPr="00321C84" w:rsidRDefault="007024F9" w:rsidP="00321C84">
      <w:pPr>
        <w:pStyle w:val="Heading2"/>
      </w:pPr>
      <w:bookmarkStart w:id="62" w:name="_Toc355268730"/>
      <w:r>
        <w:t>6. Draft Commission Regulation (EU) No .../.. of XXX amending Regulation (EU) No 142/2011 as regards the transit of certain animal by-products from Bosnia and Herzegovina = Decision not to oppose adoption</w:t>
      </w:r>
      <w:bookmarkEnd w:id="62"/>
    </w:p>
    <w:p w:rsidR="007024F9" w:rsidRPr="00321C84" w:rsidRDefault="007024F9" w:rsidP="00321C84">
      <w:r>
        <w:t>8735/13</w:t>
      </w:r>
    </w:p>
    <w:p w:rsidR="007024F9" w:rsidRDefault="007024F9">
      <w:pPr>
        <w:pStyle w:val="RKnormal"/>
        <w:tabs>
          <w:tab w:val="clear" w:pos="1843"/>
          <w:tab w:val="left" w:pos="0"/>
        </w:tabs>
        <w:ind w:left="0"/>
      </w:pPr>
    </w:p>
    <w:p w:rsidR="007024F9" w:rsidRPr="00321C84" w:rsidRDefault="007024F9" w:rsidP="00321C84">
      <w:r>
        <w:t>Ansvarigt departement: Landsbygdsdepartementet</w:t>
      </w:r>
    </w:p>
    <w:p w:rsidR="007024F9" w:rsidRDefault="007024F9">
      <w:pPr>
        <w:pStyle w:val="RKnormal"/>
        <w:tabs>
          <w:tab w:val="clear" w:pos="1843"/>
          <w:tab w:val="left" w:pos="0"/>
        </w:tabs>
        <w:ind w:left="0"/>
      </w:pPr>
    </w:p>
    <w:p w:rsidR="007024F9" w:rsidRPr="00321C84" w:rsidRDefault="007024F9" w:rsidP="00321C84">
      <w:r>
        <w:t>Ansvarigt statsråd: Eskil Erlandsson</w:t>
      </w:r>
    </w:p>
    <w:p w:rsidR="007024F9" w:rsidRDefault="007024F9">
      <w:pPr>
        <w:pStyle w:val="RKnormal"/>
        <w:tabs>
          <w:tab w:val="clear" w:pos="1843"/>
          <w:tab w:val="left" w:pos="0"/>
        </w:tabs>
        <w:ind w:left="0"/>
      </w:pPr>
    </w:p>
    <w:p w:rsidR="007024F9" w:rsidRPr="00321C84" w:rsidRDefault="007024F9" w:rsidP="00321C84">
      <w:r>
        <w:t>Förväntas godkännas av Coreper I den 2 maj 2013</w:t>
      </w:r>
    </w:p>
    <w:p w:rsidR="007024F9" w:rsidRDefault="007024F9">
      <w:pPr>
        <w:pStyle w:val="RKnormal"/>
        <w:tabs>
          <w:tab w:val="clear" w:pos="1843"/>
          <w:tab w:val="left" w:pos="0"/>
        </w:tabs>
        <w:ind w:left="0"/>
      </w:pPr>
    </w:p>
    <w:p w:rsidR="007024F9" w:rsidRDefault="007024F9" w:rsidP="00B04E1A">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7024F9" w:rsidRPr="00321C84" w:rsidRDefault="007024F9" w:rsidP="00321C84">
      <w:pPr>
        <w:pStyle w:val="Heading2"/>
      </w:pPr>
      <w:bookmarkStart w:id="63" w:name="_Toc355268731"/>
      <w:r>
        <w:t>7. Meeting of the World Anti-Doping Agency (WADA) (Montreal, 11-12 May 2013) = European Union coordination of a common position</w:t>
      </w:r>
      <w:bookmarkEnd w:id="63"/>
    </w:p>
    <w:p w:rsidR="007024F9" w:rsidRPr="00321C84" w:rsidRDefault="007024F9" w:rsidP="00321C84">
      <w:r>
        <w:t>8900/13</w:t>
      </w:r>
    </w:p>
    <w:p w:rsidR="007024F9" w:rsidRDefault="007024F9">
      <w:pPr>
        <w:pStyle w:val="RKnormal"/>
        <w:tabs>
          <w:tab w:val="clear" w:pos="1843"/>
          <w:tab w:val="left" w:pos="0"/>
        </w:tabs>
        <w:ind w:left="0"/>
      </w:pPr>
    </w:p>
    <w:p w:rsidR="007024F9" w:rsidRPr="00321C84" w:rsidRDefault="007024F9" w:rsidP="00321C84">
      <w:r>
        <w:t>Ansvarigt departement: Kulturdepartementet</w:t>
      </w:r>
    </w:p>
    <w:p w:rsidR="007024F9" w:rsidRDefault="007024F9">
      <w:pPr>
        <w:pStyle w:val="RKnormal"/>
        <w:tabs>
          <w:tab w:val="clear" w:pos="1843"/>
          <w:tab w:val="left" w:pos="0"/>
        </w:tabs>
        <w:ind w:left="0"/>
      </w:pPr>
    </w:p>
    <w:p w:rsidR="007024F9" w:rsidRPr="00321C84" w:rsidRDefault="007024F9" w:rsidP="00321C84">
      <w:r>
        <w:t>Ansvarigt statsråd: Lena Adelsohn Liljeroth</w:t>
      </w:r>
    </w:p>
    <w:p w:rsidR="007024F9" w:rsidRDefault="007024F9">
      <w:pPr>
        <w:pStyle w:val="RKnormal"/>
        <w:tabs>
          <w:tab w:val="clear" w:pos="1843"/>
          <w:tab w:val="left" w:pos="0"/>
        </w:tabs>
        <w:ind w:left="0"/>
      </w:pPr>
    </w:p>
    <w:p w:rsidR="007024F9" w:rsidRPr="00321C84" w:rsidRDefault="007024F9" w:rsidP="00321C84">
      <w:r>
        <w:t>Förväntas godkännas av Coreper I den 2 maj 2013</w:t>
      </w:r>
    </w:p>
    <w:p w:rsidR="007024F9" w:rsidRDefault="007024F9">
      <w:pPr>
        <w:pStyle w:val="RKnormal"/>
        <w:tabs>
          <w:tab w:val="clear" w:pos="1843"/>
          <w:tab w:val="left" w:pos="0"/>
        </w:tabs>
        <w:ind w:left="0"/>
      </w:pPr>
    </w:p>
    <w:p w:rsidR="007024F9" w:rsidRDefault="007024F9" w:rsidP="00321C84">
      <w:r>
        <w:t xml:space="preserve">Avsikt med behandlingen i rådet: </w:t>
      </w:r>
    </w:p>
    <w:p w:rsidR="007024F9" w:rsidRDefault="007024F9" w:rsidP="00321C84">
      <w:r>
        <w:t>Coreper ska bekräfta unionens och MS ståndpunkter inför mötet i WADA.</w:t>
      </w:r>
    </w:p>
    <w:p w:rsidR="007024F9" w:rsidRDefault="007024F9" w:rsidP="00321C84"/>
    <w:p w:rsidR="007024F9" w:rsidRDefault="007024F9" w:rsidP="00321C84">
      <w:r>
        <w:t xml:space="preserve">Hur regeringen ställer sig till den blivande A-punkten: </w:t>
      </w:r>
    </w:p>
    <w:p w:rsidR="007024F9" w:rsidRDefault="007024F9" w:rsidP="00321C84">
      <w:r>
        <w:t>Regeringen stöder förslaget till gemensamma ståndpunkter</w:t>
      </w:r>
    </w:p>
    <w:p w:rsidR="007024F9" w:rsidRDefault="007024F9" w:rsidP="00321C84"/>
    <w:p w:rsidR="007024F9" w:rsidRDefault="007024F9" w:rsidP="00321C84">
      <w:r>
        <w:t xml:space="preserve">Bakgrund: </w:t>
      </w:r>
    </w:p>
    <w:p w:rsidR="007024F9" w:rsidRDefault="007024F9" w:rsidP="00B04E1A">
      <w:r>
        <w:t xml:space="preserve">Det internationella antidopningsarbetet leds av Världsantidopningsbyrån (WADA) som är ett samarbete mellan den internationella idrotten och världens regeringar. Europas regeringar har fem platser i WADA:s styrelse och den europeiska samordningen inför styrelsemötena sker inom ramen för Europarådet. När dagordningspunkter berör frågor där unionen har kompetens sker samordning även inom unionen. Så sker även till viss del för vissa dagordningspunkter där samordningsplikt kan anses föreligga. </w:t>
      </w:r>
    </w:p>
    <w:p w:rsidR="007024F9" w:rsidRPr="00321C84" w:rsidRDefault="007024F9" w:rsidP="00321C84">
      <w:pPr>
        <w:pStyle w:val="Heading2"/>
      </w:pPr>
      <w:bookmarkStart w:id="64" w:name="_Toc355268732"/>
      <w:r>
        <w:t>8. Draft Council Decision authorising the Commission to open negotiations on linking the EU emissions trading scheme with an emissions trading system in Australia = Adoption</w:t>
      </w:r>
      <w:bookmarkEnd w:id="64"/>
    </w:p>
    <w:p w:rsidR="007024F9" w:rsidRPr="00321C84" w:rsidRDefault="007024F9" w:rsidP="00321C84">
      <w:r>
        <w:t>8805/13, 8568/12</w:t>
      </w:r>
    </w:p>
    <w:p w:rsidR="007024F9" w:rsidRDefault="007024F9">
      <w:pPr>
        <w:pStyle w:val="RKnormal"/>
        <w:tabs>
          <w:tab w:val="clear" w:pos="1843"/>
          <w:tab w:val="left" w:pos="0"/>
        </w:tabs>
        <w:ind w:left="0"/>
      </w:pPr>
    </w:p>
    <w:p w:rsidR="007024F9" w:rsidRPr="00321C84" w:rsidRDefault="007024F9" w:rsidP="00321C84">
      <w:r>
        <w:t>Ansvarigt departement: Miljödepartementet</w:t>
      </w:r>
    </w:p>
    <w:p w:rsidR="007024F9" w:rsidRDefault="007024F9">
      <w:pPr>
        <w:pStyle w:val="RKnormal"/>
        <w:tabs>
          <w:tab w:val="clear" w:pos="1843"/>
          <w:tab w:val="left" w:pos="0"/>
        </w:tabs>
        <w:ind w:left="0"/>
      </w:pPr>
    </w:p>
    <w:p w:rsidR="007024F9" w:rsidRPr="00321C84" w:rsidRDefault="007024F9" w:rsidP="00321C84">
      <w:r>
        <w:t>Ansvarigt statsråd: Lena Ek</w:t>
      </w:r>
    </w:p>
    <w:p w:rsidR="007024F9" w:rsidRDefault="007024F9">
      <w:pPr>
        <w:pStyle w:val="RKnormal"/>
        <w:tabs>
          <w:tab w:val="clear" w:pos="1843"/>
          <w:tab w:val="left" w:pos="0"/>
        </w:tabs>
        <w:ind w:left="0"/>
      </w:pPr>
    </w:p>
    <w:p w:rsidR="007024F9" w:rsidRPr="00321C84" w:rsidRDefault="007024F9" w:rsidP="00321C84">
      <w:r>
        <w:t>Tidigare behandling vid rådsmöte: Miljörådet</w:t>
      </w:r>
    </w:p>
    <w:p w:rsidR="007024F9" w:rsidRDefault="007024F9">
      <w:pPr>
        <w:pStyle w:val="RKnormal"/>
        <w:tabs>
          <w:tab w:val="clear" w:pos="1843"/>
          <w:tab w:val="left" w:pos="0"/>
        </w:tabs>
        <w:ind w:left="0"/>
      </w:pPr>
    </w:p>
    <w:p w:rsidR="007024F9" w:rsidRPr="00321C84" w:rsidRDefault="007024F9" w:rsidP="00321C84">
      <w:r>
        <w:t>Förväntas godkännas av Coreper I den 2 maj 2013</w:t>
      </w:r>
    </w:p>
    <w:p w:rsidR="007024F9" w:rsidRDefault="007024F9">
      <w:pPr>
        <w:pStyle w:val="RKnormal"/>
        <w:tabs>
          <w:tab w:val="clear" w:pos="1843"/>
          <w:tab w:val="left" w:pos="0"/>
        </w:tabs>
        <w:ind w:left="0"/>
      </w:pPr>
    </w:p>
    <w:p w:rsidR="007024F9" w:rsidRDefault="007024F9" w:rsidP="00321C84">
      <w:r>
        <w:t xml:space="preserve">Hur regeringen ställer sig till den blivande a-punkten: </w:t>
      </w:r>
    </w:p>
    <w:p w:rsidR="007024F9" w:rsidRDefault="007024F9" w:rsidP="00321C84">
      <w:r>
        <w:t xml:space="preserve">Regeringen avser rösta ja till att rådet antar beslutet. </w:t>
      </w:r>
    </w:p>
    <w:p w:rsidR="007024F9" w:rsidRDefault="007024F9" w:rsidP="00321C84"/>
    <w:p w:rsidR="007024F9" w:rsidRDefault="007024F9" w:rsidP="00321C84">
      <w:r>
        <w:t xml:space="preserve">Bakgrund: </w:t>
      </w:r>
    </w:p>
    <w:p w:rsidR="007024F9" w:rsidRDefault="007024F9" w:rsidP="00321C84">
      <w:r>
        <w:t xml:space="preserve">I slutet av augusti 2012 offentliggjorde EU (kommissionen) och Australien att deras utsläppshandelssystem ska länkas samman. Tidsplanen är att en full två-vägslänk ska finnas på plats senast den 1 juli 2018. En interimistisk envägslänk från EU till Australien planeras från den 1 juli 2015. Kommissionen begär med anledning av detta ett förhandlingsmandat från rådet att genomföra förhandlingen om länkning. </w:t>
      </w:r>
    </w:p>
    <w:p w:rsidR="007024F9" w:rsidRDefault="007024F9" w:rsidP="00321C84"/>
    <w:p w:rsidR="007024F9" w:rsidRDefault="007024F9" w:rsidP="00321C84">
      <w:r>
        <w:t>Kommissionen ska enligt mandatet genomföra förhandlingarna i samråd med rådsarbetsgruppen för miljöfrågor. Europaparlamentet ska hållas fullt informerade om hur förhandlingarna fortskrider. Rådet och Europaparlamentet fattar efter avslutade förhandlingar med Australien beslut om länkningsavtal, efter förslag från kommissionen.</w:t>
      </w:r>
    </w:p>
    <w:p w:rsidR="007024F9" w:rsidRDefault="007024F9" w:rsidP="00321C84"/>
    <w:p w:rsidR="007024F9" w:rsidRDefault="007024F9" w:rsidP="000562E5">
      <w:r>
        <w:t xml:space="preserve">Av handelsdirektivets (2003/87/EG) artikel 25.1 framgår att avtal bör slutas med de tredje länder som anges i bilaga B till Kyotoprotokollet och som har ratificerat protokollet, för att möjliggöra ömsesidigt erkännande av utsläppsrätter mellan gemenskapens system och andra system för handel med utsläppsrätter för växthusgaser. Kommissionen har sedan tidigare mandat att förhandla om länkning av handelssystemen i EU och Schweiz. </w:t>
      </w:r>
    </w:p>
    <w:p w:rsidR="007024F9" w:rsidRPr="00321C84" w:rsidRDefault="007024F9" w:rsidP="00321C84">
      <w:pPr>
        <w:pStyle w:val="Heading2"/>
      </w:pPr>
      <w:bookmarkStart w:id="65" w:name="_Toc355268733"/>
      <w:r>
        <w:t>9. Proposal for a Council Regulation on the waiver from the requirement to submit entry and exit summary declarations for Union goods that are moved across the Neum corridor = Adoption</w:t>
      </w:r>
      <w:bookmarkEnd w:id="65"/>
    </w:p>
    <w:p w:rsidR="007024F9" w:rsidRPr="00321C84" w:rsidRDefault="007024F9" w:rsidP="00321C84">
      <w:r>
        <w:t>8214/13, 8853/13</w:t>
      </w:r>
    </w:p>
    <w:p w:rsidR="007024F9" w:rsidRDefault="007024F9">
      <w:pPr>
        <w:pStyle w:val="RKnormal"/>
        <w:tabs>
          <w:tab w:val="clear" w:pos="1843"/>
          <w:tab w:val="left" w:pos="0"/>
        </w:tabs>
        <w:ind w:left="0"/>
      </w:pPr>
    </w:p>
    <w:p w:rsidR="007024F9" w:rsidRPr="00321C84" w:rsidRDefault="007024F9" w:rsidP="00321C84">
      <w:r>
        <w:t>Ansvarigt departement: Finansdepartementet</w:t>
      </w:r>
    </w:p>
    <w:p w:rsidR="007024F9" w:rsidRDefault="007024F9">
      <w:pPr>
        <w:pStyle w:val="RKnormal"/>
        <w:tabs>
          <w:tab w:val="clear" w:pos="1843"/>
          <w:tab w:val="left" w:pos="0"/>
        </w:tabs>
        <w:ind w:left="0"/>
      </w:pPr>
    </w:p>
    <w:p w:rsidR="007024F9" w:rsidRPr="00321C84" w:rsidRDefault="007024F9" w:rsidP="00321C84">
      <w:r>
        <w:t>Ansvarigt statsråd: Anders Borg</w:t>
      </w:r>
    </w:p>
    <w:p w:rsidR="007024F9" w:rsidRDefault="007024F9">
      <w:pPr>
        <w:pStyle w:val="RKnormal"/>
        <w:tabs>
          <w:tab w:val="clear" w:pos="1843"/>
          <w:tab w:val="left" w:pos="0"/>
        </w:tabs>
        <w:ind w:left="0"/>
      </w:pPr>
    </w:p>
    <w:p w:rsidR="007024F9" w:rsidRPr="00321C84" w:rsidRDefault="007024F9" w:rsidP="00321C84">
      <w:r>
        <w:t>Förväntas godkännas av Coreper I den 2 maj 2013</w:t>
      </w:r>
    </w:p>
    <w:p w:rsidR="007024F9" w:rsidRDefault="007024F9">
      <w:pPr>
        <w:pStyle w:val="RKnormal"/>
        <w:tabs>
          <w:tab w:val="clear" w:pos="1843"/>
          <w:tab w:val="left" w:pos="0"/>
        </w:tabs>
        <w:ind w:left="0"/>
      </w:pPr>
    </w:p>
    <w:p w:rsidR="007024F9" w:rsidRDefault="007024F9" w:rsidP="00321C84">
      <w:r>
        <w:t xml:space="preserve">Avsikt med behandlingen i rådet: </w:t>
      </w:r>
    </w:p>
    <w:p w:rsidR="007024F9" w:rsidRDefault="007024F9" w:rsidP="00321C84">
      <w:r>
        <w:t>Rådet föreslås anta förordningen.</w:t>
      </w:r>
    </w:p>
    <w:p w:rsidR="007024F9" w:rsidRDefault="007024F9" w:rsidP="00321C84"/>
    <w:p w:rsidR="007024F9" w:rsidRDefault="007024F9" w:rsidP="00321C84">
      <w:r>
        <w:t>Hur regeringen ställer sig till den blivande A-punkten:</w:t>
      </w:r>
    </w:p>
    <w:p w:rsidR="007024F9" w:rsidRDefault="007024F9" w:rsidP="00321C84">
      <w:r>
        <w:t>Regeringen avser att rösta ja till att rådet antar förordningen.</w:t>
      </w:r>
    </w:p>
    <w:p w:rsidR="007024F9" w:rsidRDefault="007024F9" w:rsidP="00321C84"/>
    <w:p w:rsidR="007024F9" w:rsidRDefault="007024F9" w:rsidP="00321C84">
      <w:r>
        <w:t>Bakgrund:</w:t>
      </w:r>
    </w:p>
    <w:p w:rsidR="007024F9" w:rsidRDefault="007024F9" w:rsidP="00321C84">
      <w:r>
        <w:t>Enligt artikel 43 i akten om anslutningsvillkoren för Kroatien ska rådet, med kvalificerad majoritet på förslag från kommissionen, fastställa villkoren för medgivande av undantag från kravet på summariska införsel- eller utförseldeklarationer för varor som transporteras genom Neumkorridoren. Denna korridor är det område där Bosniens och Hercegovinas territorium sträcker sig ner till Adriatiska havet och delar Kroatien i två delar, så att Dubrovnikområdet separeras från Kroatiens övriga territorium.</w:t>
      </w:r>
    </w:p>
    <w:p w:rsidR="007024F9" w:rsidRDefault="007024F9" w:rsidP="00321C84"/>
    <w:p w:rsidR="007024F9" w:rsidRDefault="007024F9" w:rsidP="000562E5">
      <w:r>
        <w:t xml:space="preserve">Den 11 januari 2013 överlämnade kommissionen till rådet ett förslag om medgivande av undantag från kravet på att inge summariska införsel- och utförseldeklarationer för unionsvaror som transporteras genom Neumkorridoren. Förslaget innebär att det krav på ingivande av summariska införsel- och utförseldeklarationer som finns reglerat i rådets förordning (EEG) nr 2913/92 om inrättandet av en tullkodex för gemenskapen under vissa förutsättningar inte ska gälla för transporter genom Neumkorridoren. Detta gäller endast för varusändningar med ett värde på högst 10 000 euro. Kroatien åläggs i förordningen att vidta vissa kontrollåtgärder. </w:t>
      </w:r>
    </w:p>
    <w:p w:rsidR="007024F9" w:rsidRPr="00321C84" w:rsidRDefault="007024F9" w:rsidP="00321C84">
      <w:pPr>
        <w:pStyle w:val="Heading2"/>
      </w:pPr>
      <w:bookmarkStart w:id="66" w:name="_Toc355268734"/>
      <w:r>
        <w:t>10. Proposal for a Regulation of the European Parliament and of the Council concerning the European Union Agency for Network and Information Security (ENISA) and repealing Regulation (EC) No 460/2004 (First reading) (Legislative deliberation)= Adoption of the legislative act</w:t>
      </w:r>
      <w:bookmarkEnd w:id="66"/>
    </w:p>
    <w:p w:rsidR="007024F9" w:rsidRPr="00321C84" w:rsidRDefault="007024F9" w:rsidP="00321C84">
      <w:r>
        <w:t>4/13, 8849/13</w:t>
      </w:r>
    </w:p>
    <w:p w:rsidR="007024F9" w:rsidRDefault="007024F9">
      <w:pPr>
        <w:pStyle w:val="RKnormal"/>
        <w:tabs>
          <w:tab w:val="clear" w:pos="1843"/>
          <w:tab w:val="left" w:pos="0"/>
        </w:tabs>
        <w:ind w:left="0"/>
      </w:pPr>
    </w:p>
    <w:p w:rsidR="007024F9" w:rsidRPr="00321C84" w:rsidRDefault="007024F9" w:rsidP="00321C84">
      <w:r>
        <w:t>Ansvarigt departement: Näringsdepartementet</w:t>
      </w:r>
    </w:p>
    <w:p w:rsidR="007024F9" w:rsidRDefault="007024F9">
      <w:pPr>
        <w:pStyle w:val="RKnormal"/>
        <w:tabs>
          <w:tab w:val="clear" w:pos="1843"/>
          <w:tab w:val="left" w:pos="0"/>
        </w:tabs>
        <w:ind w:left="0"/>
      </w:pPr>
    </w:p>
    <w:p w:rsidR="007024F9" w:rsidRPr="00321C84" w:rsidRDefault="007024F9" w:rsidP="00321C84">
      <w:r>
        <w:t>Ansvarigt statsråd: Anna-Karin Hatt</w:t>
      </w:r>
    </w:p>
    <w:p w:rsidR="007024F9" w:rsidRDefault="007024F9">
      <w:pPr>
        <w:pStyle w:val="RKnormal"/>
        <w:tabs>
          <w:tab w:val="clear" w:pos="1843"/>
          <w:tab w:val="left" w:pos="0"/>
        </w:tabs>
        <w:ind w:left="0"/>
      </w:pPr>
    </w:p>
    <w:p w:rsidR="007024F9" w:rsidRPr="00321C84" w:rsidRDefault="007024F9" w:rsidP="00321C84">
      <w:r>
        <w:t>Tidigare behandling i EU -nämnden: 2012-12-14</w:t>
      </w:r>
    </w:p>
    <w:p w:rsidR="007024F9" w:rsidRDefault="007024F9">
      <w:pPr>
        <w:pStyle w:val="RKnormal"/>
        <w:tabs>
          <w:tab w:val="clear" w:pos="1843"/>
          <w:tab w:val="left" w:pos="0"/>
        </w:tabs>
        <w:ind w:left="0"/>
      </w:pPr>
    </w:p>
    <w:p w:rsidR="007024F9" w:rsidRPr="00321C84" w:rsidRDefault="007024F9" w:rsidP="00321C84">
      <w:r>
        <w:t>Tidigare behandling vid rådsmöte: Transport-, telekom- och energifrågor</w:t>
      </w:r>
    </w:p>
    <w:p w:rsidR="007024F9" w:rsidRDefault="007024F9">
      <w:pPr>
        <w:pStyle w:val="RKnormal"/>
        <w:tabs>
          <w:tab w:val="clear" w:pos="1843"/>
          <w:tab w:val="left" w:pos="0"/>
        </w:tabs>
        <w:ind w:left="0"/>
      </w:pPr>
    </w:p>
    <w:p w:rsidR="007024F9" w:rsidRPr="00321C84" w:rsidRDefault="007024F9" w:rsidP="00321C84">
      <w:r>
        <w:t>Förväntas godkännas av Coreper I den 2 maj 2013</w:t>
      </w:r>
    </w:p>
    <w:p w:rsidR="007024F9" w:rsidRDefault="007024F9">
      <w:pPr>
        <w:pStyle w:val="RKnormal"/>
        <w:tabs>
          <w:tab w:val="clear" w:pos="1843"/>
          <w:tab w:val="left" w:pos="0"/>
        </w:tabs>
        <w:ind w:left="0"/>
      </w:pPr>
    </w:p>
    <w:p w:rsidR="007024F9" w:rsidRDefault="007024F9" w:rsidP="00321C84">
      <w:r>
        <w:t xml:space="preserve">Avsikt med behandlingen i rådet: </w:t>
      </w:r>
    </w:p>
    <w:p w:rsidR="007024F9" w:rsidRDefault="007024F9" w:rsidP="00321C84">
      <w:r>
        <w:t>Rådet föreslås anta förordning om nytt mandat för Europeiska Nät- och informationssäkerhetsbyrån Enisa).</w:t>
      </w:r>
    </w:p>
    <w:p w:rsidR="007024F9" w:rsidRDefault="007024F9" w:rsidP="00321C84"/>
    <w:p w:rsidR="007024F9" w:rsidRDefault="007024F9" w:rsidP="00321C84">
      <w:r>
        <w:t xml:space="preserve">Hur regeringen ställer sig till den blivande A-punkten: </w:t>
      </w:r>
    </w:p>
    <w:p w:rsidR="007024F9" w:rsidRDefault="007024F9" w:rsidP="00321C84">
      <w:r>
        <w:t>Regeringen avser rösta ja.</w:t>
      </w:r>
    </w:p>
    <w:p w:rsidR="007024F9" w:rsidRDefault="007024F9" w:rsidP="00321C84"/>
    <w:p w:rsidR="007024F9" w:rsidRDefault="007024F9" w:rsidP="00321C84">
      <w:r>
        <w:t>Bakgrund:</w:t>
      </w:r>
    </w:p>
    <w:p w:rsidR="007024F9" w:rsidRDefault="007024F9" w:rsidP="00321C84">
      <w:r>
        <w:t>Byrån inrättades 2004. Nuvarande mandat löper ut i mars 2013. Enisa ligger på Kreta, i Grekland. Enisa ger stöd, råd och expertis till EU-institutionerna och medlemsstaterna om nät-och informationssäkerhet. Byrån underlättar också utbyte av bästa praxis och samarbete mellan offentliga och privata organisationer.</w:t>
      </w:r>
    </w:p>
    <w:p w:rsidR="007024F9" w:rsidRDefault="007024F9" w:rsidP="00321C84"/>
    <w:p w:rsidR="007024F9" w:rsidRDefault="007024F9" w:rsidP="00321C84">
      <w:r>
        <w:t>I januari 2013 nåddes en principöverenskommelse om direktivtexten, vilken bekräftades i rådsstrukturen den 1 februari och i ITRE-utskottet den 6 februari. Den 16 april höll Europaparlamentet en omröstning.</w:t>
      </w:r>
    </w:p>
    <w:p w:rsidR="007024F9" w:rsidRDefault="007024F9" w:rsidP="00321C84"/>
    <w:p w:rsidR="007024F9" w:rsidRDefault="007024F9" w:rsidP="000562E5">
      <w:r>
        <w:t>Viktigare punkter som Sverige fått gehör för är att Enisa får ett tidsbegränsat mandat, med fortsatt fokus på kunskapsinsamlande och kunskapshöjande åtgärder och inget mandat att hantera it-incidenter medan de pågår.</w:t>
      </w:r>
    </w:p>
    <w:p w:rsidR="007024F9" w:rsidRDefault="007024F9" w:rsidP="000562E5"/>
    <w:p w:rsidR="007024F9" w:rsidRDefault="007024F9" w:rsidP="000562E5"/>
    <w:p w:rsidR="007024F9" w:rsidRDefault="007024F9" w:rsidP="000562E5"/>
    <w:p w:rsidR="007024F9" w:rsidRDefault="007024F9" w:rsidP="00AC22F2">
      <w:pPr>
        <w:pStyle w:val="Heading1"/>
      </w:pPr>
      <w:bookmarkStart w:id="67" w:name="_Toc355268735"/>
      <w:r>
        <w:t>Troliga A-punkter inför kommande rådsmöten som förväntas godkännas vid Coreper II 2013-05-02.</w:t>
      </w:r>
      <w:bookmarkEnd w:id="67"/>
    </w:p>
    <w:p w:rsidR="007024F9" w:rsidRDefault="007024F9">
      <w:pPr>
        <w:pStyle w:val="RKnormal"/>
        <w:tabs>
          <w:tab w:val="clear" w:pos="1843"/>
          <w:tab w:val="left" w:pos="0"/>
        </w:tabs>
        <w:ind w:left="0"/>
      </w:pPr>
      <w:r>
        <w:t xml:space="preserve"> </w:t>
      </w:r>
    </w:p>
    <w:p w:rsidR="007024F9" w:rsidRPr="00321C84" w:rsidRDefault="007024F9" w:rsidP="00321C84">
      <w:pPr>
        <w:pStyle w:val="Heading2"/>
      </w:pPr>
      <w:bookmarkStart w:id="68" w:name="_Toc355268736"/>
      <w:r>
        <w:t>11. Transparency - Public access to documents= Confirmatory application n° 06/c/02/13</w:t>
      </w:r>
      <w:bookmarkEnd w:id="68"/>
    </w:p>
    <w:p w:rsidR="007024F9" w:rsidRPr="00321C84" w:rsidRDefault="007024F9" w:rsidP="00321C84">
      <w:r>
        <w:t>8293/13</w:t>
      </w:r>
    </w:p>
    <w:p w:rsidR="007024F9" w:rsidRDefault="007024F9">
      <w:pPr>
        <w:pStyle w:val="RKnormal"/>
        <w:tabs>
          <w:tab w:val="clear" w:pos="1843"/>
          <w:tab w:val="left" w:pos="0"/>
        </w:tabs>
        <w:ind w:left="0"/>
      </w:pPr>
    </w:p>
    <w:p w:rsidR="007024F9" w:rsidRPr="00321C84" w:rsidRDefault="007024F9" w:rsidP="00321C84">
      <w:r>
        <w:t>Ansvarigt departement: Justitiedepartementet</w:t>
      </w:r>
    </w:p>
    <w:p w:rsidR="007024F9" w:rsidRDefault="007024F9">
      <w:pPr>
        <w:pStyle w:val="RKnormal"/>
        <w:tabs>
          <w:tab w:val="clear" w:pos="1843"/>
          <w:tab w:val="left" w:pos="0"/>
        </w:tabs>
        <w:ind w:left="0"/>
      </w:pPr>
    </w:p>
    <w:p w:rsidR="007024F9" w:rsidRPr="00321C84" w:rsidRDefault="007024F9" w:rsidP="00321C84">
      <w:r>
        <w:t>Ansvarigt statsråd: Beatrice Ask</w:t>
      </w:r>
    </w:p>
    <w:p w:rsidR="007024F9" w:rsidRDefault="007024F9">
      <w:pPr>
        <w:pStyle w:val="RKnormal"/>
        <w:tabs>
          <w:tab w:val="clear" w:pos="1843"/>
          <w:tab w:val="left" w:pos="0"/>
        </w:tabs>
        <w:ind w:left="0"/>
      </w:pPr>
    </w:p>
    <w:p w:rsidR="007024F9" w:rsidRPr="00321C84" w:rsidRDefault="007024F9" w:rsidP="00321C84">
      <w:r>
        <w:t>Förväntas godkännas av Coreper II den 2 maj 2013</w:t>
      </w:r>
    </w:p>
    <w:p w:rsidR="007024F9" w:rsidRDefault="007024F9">
      <w:pPr>
        <w:pStyle w:val="RKnormal"/>
        <w:tabs>
          <w:tab w:val="clear" w:pos="1843"/>
          <w:tab w:val="left" w:pos="0"/>
        </w:tabs>
        <w:ind w:left="0"/>
      </w:pPr>
    </w:p>
    <w:p w:rsidR="007024F9" w:rsidRDefault="007024F9" w:rsidP="000562E5">
      <w:r>
        <w:t xml:space="preserve">Föranleder ingen annotering </w:t>
      </w:r>
    </w:p>
    <w:p w:rsidR="007024F9" w:rsidRPr="00321C84" w:rsidRDefault="007024F9" w:rsidP="00321C84">
      <w:pPr>
        <w:pStyle w:val="Heading2"/>
      </w:pPr>
      <w:bookmarkStart w:id="69" w:name="_Toc355268737"/>
      <w:r>
        <w:t>12. Recommendation to the Council concerning the approval of a second-party evaluated cryptographic product</w:t>
      </w:r>
      <w:bookmarkEnd w:id="69"/>
    </w:p>
    <w:p w:rsidR="007024F9" w:rsidRPr="00321C84" w:rsidRDefault="007024F9" w:rsidP="00321C84">
      <w:r>
        <w:t>8498/13</w:t>
      </w:r>
    </w:p>
    <w:p w:rsidR="007024F9" w:rsidRDefault="007024F9">
      <w:pPr>
        <w:pStyle w:val="RKnormal"/>
        <w:tabs>
          <w:tab w:val="clear" w:pos="1843"/>
          <w:tab w:val="left" w:pos="0"/>
        </w:tabs>
        <w:ind w:left="0"/>
      </w:pPr>
    </w:p>
    <w:p w:rsidR="007024F9" w:rsidRPr="00321C84" w:rsidRDefault="007024F9" w:rsidP="00321C84">
      <w:r>
        <w:t>Ansvarigt departement: Utrikesdepartementet</w:t>
      </w:r>
    </w:p>
    <w:p w:rsidR="007024F9" w:rsidRDefault="007024F9">
      <w:pPr>
        <w:pStyle w:val="RKnormal"/>
        <w:tabs>
          <w:tab w:val="clear" w:pos="1843"/>
          <w:tab w:val="left" w:pos="0"/>
        </w:tabs>
        <w:ind w:left="0"/>
      </w:pPr>
    </w:p>
    <w:p w:rsidR="007024F9" w:rsidRPr="00321C84" w:rsidRDefault="007024F9" w:rsidP="00321C84">
      <w:r>
        <w:t>Ansvarigt statsråd: Carl Bildt</w:t>
      </w:r>
    </w:p>
    <w:p w:rsidR="007024F9" w:rsidRDefault="007024F9">
      <w:pPr>
        <w:pStyle w:val="RKnormal"/>
        <w:tabs>
          <w:tab w:val="clear" w:pos="1843"/>
          <w:tab w:val="left" w:pos="0"/>
        </w:tabs>
        <w:ind w:left="0"/>
      </w:pPr>
    </w:p>
    <w:p w:rsidR="007024F9" w:rsidRPr="00321C84" w:rsidRDefault="007024F9" w:rsidP="00321C84">
      <w:r>
        <w:t>Förväntas godkännas av Coreper II den 2 maj 2013</w:t>
      </w:r>
    </w:p>
    <w:p w:rsidR="007024F9" w:rsidRDefault="007024F9">
      <w:pPr>
        <w:pStyle w:val="RKnormal"/>
        <w:tabs>
          <w:tab w:val="clear" w:pos="1843"/>
          <w:tab w:val="left" w:pos="0"/>
        </w:tabs>
        <w:ind w:left="0"/>
      </w:pPr>
    </w:p>
    <w:p w:rsidR="007024F9" w:rsidRDefault="007024F9" w:rsidP="00321C84">
      <w:r>
        <w:t>I rådets säkerhetsbestämmelser uppges att om de säkerhetsskyddsklassificerade EU-uppgifterna skyddas med hjälp av kryptoprodukter, ska sådana produkter godkännas.</w:t>
      </w:r>
    </w:p>
    <w:p w:rsidR="007024F9" w:rsidRDefault="007024F9" w:rsidP="00321C84"/>
    <w:p w:rsidR="007024F9" w:rsidRDefault="007024F9" w:rsidP="00321C84">
      <w:r>
        <w:t>Konfidentialiteten för uppgifter på säkerhetsskyddsklassificeringsnivån SECRET UE/EU SECRET och högre ska skyddas genom kryptoprodukter som har godkänts av rådet i egenskap av kryptogodkännande myndighet på rekommendation av dess säkerhetskommitté.</w:t>
      </w:r>
    </w:p>
    <w:p w:rsidR="007024F9" w:rsidRDefault="007024F9" w:rsidP="00321C84"/>
    <w:p w:rsidR="007024F9" w:rsidRDefault="007024F9" w:rsidP="00321C84">
      <w:r>
        <w:t>Rådets säkerhetskommitté (informationssäkring)har bekräftat att de nödvändiga förutsättningarna för ett sådant godkännande i enlighet med punkt 26 i bilaga IV i säkerhetsbestämmelserna uppfylls av den holländska kryptoprodukten Sectra Tiger XS/XO, firmware version 3.4.</w:t>
      </w:r>
    </w:p>
    <w:p w:rsidR="007024F9" w:rsidRDefault="007024F9" w:rsidP="00321C84"/>
    <w:p w:rsidR="007024F9" w:rsidRDefault="007024F9" w:rsidP="000562E5">
      <w:r>
        <w:t xml:space="preserve">I ljuset av ovanstående rekommenderas rådet, med förbehåll för bekräftelse från Coreper, godkänna användningen av den holländska kryptoprodukten Sectra Tiger XS/XO, firmware version 3.4 för att skydda säkerhetsskyddsklassificerade EU-uppgifter, EUCI på en säkerhetsskyddsklassificeringsnivå som inte är högre än SECRET UE/EU SECRET. </w:t>
      </w:r>
    </w:p>
    <w:p w:rsidR="007024F9" w:rsidRPr="00321C84" w:rsidRDefault="007024F9" w:rsidP="00321C84">
      <w:pPr>
        <w:pStyle w:val="Heading2"/>
      </w:pPr>
      <w:bookmarkStart w:id="70" w:name="_Toc355268738"/>
      <w:r>
        <w:t>13. Anti-dumping = Proposal for a Council Implementing Regulation imposing a definitive anti-dumping duty and collecting definitively the provisional duty imposed on imports of threaded tube or pipe cast fittings, of malleable cast iron, originating in the People's Republic of China and Thailand and terminating the proceeding with regard to Indonesia</w:t>
      </w:r>
      <w:bookmarkEnd w:id="70"/>
    </w:p>
    <w:p w:rsidR="007024F9" w:rsidRPr="00321C84" w:rsidRDefault="007024F9" w:rsidP="00321C84">
      <w:r>
        <w:t>8517/13, 8518/13</w:t>
      </w:r>
    </w:p>
    <w:p w:rsidR="007024F9" w:rsidRDefault="007024F9">
      <w:pPr>
        <w:pStyle w:val="RKnormal"/>
        <w:tabs>
          <w:tab w:val="clear" w:pos="1843"/>
          <w:tab w:val="left" w:pos="0"/>
        </w:tabs>
        <w:ind w:left="0"/>
      </w:pPr>
    </w:p>
    <w:p w:rsidR="007024F9" w:rsidRPr="00321C84" w:rsidRDefault="007024F9" w:rsidP="00321C84">
      <w:r>
        <w:t>Ansvarigt departement: Utrikesdepartementet</w:t>
      </w:r>
    </w:p>
    <w:p w:rsidR="007024F9" w:rsidRDefault="007024F9">
      <w:pPr>
        <w:pStyle w:val="RKnormal"/>
        <w:tabs>
          <w:tab w:val="clear" w:pos="1843"/>
          <w:tab w:val="left" w:pos="0"/>
        </w:tabs>
        <w:ind w:left="0"/>
      </w:pPr>
    </w:p>
    <w:p w:rsidR="007024F9" w:rsidRPr="00321C84" w:rsidRDefault="007024F9" w:rsidP="00321C84">
      <w:r>
        <w:t>Ansvarigt statsråd: Ewa Björling</w:t>
      </w:r>
    </w:p>
    <w:p w:rsidR="007024F9" w:rsidRDefault="007024F9">
      <w:pPr>
        <w:pStyle w:val="RKnormal"/>
        <w:tabs>
          <w:tab w:val="clear" w:pos="1843"/>
          <w:tab w:val="left" w:pos="0"/>
        </w:tabs>
        <w:ind w:left="0"/>
      </w:pPr>
    </w:p>
    <w:p w:rsidR="007024F9" w:rsidRPr="00321C84" w:rsidRDefault="007024F9" w:rsidP="00321C84">
      <w:r>
        <w:t>Förväntas godkännas av Coreper II den 2 maj 2013</w:t>
      </w:r>
    </w:p>
    <w:p w:rsidR="007024F9" w:rsidRDefault="007024F9">
      <w:pPr>
        <w:pStyle w:val="RKnormal"/>
        <w:tabs>
          <w:tab w:val="clear" w:pos="1843"/>
          <w:tab w:val="left" w:pos="0"/>
        </w:tabs>
        <w:ind w:left="0"/>
      </w:pPr>
    </w:p>
    <w:p w:rsidR="007024F9" w:rsidRDefault="007024F9" w:rsidP="000562E5">
      <w:r>
        <w:t xml:space="preserve">Kommissionen har föreslagit att antidumpningsåtgärder införs på gängade rördelar av aducerat gjutjärn. Vid antidumpningskommitténs möte den 4 april 2013 motsatte sig regeringen kommissionens förslag, med hänvisning till att skadan inte kan anses allvarlig, att finanskrisen var huvudorsaken till den skada som uppkommit och att tullarna skulle kunna leda till kartellprissättning inom EU. </w:t>
      </w:r>
    </w:p>
    <w:p w:rsidR="007024F9" w:rsidRPr="00321C84" w:rsidRDefault="007024F9" w:rsidP="00321C84">
      <w:pPr>
        <w:pStyle w:val="Heading2"/>
      </w:pPr>
      <w:bookmarkStart w:id="71" w:name="_Toc355268739"/>
      <w:r>
        <w:t>14. Anti-dumping = Proposal for a Council Implementing Regulation imposing a definitive anti-dumping duty and collecting definitively the provisional duty imposed on imports of ceramic tableware and kitchenware originating in the People's Republic of China</w:t>
      </w:r>
      <w:bookmarkEnd w:id="71"/>
    </w:p>
    <w:p w:rsidR="007024F9" w:rsidRPr="00321C84" w:rsidRDefault="007024F9" w:rsidP="00321C84">
      <w:r>
        <w:t>8538/13, 8539/13</w:t>
      </w:r>
    </w:p>
    <w:p w:rsidR="007024F9" w:rsidRDefault="007024F9">
      <w:pPr>
        <w:pStyle w:val="RKnormal"/>
        <w:tabs>
          <w:tab w:val="clear" w:pos="1843"/>
          <w:tab w:val="left" w:pos="0"/>
        </w:tabs>
        <w:ind w:left="0"/>
      </w:pPr>
    </w:p>
    <w:p w:rsidR="007024F9" w:rsidRPr="00321C84" w:rsidRDefault="007024F9" w:rsidP="00321C84">
      <w:r>
        <w:t>Ansvarigt departement: Utrikesdepartementet</w:t>
      </w:r>
    </w:p>
    <w:p w:rsidR="007024F9" w:rsidRDefault="007024F9">
      <w:pPr>
        <w:pStyle w:val="RKnormal"/>
        <w:tabs>
          <w:tab w:val="clear" w:pos="1843"/>
          <w:tab w:val="left" w:pos="0"/>
        </w:tabs>
        <w:ind w:left="0"/>
      </w:pPr>
    </w:p>
    <w:p w:rsidR="007024F9" w:rsidRPr="00321C84" w:rsidRDefault="007024F9" w:rsidP="00321C84">
      <w:r>
        <w:t>Ansvarigt statsråd: Ewa Björling</w:t>
      </w:r>
    </w:p>
    <w:p w:rsidR="007024F9" w:rsidRDefault="007024F9">
      <w:pPr>
        <w:pStyle w:val="RKnormal"/>
        <w:tabs>
          <w:tab w:val="clear" w:pos="1843"/>
          <w:tab w:val="left" w:pos="0"/>
        </w:tabs>
        <w:ind w:left="0"/>
      </w:pPr>
    </w:p>
    <w:p w:rsidR="007024F9" w:rsidRPr="00321C84" w:rsidRDefault="007024F9" w:rsidP="00321C84">
      <w:r>
        <w:t>Förväntas godkännas av Coreper II den 2 maj 2013</w:t>
      </w:r>
    </w:p>
    <w:p w:rsidR="007024F9" w:rsidRDefault="007024F9">
      <w:pPr>
        <w:pStyle w:val="RKnormal"/>
        <w:tabs>
          <w:tab w:val="clear" w:pos="1843"/>
          <w:tab w:val="left" w:pos="0"/>
        </w:tabs>
        <w:ind w:left="0"/>
      </w:pPr>
    </w:p>
    <w:p w:rsidR="007024F9" w:rsidRDefault="007024F9" w:rsidP="000562E5">
      <w:r>
        <w:t xml:space="preserve">Kommissionen har föreslagit att slutliga antidumpningsåtgärder (tullar på mellan 13 och 36 procent) införs på köksporslin från Kina. Vid antidumpningskommitténs möte den 4 april 2013 motsatte sig regeringen kommissionens förslag, bland annat med hänvisning till den höga kostnaden åtgärderna skulle innebära för importörer och konsumenter. </w:t>
      </w:r>
    </w:p>
    <w:p w:rsidR="007024F9" w:rsidRPr="00321C84" w:rsidRDefault="007024F9" w:rsidP="00321C84">
      <w:pPr>
        <w:pStyle w:val="Heading2"/>
      </w:pPr>
      <w:bookmarkStart w:id="72" w:name="_Toc355268740"/>
      <w:r>
        <w:t>15. Draft Council Conclusions on the European Court of Auditors' Special report n° 17/2012 : "The European Development Fund (EDF) contribution to a sustainable road network in sub-Saharan Africa" = Adoption</w:t>
      </w:r>
      <w:bookmarkEnd w:id="72"/>
    </w:p>
    <w:p w:rsidR="007024F9" w:rsidRPr="007D38D8" w:rsidRDefault="007024F9" w:rsidP="00321C84">
      <w:r w:rsidRPr="007D38D8">
        <w:t>8857/13</w:t>
      </w:r>
    </w:p>
    <w:p w:rsidR="007024F9" w:rsidRPr="007D38D8" w:rsidRDefault="007024F9">
      <w:pPr>
        <w:pStyle w:val="RKnormal"/>
        <w:tabs>
          <w:tab w:val="clear" w:pos="1843"/>
          <w:tab w:val="left" w:pos="0"/>
        </w:tabs>
        <w:ind w:left="0"/>
      </w:pPr>
    </w:p>
    <w:p w:rsidR="007024F9" w:rsidRPr="007D38D8" w:rsidRDefault="007024F9" w:rsidP="00321C84">
      <w:r w:rsidRPr="007D38D8">
        <w:t>Ansvarigt departement: Utrikesdepartementet</w:t>
      </w:r>
    </w:p>
    <w:p w:rsidR="007024F9" w:rsidRPr="007D38D8" w:rsidRDefault="007024F9">
      <w:pPr>
        <w:pStyle w:val="RKnormal"/>
        <w:tabs>
          <w:tab w:val="clear" w:pos="1843"/>
          <w:tab w:val="left" w:pos="0"/>
        </w:tabs>
        <w:ind w:left="0"/>
      </w:pPr>
    </w:p>
    <w:p w:rsidR="007024F9" w:rsidRPr="007D38D8" w:rsidRDefault="007024F9" w:rsidP="00321C84">
      <w:r w:rsidRPr="007D38D8">
        <w:t>Ansvarigt statsråd: Gunilla Carlsson</w:t>
      </w:r>
    </w:p>
    <w:p w:rsidR="007024F9" w:rsidRPr="007D38D8" w:rsidRDefault="007024F9">
      <w:pPr>
        <w:pStyle w:val="RKnormal"/>
        <w:tabs>
          <w:tab w:val="clear" w:pos="1843"/>
          <w:tab w:val="left" w:pos="0"/>
        </w:tabs>
        <w:ind w:left="0"/>
      </w:pPr>
    </w:p>
    <w:p w:rsidR="007024F9" w:rsidRPr="00321C84" w:rsidRDefault="007024F9" w:rsidP="00321C84">
      <w:r>
        <w:t>Förväntas godkännas av Coreper II den 2 maj 2013</w:t>
      </w:r>
    </w:p>
    <w:p w:rsidR="007024F9" w:rsidRDefault="007024F9">
      <w:pPr>
        <w:pStyle w:val="RKnormal"/>
        <w:tabs>
          <w:tab w:val="clear" w:pos="1843"/>
          <w:tab w:val="left" w:pos="0"/>
        </w:tabs>
        <w:ind w:left="0"/>
      </w:pPr>
    </w:p>
    <w:p w:rsidR="007024F9" w:rsidRDefault="007024F9" w:rsidP="007D38D8">
      <w:pPr>
        <w:pStyle w:val="RKnormal"/>
        <w:tabs>
          <w:tab w:val="left" w:pos="0"/>
        </w:tabs>
        <w:ind w:left="0"/>
      </w:pPr>
      <w:r>
        <w:t xml:space="preserve">Avsikt med behandlingen i Rådet: </w:t>
      </w:r>
    </w:p>
    <w:p w:rsidR="007024F9" w:rsidRDefault="007024F9" w:rsidP="007D38D8">
      <w:pPr>
        <w:pStyle w:val="RKnormal"/>
        <w:tabs>
          <w:tab w:val="left" w:pos="0"/>
        </w:tabs>
        <w:ind w:left="0"/>
      </w:pPr>
      <w:r>
        <w:t>Rådet föreslås anta rådsslutsatser på basis av Europeiska revisionsrättens särskilda rapport nr 17/2012, ”Europeiska utvecklingsfondens (EUF) bidrag till ett hållbart vägnät i Afrika söder om Sahara”.</w:t>
      </w:r>
    </w:p>
    <w:p w:rsidR="007024F9" w:rsidRDefault="007024F9" w:rsidP="007D38D8">
      <w:pPr>
        <w:pStyle w:val="RKnormal"/>
        <w:tabs>
          <w:tab w:val="left" w:pos="0"/>
        </w:tabs>
        <w:ind w:left="0"/>
      </w:pPr>
    </w:p>
    <w:p w:rsidR="007024F9" w:rsidRDefault="007024F9" w:rsidP="007D38D8">
      <w:pPr>
        <w:pStyle w:val="RKnormal"/>
        <w:tabs>
          <w:tab w:val="left" w:pos="0"/>
        </w:tabs>
        <w:ind w:left="0"/>
      </w:pPr>
      <w:r>
        <w:t xml:space="preserve">Hur regeringen ställer sig till den blivande A-punkten: </w:t>
      </w:r>
    </w:p>
    <w:p w:rsidR="007024F9" w:rsidRDefault="007024F9" w:rsidP="007D38D8">
      <w:pPr>
        <w:pStyle w:val="RKnormal"/>
        <w:tabs>
          <w:tab w:val="left" w:pos="0"/>
        </w:tabs>
        <w:ind w:left="0"/>
      </w:pPr>
      <w:r>
        <w:t>Regeringen kan godta förslaget.</w:t>
      </w:r>
    </w:p>
    <w:p w:rsidR="007024F9" w:rsidRDefault="007024F9" w:rsidP="007D38D8">
      <w:pPr>
        <w:pStyle w:val="RKnormal"/>
        <w:tabs>
          <w:tab w:val="left" w:pos="0"/>
        </w:tabs>
        <w:ind w:left="0"/>
      </w:pPr>
    </w:p>
    <w:p w:rsidR="007024F9" w:rsidRDefault="007024F9" w:rsidP="007D38D8">
      <w:pPr>
        <w:pStyle w:val="RKnormal"/>
        <w:tabs>
          <w:tab w:val="left" w:pos="0"/>
        </w:tabs>
        <w:ind w:left="0"/>
      </w:pPr>
      <w:r>
        <w:t xml:space="preserve">Bakgrund: </w:t>
      </w:r>
    </w:p>
    <w:p w:rsidR="007024F9" w:rsidRDefault="007024F9" w:rsidP="007D38D8">
      <w:pPr>
        <w:pStyle w:val="RKnormal"/>
        <w:tabs>
          <w:tab w:val="left" w:pos="0"/>
        </w:tabs>
        <w:ind w:left="0"/>
      </w:pPr>
      <w:r>
        <w:t>Den 17 januari 2013 mottog rådets generalsekretariat Europeiska revisionsrättens särskilda rapport nr 17/2012, Europeiska utvecklingsfondens (EUF) bidrag till ett hållbart vägnät i Afrika söder om Sahara tillsammans med kommissionens svar. Revisionsrättens granskning behandlar vägtransportinfrastrukturens tekniska, ekonomiska och institutionella hållbarhet i länder i Afrika söder om Sahara, och man undersökte program som sedan 1995 har finansierats inom åttonde, nionde och tionde EUF.</w:t>
      </w:r>
    </w:p>
    <w:p w:rsidR="007024F9" w:rsidRDefault="007024F9" w:rsidP="007D38D8">
      <w:pPr>
        <w:pStyle w:val="RKnormal"/>
        <w:tabs>
          <w:tab w:val="left" w:pos="0"/>
        </w:tabs>
        <w:ind w:left="0"/>
      </w:pPr>
    </w:p>
    <w:p w:rsidR="007024F9" w:rsidRDefault="007024F9" w:rsidP="007D38D8">
      <w:pPr>
        <w:pStyle w:val="RKnormal"/>
        <w:tabs>
          <w:tab w:val="left" w:pos="0"/>
        </w:tabs>
        <w:ind w:left="0"/>
      </w:pPr>
      <w:r>
        <w:t>I enlighet med de regler som antagits i och med Rådets slutsatser om förbättring av granskningen av de särskilda rapporter som upprättas av revisionsrätten har rapporten behandlats i rådsarbetsgruppen för EU:s samarbete med de så kallade AVS-länderna (78 stater i Afrika, Västindien och Stillahavsregionen.)</w:t>
      </w:r>
    </w:p>
    <w:p w:rsidR="007024F9" w:rsidRDefault="007024F9" w:rsidP="007D38D8">
      <w:pPr>
        <w:pStyle w:val="RKnormal"/>
        <w:tabs>
          <w:tab w:val="left" w:pos="0"/>
        </w:tabs>
        <w:ind w:left="0"/>
      </w:pPr>
      <w:r>
        <w:t>Rådsslutsatserna innebär att Rådet bland annat noterar att revisionsrätten, bland sina viktigaste resultat, drar slutsatsen att 1) kommissionen delvis är ändamålsenlig i sitt stöd till ett hållbart vägnät i Afrika söder om Sahara, samt 2) de partnerländer som revisionsrätten besökte inte gör tillräckligt mycket för att säkerställa väginfrastrukturens hållbarhet.</w:t>
      </w:r>
    </w:p>
    <w:p w:rsidR="007024F9" w:rsidRDefault="007024F9" w:rsidP="007D38D8">
      <w:pPr>
        <w:pStyle w:val="RKnormal"/>
        <w:tabs>
          <w:tab w:val="left" w:pos="0"/>
        </w:tabs>
        <w:ind w:left="0"/>
      </w:pPr>
      <w:r>
        <w:t>I rådsslutsatserna noterars också att revisionsrättens rapport betonar att det finns utrymme för betydande förbättringar på flera områden och att den innehåller en serie rekommendationer till kommissionen som syftar till att maximera ändamålsenligheten och fördelarna med EU:s utvecklingsstöd.</w:t>
      </w:r>
    </w:p>
    <w:p w:rsidR="007024F9" w:rsidRDefault="007024F9" w:rsidP="007D38D8">
      <w:pPr>
        <w:pStyle w:val="RKnormal"/>
        <w:tabs>
          <w:tab w:val="clear" w:pos="1843"/>
          <w:tab w:val="left" w:pos="0"/>
        </w:tabs>
        <w:ind w:left="0"/>
      </w:pPr>
      <w:r>
        <w:t xml:space="preserve">Avslutningsvis fastslås att vägar är oumbärliga för regional integration, ekonomisk tillväxt, social utveckling, ändamålsenlig offentlig förvaltning samt säkerhet, och att de i ekonomiskt avseende utgör en viktig samarbetssektor. De vägar som redan byggts med finansiellt stöd från EU bedöms ha bidragit till ekonomisk tillväxt och fattigdomsminskning i ett antal partnerländer. </w:t>
      </w:r>
    </w:p>
    <w:p w:rsidR="007024F9" w:rsidRPr="00321C84" w:rsidRDefault="007024F9" w:rsidP="00321C84">
      <w:pPr>
        <w:pStyle w:val="Heading2"/>
      </w:pPr>
      <w:bookmarkStart w:id="73" w:name="_Toc355268741"/>
      <w:r>
        <w:t>16. CTA - Technical Centre for Agricultural and Rural Cooperation = Extension of the term of office of the members of the Executive Board</w:t>
      </w:r>
      <w:bookmarkEnd w:id="73"/>
    </w:p>
    <w:p w:rsidR="007024F9" w:rsidRPr="00321C84" w:rsidRDefault="007024F9" w:rsidP="00321C84">
      <w:r>
        <w:t>8789/13</w:t>
      </w:r>
    </w:p>
    <w:p w:rsidR="007024F9" w:rsidRDefault="007024F9">
      <w:pPr>
        <w:pStyle w:val="RKnormal"/>
        <w:tabs>
          <w:tab w:val="clear" w:pos="1843"/>
          <w:tab w:val="left" w:pos="0"/>
        </w:tabs>
        <w:ind w:left="0"/>
      </w:pPr>
    </w:p>
    <w:p w:rsidR="007024F9" w:rsidRPr="00321C84" w:rsidRDefault="007024F9" w:rsidP="00321C84">
      <w:r>
        <w:t>Ansvarigt departement: Utrikesdepartementet</w:t>
      </w:r>
    </w:p>
    <w:p w:rsidR="007024F9" w:rsidRDefault="007024F9">
      <w:pPr>
        <w:pStyle w:val="RKnormal"/>
        <w:tabs>
          <w:tab w:val="clear" w:pos="1843"/>
          <w:tab w:val="left" w:pos="0"/>
        </w:tabs>
        <w:ind w:left="0"/>
      </w:pPr>
    </w:p>
    <w:p w:rsidR="007024F9" w:rsidRPr="00321C84" w:rsidRDefault="007024F9" w:rsidP="00321C84">
      <w:r>
        <w:t>Ansvarigt statsråd: Gunilla Carlsson</w:t>
      </w:r>
    </w:p>
    <w:p w:rsidR="007024F9" w:rsidRDefault="007024F9">
      <w:pPr>
        <w:pStyle w:val="RKnormal"/>
        <w:tabs>
          <w:tab w:val="clear" w:pos="1843"/>
          <w:tab w:val="left" w:pos="0"/>
        </w:tabs>
        <w:ind w:left="0"/>
      </w:pPr>
    </w:p>
    <w:p w:rsidR="007024F9" w:rsidRPr="00321C84" w:rsidRDefault="007024F9" w:rsidP="00321C84">
      <w:r>
        <w:t>Förväntas godkännas av Coreper II den 2 maj 2013</w:t>
      </w:r>
    </w:p>
    <w:p w:rsidR="007024F9" w:rsidRDefault="007024F9">
      <w:pPr>
        <w:pStyle w:val="RKnormal"/>
        <w:tabs>
          <w:tab w:val="clear" w:pos="1843"/>
          <w:tab w:val="left" w:pos="0"/>
        </w:tabs>
        <w:ind w:left="0"/>
      </w:pPr>
    </w:p>
    <w:p w:rsidR="007024F9" w:rsidRDefault="007024F9" w:rsidP="00321C84">
      <w:r>
        <w:t xml:space="preserve">Avsikt med behandlingen i Rådet: </w:t>
      </w:r>
    </w:p>
    <w:p w:rsidR="007024F9" w:rsidRDefault="007024F9" w:rsidP="00321C84">
      <w:r>
        <w:t xml:space="preserve">Rådet föreslås godkänna en förlängning på tre månader av mandatet för styrelsemedlemmarna i det tekniska centret för jordbruksutveckling (technical centre for agriculture, CTA) </w:t>
      </w:r>
    </w:p>
    <w:p w:rsidR="007024F9" w:rsidRDefault="007024F9" w:rsidP="00321C84"/>
    <w:p w:rsidR="007024F9" w:rsidRDefault="007024F9" w:rsidP="00321C84">
      <w:r>
        <w:t xml:space="preserve">Hur regeringen ställer sig till den blivande A-punkten: </w:t>
      </w:r>
    </w:p>
    <w:p w:rsidR="007024F9" w:rsidRDefault="007024F9" w:rsidP="00321C84">
      <w:r>
        <w:t>Regeringen kan godta förslaget.</w:t>
      </w:r>
    </w:p>
    <w:p w:rsidR="007024F9" w:rsidRDefault="007024F9" w:rsidP="00321C84"/>
    <w:p w:rsidR="007024F9" w:rsidRDefault="007024F9" w:rsidP="00321C84">
      <w:r>
        <w:t xml:space="preserve">Bakgrund: </w:t>
      </w:r>
    </w:p>
    <w:p w:rsidR="007024F9" w:rsidRDefault="007024F9" w:rsidP="00321C84">
      <w:r>
        <w:t xml:space="preserve">CTA arbetar med information, innovation och kommunikation relaterat till jordbruks- och landsbygdsutveckling inom ramen för Cotonou-avtalet, vars övergripande mål är fattigdomsminskning. Centret har varit verksamt sedan 1983 och fokuserar sin verksamhet till de så kallade AVS-länderna (78 stater i Afrika, Västindien och Stillahavsområdet). CTA har två huvudsakliga syften: Att utveckla samt tillhandahålla tjänster som förbättrar AVS-ländernas tillgång till information för jordbruks- och landsbygdsutveckling samt att stärka AVS-ländernas kapacitet att producera, hantera, utbyta och använda information på dessa områden. </w:t>
      </w:r>
    </w:p>
    <w:p w:rsidR="007024F9" w:rsidRDefault="007024F9" w:rsidP="00321C84"/>
    <w:p w:rsidR="007024F9" w:rsidRDefault="007024F9" w:rsidP="000562E5">
      <w:r>
        <w:t xml:space="preserve">En process att utse ny styrelse för centret väntas inledas i närtid. För att säkerställa centrets funktionalitet i förhållande till denna process föreslås att centrets nuvarande sex styrelsemedlemmars mandat förlängs med tre månader, till den sista augusti 2013. </w:t>
      </w:r>
    </w:p>
    <w:p w:rsidR="007024F9" w:rsidRPr="00321C84" w:rsidRDefault="007024F9" w:rsidP="00321C84">
      <w:pPr>
        <w:pStyle w:val="Heading2"/>
      </w:pPr>
      <w:bookmarkStart w:id="74" w:name="_Toc355268742"/>
      <w:r>
        <w:t>17. Draft Council Decision on the launch of automated data exchange with regard to Vehicle Registration Data (VRD) in Bulgaria</w:t>
      </w:r>
      <w:bookmarkEnd w:id="74"/>
    </w:p>
    <w:p w:rsidR="007024F9" w:rsidRPr="00321C84" w:rsidRDefault="007024F9" w:rsidP="00321C84">
      <w:r>
        <w:t>8589/13, 8282/13, 7941/13</w:t>
      </w:r>
    </w:p>
    <w:p w:rsidR="007024F9" w:rsidRDefault="007024F9">
      <w:pPr>
        <w:pStyle w:val="RKnormal"/>
        <w:tabs>
          <w:tab w:val="clear" w:pos="1843"/>
          <w:tab w:val="left" w:pos="0"/>
        </w:tabs>
        <w:ind w:left="0"/>
      </w:pPr>
    </w:p>
    <w:p w:rsidR="007024F9" w:rsidRPr="00321C84" w:rsidRDefault="007024F9" w:rsidP="00321C84">
      <w:r>
        <w:t>Ansvarigt departement: Justitiedepartementet</w:t>
      </w:r>
    </w:p>
    <w:p w:rsidR="007024F9" w:rsidRDefault="007024F9">
      <w:pPr>
        <w:pStyle w:val="RKnormal"/>
        <w:tabs>
          <w:tab w:val="clear" w:pos="1843"/>
          <w:tab w:val="left" w:pos="0"/>
        </w:tabs>
        <w:ind w:left="0"/>
      </w:pPr>
    </w:p>
    <w:p w:rsidR="007024F9" w:rsidRPr="004E5C5A" w:rsidRDefault="007024F9" w:rsidP="00321C84">
      <w:r w:rsidRPr="004E5C5A">
        <w:t>Ansvarigt statsråd: Beatrice Ask</w:t>
      </w:r>
    </w:p>
    <w:p w:rsidR="007024F9" w:rsidRPr="004E5C5A" w:rsidRDefault="007024F9">
      <w:pPr>
        <w:pStyle w:val="RKnormal"/>
        <w:tabs>
          <w:tab w:val="clear" w:pos="1843"/>
          <w:tab w:val="left" w:pos="0"/>
        </w:tabs>
        <w:ind w:left="0"/>
      </w:pPr>
    </w:p>
    <w:p w:rsidR="007024F9" w:rsidRPr="00321C84" w:rsidRDefault="007024F9" w:rsidP="00321C84">
      <w:r>
        <w:t>Förväntas godkännas av Coreper II den 2 maj 2013</w:t>
      </w:r>
    </w:p>
    <w:p w:rsidR="007024F9" w:rsidRDefault="007024F9">
      <w:pPr>
        <w:pStyle w:val="RKnormal"/>
        <w:tabs>
          <w:tab w:val="clear" w:pos="1843"/>
          <w:tab w:val="left" w:pos="0"/>
        </w:tabs>
        <w:ind w:left="0"/>
      </w:pPr>
      <w:r>
        <w:t xml:space="preserve"> </w:t>
      </w:r>
    </w:p>
    <w:p w:rsidR="007024F9" w:rsidRDefault="007024F9" w:rsidP="004E5C5A">
      <w:pPr>
        <w:pStyle w:val="RKnormal"/>
        <w:tabs>
          <w:tab w:val="left" w:pos="0"/>
        </w:tabs>
        <w:ind w:left="0"/>
      </w:pPr>
      <w:r>
        <w:t xml:space="preserve">Avsikt med behandlingen i rådet: Rådet föreslås anta rådsbeslutet. </w:t>
      </w:r>
    </w:p>
    <w:p w:rsidR="007024F9" w:rsidRDefault="007024F9" w:rsidP="004E5C5A">
      <w:pPr>
        <w:pStyle w:val="RKnormal"/>
        <w:tabs>
          <w:tab w:val="left" w:pos="0"/>
        </w:tabs>
        <w:ind w:left="0"/>
      </w:pPr>
    </w:p>
    <w:p w:rsidR="007024F9" w:rsidRDefault="007024F9" w:rsidP="004E5C5A">
      <w:pPr>
        <w:pStyle w:val="RKnormal"/>
        <w:tabs>
          <w:tab w:val="left" w:pos="0"/>
        </w:tabs>
        <w:ind w:left="0"/>
      </w:pPr>
      <w:r>
        <w:t xml:space="preserve">Hur regeringen ställer sig till den blivande a-punkten: </w:t>
      </w:r>
    </w:p>
    <w:p w:rsidR="007024F9" w:rsidRDefault="007024F9" w:rsidP="004E5C5A">
      <w:pPr>
        <w:pStyle w:val="RKnormal"/>
        <w:tabs>
          <w:tab w:val="left" w:pos="0"/>
        </w:tabs>
        <w:ind w:left="0"/>
      </w:pPr>
      <w:r>
        <w:t>Regeringen avser rösta ja till att rådet antar rådsbeslutet om påbörjandet av det automatiska utbytet av fordonsregisteruppgifter med Bulgarien.</w:t>
      </w:r>
    </w:p>
    <w:p w:rsidR="007024F9" w:rsidRDefault="007024F9" w:rsidP="004E5C5A">
      <w:pPr>
        <w:pStyle w:val="RKnormal"/>
        <w:tabs>
          <w:tab w:val="left" w:pos="0"/>
        </w:tabs>
        <w:ind w:left="0"/>
      </w:pPr>
    </w:p>
    <w:p w:rsidR="007024F9" w:rsidRDefault="007024F9" w:rsidP="004E5C5A">
      <w:pPr>
        <w:pStyle w:val="RKnormal"/>
        <w:tabs>
          <w:tab w:val="left" w:pos="0"/>
        </w:tabs>
        <w:ind w:left="0"/>
      </w:pPr>
      <w:r>
        <w:t xml:space="preserve">Bakgrund: Prümrådsbesluten (2008/615/RIF och 2008/616/RIF) om utbyte i brottsbekämpande syfte av bl.a. DNA-, fingeravtrycks- och fordonsregisteruppgifter föreskriver att medlemsstaterna ska genomgå en utvärderingsprocedur i form av tester och inspektioner innan det automatiserade utbytet får påbörjas. </w:t>
      </w:r>
    </w:p>
    <w:p w:rsidR="007024F9" w:rsidRDefault="007024F9" w:rsidP="004E5C5A">
      <w:pPr>
        <w:pStyle w:val="RKnormal"/>
        <w:tabs>
          <w:tab w:val="left" w:pos="0"/>
        </w:tabs>
      </w:pPr>
    </w:p>
    <w:p w:rsidR="007024F9" w:rsidRDefault="007024F9" w:rsidP="004E5C5A">
      <w:pPr>
        <w:pStyle w:val="RKnormal"/>
        <w:tabs>
          <w:tab w:val="clear" w:pos="1843"/>
          <w:tab w:val="left" w:pos="0"/>
        </w:tabs>
        <w:ind w:left="0"/>
      </w:pPr>
      <w:r>
        <w:t>Bulgarien har genomgått denna utvärdering avseende fordonsregisteruppgifter med godkänt resultat och kan nu tillåtas starta det automatiserade utbytet med andra godkända medlemsstater.</w:t>
      </w:r>
    </w:p>
    <w:p w:rsidR="007024F9" w:rsidRPr="00321C84" w:rsidRDefault="007024F9" w:rsidP="00321C84">
      <w:pPr>
        <w:pStyle w:val="Heading2"/>
      </w:pPr>
      <w:bookmarkStart w:id="75" w:name="_Toc355268743"/>
      <w:r>
        <w:t>18. Draft Council Decision on the launch of automated data exchange with regard to dactyloscopic data in Romania</w:t>
      </w:r>
      <w:bookmarkEnd w:id="75"/>
    </w:p>
    <w:p w:rsidR="007024F9" w:rsidRPr="00321C84" w:rsidRDefault="007024F9" w:rsidP="00321C84">
      <w:r>
        <w:t>8590/13, 8276/13, 7824/13</w:t>
      </w:r>
    </w:p>
    <w:p w:rsidR="007024F9" w:rsidRDefault="007024F9">
      <w:pPr>
        <w:pStyle w:val="RKnormal"/>
        <w:tabs>
          <w:tab w:val="clear" w:pos="1843"/>
          <w:tab w:val="left" w:pos="0"/>
        </w:tabs>
        <w:ind w:left="0"/>
      </w:pPr>
    </w:p>
    <w:p w:rsidR="007024F9" w:rsidRPr="004E5C5A" w:rsidRDefault="007024F9" w:rsidP="00321C84">
      <w:r w:rsidRPr="004E5C5A">
        <w:t>Ansvarigt departement: Justitiedepartementet</w:t>
      </w:r>
    </w:p>
    <w:p w:rsidR="007024F9" w:rsidRPr="004E5C5A" w:rsidRDefault="007024F9">
      <w:pPr>
        <w:pStyle w:val="RKnormal"/>
        <w:tabs>
          <w:tab w:val="clear" w:pos="1843"/>
          <w:tab w:val="left" w:pos="0"/>
        </w:tabs>
        <w:ind w:left="0"/>
      </w:pPr>
    </w:p>
    <w:p w:rsidR="007024F9" w:rsidRPr="004E5C5A" w:rsidRDefault="007024F9" w:rsidP="00321C84">
      <w:r w:rsidRPr="004E5C5A">
        <w:t>Ansvarigt statsråd: Beatrice Ask</w:t>
      </w:r>
    </w:p>
    <w:p w:rsidR="007024F9" w:rsidRPr="004E5C5A" w:rsidRDefault="007024F9">
      <w:pPr>
        <w:pStyle w:val="RKnormal"/>
        <w:tabs>
          <w:tab w:val="clear" w:pos="1843"/>
          <w:tab w:val="left" w:pos="0"/>
        </w:tabs>
        <w:ind w:left="0"/>
      </w:pPr>
    </w:p>
    <w:p w:rsidR="007024F9" w:rsidRPr="00321C84" w:rsidRDefault="007024F9" w:rsidP="00321C84">
      <w:r>
        <w:t>Förväntas godkännas av Coreper II den 2 maj 2013</w:t>
      </w:r>
    </w:p>
    <w:p w:rsidR="007024F9" w:rsidRDefault="007024F9">
      <w:pPr>
        <w:pStyle w:val="RKnormal"/>
        <w:tabs>
          <w:tab w:val="clear" w:pos="1843"/>
          <w:tab w:val="left" w:pos="0"/>
        </w:tabs>
        <w:ind w:left="0"/>
      </w:pPr>
    </w:p>
    <w:p w:rsidR="007024F9" w:rsidRDefault="007024F9" w:rsidP="004E5C5A">
      <w:pPr>
        <w:pStyle w:val="RKnormal"/>
        <w:tabs>
          <w:tab w:val="left" w:pos="0"/>
        </w:tabs>
        <w:ind w:left="0"/>
      </w:pPr>
      <w:r>
        <w:t xml:space="preserve">Avsikt med behandlingen i rådet: </w:t>
      </w:r>
    </w:p>
    <w:p w:rsidR="007024F9" w:rsidRDefault="007024F9" w:rsidP="004E5C5A">
      <w:pPr>
        <w:pStyle w:val="RKnormal"/>
        <w:tabs>
          <w:tab w:val="left" w:pos="0"/>
        </w:tabs>
        <w:ind w:left="0"/>
      </w:pPr>
      <w:r>
        <w:t xml:space="preserve">Rådet föreslås anta rådsbeslutet. </w:t>
      </w:r>
    </w:p>
    <w:p w:rsidR="007024F9" w:rsidRDefault="007024F9" w:rsidP="004E5C5A">
      <w:pPr>
        <w:pStyle w:val="RKnormal"/>
        <w:tabs>
          <w:tab w:val="left" w:pos="0"/>
        </w:tabs>
        <w:ind w:left="0"/>
      </w:pPr>
    </w:p>
    <w:p w:rsidR="007024F9" w:rsidRDefault="007024F9" w:rsidP="004E5C5A">
      <w:pPr>
        <w:pStyle w:val="RKnormal"/>
        <w:tabs>
          <w:tab w:val="left" w:pos="0"/>
        </w:tabs>
        <w:ind w:left="0"/>
      </w:pPr>
      <w:r>
        <w:t xml:space="preserve">Hur regeringen ställer sig till den blivande a-punkten: </w:t>
      </w:r>
    </w:p>
    <w:p w:rsidR="007024F9" w:rsidRDefault="007024F9" w:rsidP="004E5C5A">
      <w:pPr>
        <w:pStyle w:val="RKnormal"/>
        <w:tabs>
          <w:tab w:val="left" w:pos="0"/>
        </w:tabs>
        <w:ind w:left="0"/>
      </w:pPr>
      <w:r>
        <w:t>Regeringen avser rösta ja till att rådet antar rådsbeslutet om påbörjandet av det automatiska utbytet av fingeravtrycksregisteruppgifter med Rumänien.</w:t>
      </w:r>
    </w:p>
    <w:p w:rsidR="007024F9" w:rsidRDefault="007024F9" w:rsidP="004E5C5A">
      <w:pPr>
        <w:pStyle w:val="RKnormal"/>
        <w:tabs>
          <w:tab w:val="left" w:pos="0"/>
        </w:tabs>
        <w:ind w:left="0"/>
      </w:pPr>
    </w:p>
    <w:p w:rsidR="007024F9" w:rsidRDefault="007024F9" w:rsidP="004E5C5A">
      <w:pPr>
        <w:pStyle w:val="RKnormal"/>
        <w:tabs>
          <w:tab w:val="left" w:pos="0"/>
        </w:tabs>
        <w:ind w:left="0"/>
      </w:pPr>
      <w:r>
        <w:t xml:space="preserve">Bakgrund: </w:t>
      </w:r>
    </w:p>
    <w:p w:rsidR="007024F9" w:rsidRDefault="007024F9" w:rsidP="004E5C5A">
      <w:pPr>
        <w:pStyle w:val="RKnormal"/>
        <w:tabs>
          <w:tab w:val="left" w:pos="0"/>
        </w:tabs>
        <w:ind w:left="0"/>
      </w:pPr>
      <w:r>
        <w:t xml:space="preserve">Prümrådsbesluten (2008/615/RIF och 2008/616/RIF) om utbyte i brottsbekämpande syfte av bl.a. DNA-, fingeravtrycks- och fordonsregisteruppgifter föreskriver att medlemsstaterna ska genomgå en utvärderingsprocedur i form av tester och inspektioner innan det automatiserade utbytet får påbörjas. </w:t>
      </w:r>
    </w:p>
    <w:p w:rsidR="007024F9" w:rsidRDefault="007024F9" w:rsidP="004E5C5A">
      <w:pPr>
        <w:pStyle w:val="RKnormal"/>
        <w:tabs>
          <w:tab w:val="left" w:pos="0"/>
        </w:tabs>
      </w:pPr>
    </w:p>
    <w:p w:rsidR="007024F9" w:rsidRDefault="007024F9" w:rsidP="004E5C5A">
      <w:pPr>
        <w:pStyle w:val="RKnormal"/>
        <w:tabs>
          <w:tab w:val="clear" w:pos="1843"/>
          <w:tab w:val="left" w:pos="0"/>
        </w:tabs>
        <w:ind w:left="0"/>
      </w:pPr>
      <w:r>
        <w:t xml:space="preserve">Rumänien har genomgått denna utvärdering avseende fingeravtrycksregisteruppgifter med godkänt resultat och kan nu tillåtas starta det automatiserade utbytet med andra godkända medlemsstater. </w:t>
      </w:r>
    </w:p>
    <w:p w:rsidR="007024F9" w:rsidRPr="00321C84" w:rsidRDefault="007024F9" w:rsidP="00321C84">
      <w:pPr>
        <w:pStyle w:val="Heading2"/>
      </w:pPr>
      <w:bookmarkStart w:id="76" w:name="_Toc355268744"/>
      <w:r>
        <w:t>19. Amended proposal for a Directive of the European Parliament and of the Council on common procedures for granting and withdrawing international protection status (Recast) [First Reading] = Political agreement</w:t>
      </w:r>
      <w:bookmarkEnd w:id="76"/>
    </w:p>
    <w:p w:rsidR="007024F9" w:rsidRPr="00555AF1" w:rsidRDefault="007024F9" w:rsidP="00321C84">
      <w:r w:rsidRPr="00555AF1">
        <w:t>7715/13</w:t>
      </w:r>
    </w:p>
    <w:p w:rsidR="007024F9" w:rsidRPr="00555AF1" w:rsidRDefault="007024F9">
      <w:pPr>
        <w:pStyle w:val="RKnormal"/>
        <w:tabs>
          <w:tab w:val="clear" w:pos="1843"/>
          <w:tab w:val="left" w:pos="0"/>
        </w:tabs>
        <w:ind w:left="0"/>
      </w:pPr>
    </w:p>
    <w:p w:rsidR="007024F9" w:rsidRPr="00555AF1" w:rsidRDefault="007024F9" w:rsidP="00321C84">
      <w:r w:rsidRPr="00555AF1">
        <w:t>Ansvarigt departement: Justitiedepartementet</w:t>
      </w:r>
    </w:p>
    <w:p w:rsidR="007024F9" w:rsidRPr="00555AF1" w:rsidRDefault="007024F9">
      <w:pPr>
        <w:pStyle w:val="RKnormal"/>
        <w:tabs>
          <w:tab w:val="clear" w:pos="1843"/>
          <w:tab w:val="left" w:pos="0"/>
        </w:tabs>
        <w:ind w:left="0"/>
      </w:pPr>
    </w:p>
    <w:p w:rsidR="007024F9" w:rsidRPr="00555AF1" w:rsidRDefault="007024F9" w:rsidP="00321C84">
      <w:r w:rsidRPr="00555AF1">
        <w:t>Ansvarigt statsråd: Tobias Billström</w:t>
      </w:r>
    </w:p>
    <w:p w:rsidR="007024F9" w:rsidRPr="00555AF1" w:rsidRDefault="007024F9">
      <w:pPr>
        <w:pStyle w:val="RKnormal"/>
        <w:tabs>
          <w:tab w:val="clear" w:pos="1843"/>
          <w:tab w:val="left" w:pos="0"/>
        </w:tabs>
        <w:ind w:left="0"/>
      </w:pPr>
    </w:p>
    <w:p w:rsidR="007024F9" w:rsidRDefault="007024F9" w:rsidP="00321C84">
      <w:r>
        <w:t>Förväntas godkännas av Coreper II den 2 maj 2013</w:t>
      </w:r>
    </w:p>
    <w:p w:rsidR="007024F9" w:rsidRDefault="007024F9" w:rsidP="00321C84"/>
    <w:p w:rsidR="007024F9" w:rsidRDefault="007024F9" w:rsidP="00555AF1">
      <w:r>
        <w:t xml:space="preserve">Tidigare behandling i riksdagen: </w:t>
      </w:r>
    </w:p>
    <w:p w:rsidR="007024F9" w:rsidRDefault="007024F9" w:rsidP="00555AF1">
      <w:r>
        <w:t>Information till EU-nämnden 2011-06-08 om det nya förslaget till omarbetat asylprocedurdirektiv från juni 2011. Löpande information har getts sedan dess inom ramen för förhandlingar om det gemensamma europeiska asylsystemet, senaste tillfället var 2012-11-29.</w:t>
      </w:r>
    </w:p>
    <w:p w:rsidR="007024F9" w:rsidRDefault="007024F9" w:rsidP="00555AF1"/>
    <w:p w:rsidR="007024F9" w:rsidRDefault="007024F9" w:rsidP="00555AF1">
      <w:r>
        <w:t xml:space="preserve">Tidigare behandling vid rådsmöte: </w:t>
      </w:r>
    </w:p>
    <w:p w:rsidR="007024F9" w:rsidRDefault="007024F9" w:rsidP="00555AF1">
      <w:r>
        <w:t>Löpande behandling i rådet (rättsliga och inrikes frågor) sedan 2009, som en del av det gemensamma europeiska asylsystemet. Senaste behandlingen var 2012-12-06.</w:t>
      </w:r>
    </w:p>
    <w:p w:rsidR="007024F9" w:rsidRDefault="007024F9" w:rsidP="00555AF1"/>
    <w:p w:rsidR="007024F9" w:rsidRDefault="007024F9" w:rsidP="00555AF1">
      <w:r>
        <w:t xml:space="preserve">Avsikt med behandlingen i rådet: </w:t>
      </w:r>
    </w:p>
    <w:p w:rsidR="007024F9" w:rsidRDefault="007024F9" w:rsidP="00555AF1">
      <w:r>
        <w:t>Politisk överenskommelse om att bekräfta den informella överenskommelsen mellan rådet och Europaparlamentet om direktivtexten.</w:t>
      </w:r>
    </w:p>
    <w:p w:rsidR="007024F9" w:rsidRDefault="007024F9" w:rsidP="00555AF1"/>
    <w:p w:rsidR="007024F9" w:rsidRDefault="007024F9" w:rsidP="00555AF1">
      <w:r>
        <w:t xml:space="preserve">Hur regeringen ställer sig till den blivande A-punkten: </w:t>
      </w:r>
    </w:p>
    <w:p w:rsidR="007024F9" w:rsidRDefault="007024F9" w:rsidP="00555AF1">
      <w:r>
        <w:t>Regeringen avser rösta ja till att ingå den politiska överenskommelsen.</w:t>
      </w:r>
    </w:p>
    <w:p w:rsidR="007024F9" w:rsidRDefault="007024F9" w:rsidP="00555AF1"/>
    <w:p w:rsidR="007024F9" w:rsidRDefault="007024F9">
      <w:pPr>
        <w:spacing w:line="240" w:lineRule="auto"/>
      </w:pPr>
      <w:r>
        <w:br w:type="page"/>
      </w:r>
    </w:p>
    <w:p w:rsidR="007024F9" w:rsidRDefault="007024F9" w:rsidP="00555AF1">
      <w:r>
        <w:t xml:space="preserve">Bakgrund: </w:t>
      </w:r>
    </w:p>
    <w:p w:rsidR="007024F9" w:rsidRDefault="007024F9" w:rsidP="00555AF1">
      <w:r>
        <w:t xml:space="preserve">Kommissionens nya förslag till omarbetat asylprocedurdirektiv från juni 2011 utgör en av de rättsakter som syftar till inrättandet av ett gemensamt europeiskt asylsystem. Enligt kommissionen är syftet med förslaget bl.a. att åstadkomma ett effektivt och rättssäkert asylförfarande. </w:t>
      </w:r>
    </w:p>
    <w:p w:rsidR="007024F9" w:rsidRDefault="007024F9" w:rsidP="00555AF1"/>
    <w:p w:rsidR="007024F9" w:rsidRDefault="007024F9" w:rsidP="00555AF1">
      <w:r>
        <w:t xml:space="preserve">Under perioden juni 2012 – mars 2013 pågick informella trepartsförhandingar mellan Europaparlamentet, rådet och kommissionen. Den 27 mars 2013 enades rådet om ett kompromissförslag som har tagits fram i trepartsförhandlingarna. Parlamentets LIBE-utskott uttalade sitt stöd för förslaget den 24 april 2013. </w:t>
      </w:r>
    </w:p>
    <w:p w:rsidR="007024F9" w:rsidRDefault="007024F9" w:rsidP="00555AF1"/>
    <w:p w:rsidR="007024F9" w:rsidRDefault="007024F9" w:rsidP="00560A78">
      <w:r>
        <w:t xml:space="preserve">Viktiga inslag i det omarbetade direktivet är utökade och delvis nya krav på medlemsstaterna i förhållande till vad som följer av det ursprungliga direktivet, bl.a. vad gäller tillgången till asylprocessen, utbildning av tjänstemän, information till de asylsökande, asylintervjun, juridisk rådgivning, asylsökande som har behov av särskilda processuella garantier (t.ex. offer för tortyr) och ensamkommande barn, tidsfrister för handläggningen av asylansökningar och rätten att vid ett överklagande invänta besked från domstolen om domstolen anser att verkställigheten ska avbrytas. </w:t>
      </w:r>
    </w:p>
    <w:p w:rsidR="007024F9" w:rsidRPr="00321C84" w:rsidRDefault="007024F9" w:rsidP="00321C84">
      <w:pPr>
        <w:pStyle w:val="Heading2"/>
      </w:pPr>
      <w:bookmarkStart w:id="77" w:name="_Toc355268745"/>
      <w:r>
        <w:t>20. High Representative's Report on the Seventeenth Operation ALTHEA Six-Monthly Review</w:t>
      </w:r>
      <w:bookmarkEnd w:id="77"/>
    </w:p>
    <w:p w:rsidR="007024F9" w:rsidRPr="00321C84" w:rsidRDefault="007024F9" w:rsidP="00321C84">
      <w:r>
        <w:t>8488/13</w:t>
      </w:r>
    </w:p>
    <w:p w:rsidR="007024F9" w:rsidRDefault="007024F9">
      <w:pPr>
        <w:pStyle w:val="RKnormal"/>
        <w:tabs>
          <w:tab w:val="clear" w:pos="1843"/>
          <w:tab w:val="left" w:pos="0"/>
        </w:tabs>
        <w:ind w:left="0"/>
      </w:pPr>
    </w:p>
    <w:p w:rsidR="007024F9" w:rsidRPr="00321C84" w:rsidRDefault="007024F9" w:rsidP="00321C84">
      <w:r>
        <w:t>Ansvarigt departement: Utrikesdepartementet</w:t>
      </w:r>
    </w:p>
    <w:p w:rsidR="007024F9" w:rsidRDefault="007024F9">
      <w:pPr>
        <w:pStyle w:val="RKnormal"/>
        <w:tabs>
          <w:tab w:val="clear" w:pos="1843"/>
          <w:tab w:val="left" w:pos="0"/>
        </w:tabs>
        <w:ind w:left="0"/>
      </w:pPr>
    </w:p>
    <w:p w:rsidR="007024F9" w:rsidRPr="00321C84" w:rsidRDefault="007024F9" w:rsidP="00321C84">
      <w:r>
        <w:t>Ansvarigt statsråd: Carl Bildt</w:t>
      </w:r>
    </w:p>
    <w:p w:rsidR="007024F9" w:rsidRDefault="007024F9">
      <w:pPr>
        <w:pStyle w:val="RKnormal"/>
        <w:tabs>
          <w:tab w:val="clear" w:pos="1843"/>
          <w:tab w:val="left" w:pos="0"/>
        </w:tabs>
        <w:ind w:left="0"/>
      </w:pPr>
    </w:p>
    <w:p w:rsidR="007024F9" w:rsidRPr="00321C84" w:rsidRDefault="007024F9" w:rsidP="00321C84">
      <w:r>
        <w:t>Förväntas godkännas av Coreper II den 2 maj 2013</w:t>
      </w:r>
    </w:p>
    <w:p w:rsidR="007024F9" w:rsidRDefault="007024F9">
      <w:pPr>
        <w:pStyle w:val="RKnormal"/>
        <w:tabs>
          <w:tab w:val="clear" w:pos="1843"/>
          <w:tab w:val="left" w:pos="0"/>
        </w:tabs>
        <w:ind w:left="0"/>
      </w:pPr>
    </w:p>
    <w:p w:rsidR="007024F9" w:rsidRDefault="007024F9" w:rsidP="00321C84">
      <w:r>
        <w:t xml:space="preserve">Avsikt med behandlingen i rådet: </w:t>
      </w:r>
    </w:p>
    <w:p w:rsidR="007024F9" w:rsidRDefault="007024F9" w:rsidP="00321C84">
      <w:r>
        <w:t>Rådet föreslås godkänna den höge representantens rapport om den sjuttonde sexmånadersöversynen av EU:s militära insats i Bosnien och Hercegovina (Operation Althea).</w:t>
      </w:r>
    </w:p>
    <w:p w:rsidR="007024F9" w:rsidRDefault="007024F9" w:rsidP="00321C84"/>
    <w:p w:rsidR="007024F9" w:rsidRDefault="007024F9" w:rsidP="00321C84">
      <w:r>
        <w:t xml:space="preserve">Hur regeringen ställer sig till den blivande A-punkten: </w:t>
      </w:r>
    </w:p>
    <w:p w:rsidR="007024F9" w:rsidRDefault="007024F9" w:rsidP="00321C84">
      <w:r>
        <w:t>Regeringen tillstyrker godkännandet.</w:t>
      </w:r>
    </w:p>
    <w:p w:rsidR="007024F9" w:rsidRDefault="007024F9" w:rsidP="00321C84"/>
    <w:p w:rsidR="007024F9" w:rsidRDefault="007024F9" w:rsidP="00321C84">
      <w:r>
        <w:t xml:space="preserve">Bakgrund: </w:t>
      </w:r>
    </w:p>
    <w:p w:rsidR="007024F9" w:rsidRDefault="007024F9" w:rsidP="000562E5">
      <w:r>
        <w:t xml:space="preserve">I mars presenterade chefen för EU:s militära insats i Bosnien och Hercegovina, Operation Althea, den senaste sexmånadersöversynen i vilken han gör en bedömning av utvecklingen och säkerhetsläget i Bosnien Hercegovina, samt lösandet av uppgifterna enligt den fjärde reviderade operationsplanen och mandatet i UNSCR 2074 (2012). I samband med detta aktualiserades även frågan om hantering av överskottsammunition, vilket EUMC konstaterat att OSSE har huvudansvaret för. KUSP godkände rapporten den 24 april 2013. </w:t>
      </w:r>
    </w:p>
    <w:p w:rsidR="007024F9" w:rsidRPr="00321C84" w:rsidRDefault="007024F9" w:rsidP="00321C84">
      <w:pPr>
        <w:pStyle w:val="Heading2"/>
      </w:pPr>
      <w:bookmarkStart w:id="78" w:name="_Toc355268746"/>
      <w:r>
        <w:t>21. Concept of Operations "Plus" (CONOPS PLUS) for the CSDP mission EUBAM Libya</w:t>
      </w:r>
      <w:bookmarkEnd w:id="78"/>
    </w:p>
    <w:p w:rsidR="007024F9" w:rsidRPr="00321C84" w:rsidRDefault="007024F9" w:rsidP="00321C84">
      <w:r>
        <w:t>8722/13, 8692/13</w:t>
      </w:r>
    </w:p>
    <w:p w:rsidR="007024F9" w:rsidRDefault="007024F9">
      <w:pPr>
        <w:pStyle w:val="RKnormal"/>
        <w:tabs>
          <w:tab w:val="clear" w:pos="1843"/>
          <w:tab w:val="left" w:pos="0"/>
        </w:tabs>
        <w:ind w:left="0"/>
      </w:pPr>
    </w:p>
    <w:p w:rsidR="007024F9" w:rsidRPr="00321C84" w:rsidRDefault="007024F9" w:rsidP="00321C84">
      <w:r>
        <w:t>Ansvarigt departement: Utrikesdepartementet</w:t>
      </w:r>
    </w:p>
    <w:p w:rsidR="007024F9" w:rsidRDefault="007024F9">
      <w:pPr>
        <w:pStyle w:val="RKnormal"/>
        <w:tabs>
          <w:tab w:val="clear" w:pos="1843"/>
          <w:tab w:val="left" w:pos="0"/>
        </w:tabs>
        <w:ind w:left="0"/>
      </w:pPr>
    </w:p>
    <w:p w:rsidR="007024F9" w:rsidRPr="00321C84" w:rsidRDefault="007024F9" w:rsidP="00321C84">
      <w:r>
        <w:t>Ansvarigt statsråd: Carl Bildt</w:t>
      </w:r>
    </w:p>
    <w:p w:rsidR="007024F9" w:rsidRDefault="007024F9">
      <w:pPr>
        <w:pStyle w:val="RKnormal"/>
        <w:tabs>
          <w:tab w:val="clear" w:pos="1843"/>
          <w:tab w:val="left" w:pos="0"/>
        </w:tabs>
        <w:ind w:left="0"/>
      </w:pPr>
    </w:p>
    <w:p w:rsidR="007024F9" w:rsidRDefault="007024F9" w:rsidP="00321C84">
      <w:r>
        <w:t xml:space="preserve">Tidigare behandling vid rådsmöte: </w:t>
      </w:r>
    </w:p>
    <w:p w:rsidR="007024F9" w:rsidRPr="00321C84" w:rsidRDefault="007024F9" w:rsidP="00321C84">
      <w:r>
        <w:t>Rådet för utrikesfrågor</w:t>
      </w:r>
    </w:p>
    <w:p w:rsidR="007024F9" w:rsidRDefault="007024F9">
      <w:pPr>
        <w:pStyle w:val="RKnormal"/>
        <w:tabs>
          <w:tab w:val="clear" w:pos="1843"/>
          <w:tab w:val="left" w:pos="0"/>
        </w:tabs>
        <w:ind w:left="0"/>
      </w:pPr>
    </w:p>
    <w:p w:rsidR="007024F9" w:rsidRPr="00321C84" w:rsidRDefault="007024F9" w:rsidP="00321C84">
      <w:r>
        <w:t>Förväntas godkännas av Coreper II den 2 maj 2013</w:t>
      </w:r>
    </w:p>
    <w:p w:rsidR="007024F9" w:rsidRDefault="007024F9">
      <w:pPr>
        <w:pStyle w:val="RKnormal"/>
        <w:tabs>
          <w:tab w:val="clear" w:pos="1843"/>
          <w:tab w:val="left" w:pos="0"/>
        </w:tabs>
        <w:ind w:left="0"/>
      </w:pPr>
    </w:p>
    <w:p w:rsidR="007024F9" w:rsidRDefault="007024F9" w:rsidP="00321C84">
      <w:r>
        <w:t xml:space="preserve">Avsikt med behandlingen i rådet: </w:t>
      </w:r>
    </w:p>
    <w:p w:rsidR="007024F9" w:rsidRDefault="007024F9" w:rsidP="00321C84">
      <w:r>
        <w:t xml:space="preserve">Rådet avser godkänna operationskonceptet (CONOPS Plus). </w:t>
      </w:r>
    </w:p>
    <w:p w:rsidR="007024F9" w:rsidRDefault="007024F9" w:rsidP="00321C84"/>
    <w:p w:rsidR="007024F9" w:rsidRDefault="007024F9" w:rsidP="00321C84">
      <w:r>
        <w:t xml:space="preserve">Hur regeringen ställer sig till den blivande A-punkten: </w:t>
      </w:r>
    </w:p>
    <w:p w:rsidR="007024F9" w:rsidRDefault="007024F9" w:rsidP="00321C84">
      <w:r>
        <w:t>Regeringen avser rösta ja.</w:t>
      </w:r>
    </w:p>
    <w:p w:rsidR="007024F9" w:rsidRDefault="007024F9" w:rsidP="00321C84"/>
    <w:p w:rsidR="007024F9" w:rsidRDefault="007024F9" w:rsidP="00321C84">
      <w:r>
        <w:t xml:space="preserve">Bakgrund: </w:t>
      </w:r>
    </w:p>
    <w:p w:rsidR="007024F9" w:rsidRDefault="007024F9" w:rsidP="00321C84">
      <w:r>
        <w:t xml:space="preserve">Mot bakgrund av säkerhetsläget i Libyen uttalade Europeiska unionens råd den 23 juli 2012 beredskap att stödja landet inom ramen för den gemensamma säkerhets- och försvarspolitiken och inom områdena säkerhet och gränsförvaltning. Gränsförvaltning har identifierats som en viktig fråga för den libyska övergångsprocessen och för säkerheten i regionen i stort. Den libyska regeringen välkomnade den 9 januari 2013 EU:s förslag om stöd inom gränsförvaltningsområdet. </w:t>
      </w:r>
    </w:p>
    <w:p w:rsidR="007024F9" w:rsidRDefault="007024F9" w:rsidP="00321C84"/>
    <w:p w:rsidR="007024F9" w:rsidRDefault="007024F9" w:rsidP="000562E5">
      <w:r>
        <w:t xml:space="preserve">Den 31 januari 2013 godkände rådet ett krishanteringskoncept för en civil gränsförvaltningsinsats i Libyen. Syftet med insatsen är att stödja de libyska myndigheterna i deras utveckling av kapacitet att stärka säkerheten vid landets gränser, samt med att utveckla en nationell strategi för integrerad gränsförvaltning. Insatsen omfattar utbildningsinsatser och rådgivning. Den kommer inte att ha några exekutiva uppgifter. </w:t>
      </w:r>
    </w:p>
    <w:p w:rsidR="007024F9" w:rsidRPr="00321C84" w:rsidRDefault="007024F9" w:rsidP="00321C84">
      <w:pPr>
        <w:pStyle w:val="Heading2"/>
      </w:pPr>
      <w:bookmarkStart w:id="79" w:name="_Toc355268747"/>
      <w:r>
        <w:t>22. Council Decision on the European Union Integrated Border Management Assistance Mission in Libya (EUBAM Libya)</w:t>
      </w:r>
      <w:bookmarkEnd w:id="79"/>
    </w:p>
    <w:p w:rsidR="007024F9" w:rsidRPr="00321C84" w:rsidRDefault="007024F9" w:rsidP="00321C84">
      <w:r>
        <w:t>8980/13, 8443/13</w:t>
      </w:r>
    </w:p>
    <w:p w:rsidR="007024F9" w:rsidRDefault="007024F9">
      <w:pPr>
        <w:pStyle w:val="RKnormal"/>
        <w:tabs>
          <w:tab w:val="clear" w:pos="1843"/>
          <w:tab w:val="left" w:pos="0"/>
        </w:tabs>
        <w:ind w:left="0"/>
      </w:pPr>
    </w:p>
    <w:p w:rsidR="007024F9" w:rsidRPr="00321C84" w:rsidRDefault="007024F9" w:rsidP="00321C84">
      <w:r>
        <w:t>Ansvarigt departement: Utrikesdepartementet</w:t>
      </w:r>
    </w:p>
    <w:p w:rsidR="007024F9" w:rsidRDefault="007024F9">
      <w:pPr>
        <w:pStyle w:val="RKnormal"/>
        <w:tabs>
          <w:tab w:val="clear" w:pos="1843"/>
          <w:tab w:val="left" w:pos="0"/>
        </w:tabs>
        <w:ind w:left="0"/>
      </w:pPr>
    </w:p>
    <w:p w:rsidR="007024F9" w:rsidRPr="00321C84" w:rsidRDefault="007024F9" w:rsidP="00321C84">
      <w:r>
        <w:t>Ansvarigt statsråd: Carl Bildt</w:t>
      </w:r>
    </w:p>
    <w:p w:rsidR="007024F9" w:rsidRDefault="007024F9">
      <w:pPr>
        <w:pStyle w:val="RKnormal"/>
        <w:tabs>
          <w:tab w:val="clear" w:pos="1843"/>
          <w:tab w:val="left" w:pos="0"/>
        </w:tabs>
        <w:ind w:left="0"/>
      </w:pPr>
    </w:p>
    <w:p w:rsidR="007024F9" w:rsidRPr="00321C84" w:rsidRDefault="007024F9" w:rsidP="00321C84">
      <w:r>
        <w:t>Förväntas godkännas av Coreper II den 2 maj 2013</w:t>
      </w:r>
    </w:p>
    <w:p w:rsidR="007024F9" w:rsidRDefault="007024F9">
      <w:pPr>
        <w:pStyle w:val="RKnormal"/>
        <w:tabs>
          <w:tab w:val="clear" w:pos="1843"/>
          <w:tab w:val="left" w:pos="0"/>
        </w:tabs>
        <w:ind w:left="0"/>
      </w:pPr>
    </w:p>
    <w:p w:rsidR="007024F9" w:rsidRDefault="007024F9" w:rsidP="00321C84">
      <w:r>
        <w:t xml:space="preserve">Avsikt med behandlingen i rådet: </w:t>
      </w:r>
    </w:p>
    <w:p w:rsidR="007024F9" w:rsidRDefault="007024F9" w:rsidP="00321C84">
      <w:r>
        <w:t>Rådet föreslås anta rådsbeslutet.</w:t>
      </w:r>
    </w:p>
    <w:p w:rsidR="007024F9" w:rsidRDefault="007024F9" w:rsidP="00321C84"/>
    <w:p w:rsidR="007024F9" w:rsidRDefault="007024F9" w:rsidP="00321C84">
      <w:r>
        <w:t xml:space="preserve">Bakgrund: </w:t>
      </w:r>
    </w:p>
    <w:p w:rsidR="007024F9" w:rsidRDefault="007024F9" w:rsidP="00321C84">
      <w:r>
        <w:t xml:space="preserve">Mot bakgrund av säkerhetsläget i Libyen uttalade Europeiska unionens råd den 23 juli 2012 beredskap att stödja landet inom ramen för den gemensamma säkerhets- och försvarspolitiken och inom områdena säkerhet och gränsförvaltning. Gränsförvaltning har identifierats som en viktig fråga för den libyska övergångsprocessen och för säkerheten i regionen i stort. Den libyska regeringen välkomnade den 9 januari 2013 EU:s förslag om stöd inom gränsförvaltningsområdet. </w:t>
      </w:r>
    </w:p>
    <w:p w:rsidR="007024F9" w:rsidRDefault="007024F9" w:rsidP="00321C84"/>
    <w:p w:rsidR="007024F9" w:rsidRDefault="007024F9" w:rsidP="00321C84">
      <w:r>
        <w:t xml:space="preserve">Den 31 januari 2013 godkände rådet ett krishanteringskoncept för en civil gränsförvaltningsinsats i Libyen. Syftet med insatsen är att stödja de libyska myndigheterna i deras utveckling av kapacitet att stärka säkerheten vid landets gränser, samt med att utveckla en nationell strategi för integrerad gränsförvaltning. Insatsen omfattar utbildningsinsatser och rådgivning. Den kommer inte att ha några exekutiva uppgifter. </w:t>
      </w:r>
    </w:p>
    <w:p w:rsidR="007024F9" w:rsidRDefault="007024F9" w:rsidP="00321C84"/>
    <w:p w:rsidR="007024F9" w:rsidRDefault="007024F9" w:rsidP="000562E5">
      <w:r>
        <w:t xml:space="preserve">Rådet förväntas vid ett kommande ministerrådsmöte fatta beslut om att inrätta insatsen i fråga. Förslaget till rådsbeslut innehåller bestämmelser bland annat om insatsens mål, uppgifter och organisatoriska struktur, om politisk kontroll och strategisk styrning av densamma, samt om tredjeländers deltagande i insatsen. Utkastet till rådsbeslut omfattar även bestämmelser om insatsens och insatspersonalens status, samt reglering av säkerhetsfrågor, finansiering och sekretess inom ramen för insatsen. Insatsens mandat föreslås löpa ut efter 24 månader. </w:t>
      </w:r>
    </w:p>
    <w:p w:rsidR="007024F9" w:rsidRDefault="007024F9">
      <w:pPr>
        <w:spacing w:line="240" w:lineRule="auto"/>
        <w:rPr>
          <w:rFonts w:ascii="Arial" w:hAnsi="Arial" w:cs="Arial"/>
          <w:b/>
          <w:i/>
          <w:iCs/>
          <w:kern w:val="28"/>
        </w:rPr>
      </w:pPr>
      <w:r>
        <w:br w:type="page"/>
      </w:r>
    </w:p>
    <w:p w:rsidR="007024F9" w:rsidRPr="00321C84" w:rsidRDefault="007024F9" w:rsidP="00321C84">
      <w:pPr>
        <w:pStyle w:val="Heading2"/>
      </w:pPr>
      <w:bookmarkStart w:id="80" w:name="_Toc355268748"/>
      <w:r>
        <w:t>23. Council Decision on the Union position to be adopted in the Cooperation Council established by the Partnership and Cooperation Agreement between the European Union and its Member States, of the one part, and the Republic of Iraq, of the other part, in relation to the adoption of the rules of procedure of the Cooperation Council and of the Cooperation Committee, and the establishment of specialised subcommittees and the adoption of their terms of reference</w:t>
      </w:r>
      <w:bookmarkEnd w:id="80"/>
    </w:p>
    <w:p w:rsidR="007024F9" w:rsidRPr="00321C84" w:rsidRDefault="007024F9" w:rsidP="00321C84">
      <w:r>
        <w:t>8935/13, 8222/13</w:t>
      </w:r>
    </w:p>
    <w:p w:rsidR="007024F9" w:rsidRDefault="007024F9">
      <w:pPr>
        <w:pStyle w:val="RKnormal"/>
        <w:tabs>
          <w:tab w:val="clear" w:pos="1843"/>
          <w:tab w:val="left" w:pos="0"/>
        </w:tabs>
        <w:ind w:left="0"/>
      </w:pPr>
    </w:p>
    <w:p w:rsidR="007024F9" w:rsidRPr="00321C84" w:rsidRDefault="007024F9" w:rsidP="00321C84">
      <w:r>
        <w:t>Ansvarigt departement: Utrikesdepartementet</w:t>
      </w:r>
    </w:p>
    <w:p w:rsidR="007024F9" w:rsidRDefault="007024F9">
      <w:pPr>
        <w:pStyle w:val="RKnormal"/>
        <w:tabs>
          <w:tab w:val="clear" w:pos="1843"/>
          <w:tab w:val="left" w:pos="0"/>
        </w:tabs>
        <w:ind w:left="0"/>
      </w:pPr>
    </w:p>
    <w:p w:rsidR="007024F9" w:rsidRPr="00321C84" w:rsidRDefault="007024F9" w:rsidP="00321C84">
      <w:r>
        <w:t>Ansvarigt statsråd: Carl Bildt</w:t>
      </w:r>
    </w:p>
    <w:p w:rsidR="007024F9" w:rsidRDefault="007024F9">
      <w:pPr>
        <w:pStyle w:val="RKnormal"/>
        <w:tabs>
          <w:tab w:val="clear" w:pos="1843"/>
          <w:tab w:val="left" w:pos="0"/>
        </w:tabs>
        <w:ind w:left="0"/>
      </w:pPr>
    </w:p>
    <w:p w:rsidR="007024F9" w:rsidRPr="00321C84" w:rsidRDefault="007024F9" w:rsidP="00321C84">
      <w:r>
        <w:t>Förväntas godkännas av Coreper II den 2 maj 2013</w:t>
      </w:r>
    </w:p>
    <w:p w:rsidR="007024F9" w:rsidRDefault="007024F9">
      <w:pPr>
        <w:pStyle w:val="RKnormal"/>
        <w:tabs>
          <w:tab w:val="clear" w:pos="1843"/>
          <w:tab w:val="left" w:pos="0"/>
        </w:tabs>
        <w:ind w:left="0"/>
      </w:pPr>
    </w:p>
    <w:p w:rsidR="007024F9" w:rsidRDefault="007024F9" w:rsidP="00321C84">
      <w:r>
        <w:t xml:space="preserve">Avsikt med behandlingen i rådet: </w:t>
      </w:r>
    </w:p>
    <w:p w:rsidR="007024F9" w:rsidRDefault="007024F9" w:rsidP="00321C84">
      <w:r>
        <w:t xml:space="preserve">Rådet föreslås godkänna specifika procedurer kring PCA (Partnership and Cooperation Agreement)med Irak vad gäller etablerandet av under-kommittéer. </w:t>
      </w:r>
    </w:p>
    <w:p w:rsidR="007024F9" w:rsidRDefault="007024F9" w:rsidP="00321C84"/>
    <w:p w:rsidR="007024F9" w:rsidRDefault="007024F9" w:rsidP="00321C84">
      <w:r>
        <w:t xml:space="preserve">Hur regeringen ställer sig till den blivande A-punkten: </w:t>
      </w:r>
    </w:p>
    <w:p w:rsidR="007024F9" w:rsidRDefault="007024F9" w:rsidP="00321C84">
      <w:r>
        <w:t xml:space="preserve">Regeringen bör rösta ja till förslaget som </w:t>
      </w:r>
    </w:p>
    <w:p w:rsidR="007024F9" w:rsidRDefault="007024F9" w:rsidP="00321C84"/>
    <w:p w:rsidR="007024F9" w:rsidRDefault="007024F9" w:rsidP="00321C84">
      <w:r>
        <w:t xml:space="preserve">Bakgrund: </w:t>
      </w:r>
    </w:p>
    <w:p w:rsidR="007024F9" w:rsidRDefault="007024F9" w:rsidP="000562E5">
      <w:r>
        <w:t xml:space="preserve">Sverige har ännu inte ratificerat själva PCA (Partnership and Cooperation Agreement)med Irak. Anledningen är vissa skrivelser i vår egen lagstiftning, vilket håller på att ses över. Det gäller dock den delen av avtalet som tillämpas provisoriskt mellan EU och Irak. Vi borde därför inte ha några hinder att delta med utgångspunkt i att vi inte ratificerat avtalet. </w:t>
      </w:r>
    </w:p>
    <w:p w:rsidR="007024F9" w:rsidRPr="00321C84" w:rsidRDefault="007024F9" w:rsidP="00321C84">
      <w:pPr>
        <w:pStyle w:val="Heading2"/>
      </w:pPr>
      <w:bookmarkStart w:id="81" w:name="_Toc355268749"/>
      <w:r>
        <w:t>24. Proposal for a Directive of the European Parliament and of the Council amending Directive 2003/41/EC on the activities and supervision of institutions for occupational retirement provision, Directive 2009/65/EC on the coordination of laws, regulations and administrative provisions relating to undertakings for collective investment in transferable securities (UCITS) and Directive 2011/61/EU on Alternative Investment Funds Managers in respect of over-reliance on credit ratings [First Reading] (LA) - Adoption of the legislative act</w:t>
      </w:r>
      <w:bookmarkEnd w:id="81"/>
    </w:p>
    <w:p w:rsidR="007024F9" w:rsidRPr="00321C84" w:rsidRDefault="007024F9" w:rsidP="00321C84">
      <w:r>
        <w:t>69/12, 8846/13</w:t>
      </w:r>
    </w:p>
    <w:p w:rsidR="007024F9" w:rsidRDefault="007024F9">
      <w:pPr>
        <w:pStyle w:val="RKnormal"/>
        <w:tabs>
          <w:tab w:val="clear" w:pos="1843"/>
          <w:tab w:val="left" w:pos="0"/>
        </w:tabs>
        <w:ind w:left="0"/>
      </w:pPr>
    </w:p>
    <w:p w:rsidR="007024F9" w:rsidRPr="00321C84" w:rsidRDefault="007024F9" w:rsidP="00321C84">
      <w:r>
        <w:t>Ansvarigt departement: Finansdepartementet</w:t>
      </w:r>
    </w:p>
    <w:p w:rsidR="007024F9" w:rsidRDefault="007024F9">
      <w:pPr>
        <w:pStyle w:val="RKnormal"/>
        <w:tabs>
          <w:tab w:val="clear" w:pos="1843"/>
          <w:tab w:val="left" w:pos="0"/>
        </w:tabs>
        <w:ind w:left="0"/>
      </w:pPr>
    </w:p>
    <w:p w:rsidR="007024F9" w:rsidRPr="007D38D8" w:rsidRDefault="007024F9" w:rsidP="00321C84">
      <w:r w:rsidRPr="007D38D8">
        <w:t>Ansvarigt statsråd: Peter Norman</w:t>
      </w:r>
    </w:p>
    <w:p w:rsidR="007024F9" w:rsidRPr="007D38D8" w:rsidRDefault="007024F9">
      <w:pPr>
        <w:pStyle w:val="RKnormal"/>
        <w:tabs>
          <w:tab w:val="clear" w:pos="1843"/>
          <w:tab w:val="left" w:pos="0"/>
        </w:tabs>
        <w:ind w:left="0"/>
      </w:pPr>
    </w:p>
    <w:p w:rsidR="007024F9" w:rsidRPr="00321C84" w:rsidRDefault="007024F9" w:rsidP="00321C84">
      <w:r>
        <w:t>Förväntas godkännas av Coreper II den 2 maj 2013</w:t>
      </w:r>
    </w:p>
    <w:p w:rsidR="007024F9" w:rsidRDefault="007024F9">
      <w:pPr>
        <w:pStyle w:val="RKnormal"/>
        <w:tabs>
          <w:tab w:val="clear" w:pos="1843"/>
          <w:tab w:val="left" w:pos="0"/>
        </w:tabs>
        <w:ind w:left="0"/>
      </w:pPr>
    </w:p>
    <w:p w:rsidR="007024F9" w:rsidRDefault="007024F9" w:rsidP="007D38D8">
      <w:pPr>
        <w:pStyle w:val="RKnormal"/>
        <w:tabs>
          <w:tab w:val="left" w:pos="0"/>
        </w:tabs>
        <w:ind w:left="0"/>
      </w:pPr>
      <w:r>
        <w:t>Avsikt med behandlingen i rådet:</w:t>
      </w:r>
    </w:p>
    <w:p w:rsidR="007024F9" w:rsidRDefault="007024F9" w:rsidP="007D38D8">
      <w:pPr>
        <w:pStyle w:val="RKnormal"/>
        <w:tabs>
          <w:tab w:val="left" w:pos="0"/>
        </w:tabs>
        <w:ind w:left="0"/>
      </w:pPr>
      <w:r>
        <w:t>Rådet föreslås anta förslagen om ändring av förordningen (1060/2009) om kreditvärderingsinstitut samt ändring av direktiven (2003/41/EG) om tjänstepensionsinstitut, (2009/65/EG) om fondföretag och (2011/61/EU) om förvaltare av alternativa investeringsfonder.</w:t>
      </w:r>
    </w:p>
    <w:p w:rsidR="007024F9" w:rsidRDefault="007024F9" w:rsidP="007D38D8">
      <w:pPr>
        <w:pStyle w:val="RKnormal"/>
        <w:tabs>
          <w:tab w:val="left" w:pos="0"/>
        </w:tabs>
        <w:ind w:left="0"/>
      </w:pPr>
    </w:p>
    <w:p w:rsidR="007024F9" w:rsidRDefault="007024F9" w:rsidP="007D38D8">
      <w:pPr>
        <w:pStyle w:val="RKnormal"/>
        <w:tabs>
          <w:tab w:val="left" w:pos="0"/>
        </w:tabs>
        <w:ind w:left="0"/>
      </w:pPr>
      <w:r>
        <w:t>Hur regeringen ställer sig till den blivande A-punkten:</w:t>
      </w:r>
    </w:p>
    <w:p w:rsidR="007024F9" w:rsidRDefault="007024F9" w:rsidP="007D38D8">
      <w:pPr>
        <w:pStyle w:val="RKnormal"/>
        <w:tabs>
          <w:tab w:val="left" w:pos="0"/>
        </w:tabs>
        <w:ind w:left="0"/>
      </w:pPr>
      <w:r>
        <w:t xml:space="preserve">Regeringen avser att rösta ja till att rättsakterna antas. </w:t>
      </w:r>
    </w:p>
    <w:p w:rsidR="007024F9" w:rsidRDefault="007024F9" w:rsidP="007D38D8">
      <w:pPr>
        <w:pStyle w:val="RKnormal"/>
        <w:tabs>
          <w:tab w:val="left" w:pos="0"/>
        </w:tabs>
        <w:ind w:left="0"/>
      </w:pPr>
    </w:p>
    <w:p w:rsidR="007024F9" w:rsidRDefault="007024F9" w:rsidP="007D38D8">
      <w:pPr>
        <w:pStyle w:val="RKnormal"/>
        <w:tabs>
          <w:tab w:val="left" w:pos="0"/>
        </w:tabs>
        <w:ind w:left="0"/>
      </w:pPr>
      <w:r>
        <w:t>Bakgrund:</w:t>
      </w:r>
    </w:p>
    <w:p w:rsidR="007024F9" w:rsidRDefault="007024F9" w:rsidP="007D38D8">
      <w:pPr>
        <w:pStyle w:val="RKnormal"/>
        <w:tabs>
          <w:tab w:val="left" w:pos="0"/>
        </w:tabs>
        <w:ind w:left="0"/>
      </w:pPr>
      <w:r>
        <w:t xml:space="preserve">Rättsakterna har presenterats och förhandlats i ett sammanhang och antas samtidigt. De har det gemensamma syftet att bl.a. minska övertron på externa kreditbetyg genom att avlägsna referenser till externa kreditbetyg i EU-rätten och genom att ställa utökade krav på finansiella företag – tjänstepensionsinstitut, fondföretag och förvaltare av alternativa investeringsfonder – att göra egna bedömningar av kreditrisk. I denna del sammanfaller förslagen med globala principer om minskat beroende av externa kreditbetyg som har överenskommits inom ramen för Financial Stability Board och G20. </w:t>
      </w:r>
    </w:p>
    <w:p w:rsidR="007024F9" w:rsidRDefault="007024F9" w:rsidP="007D38D8">
      <w:pPr>
        <w:pStyle w:val="RKnormal"/>
        <w:tabs>
          <w:tab w:val="left" w:pos="0"/>
        </w:tabs>
        <w:ind w:left="0"/>
      </w:pPr>
    </w:p>
    <w:p w:rsidR="007024F9" w:rsidRDefault="007024F9" w:rsidP="007D38D8">
      <w:pPr>
        <w:pStyle w:val="RKnormal"/>
        <w:tabs>
          <w:tab w:val="left" w:pos="0"/>
        </w:tabs>
        <w:ind w:left="0"/>
      </w:pPr>
      <w:r>
        <w:t xml:space="preserve">Förslaget till ändring av förordningen om kreditvärderingsinstitut innehåller vidare ett antal regler som syftar till att motverka intressekonflikter och främja konkurrens, bl.a. genom att begränsa möjligheten till samtidigt ägande av flera kreditvärderingsinstitut och genom att förorda användning av mindre kreditvärderingsinstitut, där så är möjligt. Förslaget innehåller vidare harmoniserade regler om civilrättsligt ansvar och en särskild regim för kreditbetyg som avser statliga låntagare. </w:t>
      </w:r>
    </w:p>
    <w:p w:rsidR="007024F9" w:rsidRDefault="007024F9" w:rsidP="007D38D8">
      <w:pPr>
        <w:pStyle w:val="RKnormal"/>
        <w:tabs>
          <w:tab w:val="left" w:pos="0"/>
        </w:tabs>
      </w:pPr>
    </w:p>
    <w:p w:rsidR="007024F9" w:rsidRDefault="007024F9" w:rsidP="007D38D8">
      <w:pPr>
        <w:pStyle w:val="RKnormal"/>
        <w:tabs>
          <w:tab w:val="clear" w:pos="1843"/>
          <w:tab w:val="left" w:pos="0"/>
        </w:tabs>
        <w:ind w:left="0"/>
      </w:pPr>
      <w:r>
        <w:t xml:space="preserve">Regeringen ser positivt på att reglerna om civilrättsligt ansvar för publicerade kreditbetyg inte har blivit mer långtgående än vad rådet redan hade enats om i den allmänna inriktningen från den 21 maj 2012. Ett långtgående civilrättsligt ansvar riskerar att motverka förordningens syfte att minska marknadsdeltagarnas beroende av externa kreditbetyg. Europaparlamentet har prioriterat särskilda regler om framtagande och offentliggörande av statliga kreditbetyg. Dessa regler har i den slutliga kompromissen getts en utformning som inte hindrar kreditvärderingsinstituten från att göra allsidiga bedömningar och att även offentliggöra de resulterande kreditbetygen vid behov. </w:t>
      </w:r>
    </w:p>
    <w:p w:rsidR="007024F9" w:rsidRPr="00321C84" w:rsidRDefault="007024F9" w:rsidP="00321C84">
      <w:pPr>
        <w:pStyle w:val="Heading2"/>
      </w:pPr>
      <w:bookmarkStart w:id="82" w:name="_Toc355268750"/>
      <w:r>
        <w:t>25. Proposal for a Regulation of the European Parliament and of the Council amending Regulation (EC) No 1060/2009 on credit rating agencies [First Reading] (LA)- Adoption of the legislative act</w:t>
      </w:r>
      <w:bookmarkEnd w:id="82"/>
    </w:p>
    <w:p w:rsidR="007024F9" w:rsidRPr="00321C84" w:rsidRDefault="007024F9" w:rsidP="00321C84">
      <w:r>
        <w:t>70/12, 8847/13</w:t>
      </w:r>
    </w:p>
    <w:p w:rsidR="007024F9" w:rsidRDefault="007024F9">
      <w:pPr>
        <w:pStyle w:val="RKnormal"/>
        <w:tabs>
          <w:tab w:val="clear" w:pos="1843"/>
          <w:tab w:val="left" w:pos="0"/>
        </w:tabs>
        <w:ind w:left="0"/>
      </w:pPr>
    </w:p>
    <w:p w:rsidR="007024F9" w:rsidRPr="00EC6270" w:rsidRDefault="007024F9" w:rsidP="00321C84">
      <w:r w:rsidRPr="00EC6270">
        <w:t>Ansvarigt departement: Finansdepartementet</w:t>
      </w:r>
    </w:p>
    <w:p w:rsidR="007024F9" w:rsidRPr="00EC6270" w:rsidRDefault="007024F9">
      <w:pPr>
        <w:pStyle w:val="RKnormal"/>
        <w:tabs>
          <w:tab w:val="clear" w:pos="1843"/>
          <w:tab w:val="left" w:pos="0"/>
        </w:tabs>
        <w:ind w:left="0"/>
      </w:pPr>
    </w:p>
    <w:p w:rsidR="007024F9" w:rsidRPr="00EC6270" w:rsidRDefault="007024F9" w:rsidP="00321C84">
      <w:r w:rsidRPr="00EC6270">
        <w:t>Ansvarigt statsråd: Peter Norman</w:t>
      </w:r>
    </w:p>
    <w:p w:rsidR="007024F9" w:rsidRPr="00EC6270" w:rsidRDefault="007024F9">
      <w:pPr>
        <w:pStyle w:val="RKnormal"/>
        <w:tabs>
          <w:tab w:val="clear" w:pos="1843"/>
          <w:tab w:val="left" w:pos="0"/>
        </w:tabs>
        <w:ind w:left="0"/>
      </w:pPr>
    </w:p>
    <w:p w:rsidR="007024F9" w:rsidRPr="00321C84" w:rsidRDefault="007024F9" w:rsidP="00321C84">
      <w:r>
        <w:t>Förväntas godkännas av Coreper II den 2 maj 2013</w:t>
      </w:r>
    </w:p>
    <w:p w:rsidR="007024F9" w:rsidRDefault="007024F9">
      <w:pPr>
        <w:pStyle w:val="RKnormal"/>
        <w:tabs>
          <w:tab w:val="clear" w:pos="1843"/>
          <w:tab w:val="left" w:pos="0"/>
        </w:tabs>
        <w:ind w:left="0"/>
      </w:pPr>
    </w:p>
    <w:p w:rsidR="007024F9" w:rsidRDefault="007024F9" w:rsidP="00EC6270">
      <w:pPr>
        <w:pStyle w:val="RKnormal"/>
        <w:tabs>
          <w:tab w:val="left" w:pos="0"/>
        </w:tabs>
        <w:ind w:left="0"/>
      </w:pPr>
      <w:r>
        <w:t>Avsikt med behandlingen i rådet:</w:t>
      </w:r>
    </w:p>
    <w:p w:rsidR="007024F9" w:rsidRDefault="007024F9" w:rsidP="00EC6270">
      <w:pPr>
        <w:pStyle w:val="RKnormal"/>
        <w:tabs>
          <w:tab w:val="left" w:pos="0"/>
        </w:tabs>
        <w:ind w:left="0"/>
      </w:pPr>
      <w:r>
        <w:t>Rådet föreslås anta förslagen om ändring av förordningen (1060/2009) om kreditvärderingsinstitut samt ändring av direktiven (2003/41/EG) om tjänstepensionsinstitut, (2009/65/EG) om fondföretag och (2011/61/EU) om förvaltare av alternativa investeringsfonder.</w:t>
      </w:r>
    </w:p>
    <w:p w:rsidR="007024F9" w:rsidRDefault="007024F9" w:rsidP="00EC6270">
      <w:pPr>
        <w:pStyle w:val="RKnormal"/>
        <w:tabs>
          <w:tab w:val="left" w:pos="0"/>
        </w:tabs>
        <w:ind w:left="0"/>
      </w:pPr>
    </w:p>
    <w:p w:rsidR="007024F9" w:rsidRDefault="007024F9" w:rsidP="00EC6270">
      <w:pPr>
        <w:pStyle w:val="RKnormal"/>
        <w:tabs>
          <w:tab w:val="left" w:pos="0"/>
        </w:tabs>
        <w:ind w:left="0"/>
      </w:pPr>
      <w:r>
        <w:t>Hur regeringen ställer sig till den blivande A-punkten:</w:t>
      </w:r>
    </w:p>
    <w:p w:rsidR="007024F9" w:rsidRDefault="007024F9" w:rsidP="00EC6270">
      <w:pPr>
        <w:pStyle w:val="RKnormal"/>
        <w:tabs>
          <w:tab w:val="left" w:pos="0"/>
        </w:tabs>
        <w:ind w:left="0"/>
      </w:pPr>
      <w:r>
        <w:t xml:space="preserve">Regeringen avser att rösta ja till att rättsakterna antas. </w:t>
      </w:r>
    </w:p>
    <w:p w:rsidR="007024F9" w:rsidRDefault="007024F9" w:rsidP="00EC6270">
      <w:pPr>
        <w:pStyle w:val="RKnormal"/>
        <w:tabs>
          <w:tab w:val="left" w:pos="0"/>
        </w:tabs>
        <w:ind w:left="0"/>
      </w:pPr>
    </w:p>
    <w:p w:rsidR="007024F9" w:rsidRDefault="007024F9" w:rsidP="00EC6270">
      <w:pPr>
        <w:pStyle w:val="RKnormal"/>
        <w:tabs>
          <w:tab w:val="left" w:pos="0"/>
        </w:tabs>
        <w:ind w:left="0"/>
      </w:pPr>
      <w:r>
        <w:t>Bakgrund:</w:t>
      </w:r>
    </w:p>
    <w:p w:rsidR="007024F9" w:rsidRDefault="007024F9" w:rsidP="00EC6270">
      <w:pPr>
        <w:pStyle w:val="RKnormal"/>
        <w:tabs>
          <w:tab w:val="left" w:pos="0"/>
        </w:tabs>
        <w:ind w:left="0"/>
      </w:pPr>
      <w:r>
        <w:t xml:space="preserve">Rättsakterna har presenterats och förhandlats i ett sammanhang och antas samtidigt. De har det gemensamma syftet att bl.a. minska övertron på externa kreditbetyg genom att avlägsna referenser till externa kreditbetyg i EU-rätten och genom att ställa utökade krav på finansiella företag – tjänstepensionsinstitut, fondföretag och förvaltare av alternativa investeringsfonder – att göra egna bedömningar av kreditrisk. I denna del sammanfaller förslagen med globala principer om minskat beroende av externa kreditbetyg som har överenskommits inom ramen för Financial Stability Board och G20. </w:t>
      </w:r>
    </w:p>
    <w:p w:rsidR="007024F9" w:rsidRDefault="007024F9" w:rsidP="00EC6270">
      <w:pPr>
        <w:pStyle w:val="RKnormal"/>
        <w:tabs>
          <w:tab w:val="left" w:pos="0"/>
        </w:tabs>
        <w:ind w:left="0"/>
      </w:pPr>
    </w:p>
    <w:p w:rsidR="007024F9" w:rsidRDefault="007024F9" w:rsidP="00EC6270">
      <w:pPr>
        <w:pStyle w:val="RKnormal"/>
        <w:tabs>
          <w:tab w:val="left" w:pos="0"/>
        </w:tabs>
        <w:ind w:left="0"/>
      </w:pPr>
      <w:r>
        <w:t xml:space="preserve">Förslaget till ändring av förordningen om kreditvärderingsinstitut innehåller vidare ett antal regler som syftar till att motverka intressekonflikter och främja konkurrens, bl.a. genom att begränsa möjligheten till samtidigt ägande av flera kreditvärderingsinstitut och genom att förorda användning av mindre kreditvärderingsinstitut, där så är möjligt. Förslaget innehåller vidare harmoniserade regler om civilrättsligt ansvar och en särskild regim för kreditbetyg som avser statliga låntagare. </w:t>
      </w:r>
    </w:p>
    <w:p w:rsidR="007024F9" w:rsidRDefault="007024F9" w:rsidP="00EC6270">
      <w:pPr>
        <w:pStyle w:val="RKnormal"/>
        <w:tabs>
          <w:tab w:val="left" w:pos="0"/>
        </w:tabs>
      </w:pPr>
    </w:p>
    <w:p w:rsidR="007024F9" w:rsidRDefault="007024F9" w:rsidP="00EC6270">
      <w:pPr>
        <w:pStyle w:val="RKnormal"/>
        <w:tabs>
          <w:tab w:val="clear" w:pos="1843"/>
          <w:tab w:val="left" w:pos="0"/>
        </w:tabs>
        <w:ind w:left="0"/>
      </w:pPr>
      <w:r>
        <w:t xml:space="preserve">Regeringen ser positivt på att reglerna om civilrättsligt ansvar för publicerade kreditbetyg inte har blivit mer långtgående än vad rådet redan hade enats om i den allmänna inriktningen från den 21 maj 2012. Ett långtgående civilrättsligt ansvar riskerar att motverka förordningens syfte att minska marknadsdeltagarnas beroende av externa kreditbetyg. Europaparlamentet har prioriterat särskilda regler om framtagande och offentliggörande av statliga kreditbetyg. Dessa regler har i den slutliga kompromissen getts en utformning som inte hindrar kreditvärderingsinstituten från att göra allsidiga bedömningar och att även offentliggöra de resulterande kreditbetygen vid behov. </w:t>
      </w:r>
    </w:p>
    <w:p w:rsidR="007024F9" w:rsidRPr="00321C84" w:rsidRDefault="007024F9" w:rsidP="00321C84">
      <w:pPr>
        <w:pStyle w:val="Heading2"/>
      </w:pPr>
      <w:bookmarkStart w:id="83" w:name="_Toc355268751"/>
      <w:r>
        <w:t>26. New method of calculation of the per diem for seconded staff participating in EU civilian crisis management missions and EUSRs teams</w:t>
      </w:r>
      <w:bookmarkEnd w:id="83"/>
    </w:p>
    <w:p w:rsidR="007024F9" w:rsidRPr="00321C84" w:rsidRDefault="007024F9" w:rsidP="00321C84">
      <w:r>
        <w:t>9084/13</w:t>
      </w:r>
    </w:p>
    <w:p w:rsidR="007024F9" w:rsidRDefault="007024F9">
      <w:pPr>
        <w:pStyle w:val="RKnormal"/>
        <w:tabs>
          <w:tab w:val="clear" w:pos="1843"/>
          <w:tab w:val="left" w:pos="0"/>
        </w:tabs>
        <w:ind w:left="0"/>
      </w:pPr>
    </w:p>
    <w:p w:rsidR="007024F9" w:rsidRPr="00F778AD" w:rsidRDefault="007024F9" w:rsidP="00321C84">
      <w:r w:rsidRPr="00F778AD">
        <w:t>Ansvarigt departement: Ingen ansvarig är angiven</w:t>
      </w:r>
    </w:p>
    <w:p w:rsidR="007024F9" w:rsidRPr="00F778AD" w:rsidRDefault="007024F9" w:rsidP="00321C84"/>
    <w:p w:rsidR="007024F9" w:rsidRPr="00F778AD" w:rsidRDefault="007024F9" w:rsidP="00321C84">
      <w:r w:rsidRPr="00F778AD">
        <w:t xml:space="preserve">Ansvarigt statsråd: </w:t>
      </w:r>
    </w:p>
    <w:p w:rsidR="007024F9" w:rsidRPr="00F778AD" w:rsidRDefault="007024F9">
      <w:pPr>
        <w:pStyle w:val="RKnormal"/>
        <w:tabs>
          <w:tab w:val="clear" w:pos="1843"/>
          <w:tab w:val="left" w:pos="0"/>
        </w:tabs>
        <w:ind w:left="0"/>
      </w:pPr>
    </w:p>
    <w:p w:rsidR="007024F9" w:rsidRPr="00F778AD" w:rsidRDefault="007024F9" w:rsidP="00321C84">
      <w:r>
        <w:t>Förväntas godkännas av Coreper II den 2 maj 2013</w:t>
      </w:r>
    </w:p>
    <w:p w:rsidR="007024F9" w:rsidRDefault="007024F9" w:rsidP="00321C84"/>
    <w:p w:rsidR="007024F9" w:rsidRDefault="007024F9" w:rsidP="00F778AD">
      <w:r>
        <w:t xml:space="preserve">Avsikt med behandlingen i rådet: </w:t>
      </w:r>
    </w:p>
    <w:p w:rsidR="007024F9" w:rsidRDefault="007024F9" w:rsidP="00F778AD">
      <w:r>
        <w:t>Rådet väntas anta en ny metod för beräkning av per diem för den personal som är sekonderad till EU:s civila krishanteringsinsatser och till EUSR-kontoren.</w:t>
      </w:r>
    </w:p>
    <w:p w:rsidR="007024F9" w:rsidRDefault="007024F9" w:rsidP="00F778AD"/>
    <w:p w:rsidR="007024F9" w:rsidRDefault="007024F9" w:rsidP="00F778AD">
      <w:r>
        <w:t xml:space="preserve">Hur regeringen ställer sig till den blivande A-punkten: </w:t>
      </w:r>
    </w:p>
    <w:p w:rsidR="007024F9" w:rsidRDefault="007024F9" w:rsidP="00F778AD">
      <w:r>
        <w:t>Den nya metoden kan godkännas i rådet.</w:t>
      </w:r>
    </w:p>
    <w:p w:rsidR="007024F9" w:rsidRDefault="007024F9" w:rsidP="00F778AD"/>
    <w:p w:rsidR="007024F9" w:rsidRDefault="007024F9" w:rsidP="00F778AD">
      <w:r>
        <w:t xml:space="preserve">Bakgrund: </w:t>
      </w:r>
    </w:p>
    <w:p w:rsidR="007024F9" w:rsidRDefault="007024F9" w:rsidP="00F778AD">
      <w:r>
        <w:t xml:space="preserve">Den nya metoden för beräkning av per diem tar utgångspunkt i den daglön som garanteras nationella experter som är anställa vid EU:s utrikestjänst. Beroende på i vilket land man sedan är placerad varierar per diem enligt beräkningar som tar hänsyn till risk och hur långt ifrån sitt hemland man befinner sig. Konsekvensen av ändringen är kostnadsneutral, dvs. påverkar inte GUSP-budgeten i stort. Däremot kommer det att ske en viss omfördelning mellan länder och insatser som främst innebär att högriskorter får ett högre per diem och de med lägre risk sänks. Ändringen kommer att fasas in gradvis med start den 1 juni 2013 och vara fullt i bruk den 1 oktober 2013. </w:t>
      </w:r>
    </w:p>
    <w:p w:rsidR="007024F9" w:rsidRDefault="007024F9">
      <w:pPr>
        <w:pStyle w:val="RKnormal"/>
        <w:tabs>
          <w:tab w:val="clear" w:pos="1843"/>
          <w:tab w:val="left" w:pos="0"/>
        </w:tabs>
        <w:ind w:left="0"/>
      </w:pPr>
    </w:p>
    <w:sectPr w:rsidR="007024F9" w:rsidSect="007B1E53">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4F9" w:rsidRDefault="007024F9">
      <w:r>
        <w:separator/>
      </w:r>
    </w:p>
  </w:endnote>
  <w:endnote w:type="continuationSeparator" w:id="0">
    <w:p w:rsidR="007024F9" w:rsidRDefault="007024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4F9" w:rsidRDefault="007024F9">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24</w:t>
    </w:r>
    <w:r>
      <w:rPr>
        <w:rStyle w:val="PageNumber"/>
        <w:sz w:val="16"/>
      </w:rPr>
      <w:fldChar w:fldCharType="end"/>
    </w:r>
    <w:r>
      <w:rPr>
        <w:rStyle w:val="PageNumber"/>
        <w:sz w:val="16"/>
      </w:rPr>
      <w:t>)</w:t>
    </w:r>
  </w:p>
  <w:p w:rsidR="007024F9" w:rsidRDefault="007024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4F9" w:rsidRDefault="007024F9">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25</w:t>
    </w:r>
    <w:r>
      <w:rPr>
        <w:rStyle w:val="PageNumber"/>
        <w:sz w:val="16"/>
      </w:rPr>
      <w:fldChar w:fldCharType="end"/>
    </w:r>
    <w:r>
      <w:rPr>
        <w:rStyle w:val="PageNumber"/>
        <w:sz w:val="16"/>
      </w:rPr>
      <w:t>)</w:t>
    </w:r>
  </w:p>
  <w:p w:rsidR="007024F9" w:rsidRDefault="007024F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4F9" w:rsidRDefault="007024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4F9" w:rsidRDefault="007024F9">
      <w:r>
        <w:separator/>
      </w:r>
    </w:p>
  </w:footnote>
  <w:footnote w:type="continuationSeparator" w:id="0">
    <w:p w:rsidR="007024F9" w:rsidRDefault="007024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4F9" w:rsidRDefault="007024F9">
    <w:pPr>
      <w:pStyle w:val="Header"/>
      <w:framePr w:wrap="around" w:vAnchor="text" w:hAnchor="margin" w:xAlign="right" w:y="1"/>
      <w:rPr>
        <w:rStyle w:val="PageNumber"/>
      </w:rPr>
    </w:pPr>
  </w:p>
  <w:p w:rsidR="007024F9" w:rsidRDefault="007024F9">
    <w:pPr>
      <w:pStyle w:val="Header"/>
      <w:ind w:right="360"/>
    </w:pPr>
  </w:p>
  <w:p w:rsidR="007024F9" w:rsidRDefault="007024F9">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4F9" w:rsidRDefault="007024F9">
    <w:pPr>
      <w:framePr w:w="2948" w:h="1321" w:hRule="exact" w:wrap="notBeside" w:vAnchor="page" w:hAnchor="page" w:x="1362" w:y="653"/>
    </w:pPr>
    <w:r w:rsidRPr="00750C2E">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7024F9" w:rsidRDefault="007024F9">
    <w:pPr>
      <w:pStyle w:val="Header"/>
    </w:pPr>
  </w:p>
  <w:p w:rsidR="007024F9" w:rsidRDefault="007024F9">
    <w:pPr>
      <w:pStyle w:val="Header"/>
      <w:ind w:right="360"/>
    </w:pPr>
  </w:p>
  <w:p w:rsidR="007024F9" w:rsidRDefault="007024F9">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4F9" w:rsidRDefault="007024F9">
    <w:pPr>
      <w:framePr w:w="2948" w:h="1321" w:hRule="exact" w:wrap="notBeside" w:vAnchor="page" w:hAnchor="page" w:x="1362" w:y="653"/>
    </w:pPr>
    <w:r w:rsidRPr="00750C2E">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7024F9" w:rsidRDefault="007024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6D05382"/>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321C84"/>
    <w:rsid w:val="000562E5"/>
    <w:rsid w:val="000A3C04"/>
    <w:rsid w:val="00176210"/>
    <w:rsid w:val="002659F5"/>
    <w:rsid w:val="00321C84"/>
    <w:rsid w:val="00351251"/>
    <w:rsid w:val="00496DFC"/>
    <w:rsid w:val="004B5B13"/>
    <w:rsid w:val="004E5C5A"/>
    <w:rsid w:val="00555AF1"/>
    <w:rsid w:val="00560A78"/>
    <w:rsid w:val="00561129"/>
    <w:rsid w:val="005A23F9"/>
    <w:rsid w:val="005C212F"/>
    <w:rsid w:val="005F1820"/>
    <w:rsid w:val="007024F9"/>
    <w:rsid w:val="00750C2E"/>
    <w:rsid w:val="007B1E53"/>
    <w:rsid w:val="007D38D8"/>
    <w:rsid w:val="00847B54"/>
    <w:rsid w:val="00936272"/>
    <w:rsid w:val="009372E2"/>
    <w:rsid w:val="00A72123"/>
    <w:rsid w:val="00AA0F2A"/>
    <w:rsid w:val="00AC22F2"/>
    <w:rsid w:val="00AF0928"/>
    <w:rsid w:val="00B04E1A"/>
    <w:rsid w:val="00BA6B91"/>
    <w:rsid w:val="00C536A3"/>
    <w:rsid w:val="00E70A9F"/>
    <w:rsid w:val="00E733A5"/>
    <w:rsid w:val="00EC3C7C"/>
    <w:rsid w:val="00EC6270"/>
    <w:rsid w:val="00ED5DCC"/>
    <w:rsid w:val="00F056A7"/>
    <w:rsid w:val="00F23022"/>
    <w:rsid w:val="00F664EC"/>
    <w:rsid w:val="00F778AD"/>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E53"/>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7B1E53"/>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7B1E53"/>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7B1E53"/>
    <w:pPr>
      <w:spacing w:after="120" w:line="240" w:lineRule="atLeast"/>
      <w:outlineLvl w:val="2"/>
    </w:pPr>
    <w:rPr>
      <w:b w:val="0"/>
    </w:rPr>
  </w:style>
  <w:style w:type="paragraph" w:styleId="Heading4">
    <w:name w:val="heading 4"/>
    <w:basedOn w:val="Heading3"/>
    <w:next w:val="RKnormal"/>
    <w:link w:val="Heading4Char"/>
    <w:uiPriority w:val="99"/>
    <w:qFormat/>
    <w:rsid w:val="007B1E53"/>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7B1E53"/>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1C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8151CD"/>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8151CD"/>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8151CD"/>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8151CD"/>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7B1E53"/>
    <w:pPr>
      <w:tabs>
        <w:tab w:val="left" w:pos="1843"/>
        <w:tab w:val="left" w:pos="2835"/>
      </w:tabs>
      <w:spacing w:line="240" w:lineRule="atLeast"/>
      <w:ind w:left="1843"/>
    </w:pPr>
  </w:style>
  <w:style w:type="paragraph" w:customStyle="1" w:styleId="Avsndare">
    <w:name w:val="Avsändare"/>
    <w:basedOn w:val="Normal"/>
    <w:uiPriority w:val="99"/>
    <w:rsid w:val="007B1E5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7B1E53"/>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8151CD"/>
    <w:rPr>
      <w:rFonts w:ascii="OrigGarmnd BT" w:hAnsi="OrigGarmnd BT"/>
      <w:sz w:val="24"/>
      <w:szCs w:val="20"/>
      <w:lang w:eastAsia="en-US"/>
    </w:rPr>
  </w:style>
  <w:style w:type="paragraph" w:styleId="Header">
    <w:name w:val="header"/>
    <w:basedOn w:val="Normal"/>
    <w:link w:val="HeaderChar"/>
    <w:uiPriority w:val="99"/>
    <w:rsid w:val="007B1E53"/>
    <w:pPr>
      <w:tabs>
        <w:tab w:val="center" w:pos="4153"/>
        <w:tab w:val="right" w:pos="8306"/>
      </w:tabs>
    </w:pPr>
  </w:style>
  <w:style w:type="character" w:customStyle="1" w:styleId="HeaderChar">
    <w:name w:val="Header Char"/>
    <w:basedOn w:val="DefaultParagraphFont"/>
    <w:link w:val="Header"/>
    <w:uiPriority w:val="99"/>
    <w:semiHidden/>
    <w:rsid w:val="008151CD"/>
    <w:rPr>
      <w:rFonts w:ascii="OrigGarmnd BT" w:hAnsi="OrigGarmnd BT"/>
      <w:sz w:val="24"/>
      <w:szCs w:val="20"/>
      <w:lang w:eastAsia="en-US"/>
    </w:rPr>
  </w:style>
  <w:style w:type="paragraph" w:customStyle="1" w:styleId="RKrubrik">
    <w:name w:val="RKrubrik"/>
    <w:basedOn w:val="RKnormal"/>
    <w:next w:val="RKnormal"/>
    <w:uiPriority w:val="99"/>
    <w:rsid w:val="007B1E53"/>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7B1E53"/>
    <w:rPr>
      <w:rFonts w:cs="Times New Roman"/>
    </w:rPr>
  </w:style>
  <w:style w:type="paragraph" w:styleId="BodyText">
    <w:name w:val="Body Text"/>
    <w:basedOn w:val="Normal"/>
    <w:link w:val="BodyTextChar"/>
    <w:uiPriority w:val="99"/>
    <w:rsid w:val="007B1E53"/>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8151CD"/>
    <w:rPr>
      <w:rFonts w:ascii="OrigGarmnd BT" w:hAnsi="OrigGarmnd BT"/>
      <w:sz w:val="24"/>
      <w:szCs w:val="20"/>
      <w:lang w:eastAsia="en-US"/>
    </w:rPr>
  </w:style>
  <w:style w:type="paragraph" w:styleId="FootnoteText">
    <w:name w:val="footnote text"/>
    <w:basedOn w:val="Normal"/>
    <w:link w:val="FootnoteTextChar"/>
    <w:uiPriority w:val="99"/>
    <w:semiHidden/>
    <w:rsid w:val="007B1E53"/>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8151CD"/>
    <w:rPr>
      <w:rFonts w:ascii="OrigGarmnd BT" w:hAnsi="OrigGarmnd BT"/>
      <w:sz w:val="20"/>
      <w:szCs w:val="20"/>
      <w:lang w:eastAsia="en-US"/>
    </w:rPr>
  </w:style>
  <w:style w:type="paragraph" w:customStyle="1" w:styleId="UDrubrik">
    <w:name w:val="UDrubrik"/>
    <w:basedOn w:val="Normal"/>
    <w:next w:val="BodyText"/>
    <w:uiPriority w:val="99"/>
    <w:rsid w:val="007B1E53"/>
    <w:pPr>
      <w:spacing w:line="320" w:lineRule="exact"/>
    </w:pPr>
    <w:rPr>
      <w:rFonts w:ascii="Arial" w:hAnsi="Arial"/>
      <w:b/>
      <w:sz w:val="22"/>
    </w:rPr>
  </w:style>
  <w:style w:type="paragraph" w:styleId="TOC1">
    <w:name w:val="toc 1"/>
    <w:basedOn w:val="Normal"/>
    <w:next w:val="Normal"/>
    <w:autoRedefine/>
    <w:uiPriority w:val="99"/>
    <w:rsid w:val="007B1E53"/>
    <w:pPr>
      <w:spacing w:before="360"/>
    </w:pPr>
    <w:rPr>
      <w:rFonts w:ascii="Arial" w:hAnsi="Arial"/>
      <w:b/>
      <w:bCs/>
      <w:caps/>
      <w:szCs w:val="28"/>
    </w:rPr>
  </w:style>
  <w:style w:type="paragraph" w:styleId="TOC2">
    <w:name w:val="toc 2"/>
    <w:basedOn w:val="Normal"/>
    <w:next w:val="Normal"/>
    <w:autoRedefine/>
    <w:uiPriority w:val="99"/>
    <w:rsid w:val="007B1E53"/>
    <w:pPr>
      <w:spacing w:before="240"/>
    </w:pPr>
    <w:rPr>
      <w:rFonts w:ascii="Times New Roman" w:hAnsi="Times New Roman"/>
      <w:b/>
      <w:bCs/>
      <w:szCs w:val="24"/>
    </w:rPr>
  </w:style>
  <w:style w:type="paragraph" w:styleId="TOC3">
    <w:name w:val="toc 3"/>
    <w:basedOn w:val="Normal"/>
    <w:next w:val="Normal"/>
    <w:autoRedefine/>
    <w:uiPriority w:val="99"/>
    <w:semiHidden/>
    <w:rsid w:val="007B1E53"/>
    <w:pPr>
      <w:ind w:left="240"/>
    </w:pPr>
    <w:rPr>
      <w:rFonts w:ascii="Times New Roman" w:hAnsi="Times New Roman"/>
      <w:szCs w:val="24"/>
    </w:rPr>
  </w:style>
  <w:style w:type="paragraph" w:styleId="TOC4">
    <w:name w:val="toc 4"/>
    <w:basedOn w:val="Normal"/>
    <w:next w:val="Normal"/>
    <w:autoRedefine/>
    <w:uiPriority w:val="99"/>
    <w:semiHidden/>
    <w:rsid w:val="007B1E53"/>
    <w:pPr>
      <w:ind w:left="480"/>
    </w:pPr>
    <w:rPr>
      <w:rFonts w:ascii="Times New Roman" w:hAnsi="Times New Roman"/>
      <w:szCs w:val="24"/>
    </w:rPr>
  </w:style>
  <w:style w:type="paragraph" w:styleId="TOC5">
    <w:name w:val="toc 5"/>
    <w:basedOn w:val="Normal"/>
    <w:next w:val="Normal"/>
    <w:autoRedefine/>
    <w:uiPriority w:val="99"/>
    <w:semiHidden/>
    <w:rsid w:val="007B1E53"/>
    <w:pPr>
      <w:ind w:left="720"/>
    </w:pPr>
    <w:rPr>
      <w:rFonts w:ascii="Times New Roman" w:hAnsi="Times New Roman"/>
      <w:szCs w:val="24"/>
    </w:rPr>
  </w:style>
  <w:style w:type="paragraph" w:styleId="TOC6">
    <w:name w:val="toc 6"/>
    <w:basedOn w:val="Normal"/>
    <w:next w:val="Normal"/>
    <w:autoRedefine/>
    <w:uiPriority w:val="99"/>
    <w:semiHidden/>
    <w:rsid w:val="007B1E53"/>
    <w:pPr>
      <w:ind w:left="960"/>
    </w:pPr>
    <w:rPr>
      <w:rFonts w:ascii="Times New Roman" w:hAnsi="Times New Roman"/>
      <w:szCs w:val="24"/>
    </w:rPr>
  </w:style>
  <w:style w:type="paragraph" w:styleId="TOC7">
    <w:name w:val="toc 7"/>
    <w:basedOn w:val="Normal"/>
    <w:next w:val="Normal"/>
    <w:autoRedefine/>
    <w:uiPriority w:val="99"/>
    <w:semiHidden/>
    <w:rsid w:val="007B1E53"/>
    <w:pPr>
      <w:ind w:left="1200"/>
    </w:pPr>
    <w:rPr>
      <w:rFonts w:ascii="Times New Roman" w:hAnsi="Times New Roman"/>
      <w:szCs w:val="24"/>
    </w:rPr>
  </w:style>
  <w:style w:type="paragraph" w:styleId="TOC8">
    <w:name w:val="toc 8"/>
    <w:basedOn w:val="Normal"/>
    <w:next w:val="Normal"/>
    <w:autoRedefine/>
    <w:uiPriority w:val="99"/>
    <w:semiHidden/>
    <w:rsid w:val="007B1E53"/>
    <w:pPr>
      <w:ind w:left="1440"/>
    </w:pPr>
    <w:rPr>
      <w:rFonts w:ascii="Times New Roman" w:hAnsi="Times New Roman"/>
      <w:szCs w:val="24"/>
    </w:rPr>
  </w:style>
  <w:style w:type="paragraph" w:styleId="TOC9">
    <w:name w:val="toc 9"/>
    <w:basedOn w:val="Normal"/>
    <w:next w:val="Normal"/>
    <w:autoRedefine/>
    <w:uiPriority w:val="99"/>
    <w:semiHidden/>
    <w:rsid w:val="007B1E53"/>
    <w:pPr>
      <w:ind w:left="1680"/>
    </w:pPr>
    <w:rPr>
      <w:rFonts w:ascii="Times New Roman" w:hAnsi="Times New Roman"/>
      <w:szCs w:val="24"/>
    </w:rPr>
  </w:style>
  <w:style w:type="paragraph" w:customStyle="1" w:styleId="Text1">
    <w:name w:val="Text 1"/>
    <w:basedOn w:val="Normal"/>
    <w:uiPriority w:val="99"/>
    <w:rsid w:val="007B1E53"/>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7B1E53"/>
    <w:rPr>
      <w:rFonts w:cs="Times New Roman"/>
      <w:vertAlign w:val="superscript"/>
    </w:rPr>
  </w:style>
  <w:style w:type="paragraph" w:styleId="Index1">
    <w:name w:val="index 1"/>
    <w:basedOn w:val="Normal"/>
    <w:next w:val="Normal"/>
    <w:autoRedefine/>
    <w:uiPriority w:val="99"/>
    <w:semiHidden/>
    <w:rsid w:val="007B1E53"/>
    <w:pPr>
      <w:ind w:left="240" w:hanging="240"/>
    </w:pPr>
    <w:rPr>
      <w:rFonts w:ascii="Times New Roman" w:hAnsi="Times New Roman"/>
      <w:szCs w:val="24"/>
    </w:rPr>
  </w:style>
  <w:style w:type="paragraph" w:styleId="Index2">
    <w:name w:val="index 2"/>
    <w:basedOn w:val="Normal"/>
    <w:next w:val="Normal"/>
    <w:autoRedefine/>
    <w:uiPriority w:val="99"/>
    <w:semiHidden/>
    <w:rsid w:val="007B1E53"/>
    <w:pPr>
      <w:ind w:left="480" w:hanging="240"/>
    </w:pPr>
    <w:rPr>
      <w:rFonts w:ascii="Times New Roman" w:hAnsi="Times New Roman"/>
      <w:szCs w:val="24"/>
    </w:rPr>
  </w:style>
  <w:style w:type="paragraph" w:styleId="Index3">
    <w:name w:val="index 3"/>
    <w:basedOn w:val="Normal"/>
    <w:next w:val="Normal"/>
    <w:autoRedefine/>
    <w:uiPriority w:val="99"/>
    <w:semiHidden/>
    <w:rsid w:val="007B1E53"/>
    <w:pPr>
      <w:ind w:left="720" w:hanging="240"/>
    </w:pPr>
    <w:rPr>
      <w:rFonts w:ascii="Times New Roman" w:hAnsi="Times New Roman"/>
      <w:szCs w:val="24"/>
    </w:rPr>
  </w:style>
  <w:style w:type="paragraph" w:styleId="Index4">
    <w:name w:val="index 4"/>
    <w:basedOn w:val="Normal"/>
    <w:next w:val="Normal"/>
    <w:autoRedefine/>
    <w:uiPriority w:val="99"/>
    <w:semiHidden/>
    <w:rsid w:val="007B1E53"/>
    <w:pPr>
      <w:ind w:left="960" w:hanging="240"/>
    </w:pPr>
    <w:rPr>
      <w:rFonts w:ascii="Times New Roman" w:hAnsi="Times New Roman"/>
      <w:szCs w:val="24"/>
    </w:rPr>
  </w:style>
  <w:style w:type="paragraph" w:styleId="Index5">
    <w:name w:val="index 5"/>
    <w:basedOn w:val="Normal"/>
    <w:next w:val="Normal"/>
    <w:autoRedefine/>
    <w:uiPriority w:val="99"/>
    <w:semiHidden/>
    <w:rsid w:val="007B1E53"/>
    <w:pPr>
      <w:ind w:left="1200" w:hanging="240"/>
    </w:pPr>
    <w:rPr>
      <w:rFonts w:ascii="Times New Roman" w:hAnsi="Times New Roman"/>
      <w:szCs w:val="24"/>
    </w:rPr>
  </w:style>
  <w:style w:type="paragraph" w:styleId="Index6">
    <w:name w:val="index 6"/>
    <w:basedOn w:val="Normal"/>
    <w:next w:val="Normal"/>
    <w:autoRedefine/>
    <w:uiPriority w:val="99"/>
    <w:semiHidden/>
    <w:rsid w:val="007B1E53"/>
    <w:pPr>
      <w:ind w:left="1440" w:hanging="240"/>
    </w:pPr>
    <w:rPr>
      <w:rFonts w:ascii="Times New Roman" w:hAnsi="Times New Roman"/>
      <w:szCs w:val="24"/>
    </w:rPr>
  </w:style>
  <w:style w:type="paragraph" w:styleId="Index7">
    <w:name w:val="index 7"/>
    <w:basedOn w:val="Normal"/>
    <w:next w:val="Normal"/>
    <w:autoRedefine/>
    <w:uiPriority w:val="99"/>
    <w:semiHidden/>
    <w:rsid w:val="007B1E53"/>
    <w:pPr>
      <w:ind w:left="1680" w:hanging="240"/>
    </w:pPr>
    <w:rPr>
      <w:rFonts w:ascii="Times New Roman" w:hAnsi="Times New Roman"/>
      <w:szCs w:val="24"/>
    </w:rPr>
  </w:style>
  <w:style w:type="paragraph" w:styleId="Index8">
    <w:name w:val="index 8"/>
    <w:basedOn w:val="Normal"/>
    <w:next w:val="Normal"/>
    <w:autoRedefine/>
    <w:uiPriority w:val="99"/>
    <w:semiHidden/>
    <w:rsid w:val="007B1E53"/>
    <w:pPr>
      <w:ind w:left="1920" w:hanging="240"/>
    </w:pPr>
    <w:rPr>
      <w:rFonts w:ascii="Times New Roman" w:hAnsi="Times New Roman"/>
      <w:szCs w:val="24"/>
    </w:rPr>
  </w:style>
  <w:style w:type="paragraph" w:styleId="Index9">
    <w:name w:val="index 9"/>
    <w:basedOn w:val="Normal"/>
    <w:next w:val="Normal"/>
    <w:autoRedefine/>
    <w:uiPriority w:val="99"/>
    <w:semiHidden/>
    <w:rsid w:val="007B1E53"/>
    <w:pPr>
      <w:ind w:left="2160" w:hanging="240"/>
    </w:pPr>
    <w:rPr>
      <w:rFonts w:ascii="Times New Roman" w:hAnsi="Times New Roman"/>
      <w:szCs w:val="24"/>
    </w:rPr>
  </w:style>
  <w:style w:type="paragraph" w:styleId="IndexHeading">
    <w:name w:val="index heading"/>
    <w:basedOn w:val="Normal"/>
    <w:next w:val="Index1"/>
    <w:uiPriority w:val="99"/>
    <w:semiHidden/>
    <w:rsid w:val="007B1E53"/>
    <w:pPr>
      <w:spacing w:before="120" w:after="120"/>
    </w:pPr>
    <w:rPr>
      <w:rFonts w:ascii="Times New Roman" w:hAnsi="Times New Roman"/>
      <w:b/>
      <w:bCs/>
      <w:i/>
      <w:iCs/>
      <w:szCs w:val="24"/>
    </w:rPr>
  </w:style>
  <w:style w:type="paragraph" w:customStyle="1" w:styleId="EntEmet">
    <w:name w:val="EntEmet"/>
    <w:basedOn w:val="Normal"/>
    <w:uiPriority w:val="99"/>
    <w:rsid w:val="007B1E53"/>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7B1E53"/>
    <w:pPr>
      <w:spacing w:line="240" w:lineRule="auto"/>
    </w:pPr>
    <w:rPr>
      <w:rFonts w:ascii="Arial" w:hAnsi="Arial"/>
      <w:lang w:val="en-GB"/>
    </w:rPr>
  </w:style>
  <w:style w:type="paragraph" w:customStyle="1" w:styleId="Avsndare0">
    <w:name w:val="Avsndare"/>
    <w:basedOn w:val="Normal"/>
    <w:next w:val="Normal"/>
    <w:uiPriority w:val="99"/>
    <w:rsid w:val="007B1E53"/>
    <w:pPr>
      <w:spacing w:line="240" w:lineRule="auto"/>
    </w:pPr>
    <w:rPr>
      <w:rFonts w:ascii="Arial" w:hAnsi="Arial"/>
      <w:i/>
      <w:lang w:val="en-GB"/>
    </w:rPr>
  </w:style>
  <w:style w:type="character" w:styleId="Hyperlink">
    <w:name w:val="Hyperlink"/>
    <w:basedOn w:val="DefaultParagraphFont"/>
    <w:uiPriority w:val="99"/>
    <w:rsid w:val="007B1E53"/>
    <w:rPr>
      <w:rFonts w:cs="Times New Roman"/>
      <w:color w:val="0000FF"/>
      <w:u w:val="single"/>
    </w:rPr>
  </w:style>
  <w:style w:type="paragraph" w:styleId="DocumentMap">
    <w:name w:val="Document Map"/>
    <w:basedOn w:val="Normal"/>
    <w:link w:val="DocumentMapChar"/>
    <w:uiPriority w:val="99"/>
    <w:semiHidden/>
    <w:rsid w:val="007B1E53"/>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8151CD"/>
    <w:rPr>
      <w:sz w:val="0"/>
      <w:szCs w:val="0"/>
      <w:lang w:eastAsia="en-US"/>
    </w:rPr>
  </w:style>
  <w:style w:type="character" w:styleId="FollowedHyperlink">
    <w:name w:val="FollowedHyperlink"/>
    <w:basedOn w:val="DefaultParagraphFont"/>
    <w:uiPriority w:val="99"/>
    <w:rsid w:val="007B1E53"/>
    <w:rPr>
      <w:rFonts w:cs="Times New Roman"/>
      <w:color w:val="800080"/>
      <w:u w:val="single"/>
    </w:rPr>
  </w:style>
  <w:style w:type="paragraph" w:customStyle="1" w:styleId="Par-number1">
    <w:name w:val="Par-number 1)"/>
    <w:basedOn w:val="Normal"/>
    <w:next w:val="Normal"/>
    <w:uiPriority w:val="99"/>
    <w:rsid w:val="007B1E53"/>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uiPriority w:val="99"/>
    <w:rsid w:val="007B1E53"/>
    <w:pPr>
      <w:widowControl w:val="0"/>
      <w:numPr>
        <w:numId w:val="2"/>
      </w:numPr>
      <w:tabs>
        <w:tab w:val="clear" w:pos="360"/>
        <w:tab w:val="num" w:pos="567"/>
      </w:tabs>
      <w:spacing w:line="360" w:lineRule="auto"/>
      <w:ind w:left="567" w:hanging="567"/>
    </w:pPr>
    <w:rPr>
      <w:rFonts w:ascii="Times New Roman" w:hAnsi="Times New Roman"/>
      <w:lang w:eastAsia="fr-BE"/>
    </w:rPr>
  </w:style>
  <w:style w:type="paragraph" w:customStyle="1" w:styleId="Par-number10">
    <w:name w:val="Par-number (1)"/>
    <w:basedOn w:val="Normal"/>
    <w:next w:val="Normal"/>
    <w:uiPriority w:val="99"/>
    <w:rsid w:val="007B1E53"/>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7B1E53"/>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uiPriority w:val="99"/>
    <w:rsid w:val="007B1E53"/>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uiPriority w:val="99"/>
    <w:rsid w:val="007B1E53"/>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uiPriority w:val="99"/>
    <w:rsid w:val="007B1E53"/>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7B1E53"/>
    <w:pPr>
      <w:widowControl w:val="0"/>
      <w:numPr>
        <w:numId w:val="9"/>
      </w:numPr>
      <w:tabs>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7B1E53"/>
    <w:pPr>
      <w:widowControl w:val="0"/>
      <w:numPr>
        <w:numId w:val="10"/>
      </w:numPr>
      <w:spacing w:line="360" w:lineRule="auto"/>
    </w:pPr>
    <w:rPr>
      <w:rFonts w:ascii="Times New Roman" w:hAnsi="Times New Roman"/>
      <w:lang w:eastAsia="fr-BE"/>
    </w:rPr>
  </w:style>
  <w:style w:type="paragraph" w:customStyle="1" w:styleId="Considrant">
    <w:name w:val="Considérant"/>
    <w:basedOn w:val="Normal"/>
    <w:uiPriority w:val="99"/>
    <w:rsid w:val="007B1E53"/>
    <w:pPr>
      <w:numPr>
        <w:numId w:val="11"/>
      </w:numPr>
      <w:tabs>
        <w:tab w:val="clear" w:pos="720"/>
        <w:tab w:val="num" w:pos="709"/>
      </w:tabs>
      <w:spacing w:before="120" w:after="120" w:line="240" w:lineRule="auto"/>
      <w:ind w:left="709" w:hanging="709"/>
      <w:jc w:val="both"/>
    </w:pPr>
    <w:rPr>
      <w:rFonts w:ascii="Times New Roman" w:hAnsi="Times New Roman"/>
      <w:lang w:eastAsia="fr-BE"/>
    </w:rPr>
  </w:style>
  <w:style w:type="paragraph" w:styleId="NormalIndent">
    <w:name w:val="Normal Indent"/>
    <w:basedOn w:val="Normal"/>
    <w:uiPriority w:val="99"/>
    <w:rsid w:val="007B1E53"/>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7B1E53"/>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8151CD"/>
    <w:rPr>
      <w:rFonts w:ascii="OrigGarmnd BT" w:hAnsi="OrigGarmnd BT"/>
      <w:sz w:val="20"/>
      <w:szCs w:val="20"/>
      <w:lang w:eastAsia="en-US"/>
    </w:rPr>
  </w:style>
  <w:style w:type="paragraph" w:customStyle="1" w:styleId="EntRefer">
    <w:name w:val="EntRefer"/>
    <w:basedOn w:val="Normal"/>
    <w:uiPriority w:val="99"/>
    <w:rsid w:val="007B1E53"/>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7B1E53"/>
    <w:pPr>
      <w:spacing w:line="240" w:lineRule="auto"/>
    </w:pPr>
    <w:rPr>
      <w:rFonts w:ascii="Times New Roman" w:hAnsi="Times New Roman"/>
      <w:lang w:val="en-GB" w:eastAsia="fr-BE"/>
    </w:rPr>
  </w:style>
  <w:style w:type="paragraph" w:customStyle="1" w:styleId="Tiret1">
    <w:name w:val="Tiret 1"/>
    <w:basedOn w:val="Normal"/>
    <w:uiPriority w:val="99"/>
    <w:rsid w:val="007B1E53"/>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7B1E53"/>
    <w:pPr>
      <w:widowControl w:val="0"/>
      <w:numPr>
        <w:numId w:val="1"/>
      </w:numPr>
      <w:tabs>
        <w:tab w:val="clear" w:pos="360"/>
        <w:tab w:val="num" w:pos="567"/>
      </w:tabs>
      <w:spacing w:line="360" w:lineRule="auto"/>
      <w:ind w:left="567" w:hanging="567"/>
    </w:pPr>
    <w:rPr>
      <w:rFonts w:ascii="Times New Roman" w:hAnsi="Times New Roman"/>
      <w:lang w:eastAsia="fr-BE"/>
    </w:rPr>
  </w:style>
  <w:style w:type="paragraph" w:styleId="ListBullet">
    <w:name w:val="List Bullet"/>
    <w:basedOn w:val="Normal"/>
    <w:autoRedefine/>
    <w:uiPriority w:val="99"/>
    <w:rsid w:val="007B1E53"/>
    <w:pPr>
      <w:overflowPunct w:val="0"/>
      <w:autoSpaceDE w:val="0"/>
      <w:autoSpaceDN w:val="0"/>
      <w:adjustRightInd w:val="0"/>
      <w:ind w:left="1843"/>
      <w:textAlignment w:val="baseline"/>
    </w:pPr>
  </w:style>
  <w:style w:type="paragraph" w:customStyle="1" w:styleId="Brdtext0">
    <w:name w:val="Brˆdtext"/>
    <w:basedOn w:val="Normal"/>
    <w:uiPriority w:val="99"/>
    <w:rsid w:val="007B1E53"/>
    <w:pPr>
      <w:spacing w:line="320" w:lineRule="exact"/>
    </w:pPr>
    <w:rPr>
      <w:rFonts w:ascii="Times New Roman" w:hAnsi="Times New Roman"/>
    </w:rPr>
  </w:style>
  <w:style w:type="character" w:customStyle="1" w:styleId="term">
    <w:name w:val="term"/>
    <w:basedOn w:val="DefaultParagraphFont"/>
    <w:uiPriority w:val="99"/>
    <w:rsid w:val="007B1E53"/>
    <w:rPr>
      <w:rFonts w:cs="Times New Roman"/>
    </w:rPr>
  </w:style>
  <w:style w:type="paragraph" w:customStyle="1" w:styleId="Brdtexthuvud">
    <w:name w:val="Brödtext huvud"/>
    <w:basedOn w:val="Normal"/>
    <w:uiPriority w:val="99"/>
    <w:rsid w:val="007B1E53"/>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321C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21C8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25</Pages>
  <Words>5912</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2013-05-02T12:24:00Z</cp:lastPrinted>
  <dcterms:created xsi:type="dcterms:W3CDTF">2013-05-02T13:22:00Z</dcterms:created>
  <dcterms:modified xsi:type="dcterms:W3CDTF">2013-05-02T13:22:00Z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e146de71-d198-4633-9e72-796b30a09929</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JE6N4JFJXNNF-9-55507</vt:lpwstr>
  </property>
  <property fmtid="{D5CDD505-2E9C-101B-9397-08002B2CF9AE}" pid="18" name="_dlc_DocIdUrl">
    <vt:lpwstr>http://rkdhs-sb/enhet/EUKansli/_layouts/DocIdRedir.aspx?ID=JE6N4JFJXNNF-9-55507, JE6N4JFJXNNF-9-55507</vt:lpwstr>
  </property>
</Properties>
</file>