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1E42CA">
        <w:tblPrEx>
          <w:tblCellMar>
            <w:top w:w="0" w:type="dxa"/>
            <w:bottom w:w="0" w:type="dxa"/>
          </w:tblCellMar>
        </w:tblPrEx>
        <w:trPr>
          <w:cantSplit/>
          <w:trHeight w:val="635"/>
        </w:trPr>
        <w:tc>
          <w:tcPr>
            <w:tcW w:w="5457" w:type="dxa"/>
            <w:gridSpan w:val="2"/>
            <w:vMerge w:val="restart"/>
            <w:tcBorders>
              <w:bottom w:val="nil"/>
            </w:tcBorders>
          </w:tcPr>
          <w:p w:rsidR="00DC1575" w:rsidRPr="001E42CA" w:rsidRDefault="00DC1575">
            <w:pPr>
              <w:pStyle w:val="HuvudRubrik"/>
              <w:spacing w:before="0"/>
              <w:rPr>
                <w:sz w:val="36"/>
              </w:rPr>
            </w:pPr>
            <w:r w:rsidRPr="001E42CA">
              <w:rPr>
                <w:sz w:val="36"/>
              </w:rPr>
              <w:t>Förslag till riksdagen</w:t>
            </w:r>
          </w:p>
          <w:p w:rsidR="00DC1575" w:rsidRPr="001E42CA" w:rsidRDefault="00DC1575">
            <w:pPr>
              <w:pStyle w:val="HuvudRubrik"/>
              <w:spacing w:before="0"/>
            </w:pPr>
            <w:r w:rsidRPr="001E42CA">
              <w:rPr>
                <w:sz w:val="36"/>
              </w:rPr>
              <w:t>2001/02:RR3</w:t>
            </w:r>
          </w:p>
          <w:p w:rsidR="00DC1575" w:rsidRPr="001E42CA" w:rsidRDefault="00DC1575">
            <w:pPr>
              <w:pStyle w:val="HuvudRubrik"/>
              <w:spacing w:before="0"/>
            </w:pPr>
            <w:r w:rsidRPr="001E42CA">
              <w:t xml:space="preserve">Riksdagens revisorers förslag angående </w:t>
            </w:r>
            <w:bookmarkStart w:id="0" w:name="Mittenrubrik2"/>
            <w:bookmarkEnd w:id="0"/>
            <w:r w:rsidRPr="001E42CA">
              <w:t>statens stöd till kommuner med ekonomiska problem</w:t>
            </w:r>
          </w:p>
        </w:tc>
        <w:tc>
          <w:tcPr>
            <w:tcW w:w="2126" w:type="dxa"/>
          </w:tcPr>
          <w:p w:rsidR="00DC1575" w:rsidRPr="001E42CA" w:rsidRDefault="001E42CA">
            <w:pPr>
              <w:pStyle w:val="rtal"/>
              <w:spacing w:before="120"/>
              <w:ind w:left="0"/>
            </w:pPr>
            <w:r w:rsidRPr="001E42CA">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1E42CA">
        <w:tblPrEx>
          <w:tblCellMar>
            <w:top w:w="0" w:type="dxa"/>
            <w:bottom w:w="0" w:type="dxa"/>
          </w:tblCellMar>
        </w:tblPrEx>
        <w:trPr>
          <w:cantSplit/>
          <w:trHeight w:hRule="exact" w:val="240"/>
        </w:trPr>
        <w:tc>
          <w:tcPr>
            <w:tcW w:w="5457" w:type="dxa"/>
            <w:gridSpan w:val="2"/>
            <w:vMerge/>
            <w:tcBorders>
              <w:bottom w:val="nil"/>
            </w:tcBorders>
          </w:tcPr>
          <w:p w:rsidR="00DC1575" w:rsidRPr="001E42CA" w:rsidRDefault="00DC1575">
            <w:pPr>
              <w:pStyle w:val="HuvudRubrik"/>
            </w:pPr>
          </w:p>
        </w:tc>
        <w:tc>
          <w:tcPr>
            <w:tcW w:w="2126" w:type="dxa"/>
          </w:tcPr>
          <w:p w:rsidR="00DC1575" w:rsidRPr="001E42CA" w:rsidRDefault="00DC1575">
            <w:pPr>
              <w:pStyle w:val="rtal"/>
              <w:ind w:left="0"/>
            </w:pPr>
            <w:r w:rsidRPr="001E42CA">
              <w:t>2001/02</w:t>
            </w:r>
          </w:p>
        </w:tc>
      </w:tr>
      <w:tr w:rsidR="00000000" w:rsidRPr="001E42CA">
        <w:tblPrEx>
          <w:tblCellMar>
            <w:top w:w="0" w:type="dxa"/>
            <w:bottom w:w="0" w:type="dxa"/>
          </w:tblCellMar>
        </w:tblPrEx>
        <w:trPr>
          <w:cantSplit/>
          <w:trHeight w:val="560"/>
        </w:trPr>
        <w:tc>
          <w:tcPr>
            <w:tcW w:w="5457" w:type="dxa"/>
            <w:gridSpan w:val="2"/>
            <w:vMerge/>
            <w:tcBorders>
              <w:bottom w:val="single" w:sz="4" w:space="0" w:color="auto"/>
            </w:tcBorders>
          </w:tcPr>
          <w:p w:rsidR="00DC1575" w:rsidRPr="001E42CA" w:rsidRDefault="00DC1575">
            <w:pPr>
              <w:pStyle w:val="HuvudRubrik"/>
            </w:pPr>
          </w:p>
        </w:tc>
        <w:tc>
          <w:tcPr>
            <w:tcW w:w="2126" w:type="dxa"/>
            <w:tcBorders>
              <w:bottom w:val="single" w:sz="6" w:space="0" w:color="auto"/>
            </w:tcBorders>
          </w:tcPr>
          <w:p w:rsidR="00DC1575" w:rsidRPr="001E42CA" w:rsidRDefault="00DC1575">
            <w:pPr>
              <w:pStyle w:val="rtal"/>
              <w:ind w:left="0"/>
            </w:pPr>
            <w:r w:rsidRPr="001E42CA">
              <w:t>RR3</w:t>
            </w:r>
          </w:p>
        </w:tc>
      </w:tr>
      <w:tr w:rsidR="00000000" w:rsidRPr="001E42CA">
        <w:tblPrEx>
          <w:tblCellMar>
            <w:top w:w="0" w:type="dxa"/>
            <w:bottom w:w="0" w:type="dxa"/>
          </w:tblCellMar>
        </w:tblPrEx>
        <w:trPr>
          <w:cantSplit/>
          <w:trHeight w:hRule="exact" w:val="660"/>
        </w:trPr>
        <w:tc>
          <w:tcPr>
            <w:tcW w:w="3012" w:type="dxa"/>
          </w:tcPr>
          <w:p w:rsidR="00DC1575" w:rsidRPr="001E42CA" w:rsidRDefault="00DC1575">
            <w:pPr>
              <w:pStyle w:val="StatusSida1"/>
            </w:pPr>
          </w:p>
        </w:tc>
        <w:tc>
          <w:tcPr>
            <w:tcW w:w="2445" w:type="dxa"/>
          </w:tcPr>
          <w:p w:rsidR="00DC1575" w:rsidRPr="001E42CA" w:rsidRDefault="00DC1575">
            <w:pPr>
              <w:pStyle w:val="UtskriftsdatumSida1"/>
              <w:rPr>
                <w:b/>
                <w:sz w:val="28"/>
              </w:rPr>
            </w:pPr>
          </w:p>
        </w:tc>
        <w:tc>
          <w:tcPr>
            <w:tcW w:w="2126" w:type="dxa"/>
          </w:tcPr>
          <w:p w:rsidR="00DC1575" w:rsidRPr="001E42CA" w:rsidRDefault="00DC1575"/>
        </w:tc>
      </w:tr>
    </w:tbl>
    <w:p w:rsidR="00DC1575" w:rsidRPr="001E42CA" w:rsidRDefault="00DC1575">
      <w:pPr>
        <w:pStyle w:val="Rubrik1"/>
      </w:pPr>
      <w:bookmarkStart w:id="1" w:name="Textstart"/>
      <w:bookmarkStart w:id="2" w:name="_Toc524493434"/>
      <w:bookmarkStart w:id="3" w:name="_Toc526302360"/>
      <w:bookmarkEnd w:id="1"/>
      <w:r w:rsidRPr="001E42CA">
        <w:t>Inledning</w:t>
      </w:r>
      <w:bookmarkEnd w:id="2"/>
      <w:bookmarkEnd w:id="3"/>
    </w:p>
    <w:p w:rsidR="00DC1575" w:rsidRPr="001E42CA" w:rsidRDefault="00DC1575">
      <w:pPr>
        <w:pStyle w:val="Rubrik2"/>
        <w:spacing w:before="123"/>
      </w:pPr>
      <w:bookmarkStart w:id="4" w:name="_Toc524493435"/>
      <w:bookmarkStart w:id="5" w:name="_Toc526302361"/>
      <w:r w:rsidRPr="001E42CA">
        <w:t>Bakgrund</w:t>
      </w:r>
      <w:bookmarkEnd w:id="4"/>
      <w:bookmarkEnd w:id="5"/>
    </w:p>
    <w:p w:rsidR="00DC1575" w:rsidRPr="001E42CA" w:rsidRDefault="00DC1575">
      <w:r w:rsidRPr="001E42CA">
        <w:t>Riksdagens revisorer har på eget initiativ granskat anslaget Bidrag till sä</w:t>
      </w:r>
      <w:r w:rsidRPr="001E42CA">
        <w:t>r</w:t>
      </w:r>
      <w:r w:rsidRPr="001E42CA">
        <w:t>skilda insatser i vissa kommuner och landsting. Resultaten av granskningen har redovisats i rapporten 2000/01:9 Akut- eller långvård? – statens stöd till kommuner med ekonomiska problem (se bilaga 1). Rapporten har remissb</w:t>
      </w:r>
      <w:r w:rsidRPr="001E42CA">
        <w:t>e</w:t>
      </w:r>
      <w:r w:rsidRPr="001E42CA">
        <w:t>handlats. En sammanfattning av remissvaren finns i bilaga 2.</w:t>
      </w:r>
    </w:p>
    <w:p w:rsidR="00DC1575" w:rsidRPr="001E42CA" w:rsidRDefault="00DC1575">
      <w:pPr>
        <w:pStyle w:val="Rubrik2"/>
      </w:pPr>
      <w:bookmarkStart w:id="6" w:name="_Toc524493436"/>
      <w:bookmarkStart w:id="7" w:name="_Toc526302362"/>
      <w:r w:rsidRPr="001E42CA">
        <w:t>Stödet till kommuner och landsting</w:t>
      </w:r>
      <w:bookmarkEnd w:id="6"/>
      <w:bookmarkEnd w:id="7"/>
    </w:p>
    <w:p w:rsidR="00DC1575" w:rsidRPr="001E42CA" w:rsidRDefault="00DC1575">
      <w:r w:rsidRPr="001E42CA">
        <w:t>Riksdagen beslutade i december 1995 om ett nytt utjämningssystem för kommuner och landsting. Regeringen angav i 1995 års kompletteringsprop</w:t>
      </w:r>
      <w:r w:rsidRPr="001E42CA">
        <w:t>o</w:t>
      </w:r>
      <w:r w:rsidRPr="001E42CA">
        <w:t>sition att vissa kommuner och landsting som hade en särskilt svår ekonomisk situation kunde få problem vid införandet av det nya utjämningssystemet. För att skapa möjligheter att i rekonstruktivt syfte tillfälligt bistå sådana kommuner och landsting ställdes medel till regeringens disposition och ett nytt anslag infördes. Anslaget benämns numera 91:2 Bidrag till särskilda insatser i vissa kommuner och landsting.</w:t>
      </w:r>
    </w:p>
    <w:p w:rsidR="00DC1575" w:rsidRPr="001E42CA" w:rsidRDefault="00DC1575">
      <w:pPr>
        <w:pStyle w:val="Normaltindrag"/>
      </w:pPr>
      <w:r w:rsidRPr="001E42CA">
        <w:t xml:space="preserve">Syftet med anslaget har vidgats efter hand och det har fått karaktären av ett permanent anslag </w:t>
      </w:r>
      <w:r w:rsidRPr="001E42CA">
        <w:t>för att hantera speciella problem i kommuner och land</w:t>
      </w:r>
      <w:r w:rsidRPr="001E42CA">
        <w:t>s</w:t>
      </w:r>
      <w:r w:rsidRPr="001E42CA">
        <w:t>ting. Totalt har drygt 6,4 miljarder kronor hittills fördelats eller avses att fördelas. Merparten, eller drygt 3,7 miljarder kronor, har fördelats till ko</w:t>
      </w:r>
      <w:r w:rsidRPr="001E42CA">
        <w:t>m</w:t>
      </w:r>
      <w:r w:rsidRPr="001E42CA">
        <w:t>muner och landsting med särskilt svåra ekonomiska problem. Drygt 40 pr</w:t>
      </w:r>
      <w:r w:rsidRPr="001E42CA">
        <w:t>o</w:t>
      </w:r>
      <w:r w:rsidRPr="001E42CA">
        <w:t>cent av medlen har fördelats till andra ändamål.</w:t>
      </w:r>
    </w:p>
    <w:p w:rsidR="00DC1575" w:rsidRPr="001E42CA" w:rsidRDefault="00DC1575">
      <w:pPr>
        <w:pStyle w:val="Normaltindrag"/>
      </w:pPr>
      <w:r w:rsidRPr="001E42CA">
        <w:t>Revisorernas granskning har främst analyserat fördelningsprocessen. Det gäller framför allt en analys av vilka beslutsunderlag och beslutskriterier som legat bakom beslut om stöd och</w:t>
      </w:r>
      <w:r w:rsidRPr="001E42CA">
        <w:t xml:space="preserve"> avslag. I detta ingår också en analys av avtalen mellan kommunerna/landstingen och staten samt vilka typer av kommuner som fått respektive inte fått stöd. Andra viktiga områden är vilka incitamentsproblem som kan vara förknippade med olika former av garantier samt alternativa strategier och/eller stödformer.</w:t>
      </w:r>
    </w:p>
    <w:p w:rsidR="00DC1575" w:rsidRPr="001E42CA" w:rsidRDefault="00DC1575">
      <w:pPr>
        <w:pStyle w:val="Normaltindrag"/>
      </w:pPr>
      <w:r w:rsidRPr="001E42CA">
        <w:lastRenderedPageBreak/>
        <w:t>Granskningen har avgränsats till att i huvudsak avse bidrag som utbetalats till kommuner och landsting som ansökt om särskilt stöd. Det gäller stöd till kommuner och landsting med problem att uppnå eko</w:t>
      </w:r>
      <w:r w:rsidRPr="001E42CA">
        <w:t>nomisk balans och stöd till kommuner med övermäktiga åtaganden för boendet. Dessa ärenden har hanterats av regeringen (efter beredning av Kommundelegationen) och B</w:t>
      </w:r>
      <w:r w:rsidRPr="001E42CA">
        <w:t>o</w:t>
      </w:r>
      <w:r w:rsidRPr="001E42CA">
        <w:t xml:space="preserve">stadsdelegationen. Det innebär att mer generella fördelningar behandlas mindre utförligt. </w:t>
      </w:r>
    </w:p>
    <w:p w:rsidR="00DC1575" w:rsidRPr="001E42CA" w:rsidRDefault="00DC1575">
      <w:pPr>
        <w:pStyle w:val="Rubrik1"/>
      </w:pPr>
      <w:bookmarkStart w:id="8" w:name="_Toc524493437"/>
      <w:bookmarkStart w:id="9" w:name="_Toc526302363"/>
      <w:r w:rsidRPr="001E42CA">
        <w:t>Revisorernas överväganden</w:t>
      </w:r>
      <w:bookmarkEnd w:id="8"/>
      <w:bookmarkEnd w:id="9"/>
    </w:p>
    <w:p w:rsidR="00DC1575" w:rsidRPr="001E42CA" w:rsidRDefault="00DC1575">
      <w:r w:rsidRPr="001E42CA">
        <w:t>Riksdagens revisorer gör bl.a. följande bedömningar i rapporten.</w:t>
      </w:r>
    </w:p>
    <w:p w:rsidR="00DC1575" w:rsidRPr="001E42CA" w:rsidRDefault="00DC1575">
      <w:pPr>
        <w:pStyle w:val="Normaltindrag"/>
      </w:pPr>
    </w:p>
    <w:p w:rsidR="00DC1575" w:rsidRPr="001E42CA" w:rsidRDefault="00DC1575">
      <w:pPr>
        <w:numPr>
          <w:ilvl w:val="0"/>
          <w:numId w:val="11"/>
        </w:numPr>
      </w:pPr>
      <w:r w:rsidRPr="001E42CA">
        <w:t>Ungefär 40 procent av anslaget har fördelats till ändamål som inte direkt går att hänföra till en kommuns ekonomiska problem. Det gäller t.ex. utbildningsinsatser, insatser för flyktingar, hiv/aidsverksamhet, stöd och service till funktionshindrade och konsumentåtgärder.</w:t>
      </w:r>
    </w:p>
    <w:p w:rsidR="00DC1575" w:rsidRPr="001E42CA" w:rsidRDefault="00DC1575">
      <w:pPr>
        <w:numPr>
          <w:ilvl w:val="0"/>
          <w:numId w:val="11"/>
        </w:numPr>
      </w:pPr>
      <w:r w:rsidRPr="001E42CA">
        <w:t>Stora delar av anslaget saknar tydliga och mätbara mål.</w:t>
      </w:r>
    </w:p>
    <w:p w:rsidR="00DC1575" w:rsidRPr="001E42CA" w:rsidRDefault="00DC1575">
      <w:pPr>
        <w:numPr>
          <w:ilvl w:val="0"/>
          <w:numId w:val="12"/>
        </w:numPr>
      </w:pPr>
      <w:r w:rsidRPr="001E42CA">
        <w:t>Systemet med mål- och resultatstyrning förutsätter en tydlig rollförde</w:t>
      </w:r>
      <w:r w:rsidRPr="001E42CA">
        <w:t>l</w:t>
      </w:r>
      <w:r w:rsidRPr="001E42CA">
        <w:t>ning mellan riksdag, regering och myndigheter. Anslag som står till r</w:t>
      </w:r>
      <w:r w:rsidRPr="001E42CA">
        <w:t>e</w:t>
      </w:r>
      <w:r w:rsidRPr="001E42CA">
        <w:t>geringens disposition kan dock komma att bryta detta mönster. Det normala är att regeringen ställer upp mål för en myndighet. Utifrån den redovisning som myndigheten lämnar bedömer regeringen resultaten eller måluppfyllelsen av verksamheten. I detta fall är det regeringen som både redovisar resultat och bedömer resultaten eller måluppfyllelsen. Regeringen bedömer med andra ord den verksamhet som den själv utför. Resultat och måluppfyllel</w:t>
      </w:r>
      <w:r w:rsidRPr="001E42CA">
        <w:t xml:space="preserve">se kan därmed vara svårare att värdera. </w:t>
      </w:r>
    </w:p>
    <w:p w:rsidR="00DC1575" w:rsidRPr="001E42CA" w:rsidRDefault="00DC1575">
      <w:pPr>
        <w:numPr>
          <w:ilvl w:val="0"/>
          <w:numId w:val="11"/>
        </w:numPr>
      </w:pPr>
      <w:r w:rsidRPr="001E42CA">
        <w:t>Bristen på entydiga och mätbara mål gör det svårt att bedöma hur ver</w:t>
      </w:r>
      <w:r w:rsidRPr="001E42CA">
        <w:t>k</w:t>
      </w:r>
      <w:r w:rsidRPr="001E42CA">
        <w:t>samheten fungerar. Detta förstärks av att resultatredovisningen i budge</w:t>
      </w:r>
      <w:r w:rsidRPr="001E42CA">
        <w:t>t</w:t>
      </w:r>
      <w:r w:rsidRPr="001E42CA">
        <w:t>propositionen är bristfällig. Det går med andra ord inte att utifrån reg</w:t>
      </w:r>
      <w:r w:rsidRPr="001E42CA">
        <w:t>e</w:t>
      </w:r>
      <w:r w:rsidRPr="001E42CA">
        <w:t>ringens material b</w:t>
      </w:r>
      <w:r w:rsidRPr="001E42CA">
        <w:t>e</w:t>
      </w:r>
      <w:r w:rsidRPr="001E42CA">
        <w:t>döma hur anslaget har hanterats.</w:t>
      </w:r>
    </w:p>
    <w:p w:rsidR="00DC1575" w:rsidRPr="001E42CA" w:rsidRDefault="00DC1575">
      <w:pPr>
        <w:numPr>
          <w:ilvl w:val="0"/>
          <w:numId w:val="11"/>
        </w:numPr>
      </w:pPr>
      <w:r w:rsidRPr="001E42CA">
        <w:t xml:space="preserve">Stora delar av hanteringen av anslaget regleras inte av någon förordning. </w:t>
      </w:r>
    </w:p>
    <w:p w:rsidR="00DC1575" w:rsidRPr="001E42CA" w:rsidRDefault="00DC1575">
      <w:pPr>
        <w:numPr>
          <w:ilvl w:val="0"/>
          <w:numId w:val="11"/>
        </w:numPr>
      </w:pPr>
      <w:r w:rsidRPr="001E42CA">
        <w:t>Beslutskriterier är oklara. Kommuner med dålig ekonomi, men med stor verksamhet, har fått stöd. Detta kan tyda på att kommuner som senar</w:t>
      </w:r>
      <w:r w:rsidRPr="001E42CA">
        <w:t>e</w:t>
      </w:r>
      <w:r w:rsidRPr="001E42CA">
        <w:t>lagt omstruktureringar har fått stöd.</w:t>
      </w:r>
    </w:p>
    <w:p w:rsidR="00DC1575" w:rsidRPr="001E42CA" w:rsidRDefault="00DC1575">
      <w:pPr>
        <w:numPr>
          <w:ilvl w:val="0"/>
          <w:numId w:val="11"/>
        </w:numPr>
      </w:pPr>
      <w:r w:rsidRPr="001E42CA">
        <w:t>Regeringens avtal är i många fall av översiktlig karaktär och saknar åtgärdsplaner. Detta kan bidra till att nödvändiga åtgärder inte geno</w:t>
      </w:r>
      <w:r w:rsidRPr="001E42CA">
        <w:t>m</w:t>
      </w:r>
      <w:r w:rsidRPr="001E42CA">
        <w:t xml:space="preserve">förs. </w:t>
      </w:r>
    </w:p>
    <w:p w:rsidR="00DC1575" w:rsidRPr="001E42CA" w:rsidRDefault="00DC1575">
      <w:pPr>
        <w:numPr>
          <w:ilvl w:val="0"/>
          <w:numId w:val="11"/>
        </w:numPr>
      </w:pPr>
      <w:r w:rsidRPr="001E42CA">
        <w:t>Regeringen har valt att tidigarelägga 25 procent av utbetalningen av det stöd som föreslogs av Kommundelegationen. Utbetalningen förutsätter att kommunen/landstinget redovisar hur arbetet med att uppfylla åtaga</w:t>
      </w:r>
      <w:r w:rsidRPr="001E42CA">
        <w:t>n</w:t>
      </w:r>
      <w:r w:rsidRPr="001E42CA">
        <w:t>dena fortlöper. Förfarandet kan dock skapa incitament att inte genomf</w:t>
      </w:r>
      <w:r w:rsidRPr="001E42CA">
        <w:t>ö</w:t>
      </w:r>
      <w:r w:rsidRPr="001E42CA">
        <w:t>ra nödvändiga neddra</w:t>
      </w:r>
      <w:r w:rsidRPr="001E42CA">
        <w:t>g</w:t>
      </w:r>
      <w:r w:rsidRPr="001E42CA">
        <w:t>ningar.</w:t>
      </w:r>
    </w:p>
    <w:p w:rsidR="00DC1575" w:rsidRPr="001E42CA" w:rsidRDefault="00DC1575">
      <w:pPr>
        <w:numPr>
          <w:ilvl w:val="0"/>
          <w:numId w:val="11"/>
        </w:numPr>
      </w:pPr>
      <w:r w:rsidRPr="001E42CA">
        <w:t>Uppföljningen av de bägge delegationerna är osäker.</w:t>
      </w:r>
    </w:p>
    <w:p w:rsidR="00DC1575" w:rsidRPr="001E42CA" w:rsidRDefault="00DC1575">
      <w:pPr>
        <w:spacing w:before="0"/>
      </w:pPr>
      <w:r w:rsidRPr="001E42CA">
        <w:t>Normalt hade sådana iakttagelser föranlett ett antal förslag från Riksdagens revisorer om styrning, kontroll och organisation. Revisorerna har dock nyl</w:t>
      </w:r>
      <w:r w:rsidRPr="001E42CA">
        <w:t>i</w:t>
      </w:r>
      <w:r w:rsidRPr="001E42CA">
        <w:t>gen genomfört en mer principiell granskning av anslag som står till regerin</w:t>
      </w:r>
      <w:r w:rsidRPr="001E42CA">
        <w:t>g</w:t>
      </w:r>
      <w:r w:rsidRPr="001E42CA">
        <w:t>ens disposition (2000/01:RR14 Anslag som regeringen disponerar och fö</w:t>
      </w:r>
      <w:r w:rsidRPr="001E42CA">
        <w:t>r</w:t>
      </w:r>
      <w:r w:rsidRPr="001E42CA">
        <w:t>delar). Granskningen har inriktats på styrnings- och kontrollfrågor, och de förslag som lämnas i skrivelsen kan förmodas leda till förbättringar vad gäller de iakttagelser som redovisats ovan. Revisorerna avstod därför från att i rapporten lägga några ytterligare förslag på dessa områden.</w:t>
      </w:r>
    </w:p>
    <w:p w:rsidR="00DC1575" w:rsidRPr="001E42CA" w:rsidRDefault="00DC1575">
      <w:pPr>
        <w:pStyle w:val="Normaltindrag"/>
      </w:pPr>
      <w:r w:rsidRPr="001E42CA">
        <w:t>Kontroll- och styrningsfrågor spelar å andra sidan en mindre roll i detta s</w:t>
      </w:r>
      <w:r w:rsidRPr="001E42CA">
        <w:t xml:space="preserve">ammanhang eftersom Riksdagens revisorer valt att bl.a. föreslå ett antal förändringar av anslaget. </w:t>
      </w:r>
    </w:p>
    <w:p w:rsidR="00DC1575" w:rsidRPr="001E42CA" w:rsidRDefault="00DC1575">
      <w:pPr>
        <w:pStyle w:val="Rubrik2"/>
      </w:pPr>
      <w:bookmarkStart w:id="10" w:name="_Toc524493438"/>
      <w:bookmarkStart w:id="11" w:name="_Toc526302364"/>
      <w:r w:rsidRPr="001E42CA">
        <w:t>Avveckla anslaget successivt</w:t>
      </w:r>
      <w:bookmarkEnd w:id="10"/>
      <w:bookmarkEnd w:id="11"/>
    </w:p>
    <w:p w:rsidR="00DC1575" w:rsidRPr="001E42CA" w:rsidRDefault="00DC1575">
      <w:pPr>
        <w:pStyle w:val="R3"/>
        <w:spacing w:before="123"/>
      </w:pPr>
      <w:r w:rsidRPr="001E42CA">
        <w:t>Rapporten</w:t>
      </w:r>
    </w:p>
    <w:p w:rsidR="00DC1575" w:rsidRPr="001E42CA" w:rsidRDefault="00DC1575">
      <w:r w:rsidRPr="001E42CA">
        <w:t xml:space="preserve">I rapporten föreslås att anslaget 91:2 Bidrag till särskilda insatser i vissa kommuner och landsting bör avvecklas. Eftersom anslaget inrättades som ett tillfälligt stöd till kommuner och landsting är tidpunkten därför lämplig att avveckla anslaget. En sådan avveckling bör kunna ske förhållandevis snabbt. De två verksamheter som kan betraktas som huvudsyftet med anslaget har avvecklats eller är under avveckling. Kommundelegationen överlämnade i juni 2000 sin slutrapport till regeringen. Regeringen fattade </w:t>
      </w:r>
      <w:r w:rsidRPr="001E42CA">
        <w:t xml:space="preserve">under hösten 2000 beslut i de ärenden som Kommundelegationen överlämnat. Av 2001 års ekonomiska vårproposition framgår vidare att Bostadsdelegationens arbete beräknas kunna avslutas under 2002. Eftersom vissa åtaganden kvarstår bör anslaget kunna avvecklas fr.o.m. 2004. </w:t>
      </w:r>
    </w:p>
    <w:p w:rsidR="00DC1575" w:rsidRPr="001E42CA" w:rsidRDefault="00DC1575">
      <w:pPr>
        <w:pStyle w:val="Normaltindrag"/>
      </w:pPr>
      <w:r w:rsidRPr="001E42CA">
        <w:t>Revisorernas förslag motiveras av följande åtta skäl.</w:t>
      </w:r>
    </w:p>
    <w:p w:rsidR="00DC1575" w:rsidRPr="001E42CA" w:rsidRDefault="00DC1575">
      <w:pPr>
        <w:pStyle w:val="R4"/>
      </w:pPr>
      <w:r w:rsidRPr="001E42CA">
        <w:t>Kan påverka incitamentsstrukturen negativt</w:t>
      </w:r>
    </w:p>
    <w:p w:rsidR="00DC1575" w:rsidRPr="001E42CA" w:rsidRDefault="00DC1575">
      <w:r w:rsidRPr="001E42CA">
        <w:t>Riksdagens revisorers förslag motiveras framför allt av att det kommunala finansiella ansvaret måste göras tydligare. Stödet till kommuner och land</w:t>
      </w:r>
      <w:r w:rsidRPr="001E42CA">
        <w:t>s</w:t>
      </w:r>
      <w:r w:rsidRPr="001E42CA">
        <w:t>ting med ekonomiska problem inbjuder till finansiellt risktagande och är inte förenligt med idén om fullt kommunalt ansvarstagande. Det är inte ovanligt att olika former av statliga bidrag påverkar incitament och beteenden hos dem som får bidragen. En typ av incitamentsproblem hänger samman med att staten ställer ut olika former av garantier. Exempelvis kan anslaget för särskilda insatser uppfattas som en form av garanti för att täcka kommunala förluster. Vetskapen att staten explicit eller implicit ställe</w:t>
      </w:r>
      <w:r w:rsidRPr="001E42CA">
        <w:t>r en sådan finansiell garanti kan öka kommunernas riskt</w:t>
      </w:r>
      <w:r w:rsidRPr="001E42CA">
        <w:t>a</w:t>
      </w:r>
      <w:r w:rsidRPr="001E42CA">
        <w:t xml:space="preserve">gande. </w:t>
      </w:r>
    </w:p>
    <w:p w:rsidR="00DC1575" w:rsidRPr="001E42CA" w:rsidRDefault="00DC1575">
      <w:pPr>
        <w:pStyle w:val="Normaltindrag"/>
      </w:pPr>
      <w:r w:rsidRPr="001E42CA">
        <w:t>Detta resonemang får ett starkt stöd av de resultat som redovisas i rappo</w:t>
      </w:r>
      <w:r w:rsidRPr="001E42CA">
        <w:t>r</w:t>
      </w:r>
      <w:r w:rsidRPr="001E42CA">
        <w:t>tens kapitel 4. De kommuner som fått bifall har i och för sig sämre förutsät</w:t>
      </w:r>
      <w:r w:rsidRPr="001E42CA">
        <w:t>t</w:t>
      </w:r>
      <w:r w:rsidRPr="001E42CA">
        <w:t>ningar än avslagskommunerna genom att de uppvisar t.ex. lägre skatteu</w:t>
      </w:r>
      <w:r w:rsidRPr="001E42CA">
        <w:t>n</w:t>
      </w:r>
      <w:r w:rsidRPr="001E42CA">
        <w:t>derlag, högre arbetslöshet, sämre befolkningsutveckling och sämre ekonomi. Samtidigt har dock de kommuner som beviljats stöd en mer omfattande verksamhet. De har t.ex. högre nettokostnader, högre utbudsnivå, högre kostnader än vad som motiveras av de strukturella förutsättningarna och fler anställda. Skattesatsen är också högre i bifallskommunerna än i avslag</w:t>
      </w:r>
      <w:r w:rsidRPr="001E42CA">
        <w:t>s</w:t>
      </w:r>
      <w:r w:rsidRPr="001E42CA">
        <w:t>ko</w:t>
      </w:r>
      <w:r w:rsidRPr="001E42CA">
        <w:t>mmunerna. De kommuner som fått bifall har vidare en betydligt högre ersättning från kostnadsutjämningen. En slutsats av detta är att bifallsko</w:t>
      </w:r>
      <w:r w:rsidRPr="001E42CA">
        <w:t>m</w:t>
      </w:r>
      <w:r w:rsidRPr="001E42CA">
        <w:t>munerna haft svårt att anpassa verksamheten till de ekonomiska förhållanden som råder. Slutsatsen är något mer accentuerad för de ärenden som handlagts av regeringen/Kommundelegationen än för de ärenden som handlagts av Bostad</w:t>
      </w:r>
      <w:r w:rsidRPr="001E42CA">
        <w:t>s</w:t>
      </w:r>
      <w:r w:rsidRPr="001E42CA">
        <w:t xml:space="preserve">delegationen. </w:t>
      </w:r>
    </w:p>
    <w:p w:rsidR="00DC1575" w:rsidRPr="001E42CA" w:rsidRDefault="00DC1575">
      <w:pPr>
        <w:pStyle w:val="Normaltindrag"/>
      </w:pPr>
      <w:r w:rsidRPr="001E42CA">
        <w:t>Ernst &amp; Young AB gör i sin konsultrapport till revisorerna i huvudsak samma bedömning. Enligt Ernst &amp; Young AB kan förhållandet</w:t>
      </w:r>
      <w:r w:rsidRPr="001E42CA">
        <w:t xml:space="preserve"> tyda på att kommuner som påbörjat eller avslutat en omstrukturering av ekonomin inte har fått statligt stöd från regeringen/Kommundelegationen. Följaktligen kan det också innebära att kommuner som senarelagt sådana omstruktureringar fått stöd från regeringen/Kommundelegationen. En annan studie som redov</w:t>
      </w:r>
      <w:r w:rsidRPr="001E42CA">
        <w:t>i</w:t>
      </w:r>
      <w:r w:rsidRPr="001E42CA">
        <w:t>sas i rapportens kapitel 4 pekar i samma rik</w:t>
      </w:r>
      <w:r w:rsidRPr="001E42CA">
        <w:t>t</w:t>
      </w:r>
      <w:r w:rsidRPr="001E42CA">
        <w:t xml:space="preserve">ning. </w:t>
      </w:r>
    </w:p>
    <w:p w:rsidR="00DC1575" w:rsidRPr="001E42CA" w:rsidRDefault="00DC1575">
      <w:pPr>
        <w:pStyle w:val="Normaltindrag"/>
      </w:pPr>
      <w:r w:rsidRPr="001E42CA">
        <w:t xml:space="preserve">Överenskommelserna mellan regeringen och kommunerna/landstingen är dessutom diffusa. Om statsbidraget betalas ut utan att kostnadssänkningarna genomförts </w:t>
      </w:r>
      <w:r w:rsidRPr="001E42CA">
        <w:t>finns det risk för att en struktur som saknar långsiktig hållbarhet unde</w:t>
      </w:r>
      <w:r w:rsidRPr="001E42CA">
        <w:t>r</w:t>
      </w:r>
      <w:r w:rsidRPr="001E42CA">
        <w:t xml:space="preserve">stöds och att den framtida trovärdigheten urholkas. </w:t>
      </w:r>
    </w:p>
    <w:p w:rsidR="00DC1575" w:rsidRPr="001E42CA" w:rsidRDefault="00DC1575">
      <w:pPr>
        <w:pStyle w:val="Normaltindrag"/>
      </w:pPr>
      <w:r w:rsidRPr="001E42CA">
        <w:t>En faktor som ytterligare förstärker osäkerheten är att regeringen valt att tidigarelägga 25 procent av utbetalningen av det bidrag som hanteras av regeringen. Enligt Kommundelegationen var en utbetalning av statsbidraget först efter det att villkoren i överenskommelsen uppfyllts av kommunen eller landstinget en mycket viktig princip för att tydligt markera att ansvaret för genomföra</w:t>
      </w:r>
      <w:r w:rsidRPr="001E42CA">
        <w:t>ndet av de åtgärder som krävs för att nå ekonomisk balans åvilar respektive kommun eller landsting. En utbetalning i efterhand skapar också enligt delegationen ytterligare incitament för att påbörja och genomföra en besluts- och omstruktureringspr</w:t>
      </w:r>
      <w:r w:rsidRPr="001E42CA">
        <w:t>o</w:t>
      </w:r>
      <w:r w:rsidRPr="001E42CA">
        <w:t>cess.</w:t>
      </w:r>
    </w:p>
    <w:p w:rsidR="00DC1575" w:rsidRPr="001E42CA" w:rsidRDefault="00DC1575">
      <w:pPr>
        <w:pStyle w:val="Normaltindrag"/>
      </w:pPr>
      <w:r w:rsidRPr="001E42CA">
        <w:t>För regeringens del kan det också konstateras att de överenskommelser som träffas är att betrakta som utfästelser från statens sida. Staten åtar sig att, om kommunen genomför vissa åtgärder, lämna ett bidrag. Det finns dock inga formella hinder för att reger</w:t>
      </w:r>
      <w:r w:rsidRPr="001E42CA">
        <w:t>ingen vid ett senare tillfälle fattar ett nytt beslut om att betala ut bidraget även om åtgärderna inte genomförs, eller om balans inte uppnås. Det kan i detta sammanhang vara värt att poängtera att balans i ekonomin också kan uppnås med metoder som hittills inte priorit</w:t>
      </w:r>
      <w:r w:rsidRPr="001E42CA">
        <w:t>e</w:t>
      </w:r>
      <w:r w:rsidRPr="001E42CA">
        <w:t>rats av regeringen. Balans kan uppnås utan att de överenskomna kostnad</w:t>
      </w:r>
      <w:r w:rsidRPr="001E42CA">
        <w:t>s</w:t>
      </w:r>
      <w:r w:rsidRPr="001E42CA">
        <w:t>sänkningarna genomförs. Intäkterna, till exempel, kan utvecklas starkare än väntat genom lokala pol</w:t>
      </w:r>
      <w:r w:rsidRPr="001E42CA">
        <w:t>i</w:t>
      </w:r>
      <w:r w:rsidRPr="001E42CA">
        <w:t xml:space="preserve">tiska beslut. </w:t>
      </w:r>
    </w:p>
    <w:p w:rsidR="00DC1575" w:rsidRPr="001E42CA" w:rsidRDefault="00DC1575">
      <w:pPr>
        <w:pStyle w:val="R4"/>
      </w:pPr>
      <w:r w:rsidRPr="001E42CA">
        <w:t>Kan strida mot utjämningssystemet</w:t>
      </w:r>
    </w:p>
    <w:p w:rsidR="00DC1575" w:rsidRPr="001E42CA" w:rsidRDefault="00DC1575">
      <w:r w:rsidRPr="001E42CA">
        <w:t>Ett andra motiv till att anslaget bör avvecklas är att det särskilda bidraget till kommuner och landsting kan strida mot principerna för det kommunala utjämningssystemet. I rapportens kapitel 4 redovisas en studie som analys</w:t>
      </w:r>
      <w:r w:rsidRPr="001E42CA">
        <w:t>e</w:t>
      </w:r>
      <w:r w:rsidRPr="001E42CA">
        <w:t>rat om stödet var förenligt med skatteutjämningssystemets syfte att skapa likvärdiga förutsättningar (s.k. fiskal rättvisa) mellan kommunerna. Enligt studien tenderar de kommuner som sökt bidrag att ha mer påtagliga unde</w:t>
      </w:r>
      <w:r w:rsidRPr="001E42CA">
        <w:t>r</w:t>
      </w:r>
      <w:r w:rsidRPr="001E42CA">
        <w:t>skottsproblem än de som inte sökt. Dessa problem är särskilt uttalade hos de kommuner som beviljats bidrag av Kommundelegationen. De finansiella problemen verkar dock vara en följd av förhållanden (dvs. hög servicesta</w:t>
      </w:r>
      <w:r w:rsidRPr="001E42CA">
        <w:t>n</w:t>
      </w:r>
      <w:r w:rsidRPr="001E42CA">
        <w:t>dard eller personaltäthet) som kommunerna i fråga kunnat och kan påverka</w:t>
      </w:r>
      <w:r w:rsidRPr="001E42CA">
        <w:t>. Det är med andra ord helt påverkbara förhållanden (outnyttjade besparings- och effektiviseringsmöjligheter) som ligger bakom de finansiella problemen. Enligt studien uppfyller således inte dessa kommuner det uppställda villkoret om opåverkbara faktorer. Genom att lämna dessa bidrag behandlas inte heller kommunerna, enligt studien, på ett likvärdigt sätt. Andra kommuner, som redan tidigare genomfört liknande besparingar, har inte fått några motsv</w:t>
      </w:r>
      <w:r w:rsidRPr="001E42CA">
        <w:t>a</w:t>
      </w:r>
      <w:r w:rsidRPr="001E42CA">
        <w:t>rande statsbidrag. De kommuner som varit föregångare i bespa</w:t>
      </w:r>
      <w:r w:rsidRPr="001E42CA">
        <w:t>rings- eller effektivitetsarbetet har i stället kunnat drabbas av högre avgifter eller lägre bidrag i kostnadsutjä</w:t>
      </w:r>
      <w:r w:rsidRPr="001E42CA">
        <w:t>m</w:t>
      </w:r>
      <w:r w:rsidRPr="001E42CA">
        <w:t xml:space="preserve">ningen. </w:t>
      </w:r>
    </w:p>
    <w:p w:rsidR="00DC1575" w:rsidRPr="001E42CA" w:rsidRDefault="00DC1575">
      <w:pPr>
        <w:pStyle w:val="R4"/>
      </w:pPr>
      <w:r w:rsidRPr="001E42CA">
        <w:t>Inga enkla samband mellan strukturella faktorer och kommunernas ekonomi</w:t>
      </w:r>
    </w:p>
    <w:p w:rsidR="00DC1575" w:rsidRPr="001E42CA" w:rsidRDefault="00DC1575">
      <w:r w:rsidRPr="001E42CA">
        <w:t>Ett tredje motiv till att anslaget bör avvecklas är att det är svårt att analysera hur den kommunala ekonomin påverkas av olika strukturella faktorer. Ek</w:t>
      </w:r>
      <w:r w:rsidRPr="001E42CA">
        <w:t>o</w:t>
      </w:r>
      <w:r w:rsidRPr="001E42CA">
        <w:t>nomiska problem som orsakats av sådana faktorer har vid flera tillfällen varit en förutsättning för att stöd ska utgå. När det gäller Kommundelegationen angavs svag ekonomisk tillväxt i regionen, negativ befolkningsutveckling, obalanser i åldersstrukturen samt behov av infrastrukturinvesteringar som exempel på faktorer som kan försvåra anpassningen av verksamheten till de ekonomiska ramarna. Flera studier visar dock att det inte finns några enkla samband mellan strukturella faktorer och kommunernas ekonomi</w:t>
      </w:r>
      <w:r w:rsidRPr="001E42CA">
        <w:t>. En studie som utförts av Svenska kommunförbundet och som redovisas i rapportens kapitel 4 visar att sambandet mellan det ekonomiska resultatet och befol</w:t>
      </w:r>
      <w:r w:rsidRPr="001E42CA">
        <w:t>k</w:t>
      </w:r>
      <w:r w:rsidRPr="001E42CA">
        <w:t>ningsutvecklingen är mycket svagt. I studien konstateras att den egna förm</w:t>
      </w:r>
      <w:r w:rsidRPr="001E42CA">
        <w:t>å</w:t>
      </w:r>
      <w:r w:rsidRPr="001E42CA">
        <w:t>gan att anpassa verksamheten till minskande resurser har haft större betyde</w:t>
      </w:r>
      <w:r w:rsidRPr="001E42CA">
        <w:t>l</w:t>
      </w:r>
      <w:r w:rsidRPr="001E42CA">
        <w:t>se för resultatutvecklingen under senare år än någon annan enskild faktor. De kommuner som klarat sig bäst under senare år är de som gjort relativt stora nedskärningar. De som av olika skäl inte har förmått</w:t>
      </w:r>
      <w:r w:rsidRPr="001E42CA">
        <w:t xml:space="preserve"> att göra de nödvändiga nedskärningarna har klarat sig sämre. I en bilaga till Långtidsutredningen 1999/2000 har man studerat det historiska sambandet mellan kostnader och befolkningsutveckling för några av de kommunala åtagandena. Slutsatsen är att befolkningsutvecklingen i sig inte ger en god bild av hur den faktiska kostnadsutvecklingen (volymutvecklingen) kommer att bli i framtiden. Det finns med andra ord många andra förklaringar till kostnadsutvecklingen inom många sektorer. Förklaringarna återfinns o</w:t>
      </w:r>
      <w:r w:rsidRPr="001E42CA">
        <w:t>fta i förändrade politiska ambiti</w:t>
      </w:r>
      <w:r w:rsidRPr="001E42CA">
        <w:t>o</w:t>
      </w:r>
      <w:r w:rsidRPr="001E42CA">
        <w:t>ner för verksamheterna. Det kan således vara förknippat med betydande svårigheter att analysera vad ett dåligt ekonomiskt resultat beror på. Som framgår av rapportens kapitel 4 kan det många gånger bero på att verksa</w:t>
      </w:r>
      <w:r w:rsidRPr="001E42CA">
        <w:t>m</w:t>
      </w:r>
      <w:r w:rsidRPr="001E42CA">
        <w:t>heten är för stor.</w:t>
      </w:r>
    </w:p>
    <w:p w:rsidR="00DC1575" w:rsidRPr="001E42CA" w:rsidRDefault="00DC1575">
      <w:pPr>
        <w:pStyle w:val="R4"/>
      </w:pPr>
      <w:r w:rsidRPr="001E42CA">
        <w:t>Kostnadsutjämningen kompenserar redan</w:t>
      </w:r>
    </w:p>
    <w:p w:rsidR="00DC1575" w:rsidRPr="001E42CA" w:rsidRDefault="00DC1575">
      <w:r w:rsidRPr="001E42CA">
        <w:t>Ett fjärde motiv är att kostnadsutjämningen redan kompenserar för vissa strukturella faktorer som angivits som förutsättning för att få stöd. Det gäller i huvudsak svagt befolkningsunderlag, befolkningsminskning och näring</w:t>
      </w:r>
      <w:r w:rsidRPr="001E42CA">
        <w:t>s</w:t>
      </w:r>
      <w:r w:rsidRPr="001E42CA">
        <w:t>livs- och sysselsättningsfrämjande åtgärder. Det bör påpekas att det komm</w:t>
      </w:r>
      <w:r w:rsidRPr="001E42CA">
        <w:t>u</w:t>
      </w:r>
      <w:r w:rsidRPr="001E42CA">
        <w:t>nala utjämningssystemet är föremål för utredning. Expertgruppen för fö</w:t>
      </w:r>
      <w:r w:rsidRPr="001E42CA">
        <w:t>r</w:t>
      </w:r>
      <w:r w:rsidRPr="001E42CA">
        <w:t>enklad kommunalutjämning (SOU 2000:120) pekar på att det i kostnadsu</w:t>
      </w:r>
      <w:r w:rsidRPr="001E42CA">
        <w:t>t</w:t>
      </w:r>
      <w:r w:rsidRPr="001E42CA">
        <w:t>jämningen finns ett antal delmodeller som måste bedömas ha mer eller min</w:t>
      </w:r>
      <w:r w:rsidRPr="001E42CA">
        <w:t>d</w:t>
      </w:r>
      <w:r w:rsidRPr="001E42CA">
        <w:t>re regionalpolitiska inslag och där ersättningsnivåerna i modellerna i allt väsentligt bygger på politiska bedömningar. Det gäller bl.a. faktorerna b</w:t>
      </w:r>
      <w:r w:rsidRPr="001E42CA">
        <w:t>e</w:t>
      </w:r>
      <w:r w:rsidRPr="001E42CA">
        <w:t>folkningsunderlag, befolkningsminskning, näringsliv och sysselsättning. Gr</w:t>
      </w:r>
      <w:r w:rsidRPr="001E42CA">
        <w:t>uppen föreslår att dessa delmodeller utgår ur utjämningssystemet. Motsv</w:t>
      </w:r>
      <w:r w:rsidRPr="001E42CA">
        <w:t>a</w:t>
      </w:r>
      <w:r w:rsidRPr="001E42CA">
        <w:t>rande ersättning till de berörda kommunerna och landstingen bör enligt gruppens mening i stället lämnas i form av regionalpolitiska statsbidrag. Även den andra utredningen, Utjämningsdelegationen (SOU 2000:127), föreslår förändringar. Enligt delegationen bör det göras en bred analys av hur små kommuner, med kraftig befolkningsminskning och ett regionalt utsatt läge, kan ges bra förutsättningar på längre sikt att tillhandahålla en likvär</w:t>
      </w:r>
      <w:r w:rsidRPr="001E42CA">
        <w:t>dig vård, omsorg och utbildning. Utjämningssystemet innehåller ett antal fakt</w:t>
      </w:r>
      <w:r w:rsidRPr="001E42CA">
        <w:t>o</w:t>
      </w:r>
      <w:r w:rsidRPr="001E42CA">
        <w:t>rer som ska kompensera för kostnader som hör till den geografiska och reg</w:t>
      </w:r>
      <w:r w:rsidRPr="001E42CA">
        <w:t>i</w:t>
      </w:r>
      <w:r w:rsidRPr="001E42CA">
        <w:t>onala strukturen. Därtill kommer att införandetilläggen har stor ekonomisk betydelse för de kommuner som har ett ogynnsamt geografiskt och regionalt läge. Delegationen föreslår därför att regeringen tillsätter en utredning med uppdrag att göra en samlad bedömning av vilket ekonomiskt stöd som kan behövas för att kommuner med långsiktigt vikande folkmängd och</w:t>
      </w:r>
      <w:r w:rsidRPr="001E42CA">
        <w:t xml:space="preserve"> en utsatt regional position ska kunna upprätthålla en godtagbar kvalitet i den komm</w:t>
      </w:r>
      <w:r w:rsidRPr="001E42CA">
        <w:t>u</w:t>
      </w:r>
      <w:r w:rsidRPr="001E42CA">
        <w:t>nala verksamheten. Delegationen vill också uppmärksamma att de delar av det kommunala utjämningssystemet som utredningen diskuterar till en del befinner sig i gränslandet mellan kommunal utjämning och regionalpolitik. Om det står klart att ett antal kommuner kommer att behöva ett permanent ekonomiskt stöd för att kunna tillhandahålla en likvärdig samhällsservice kan det finnas skäl för att hantera de nuvarande geografiska o</w:t>
      </w:r>
      <w:r w:rsidRPr="001E42CA">
        <w:t>ch regionala fakt</w:t>
      </w:r>
      <w:r w:rsidRPr="001E42CA">
        <w:t>o</w:t>
      </w:r>
      <w:r w:rsidRPr="001E42CA">
        <w:t>rerna i utjämningssystemet utanför systemet i form av ett särskilt regiona</w:t>
      </w:r>
      <w:r w:rsidRPr="001E42CA">
        <w:t>l</w:t>
      </w:r>
      <w:r w:rsidRPr="001E42CA">
        <w:t xml:space="preserve">politiskt stöd. </w:t>
      </w:r>
    </w:p>
    <w:p w:rsidR="00DC1575" w:rsidRPr="001E42CA" w:rsidRDefault="00DC1575">
      <w:pPr>
        <w:pStyle w:val="R4"/>
      </w:pPr>
      <w:r w:rsidRPr="001E42CA">
        <w:t>Statsbidragen bör ges i generella former</w:t>
      </w:r>
    </w:p>
    <w:p w:rsidR="00DC1575" w:rsidRPr="001E42CA" w:rsidRDefault="00DC1575">
      <w:r w:rsidRPr="001E42CA">
        <w:t>Ett femte motiv är att anslaget inte står i samklang med strävandena att st</w:t>
      </w:r>
      <w:r w:rsidRPr="001E42CA">
        <w:t>a</w:t>
      </w:r>
      <w:r w:rsidRPr="001E42CA">
        <w:t>tens bidragsgivning  till kommuner och landsting bör ske i generella former. Statsbidragen till kommuner och landsting förändrades kraftigt fr.o.m. 1993. Flertalet av de specialdestinerade statsbidragen avskaffades och ersattes av ett mer generellt regelsystem. Tanken var bl.a. att minska den statliga detal</w:t>
      </w:r>
      <w:r w:rsidRPr="001E42CA">
        <w:t>j</w:t>
      </w:r>
      <w:r w:rsidRPr="001E42CA">
        <w:t>styrningen och öka det kommunala ansvaret för verksamhetens utformning och prioritering. Anslaget för särskilda insatser i vissa kommuner och land</w:t>
      </w:r>
      <w:r w:rsidRPr="001E42CA">
        <w:t>s</w:t>
      </w:r>
      <w:r w:rsidRPr="001E42CA">
        <w:t>ting kan sägas avvika från intentionerna bakom den omlä</w:t>
      </w:r>
      <w:r w:rsidRPr="001E42CA">
        <w:t>ggning som skett av statsbidragen. Det är specialdestinerat och har inslag som knappast förbättrar planeringsförutsättningarna för kommunerna. Det senare beror naturligtvis framför allt på att kommunen/landstinget inte på förhand kan avgöra om man kommer att få bidrag eller inte. En orsak som ytterligare försvårar en sådan bedömning är att stora delar av hanteringen av anslaget inte regleras av n</w:t>
      </w:r>
      <w:r w:rsidRPr="001E42CA">
        <w:t>å</w:t>
      </w:r>
      <w:r w:rsidRPr="001E42CA">
        <w:t>gon förordning. Med andra ord är hanteringen inte transparent och förutsä</w:t>
      </w:r>
      <w:r w:rsidRPr="001E42CA">
        <w:t>g</w:t>
      </w:r>
      <w:r w:rsidRPr="001E42CA">
        <w:t xml:space="preserve">bar – ett förhållande som närmast kan </w:t>
      </w:r>
      <w:r w:rsidRPr="001E42CA">
        <w:t>få motsatt effekt, dvs. försena event</w:t>
      </w:r>
      <w:r w:rsidRPr="001E42CA">
        <w:t>u</w:t>
      </w:r>
      <w:r w:rsidRPr="001E42CA">
        <w:t>ella omstruktureringar och kostnadsneddragningar.</w:t>
      </w:r>
    </w:p>
    <w:p w:rsidR="00DC1575" w:rsidRPr="001E42CA" w:rsidRDefault="00DC1575">
      <w:pPr>
        <w:pStyle w:val="R4"/>
      </w:pPr>
      <w:r w:rsidRPr="001E42CA">
        <w:t>Nya ändamål har tillkommit</w:t>
      </w:r>
    </w:p>
    <w:p w:rsidR="00DC1575" w:rsidRPr="001E42CA" w:rsidRDefault="00DC1575">
      <w:r w:rsidRPr="001E42CA">
        <w:t>Ett sjätte motiv är att vissa delar av anslagets fördelning på ändamål inte anges i budgetpropositionen. Ett flertal användningsområden har tillkommit löpande under budgetåren, dvs. det har delvis använts som ett anslag för oförutsedda utgifter. Användningen har i och för sig anmälts till riksdagen, men det finns stor risk för att ändamål som inte genomgår en normal budge</w:t>
      </w:r>
      <w:r w:rsidRPr="001E42CA">
        <w:t>t</w:t>
      </w:r>
      <w:r w:rsidRPr="001E42CA">
        <w:t>prövning leder till ökade utgifter (förslag om detta redovisas i avsnitt 2.3).</w:t>
      </w:r>
    </w:p>
    <w:p w:rsidR="00DC1575" w:rsidRPr="001E42CA" w:rsidRDefault="00DC1575">
      <w:pPr>
        <w:pStyle w:val="R4"/>
      </w:pPr>
      <w:r w:rsidRPr="001E42CA">
        <w:t>Liknande stöd har avvecklats</w:t>
      </w:r>
    </w:p>
    <w:p w:rsidR="00DC1575" w:rsidRPr="001E42CA" w:rsidRDefault="00DC1575">
      <w:r w:rsidRPr="001E42CA">
        <w:t>Ett sjunde motiv är att tidigare stöd av liknande typ avvecklats efter en rel</w:t>
      </w:r>
      <w:r w:rsidRPr="001E42CA">
        <w:t>a</w:t>
      </w:r>
      <w:r w:rsidRPr="001E42CA">
        <w:t>tivt kort period. Det gäller t.ex. stöd som fördelades av Bankstödsnämnden och den s.k. industriakuten. Vid bägge dessa stödtyper fördes en omfattande diskussion om stödens inverkan på incitamentsstrukturen. Bankstödsnäm</w:t>
      </w:r>
      <w:r w:rsidRPr="001E42CA">
        <w:t>n</w:t>
      </w:r>
      <w:r w:rsidRPr="001E42CA">
        <w:t>dens verksamhet följdes också av ett regelsystem för ökad kontroll och sy-stem för att påverka incitamenten i riktning mot en större grad av ansvarst</w:t>
      </w:r>
      <w:r w:rsidRPr="001E42CA">
        <w:t>a</w:t>
      </w:r>
      <w:r w:rsidRPr="001E42CA">
        <w:t xml:space="preserve">gande, t.ex. inlåningsförsäkring och kapitaltäckningsregler. </w:t>
      </w:r>
    </w:p>
    <w:p w:rsidR="00DC1575" w:rsidRPr="001E42CA" w:rsidRDefault="00DC1575">
      <w:pPr>
        <w:pStyle w:val="R4"/>
      </w:pPr>
      <w:r w:rsidRPr="001E42CA">
        <w:t>Finansieras av kommuner som anpassat verksamheten</w:t>
      </w:r>
    </w:p>
    <w:p w:rsidR="00DC1575" w:rsidRPr="001E42CA" w:rsidRDefault="00DC1575">
      <w:r w:rsidRPr="001E42CA">
        <w:t>Avslutningsvis kan det påpekas att anslaget finansieras med medel som i annan form skulle ha överförts till kommuner och landsting. Medborgare i kommuner och landsting som anpassat verksamheten till de rådande ekon</w:t>
      </w:r>
      <w:r w:rsidRPr="001E42CA">
        <w:t>o</w:t>
      </w:r>
      <w:r w:rsidRPr="001E42CA">
        <w:t xml:space="preserve">miska förhållandena kan således få finansiera kommuner och landsting där detta inte skett. </w:t>
      </w:r>
    </w:p>
    <w:p w:rsidR="00DC1575" w:rsidRPr="001E42CA" w:rsidRDefault="00DC1575">
      <w:pPr>
        <w:pStyle w:val="R3"/>
      </w:pPr>
      <w:r w:rsidRPr="001E42CA">
        <w:t>Remissinstanserna</w:t>
      </w:r>
    </w:p>
    <w:p w:rsidR="00DC1575" w:rsidRPr="001E42CA" w:rsidRDefault="00DC1575">
      <w:r w:rsidRPr="001E42CA">
        <w:rPr>
          <w:i/>
        </w:rPr>
        <w:t>Statskontoret, Institutet för kommunal ekonomi, Svenska Kommunförbundet, Landstingsförbundet, Sveriges Fastighetsägareförbund</w:t>
      </w:r>
      <w:r w:rsidRPr="001E42CA">
        <w:t xml:space="preserve"> och </w:t>
      </w:r>
      <w:r w:rsidRPr="001E42CA">
        <w:rPr>
          <w:i/>
        </w:rPr>
        <w:t>Forshaga</w:t>
      </w:r>
      <w:r w:rsidRPr="001E42CA">
        <w:t xml:space="preserve"> </w:t>
      </w:r>
      <w:r w:rsidRPr="001E42CA">
        <w:rPr>
          <w:i/>
        </w:rPr>
        <w:t>ko</w:t>
      </w:r>
      <w:r w:rsidRPr="001E42CA">
        <w:rPr>
          <w:i/>
        </w:rPr>
        <w:t>m</w:t>
      </w:r>
      <w:r w:rsidRPr="001E42CA">
        <w:rPr>
          <w:i/>
        </w:rPr>
        <w:t>mun</w:t>
      </w:r>
      <w:r w:rsidRPr="001E42CA">
        <w:t xml:space="preserve"> stä</w:t>
      </w:r>
      <w:r w:rsidRPr="001E42CA">
        <w:t>l</w:t>
      </w:r>
      <w:r w:rsidRPr="001E42CA">
        <w:t xml:space="preserve">ler sig positiva till revisorernas förslag. </w:t>
      </w:r>
    </w:p>
    <w:p w:rsidR="00DC1575" w:rsidRPr="001E42CA" w:rsidRDefault="00DC1575">
      <w:pPr>
        <w:pStyle w:val="Normaltindrag"/>
      </w:pPr>
      <w:r w:rsidRPr="001E42CA">
        <w:rPr>
          <w:i/>
        </w:rPr>
        <w:t>Svenska Kommunförbundet</w:t>
      </w:r>
      <w:r w:rsidRPr="001E42CA">
        <w:t xml:space="preserve"> och </w:t>
      </w:r>
      <w:r w:rsidRPr="001E42CA">
        <w:rPr>
          <w:i/>
        </w:rPr>
        <w:t>Landstingsförbundet</w:t>
      </w:r>
      <w:r w:rsidRPr="001E42CA">
        <w:t xml:space="preserve"> vill särskilt unde</w:t>
      </w:r>
      <w:r w:rsidRPr="001E42CA">
        <w:t>r</w:t>
      </w:r>
      <w:r w:rsidRPr="001E42CA">
        <w:t>stryka vad revisorerna anför om att anslaget inte står i samklang med str</w:t>
      </w:r>
      <w:r w:rsidRPr="001E42CA">
        <w:t>ä</w:t>
      </w:r>
      <w:r w:rsidRPr="001E42CA">
        <w:t>vandena att statens bidragsgivning till kommuner och landsting bör ske i generella former. Utifrån dessa motiv, och då dessutom huvudsyftet med anslaget numera i det närmaste är fullföljt, menar Kommun- och Landsting</w:t>
      </w:r>
      <w:r w:rsidRPr="001E42CA">
        <w:t>s</w:t>
      </w:r>
      <w:r w:rsidRPr="001E42CA">
        <w:t>förbunden att det kan vara läge att avveckla anslaget och överföra medlen till det generella bidraget för kommuner och landsting där det naturligt hör hemma. Kommun- och landsti</w:t>
      </w:r>
      <w:r w:rsidRPr="001E42CA">
        <w:t>ngsförbunden vill samtidigt understryka att det även i fortsättningen kommer att finnas ett antal kommuner som kommer att drabbas av övermäktiga ekonomiska problem i bostadsföretagen. Dessa problem bör lösas inom bostadspolitikens ram. Ekonomiskt stöd till bostad</w:t>
      </w:r>
      <w:r w:rsidRPr="001E42CA">
        <w:t>s</w:t>
      </w:r>
      <w:r w:rsidRPr="001E42CA">
        <w:t>sektorn bör, enligt förbunden, inte sammanblandas med de generella bidr</w:t>
      </w:r>
      <w:r w:rsidRPr="001E42CA">
        <w:t>a</w:t>
      </w:r>
      <w:r w:rsidRPr="001E42CA">
        <w:t xml:space="preserve">gen till kommunerna. </w:t>
      </w:r>
      <w:r w:rsidRPr="001E42CA">
        <w:rPr>
          <w:i/>
        </w:rPr>
        <w:t>Sveriges Fastighetsägareförbund</w:t>
      </w:r>
      <w:r w:rsidRPr="001E42CA">
        <w:t xml:space="preserve"> har vid sin bevakning av hur de statliga stöden utformats och administrerats fått samma uppfattning om bristerna som de ans</w:t>
      </w:r>
      <w:r w:rsidRPr="001E42CA">
        <w:t xml:space="preserve">er framkommer i revisorernas rapport. </w:t>
      </w:r>
      <w:r w:rsidRPr="001E42CA">
        <w:rPr>
          <w:i/>
        </w:rPr>
        <w:t>Forshaga kommun</w:t>
      </w:r>
      <w:r w:rsidRPr="001E42CA">
        <w:t xml:space="preserve"> pekar på att ett saneringsarbete inleddes i början av 1990-talet och att kommunen tillskjutit belopp till det kommunala bostadsbolaget. Komm</w:t>
      </w:r>
      <w:r w:rsidRPr="001E42CA">
        <w:t>u</w:t>
      </w:r>
      <w:r w:rsidRPr="001E42CA">
        <w:t xml:space="preserve">nen har ansökt om stöd hos Bostadsdelegationen, men fått avslag. Enligt kommunen var det kommunens egen vilja och förmåga att fatta nödvändiga beslut som resulterade i bedömningen att inga extra bidrag beviljades. Bland annat i anledning av detta har kommunen aldrig övervägt att söka stöd hos den s.k. kommunakuten. </w:t>
      </w:r>
      <w:r w:rsidRPr="001E42CA">
        <w:t>Nödvändiga omstruktureringar har i stället gjorts för att hamna i ekonomisk balans. De fattade politiska besluten har varit nödvändiga för att anpassa den kommunala verksamheten till de ekonomiska ramarna. Trots de åtgärder som vidtagits för att anpassa verksamheten till de ekonomiska realiteterna hävdar Forshaga kommun att man har en bra ko</w:t>
      </w:r>
      <w:r w:rsidRPr="001E42CA">
        <w:t>m</w:t>
      </w:r>
      <w:r w:rsidRPr="001E42CA">
        <w:t>munal verksamhet som prioriterar barn, ungdomar, äldre och de svaga i kommunen. Kommunen anser att ekonomiskt stöd i den form som komm</w:t>
      </w:r>
      <w:r w:rsidRPr="001E42CA">
        <w:t>u</w:t>
      </w:r>
      <w:r w:rsidRPr="001E42CA">
        <w:t>n-akuten ger inte alltid bör vara</w:t>
      </w:r>
      <w:r w:rsidRPr="001E42CA">
        <w:t xml:space="preserve"> en för</w:t>
      </w:r>
      <w:r w:rsidRPr="001E42CA">
        <w:t>s</w:t>
      </w:r>
      <w:r w:rsidRPr="001E42CA">
        <w:t>tahandslösning.</w:t>
      </w:r>
    </w:p>
    <w:p w:rsidR="00DC1575" w:rsidRPr="001E42CA" w:rsidRDefault="00DC1575">
      <w:r w:rsidRPr="001E42CA">
        <w:rPr>
          <w:i/>
        </w:rPr>
        <w:t>Finansdepartementet, Ekonomiförvaltningsutredningen, Sveriges Allmänny</w:t>
      </w:r>
      <w:r w:rsidRPr="001E42CA">
        <w:rPr>
          <w:i/>
        </w:rPr>
        <w:t>t</w:t>
      </w:r>
      <w:r w:rsidRPr="001E42CA">
        <w:rPr>
          <w:i/>
        </w:rPr>
        <w:t>tiga Bostadsföretag (SABO), Gällivare kommun</w:t>
      </w:r>
      <w:r w:rsidRPr="001E42CA">
        <w:t xml:space="preserve"> och </w:t>
      </w:r>
      <w:r w:rsidRPr="001E42CA">
        <w:rPr>
          <w:i/>
        </w:rPr>
        <w:t>Härnösands kommun</w:t>
      </w:r>
      <w:r w:rsidRPr="001E42CA">
        <w:t xml:space="preserve"> delar inte revisorernas förslag om att anslaget bör avvecklas.</w:t>
      </w:r>
    </w:p>
    <w:p w:rsidR="00DC1575" w:rsidRPr="001E42CA" w:rsidRDefault="00DC1575">
      <w:pPr>
        <w:pStyle w:val="Normaltindrag"/>
      </w:pPr>
      <w:r w:rsidRPr="001E42CA">
        <w:rPr>
          <w:i/>
        </w:rPr>
        <w:t>Finansdepartementet</w:t>
      </w:r>
      <w:r w:rsidRPr="001E42CA">
        <w:t xml:space="preserve"> pekar på att det finns en stor spridning i resultaten mellan enskilda kommuner och landsting. Det är därför högst sannolikt att det även i framtiden kommer att finnas kommuner och landsting som, på grund av speciella omständigheter, kan hamna i en särskilt svår ekonomisk situation. Mot bakgrund av detta finns det, enligt Finansdepartementet, en påtaglig risk för att det även i framtiden kommer att finnas ett behov av att avsätta medel till särskilda insatser i kommuner och landsting. Enligt depa</w:t>
      </w:r>
      <w:r w:rsidRPr="001E42CA">
        <w:t>r</w:t>
      </w:r>
      <w:r w:rsidRPr="001E42CA">
        <w:t>tementet s</w:t>
      </w:r>
      <w:r w:rsidRPr="001E42CA">
        <w:t>ker det också en noggrann och restriktiv prövning innan ett eve</w:t>
      </w:r>
      <w:r w:rsidRPr="001E42CA">
        <w:t>n</w:t>
      </w:r>
      <w:r w:rsidRPr="001E42CA">
        <w:t>tuellt stöd betalas ut. Departementet pekar vidare på att de avtalade bestä</w:t>
      </w:r>
      <w:r w:rsidRPr="001E42CA">
        <w:t>m</w:t>
      </w:r>
      <w:r w:rsidRPr="001E42CA">
        <w:t xml:space="preserve">melserna om under vilka förutsättningar det överenskomna bidraget ska utbetalas är tydliga. Enligt </w:t>
      </w:r>
      <w:r w:rsidRPr="001E42CA">
        <w:rPr>
          <w:i/>
        </w:rPr>
        <w:t>Ekonomiförvaltningsutredningen</w:t>
      </w:r>
      <w:r w:rsidRPr="001E42CA">
        <w:t xml:space="preserve"> finns det mot bakgrund av kommunsektorns ekonomiska och strukturella problem anle</w:t>
      </w:r>
      <w:r w:rsidRPr="001E42CA">
        <w:t>d</w:t>
      </w:r>
      <w:r w:rsidRPr="001E42CA">
        <w:t xml:space="preserve">ning att anta att det för en relativt lång tid framöver kommer att behövas särskilt stöd till kommuner med ekonomiska problem. </w:t>
      </w:r>
      <w:r w:rsidRPr="001E42CA">
        <w:rPr>
          <w:i/>
        </w:rPr>
        <w:t>Sveriges Allmännytt</w:t>
      </w:r>
      <w:r w:rsidRPr="001E42CA">
        <w:rPr>
          <w:i/>
        </w:rPr>
        <w:t>i</w:t>
      </w:r>
      <w:r w:rsidRPr="001E42CA">
        <w:rPr>
          <w:i/>
        </w:rPr>
        <w:t>ga Bostadsför</w:t>
      </w:r>
      <w:r w:rsidRPr="001E42CA">
        <w:rPr>
          <w:i/>
        </w:rPr>
        <w:t>etag (SABO)</w:t>
      </w:r>
      <w:r w:rsidRPr="001E42CA">
        <w:t xml:space="preserve"> konstaterar att revisorerna inte redovisar någon analys av nyckeltal etc. där samspelet mellan olika faktorer belyses. Ko</w:t>
      </w:r>
      <w:r w:rsidRPr="001E42CA">
        <w:t>m</w:t>
      </w:r>
      <w:r w:rsidRPr="001E42CA">
        <w:t>mun- och Bostadsdelegationerna har enligt SABO varit nödvändiga som tillfälliga insatser under en tid då genomgripande strukturförändringar skapat helt nya förutsättningar för verksamheten i ett flertal industrikommuner som under lång tid lagt grunden till dagens välstånd. SABO pekar på att det krävs ett fortsatt kraftfullt stöd till de kommuner som kommer att fortsätta att t</w:t>
      </w:r>
      <w:r w:rsidRPr="001E42CA">
        <w:t xml:space="preserve">appa i befolkning. Det är enligt SABO:s uppfattning nödvändigt att de bägge delegationerna får en uppföljning. Denna fortsättning måste dock utformas så att kommunerna själva får besluta om hur den nödvändiga anpassningen till en ny situation ska genomföras. </w:t>
      </w:r>
      <w:r w:rsidRPr="001E42CA">
        <w:rPr>
          <w:i/>
        </w:rPr>
        <w:t>Gällivare kommun</w:t>
      </w:r>
      <w:r w:rsidRPr="001E42CA">
        <w:t xml:space="preserve"> anser inte att anslaget för bidrag till särskilda insatser i vissa kommuner och landsting kan avvecklas utifrån de kriterier som Riksdagens revisorer föreslår. </w:t>
      </w:r>
      <w:r w:rsidRPr="001E42CA">
        <w:rPr>
          <w:i/>
        </w:rPr>
        <w:t>Härnösands kommun</w:t>
      </w:r>
      <w:r w:rsidRPr="001E42CA">
        <w:t xml:space="preserve"> menar att stödformerna underlättar för kommunen att genomf</w:t>
      </w:r>
      <w:r w:rsidRPr="001E42CA">
        <w:t>öra de nödvä</w:t>
      </w:r>
      <w:r w:rsidRPr="001E42CA">
        <w:t>n</w:t>
      </w:r>
      <w:r w:rsidRPr="001E42CA">
        <w:t xml:space="preserve">diga åtgärderna för att få ekonomin i balans efter flera år av stora underskott. </w:t>
      </w:r>
    </w:p>
    <w:p w:rsidR="00DC1575" w:rsidRPr="001E42CA" w:rsidRDefault="00DC1575">
      <w:r w:rsidRPr="001E42CA">
        <w:rPr>
          <w:i/>
        </w:rPr>
        <w:t>Arvidsjaur kommun</w:t>
      </w:r>
      <w:r w:rsidRPr="001E42CA">
        <w:t xml:space="preserve"> och </w:t>
      </w:r>
      <w:r w:rsidRPr="001E42CA">
        <w:rPr>
          <w:i/>
        </w:rPr>
        <w:t>Malungs kommun</w:t>
      </w:r>
      <w:r w:rsidRPr="001E42CA">
        <w:t xml:space="preserve"> delar inte heller revisorernas förslag, men pekar också på oklarheter i bl.a. målformuleringen. </w:t>
      </w:r>
    </w:p>
    <w:p w:rsidR="00DC1575" w:rsidRPr="001E42CA" w:rsidRDefault="00DC1575">
      <w:pPr>
        <w:pStyle w:val="Normaltindrag"/>
      </w:pPr>
      <w:r w:rsidRPr="001E42CA">
        <w:rPr>
          <w:i/>
        </w:rPr>
        <w:t>Arvidsjaurs kommun</w:t>
      </w:r>
      <w:r w:rsidRPr="001E42CA">
        <w:t xml:space="preserve"> anser att beslutskriterierna varit otydligt formulerade, vilket kan ge till följd att inställningen till bidragen får en negativ effekt på den långsiktighet som kommunerna behöver för att klara en god ekonomisk hushållning. Kommunen ser det ändock som en nödvändighet att vissa u</w:t>
      </w:r>
      <w:r w:rsidRPr="001E42CA">
        <w:t>t</w:t>
      </w:r>
      <w:r w:rsidRPr="001E42CA">
        <w:t xml:space="preserve">satta kommuner måste erhålla särskilda stöd, men för att effekten ska bli den som förutses, ska målen vara tydligt formulerade. Enligt </w:t>
      </w:r>
      <w:r w:rsidRPr="001E42CA">
        <w:rPr>
          <w:i/>
        </w:rPr>
        <w:t>Malungs kommun</w:t>
      </w:r>
      <w:r w:rsidRPr="001E42CA">
        <w:t xml:space="preserve"> bör anslaget bli föremål för en förändring, med en tydligare målformulering i syf</w:t>
      </w:r>
      <w:r w:rsidRPr="001E42CA">
        <w:t>te att verkligen åstadkomma de incitament till förändring som erfordras. Malungs kommun anser vidare att det inte kan uteslutas att bidrag lämnats till kommuner som inte med allvar tagit tag i den besvärliga anpassningspr</w:t>
      </w:r>
      <w:r w:rsidRPr="001E42CA">
        <w:t>o</w:t>
      </w:r>
      <w:r w:rsidRPr="001E42CA">
        <w:t>cessen av ekonomin och att kommuner som liksom Malung tidigt initierat projekt i syfte att effektivisera verksamheterna har fått avslag på biståndsfö</w:t>
      </w:r>
      <w:r w:rsidRPr="001E42CA">
        <w:t>r</w:t>
      </w:r>
      <w:r w:rsidRPr="001E42CA">
        <w:t xml:space="preserve">frågan. Därmed har passivitet premierats framför aktivt agerande. </w:t>
      </w:r>
    </w:p>
    <w:p w:rsidR="00DC1575" w:rsidRPr="001E42CA" w:rsidRDefault="00DC1575">
      <w:r w:rsidRPr="001E42CA">
        <w:rPr>
          <w:i/>
        </w:rPr>
        <w:t>Bostadsdelegationen</w:t>
      </w:r>
      <w:r w:rsidRPr="001E42CA">
        <w:t xml:space="preserve"> anser att rapportens analys av kommunalekonomiska nyckeltal är alltför förenklad och i många fall också missvisande. I huvudsak avser detta rapportens kapitel 4 där det analyseras om det finns några påta</w:t>
      </w:r>
      <w:r w:rsidRPr="001E42CA">
        <w:t>g</w:t>
      </w:r>
      <w:r w:rsidRPr="001E42CA">
        <w:t>liga skillnader mellan kommuner som fått stöd och kommuner som inte fått stöd. Sammanfattningsvis ger enligt Bostadsdelegationens uppfattning de analyser som redovisas i rapporten inte tillräcklig grund för de slutsatser om stödda och icke stödda kommuners ekonomiska förhållanden som rapporten drar (avsnit</w:t>
      </w:r>
      <w:r w:rsidRPr="001E42CA">
        <w:t>t 4.6) – och således inte heller för konstaterandet att de komm</w:t>
      </w:r>
      <w:r w:rsidRPr="001E42CA">
        <w:t>u</w:t>
      </w:r>
      <w:r w:rsidRPr="001E42CA">
        <w:t>ner som berörs av Bostadsdelegationens verksamhet redan i hög grad ko</w:t>
      </w:r>
      <w:r w:rsidRPr="001E42CA">
        <w:t>m</w:t>
      </w:r>
      <w:r w:rsidRPr="001E42CA">
        <w:t xml:space="preserve">penseras genom ersättning från kostnadsutjämningen. </w:t>
      </w:r>
      <w:r w:rsidRPr="001E42CA">
        <w:rPr>
          <w:i/>
        </w:rPr>
        <w:t>Statens bostadskredi</w:t>
      </w:r>
      <w:r w:rsidRPr="001E42CA">
        <w:rPr>
          <w:i/>
        </w:rPr>
        <w:t>t</w:t>
      </w:r>
      <w:r w:rsidRPr="001E42CA">
        <w:rPr>
          <w:i/>
        </w:rPr>
        <w:t>nämnd (BKN)</w:t>
      </w:r>
      <w:r w:rsidRPr="001E42CA">
        <w:t xml:space="preserve"> instämmer i vad Bostadsdelegationen anfört.</w:t>
      </w:r>
    </w:p>
    <w:p w:rsidR="00DC1575" w:rsidRPr="001E42CA" w:rsidRDefault="00DC1575">
      <w:pPr>
        <w:pStyle w:val="R3"/>
      </w:pPr>
      <w:r w:rsidRPr="001E42CA">
        <w:t>Revisorerna</w:t>
      </w:r>
    </w:p>
    <w:p w:rsidR="00DC1575" w:rsidRPr="001E42CA" w:rsidRDefault="00DC1575">
      <w:r w:rsidRPr="001E42CA">
        <w:t>Enligt revisorernas uppfattning har det inte framkommit några avgörande skäl för att ompröva det förslag som läggs i rapporten. Ett par av remissi</w:t>
      </w:r>
      <w:r w:rsidRPr="001E42CA">
        <w:t>n</w:t>
      </w:r>
      <w:r w:rsidRPr="001E42CA">
        <w:t>stanserna pekar t.ex. på att revisorernas analys av nyckeltal etc. inte är av den karaktären att den kan ligga till grund för revisorernas slutsatser. Revisorerna kan instämma i att en isolerad analys av nyckeltal inte kan ligga till grund för ett ställningstagande till om anslaget ska avvecklas eller inte. Nu är dock inte detta fallet. Som redan torde ha framgått motiveras revisorernas förslag utifrån 8 olika skäl. Analysen av nyckeltal utgör ett, om än viktigt, av dessa skäl.</w:t>
      </w:r>
    </w:p>
    <w:p w:rsidR="00DC1575" w:rsidRPr="001E42CA" w:rsidRDefault="00DC1575">
      <w:pPr>
        <w:pStyle w:val="Normaltindrag"/>
      </w:pPr>
      <w:r w:rsidRPr="001E42CA">
        <w:t>Några av remissinstanserna p</w:t>
      </w:r>
      <w:r w:rsidRPr="001E42CA">
        <w:t>ekar också på att det även i framtiden ko</w:t>
      </w:r>
      <w:r w:rsidRPr="001E42CA">
        <w:t>m</w:t>
      </w:r>
      <w:r w:rsidRPr="001E42CA">
        <w:t xml:space="preserve">mer att finnas ett behov av stöd till kommuner med ekonomiska problem. Riksdagens revisorer kan dela uppfattningen att ett antal kommuner även fortsättningsvis kommer att ha ekonomiska problem. Den stora poängen med revisorernas förslag är dock att den hittillsvarande stödgivningen riskerar att påverka incitamentsstrukturen negativt. Revisorerna vill understryka att återkommande stöd kan komma att öka kommunernas risktagande. Det gäller framför allt stöd som syftar </w:t>
      </w:r>
      <w:r w:rsidRPr="001E42CA">
        <w:t>till att täcka löpande underskott. Ett par av de kommuner som besvarat remissen förefaller också medvetna om denna pr</w:t>
      </w:r>
      <w:r w:rsidRPr="001E42CA">
        <w:t>o</w:t>
      </w:r>
      <w:r w:rsidRPr="001E42CA">
        <w:t>blematik. Revisorerna kan dela Svenska Kommunförbundets och Landsting</w:t>
      </w:r>
      <w:r w:rsidRPr="001E42CA">
        <w:t>s</w:t>
      </w:r>
      <w:r w:rsidRPr="001E42CA">
        <w:t>förbundets uppfattning om att det även i fortsättningen kommer att finnas ett antal kommuner som kommer att drabbas av ekonomiska problem i bostad</w:t>
      </w:r>
      <w:r w:rsidRPr="001E42CA">
        <w:t>s</w:t>
      </w:r>
      <w:r w:rsidRPr="001E42CA">
        <w:t xml:space="preserve">företagen. Revisorerna kan inte bedöma storleksordningen på problemen, men i likhet med förbunden anser vi att de bör lösas inom bostadspolitikens ram. </w:t>
      </w:r>
    </w:p>
    <w:p w:rsidR="00DC1575" w:rsidRPr="001E42CA" w:rsidRDefault="00DC1575">
      <w:pPr>
        <w:pStyle w:val="Normaltindrag"/>
      </w:pPr>
      <w:r w:rsidRPr="001E42CA">
        <w:t>Revisorerna vill underst</w:t>
      </w:r>
      <w:r w:rsidRPr="001E42CA">
        <w:t>ryka att vår kritik inte primärt avser handläggnin</w:t>
      </w:r>
      <w:r w:rsidRPr="001E42CA">
        <w:t>g</w:t>
      </w:r>
      <w:r w:rsidRPr="001E42CA">
        <w:t>en av stöden. Revisorerna har i och för sig pekat på inslag som kan ha neg</w:t>
      </w:r>
      <w:r w:rsidRPr="001E42CA">
        <w:t>a</w:t>
      </w:r>
      <w:r w:rsidRPr="001E42CA">
        <w:t>tiva effekter, t.ex. utformningen av avtalen mellan regeringen och komm</w:t>
      </w:r>
      <w:r w:rsidRPr="001E42CA">
        <w:t>u</w:t>
      </w:r>
      <w:r w:rsidRPr="001E42CA">
        <w:t>nerna/landstingen. Det stora problemet är dock stödens inverkan på incit</w:t>
      </w:r>
      <w:r w:rsidRPr="001E42CA">
        <w:t>a</w:t>
      </w:r>
      <w:r w:rsidRPr="001E42CA">
        <w:t>mentsstrukturen. Det är sannolikt inte möjligt att hitta kriterier för stödgi</w:t>
      </w:r>
      <w:r w:rsidRPr="001E42CA">
        <w:t>v</w:t>
      </w:r>
      <w:r w:rsidRPr="001E42CA">
        <w:t xml:space="preserve">ningen som är objektiva och avser strukturella faktorer, dvs. förhållanden som kommunerna inte kan påverka. </w:t>
      </w:r>
    </w:p>
    <w:p w:rsidR="00DC1575" w:rsidRPr="001E42CA" w:rsidRDefault="00DC1575">
      <w:pPr>
        <w:pStyle w:val="Normaltindrag"/>
      </w:pPr>
      <w:r w:rsidRPr="001E42CA">
        <w:t>Revisorerna finner således inte skäl att ändra sitt fö</w:t>
      </w:r>
      <w:r w:rsidRPr="001E42CA">
        <w:t xml:space="preserve">rslag och föreslår att anslaget 91:2 Bidrag till särskilda insatser i vissa kommuner och landsting bör avvecklas fr.o.m. 2004. </w:t>
      </w:r>
    </w:p>
    <w:p w:rsidR="00DC1575" w:rsidRPr="001E42CA" w:rsidRDefault="00DC1575">
      <w:pPr>
        <w:pStyle w:val="Rubrik2"/>
      </w:pPr>
      <w:bookmarkStart w:id="12" w:name="_Toc524493439"/>
      <w:bookmarkStart w:id="13" w:name="_Toc526302365"/>
      <w:r w:rsidRPr="001E42CA">
        <w:t>Det finansiella ansvaret och risktagandet</w:t>
      </w:r>
      <w:bookmarkEnd w:id="12"/>
      <w:bookmarkEnd w:id="13"/>
    </w:p>
    <w:p w:rsidR="00DC1575" w:rsidRPr="001E42CA" w:rsidRDefault="00DC1575">
      <w:pPr>
        <w:pStyle w:val="R3"/>
        <w:spacing w:before="123"/>
      </w:pPr>
      <w:r w:rsidRPr="001E42CA">
        <w:t>Rapporten</w:t>
      </w:r>
    </w:p>
    <w:p w:rsidR="00DC1575" w:rsidRPr="001E42CA" w:rsidRDefault="00DC1575">
      <w:r w:rsidRPr="001E42CA">
        <w:t>I rapporten pekas på att den svenska ekonomin under senare år har utvecklats gynnsamt. Av budgetpropositionen för 2001 framgår att de kommunala skatteintäkterna har ökat förhållandevis kraftigt under de senaste åren, inte minst tack vare den goda sysselsättningsutvecklingen. Inkomsterna i ko</w:t>
      </w:r>
      <w:r w:rsidRPr="001E42CA">
        <w:t>m</w:t>
      </w:r>
      <w:r w:rsidRPr="001E42CA">
        <w:t>munsektorn förväntas även öka relativt kraftigt de kommande åren. Det finansiella sparandet bedöms vara tillräckligt högt för att primärkommunerna ska klara balanskravet från 2000, medan landstingen beräknas uppfylla kr</w:t>
      </w:r>
      <w:r w:rsidRPr="001E42CA">
        <w:t>a</w:t>
      </w:r>
      <w:r w:rsidRPr="001E42CA">
        <w:t xml:space="preserve">ven på ekonomisk balans först 2001. </w:t>
      </w:r>
    </w:p>
    <w:p w:rsidR="00DC1575" w:rsidRPr="001E42CA" w:rsidRDefault="00DC1575">
      <w:pPr>
        <w:pStyle w:val="Normaltindrag"/>
      </w:pPr>
      <w:r w:rsidRPr="001E42CA">
        <w:t>Trots den goda ekonomiska utvecklingen har det emellertid funnits ett a</w:t>
      </w:r>
      <w:r w:rsidRPr="001E42CA">
        <w:t>n</w:t>
      </w:r>
      <w:r w:rsidRPr="001E42CA">
        <w:t>tal kommuner och landsting med ekonomiska problem som ansetts ha behov av statligt stöd. Under 2000 har ca 60 kommuner och landsting fått ekon</w:t>
      </w:r>
      <w:r w:rsidRPr="001E42CA">
        <w:t>o</w:t>
      </w:r>
      <w:r w:rsidRPr="001E42CA">
        <w:t>miskt stöd. Det gäller kommuner och landsting som bedömts ha svårigheter att uppnå balanskravet och kommuner som haft stora åtaganden i kommunala bostadsföretag.</w:t>
      </w:r>
    </w:p>
    <w:p w:rsidR="00DC1575" w:rsidRPr="001E42CA" w:rsidRDefault="00DC1575">
      <w:pPr>
        <w:pStyle w:val="Normaltindrag"/>
      </w:pPr>
      <w:r w:rsidRPr="001E42CA">
        <w:t>De statliga insatserna ska leda till besparingar och omstruktureringar som ger en godtagbar och sund ekonomisk utveckling i de kommuner och land</w:t>
      </w:r>
      <w:r w:rsidRPr="001E42CA">
        <w:t>s</w:t>
      </w:r>
      <w:r w:rsidRPr="001E42CA">
        <w:t>ting som fått stöd. De avtal som regeringen/Kommundelegationen slutit med kommuner/landsting är dock i många fall påfallande översiktliga och diffusa och kan leda till att det blir svårt att säkerställa att det faktiskt vidtas åtgärder som leder till varaktiga kostnadssänkningar. Det är naturligtvis inte heller osannolikt att en sämre ekonomisk utveckling kan leda till krav på ytterligare stödinsatser. Trots allt har de senaste årens höga tillväxttakt inneburit att ett stort antal kommuner och landsting få</w:t>
      </w:r>
      <w:r w:rsidRPr="001E42CA">
        <w:t>tt stöd.</w:t>
      </w:r>
    </w:p>
    <w:p w:rsidR="00DC1575" w:rsidRPr="001E42CA" w:rsidRDefault="00DC1575">
      <w:pPr>
        <w:pStyle w:val="Normaltindrag"/>
      </w:pPr>
      <w:r w:rsidRPr="001E42CA">
        <w:t>Enligt rapporten behöver dock inte alltid ekonomiskt stöd vara en först</w:t>
      </w:r>
      <w:r w:rsidRPr="001E42CA">
        <w:t>a</w:t>
      </w:r>
      <w:r w:rsidRPr="001E42CA">
        <w:t>handslösning. Som redan framgått av avsnitt 2.1 är anslaget knappast före</w:t>
      </w:r>
      <w:r w:rsidRPr="001E42CA">
        <w:t>n</w:t>
      </w:r>
      <w:r w:rsidRPr="001E42CA">
        <w:t>ligt med idén om fullt kommunalt ansvarstagande. Det kan därmed också inbjuda till finansiellt risktagande. Det förefaller också i viss mån ha skett. Framför allt gäller att kommuner med ett stort utbud har fått stöd.</w:t>
      </w:r>
    </w:p>
    <w:p w:rsidR="00DC1575" w:rsidRPr="001E42CA" w:rsidRDefault="00DC1575">
      <w:pPr>
        <w:pStyle w:val="Normaltindrag"/>
      </w:pPr>
      <w:r w:rsidRPr="001E42CA">
        <w:t>Det finns därför anledning att analysera det kommunala regelverket och dess effekter på det kommunala beteendet. Ett regelsystem som förbättrar incitamenten för kommuner/landsting att ta ett finansiellt ansvar och som l</w:t>
      </w:r>
      <w:r w:rsidRPr="001E42CA">
        <w:t>eder till ett minskat risktagande hos dessa är att för</w:t>
      </w:r>
      <w:r w:rsidRPr="001E42CA">
        <w:t>e</w:t>
      </w:r>
      <w:r w:rsidRPr="001E42CA">
        <w:t xml:space="preserve">dra. </w:t>
      </w:r>
    </w:p>
    <w:p w:rsidR="00DC1575" w:rsidRPr="001E42CA" w:rsidRDefault="00DC1575">
      <w:pPr>
        <w:pStyle w:val="Normaltindrag"/>
      </w:pPr>
      <w:r w:rsidRPr="001E42CA">
        <w:t>Ett område som är särskilt viktigt att analysera i detta sammanhang är kommunernas och landstingens ekonomiska förvaltning. I kommunallagen finns en bestämmelse om god ekonomisk hushållning. En budget i balans är minimikravet för ekonomin i en kommun eller ett landsting. För att motsvara kravet på god ekonomisk hushållning räcker det i de flesta fall inte med att intäkterna bara täcker kostnaderna. För att kravet på god ekonomisk hushål</w:t>
      </w:r>
      <w:r w:rsidRPr="001E42CA">
        <w:t>l</w:t>
      </w:r>
      <w:r w:rsidRPr="001E42CA">
        <w:t>ning ska uppfyllas bör resultatet i normalfallet ligga på en nivå som realt sett konsoliderar ekonomin. Om synnerliga skäl föreligger kan avsteg göras från kravet på en budget i balans. Det är dock upp till varje kommun eller land</w:t>
      </w:r>
      <w:r w:rsidRPr="001E42CA">
        <w:t>s</w:t>
      </w:r>
      <w:r w:rsidRPr="001E42CA">
        <w:t xml:space="preserve">ting att tolka vad som kan inrymmas i begreppet synnerliga skäl, och det finns vidare inga sanktionsmöjligheter mot kommuner eller landsting som inte lever upp till kravet på en ekonomi i balans. Regeringen tillkallade i april 2000 en utredare för att utreda vissa frågor rörande </w:t>
      </w:r>
      <w:r w:rsidRPr="001E42CA">
        <w:t>kommunernas och landstingens ekonomiska förvaltning (dir. 2000:30). Enligt direktiven ska utredaren bl.a. göra en översyn av bestämmelserna om god ekonomisk hu</w:t>
      </w:r>
      <w:r w:rsidRPr="001E42CA">
        <w:t>s</w:t>
      </w:r>
      <w:r w:rsidRPr="001E42CA">
        <w:t xml:space="preserve">hållning och dess tillämpning och utreda hur balanskravet kan förtydligas och modifieras. I det senare ligger bl.a. att utredaren ska överväga behovet av regler för en situation där en kommun eller ett landsting inte lever upp till kravet på en budget och ekonomi i balans. </w:t>
      </w:r>
    </w:p>
    <w:p w:rsidR="00DC1575" w:rsidRPr="001E42CA" w:rsidRDefault="00DC1575">
      <w:pPr>
        <w:pStyle w:val="Normaltindrag"/>
      </w:pPr>
      <w:r w:rsidRPr="001E42CA">
        <w:t>Kommuner och landsting som hittills inte levt upp till kravet på en ekon</w:t>
      </w:r>
      <w:r w:rsidRPr="001E42CA">
        <w:t>o</w:t>
      </w:r>
      <w:r w:rsidRPr="001E42CA">
        <w:t>mi i balans har dock som framgått i många fall fått statligt stöd. Utredningen har dock enligt direktiven inte i uppdrag att analysera hur dess förslag ställer sig till tidigare statliga ingrepp i form av t.ex. Kommundelegationens ver</w:t>
      </w:r>
      <w:r w:rsidRPr="001E42CA">
        <w:t>k</w:t>
      </w:r>
      <w:r w:rsidRPr="001E42CA">
        <w:t>samhet. Den har inte heller i uppdrag att konkret lämna förslag på hur staten ska agera om det ånyo uppkommer en liknande situation, dvs. den situation som varit föremål för denna granskning. Revisorerna föreslår i rapporten att utredningen bör få tilläggsdirektiv där det ing</w:t>
      </w:r>
      <w:r w:rsidRPr="001E42CA">
        <w:t>år att analysera den typen av frågor och där utgångspunkten bör vara att statliga ingrepp inte bör få bu</w:t>
      </w:r>
      <w:r w:rsidRPr="001E42CA">
        <w:t>d</w:t>
      </w:r>
      <w:r w:rsidRPr="001E42CA">
        <w:t>getmässiga konsekvenser. Ett alternativ är naturligtvis att tillsätta en särskild utre</w:t>
      </w:r>
      <w:r w:rsidRPr="001E42CA">
        <w:t>d</w:t>
      </w:r>
      <w:r w:rsidRPr="001E42CA">
        <w:t>ning.</w:t>
      </w:r>
    </w:p>
    <w:p w:rsidR="00DC1575" w:rsidRPr="001E42CA" w:rsidRDefault="00DC1575">
      <w:pPr>
        <w:pStyle w:val="Normaltindrag"/>
      </w:pPr>
      <w:r w:rsidRPr="001E42CA">
        <w:t>Den kommunala budgetprocessen är vidare relativt svagt reglerad. Det finns förvisso ett krav på ekonomisk balans. Balanskravet innebär att budg</w:t>
      </w:r>
      <w:r w:rsidRPr="001E42CA">
        <w:t>e</w:t>
      </w:r>
      <w:r w:rsidRPr="001E42CA">
        <w:t>ten varje år ska upprättas så att intäkterna överstiger kostnaderna. Ett event</w:t>
      </w:r>
      <w:r w:rsidRPr="001E42CA">
        <w:t>u</w:t>
      </w:r>
      <w:r w:rsidRPr="001E42CA">
        <w:t>ellt negativt resultat vid räkenskapsårets slut ska återställas inom två år. I övrigt innehåller dock inte kommunallagen mer än några paragrafer som i huvudsak reglerar tidtabellen för kommunens budgetarbete. Det finns dock mycket som tyder på att en stram budgetprocess leder till en starkare budge</w:t>
      </w:r>
      <w:r w:rsidRPr="001E42CA">
        <w:t>t</w:t>
      </w:r>
      <w:r w:rsidRPr="001E42CA">
        <w:t>disciplin, åtminstone på nationell nivå. Det finns därför enligt rapporten skäl att överväga eller analysera om det inte är motivera</w:t>
      </w:r>
      <w:r w:rsidRPr="001E42CA">
        <w:t>t att reglera den komm</w:t>
      </w:r>
      <w:r w:rsidRPr="001E42CA">
        <w:t>u</w:t>
      </w:r>
      <w:r w:rsidRPr="001E42CA">
        <w:t xml:space="preserve">nala budgetprocessen noggrannare för att åstadkomma en starkare finansiell disciplin. </w:t>
      </w:r>
    </w:p>
    <w:p w:rsidR="00DC1575" w:rsidRPr="001E42CA" w:rsidRDefault="00DC1575">
      <w:pPr>
        <w:pStyle w:val="R3"/>
      </w:pPr>
      <w:r w:rsidRPr="001E42CA">
        <w:t>Remissinstanserna</w:t>
      </w:r>
    </w:p>
    <w:p w:rsidR="00DC1575" w:rsidRPr="001E42CA" w:rsidRDefault="00DC1575">
      <w:r w:rsidRPr="001E42CA">
        <w:t>Flertalet av de remissinstanser som kommenterat frågan ställer sig negativa till revisorernas förslag och hänvisar till Ekonomiförvaltningsutredningens arbete.</w:t>
      </w:r>
    </w:p>
    <w:p w:rsidR="00DC1575" w:rsidRPr="001E42CA" w:rsidRDefault="00DC1575">
      <w:pPr>
        <w:pStyle w:val="Normaltindrag"/>
      </w:pPr>
      <w:r w:rsidRPr="001E42CA">
        <w:rPr>
          <w:i/>
        </w:rPr>
        <w:t>Finansdepartementet</w:t>
      </w:r>
      <w:r w:rsidRPr="001E42CA">
        <w:t xml:space="preserve"> nämner att det har tillsatts en utredning, Ekonom</w:t>
      </w:r>
      <w:r w:rsidRPr="001E42CA">
        <w:t>i</w:t>
      </w:r>
      <w:r w:rsidRPr="001E42CA">
        <w:t>förvaltningsutredningen (dir. 2000:30), som bl.a. har i uppdrag att göra en översyn av bestämmelserna om god ekonomisk hushållning och dess ti</w:t>
      </w:r>
      <w:r w:rsidRPr="001E42CA">
        <w:t>l</w:t>
      </w:r>
      <w:r w:rsidRPr="001E42CA">
        <w:t>lämpning. Vid behov ska utredningen föreslå förändringar för att öka lån</w:t>
      </w:r>
      <w:r w:rsidRPr="001E42CA">
        <w:t>g</w:t>
      </w:r>
      <w:r w:rsidRPr="001E42CA">
        <w:t>siktigheten i den ekonomiska och verksamhetsmässiga planeringen. I up</w:t>
      </w:r>
      <w:r w:rsidRPr="001E42CA">
        <w:t>p</w:t>
      </w:r>
      <w:r w:rsidRPr="001E42CA">
        <w:t xml:space="preserve">draget ingår även att utreda hur balanskravet kan förtydligas och modifieras. </w:t>
      </w:r>
      <w:r w:rsidRPr="001E42CA">
        <w:rPr>
          <w:i/>
        </w:rPr>
        <w:t>Statskontoret</w:t>
      </w:r>
      <w:r w:rsidRPr="001E42CA">
        <w:t xml:space="preserve"> anser att det redan enligt nuvarande direktiv ingår i Ekonom</w:t>
      </w:r>
      <w:r w:rsidRPr="001E42CA">
        <w:t>i</w:t>
      </w:r>
      <w:r w:rsidRPr="001E42CA">
        <w:t>förvaltningsutredninge</w:t>
      </w:r>
      <w:r w:rsidRPr="001E42CA">
        <w:t>ns uppdrag att analysera och att lämna förslag på hur staten ska agera om det uppkommer situationer där balanskravet inte efte</w:t>
      </w:r>
      <w:r w:rsidRPr="001E42CA">
        <w:t>r</w:t>
      </w:r>
      <w:r w:rsidRPr="001E42CA">
        <w:t>levs i kommuner och landsting. Kontoret avstyrker därför revisorernas fö</w:t>
      </w:r>
      <w:r w:rsidRPr="001E42CA">
        <w:t>r</w:t>
      </w:r>
      <w:r w:rsidRPr="001E42CA">
        <w:t xml:space="preserve">slag om tilläggsdirektiv. </w:t>
      </w:r>
      <w:r w:rsidRPr="001E42CA">
        <w:rPr>
          <w:i/>
        </w:rPr>
        <w:t>Ekonomiförvaltningsutredningen</w:t>
      </w:r>
      <w:r w:rsidRPr="001E42CA">
        <w:t xml:space="preserve"> vill meddela att den arbetar med att konstruera sådana regler för en god ekonomisk hushål</w:t>
      </w:r>
      <w:r w:rsidRPr="001E42CA">
        <w:t>l</w:t>
      </w:r>
      <w:r w:rsidRPr="001E42CA">
        <w:t>ning som är ägnade att skapa en delvis ny och tydligare incitamentsstruktur för kommuner och landsting. Mot denna bakgrund är det lämpligt att reg</w:t>
      </w:r>
      <w:r w:rsidRPr="001E42CA">
        <w:t>e</w:t>
      </w:r>
      <w:r w:rsidRPr="001E42CA">
        <w:t>ringen avvaktar Ek</w:t>
      </w:r>
      <w:r w:rsidRPr="001E42CA">
        <w:t>onomiförvaltningsutredningens betänkande hösten 2001 och vidtar lämpliga åtgärder med anledning av detta och de synpunkter rev</w:t>
      </w:r>
      <w:r w:rsidRPr="001E42CA">
        <w:t>i</w:t>
      </w:r>
      <w:r w:rsidRPr="001E42CA">
        <w:t xml:space="preserve">sorerna framfört. </w:t>
      </w:r>
      <w:r w:rsidRPr="001E42CA">
        <w:rPr>
          <w:i/>
        </w:rPr>
        <w:t>Svenska Kommunförbundet</w:t>
      </w:r>
      <w:r w:rsidRPr="001E42CA">
        <w:t xml:space="preserve"> och </w:t>
      </w:r>
      <w:r w:rsidRPr="001E42CA">
        <w:rPr>
          <w:i/>
        </w:rPr>
        <w:t>Landstingsförbundet</w:t>
      </w:r>
      <w:r w:rsidRPr="001E42CA">
        <w:t xml:space="preserve"> anser att Ekonomiförvaltningsutredningens arbete bör avvaktas innan ytterligare utredningar och eventuella regelverk tillsätts. Revisorernas synpunkter bör kunna täckas inom ramen för befintliga direktiv. </w:t>
      </w:r>
    </w:p>
    <w:p w:rsidR="00DC1575" w:rsidRPr="001E42CA" w:rsidRDefault="00DC1575">
      <w:r w:rsidRPr="001E42CA">
        <w:rPr>
          <w:i/>
        </w:rPr>
        <w:t>Institutet för kommunal ekonomi</w:t>
      </w:r>
      <w:r w:rsidRPr="001E42CA">
        <w:t xml:space="preserve"> och </w:t>
      </w:r>
      <w:r w:rsidRPr="001E42CA">
        <w:rPr>
          <w:i/>
        </w:rPr>
        <w:t>Forshaga kommun</w:t>
      </w:r>
      <w:r w:rsidRPr="001E42CA">
        <w:t xml:space="preserve"> instämmer i revis</w:t>
      </w:r>
      <w:r w:rsidRPr="001E42CA">
        <w:t>o</w:t>
      </w:r>
      <w:r w:rsidRPr="001E42CA">
        <w:t xml:space="preserve">rerna förslag. </w:t>
      </w:r>
      <w:r w:rsidRPr="001E42CA">
        <w:rPr>
          <w:i/>
        </w:rPr>
        <w:t>Forshaga kommun</w:t>
      </w:r>
      <w:r w:rsidRPr="001E42CA">
        <w:t xml:space="preserve"> anser att ekonomiskt stöd i den form som kommunakuten ger inte alltid bör vara en förstahandslösning. Kommunen tillstyrker därför att en analys görs av det kommunala regelverket och dess effekter på kommunernas beteende. Denna analys bör också innehålla en redovisning av konsekvenser för kommunerna av de beslut om lagändringar m.m. som genomförs och som påverkat den kommunala ek</w:t>
      </w:r>
      <w:r w:rsidRPr="001E42CA">
        <w:t>o</w:t>
      </w:r>
      <w:r w:rsidRPr="001E42CA">
        <w:t xml:space="preserve">nomin. </w:t>
      </w:r>
    </w:p>
    <w:p w:rsidR="00DC1575" w:rsidRPr="001E42CA" w:rsidRDefault="00DC1575">
      <w:pPr>
        <w:pStyle w:val="R3"/>
      </w:pPr>
      <w:r w:rsidRPr="001E42CA">
        <w:t>Revisorerna</w:t>
      </w:r>
    </w:p>
    <w:p w:rsidR="00DC1575" w:rsidRPr="001E42CA" w:rsidRDefault="00DC1575">
      <w:r w:rsidRPr="001E42CA">
        <w:t>Enligt revisorernas uppfattning är det värdefullt att en utredning tillsatts som ska hantera de frågor som revisorerna uppmärksammar i rapporten. Ekon</w:t>
      </w:r>
      <w:r w:rsidRPr="001E42CA">
        <w:t>o</w:t>
      </w:r>
      <w:r w:rsidRPr="001E42CA">
        <w:t xml:space="preserve">miförvaltningsutredningen pekar i sitt remissvar på att den arbetar med att konstruera sådana regler för en god ekonomisk hushållning som är ägnade att skapa en delvis ny och tydligare incitamentsstruktur för kommuner och landsting. Revisorerna ser med tillfredsställelse på att sådana förslag kan lämnas. </w:t>
      </w:r>
    </w:p>
    <w:p w:rsidR="00DC1575" w:rsidRPr="001E42CA" w:rsidRDefault="00DC1575">
      <w:pPr>
        <w:pStyle w:val="Normaltindrag"/>
      </w:pPr>
      <w:r w:rsidRPr="001E42CA">
        <w:t>Som framgått av avsnitt 2.1 har revisorerna föreslagit att anslaget 91:2 B</w:t>
      </w:r>
      <w:r w:rsidRPr="001E42CA">
        <w:t>i</w:t>
      </w:r>
      <w:r w:rsidRPr="001E42CA">
        <w:t>drag till särskilda insatser i vissa kommuner och landsting bör avvecklas fr.o.m. 2004. Som ett komplement till detta förslag har som ovan framgått revisorerna föreslagit att ett nytt regelsystem som kan öka incitamenten till en god ekonomisk hushållning i kommuner och landsting bör utredas. Av Ekonomiförvaltningsutredningens remissvar framgår emellertid att ett sådant förslag kommer att läggas under hösten 2001. Revisorerna utgår ifrån att de frågor som tas upp i revisorernas rapport beaktas i utredningen</w:t>
      </w:r>
      <w:r w:rsidRPr="001E42CA">
        <w:t>s betänka</w:t>
      </w:r>
      <w:r w:rsidRPr="001E42CA">
        <w:t>n</w:t>
      </w:r>
      <w:r w:rsidRPr="001E42CA">
        <w:t>de.</w:t>
      </w:r>
    </w:p>
    <w:p w:rsidR="00DC1575" w:rsidRPr="001E42CA" w:rsidRDefault="00DC1575">
      <w:pPr>
        <w:pStyle w:val="Normaltindrag"/>
      </w:pPr>
      <w:r w:rsidRPr="001E42CA">
        <w:t>Enligt revisorernas uppfattning finns det därför skäl att avvakta Ekonom</w:t>
      </w:r>
      <w:r w:rsidRPr="001E42CA">
        <w:t>i</w:t>
      </w:r>
      <w:r w:rsidRPr="001E42CA">
        <w:t>förvaltningsutredningens betänkande. Mot bakgrund av detta avstår revis</w:t>
      </w:r>
      <w:r w:rsidRPr="001E42CA">
        <w:t>o</w:t>
      </w:r>
      <w:r w:rsidRPr="001E42CA">
        <w:t>rerna från att lägga något förslag på detta område. Det är dock, enligt revis</w:t>
      </w:r>
      <w:r w:rsidRPr="001E42CA">
        <w:t>o</w:t>
      </w:r>
      <w:r w:rsidRPr="001E42CA">
        <w:t>rernas uppfattning, inget skäl för att inte avveckla anslaget, utan dessa bägge frågor bör kunna behandlas var för sig. Den tidsplan som revisorerna för</w:t>
      </w:r>
      <w:r w:rsidRPr="001E42CA">
        <w:t>e</w:t>
      </w:r>
      <w:r w:rsidRPr="001E42CA">
        <w:t>slagit för avveckling av anslaget bör inte utgöra något hinder vid berednin</w:t>
      </w:r>
      <w:r w:rsidRPr="001E42CA">
        <w:t>g</w:t>
      </w:r>
      <w:r w:rsidRPr="001E42CA">
        <w:t>en av Ekonomiförvaltningsutrednin</w:t>
      </w:r>
      <w:r w:rsidRPr="001E42CA">
        <w:t>g</w:t>
      </w:r>
      <w:r w:rsidRPr="001E42CA">
        <w:t xml:space="preserve">ens betänkande. </w:t>
      </w:r>
    </w:p>
    <w:p w:rsidR="00DC1575" w:rsidRPr="001E42CA" w:rsidRDefault="00DC1575">
      <w:pPr>
        <w:pStyle w:val="Rubrik2"/>
      </w:pPr>
      <w:bookmarkStart w:id="14" w:name="_Toc524493440"/>
      <w:bookmarkStart w:id="15" w:name="_Toc526302366"/>
      <w:r w:rsidRPr="001E42CA">
        <w:t>Renodla utgiftsområdet</w:t>
      </w:r>
      <w:bookmarkEnd w:id="14"/>
      <w:bookmarkEnd w:id="15"/>
    </w:p>
    <w:p w:rsidR="00DC1575" w:rsidRPr="001E42CA" w:rsidRDefault="00DC1575">
      <w:pPr>
        <w:pStyle w:val="R3"/>
        <w:spacing w:before="123"/>
      </w:pPr>
      <w:r w:rsidRPr="001E42CA">
        <w:t>Rapporten</w:t>
      </w:r>
    </w:p>
    <w:p w:rsidR="00DC1575" w:rsidRPr="001E42CA" w:rsidRDefault="00DC1575">
      <w:r w:rsidRPr="001E42CA">
        <w:t>Anslaget 91:2 Bidrag till särskilda insatser i vissa kommuner och landsting har utnyttjats för tolv olika ändamål. Drygt 3,7 miljarder kronor, eller närm</w:t>
      </w:r>
      <w:r w:rsidRPr="001E42CA">
        <w:t>a</w:t>
      </w:r>
      <w:r w:rsidRPr="001E42CA">
        <w:t>re 60 procent, har fördelats till kommuner med särskilt svåra ekonomiska problem och som ansökt om stöd. Det gäller stöd som fördelats av regeringen (efter särskild ansökan och efter särskild beredning av Kommundelegati</w:t>
      </w:r>
      <w:r w:rsidRPr="001E42CA">
        <w:t>o</w:t>
      </w:r>
      <w:r w:rsidRPr="001E42CA">
        <w:t>nen) och Bostadsdelegationen. Ungefär 2,7 miljarder kronor har fördelats till andra ändamål. Det gäller t.ex. utbildningsinsatser, insatser för flyktingar, hiv/aidsverksamhet, katastrofinsatser, stöd och service till funktionshindrade, nedläggningar i försvaret och konsumentåtgärder.</w:t>
      </w:r>
    </w:p>
    <w:p w:rsidR="00DC1575" w:rsidRPr="001E42CA" w:rsidRDefault="00DC1575">
      <w:pPr>
        <w:pStyle w:val="Normaltindrag"/>
      </w:pPr>
      <w:r w:rsidRPr="001E42CA">
        <w:t xml:space="preserve">Vissa </w:t>
      </w:r>
      <w:r w:rsidRPr="001E42CA">
        <w:t>delar av anslagets fördelning på ändamål anges inte i budgetprop</w:t>
      </w:r>
      <w:r w:rsidRPr="001E42CA">
        <w:t>o</w:t>
      </w:r>
      <w:r w:rsidRPr="001E42CA">
        <w:t>sitionen. Ett flertal användningsområden har tillkommit löpande under bu</w:t>
      </w:r>
      <w:r w:rsidRPr="001E42CA">
        <w:t>d</w:t>
      </w:r>
      <w:r w:rsidRPr="001E42CA">
        <w:t>getåren, dvs. anslaget har delvis använts som ett anslag för oförutsedda u</w:t>
      </w:r>
      <w:r w:rsidRPr="001E42CA">
        <w:t>t</w:t>
      </w:r>
      <w:r w:rsidRPr="001E42CA">
        <w:t>gifter. Användningen har i och för sig anmälts till riksdagen, men dessa utgifter har inte genomgått en normal budgetprövning. Dessa användning</w:t>
      </w:r>
      <w:r w:rsidRPr="001E42CA">
        <w:t>s</w:t>
      </w:r>
      <w:r w:rsidRPr="001E42CA">
        <w:t>områden ingår därmed inte i den årliga budgetprövningen på samma sätt som normala anslag. De aktualiseras således ej på samma sätt som andra u</w:t>
      </w:r>
      <w:r w:rsidRPr="001E42CA">
        <w:t>t</w:t>
      </w:r>
      <w:r w:rsidRPr="001E42CA">
        <w:t xml:space="preserve">giftsanslag </w:t>
      </w:r>
      <w:r w:rsidRPr="001E42CA">
        <w:t xml:space="preserve">i den årliga budgetprövningen och blir i princip inte föremål för förnyade beslut inför varje budgetår. </w:t>
      </w:r>
    </w:p>
    <w:p w:rsidR="00DC1575" w:rsidRPr="001E42CA" w:rsidRDefault="00DC1575">
      <w:pPr>
        <w:pStyle w:val="Normaltindrag"/>
      </w:pPr>
      <w:r w:rsidRPr="001E42CA">
        <w:t>Enligt rapporten finns det stor risk för att ändamål som inte genomgår en normal budgetprövning leder till ökade utgifter. Ett anslag som har karakt</w:t>
      </w:r>
      <w:r w:rsidRPr="001E42CA">
        <w:t>ä</w:t>
      </w:r>
      <w:r w:rsidRPr="001E42CA">
        <w:t>ren av oförutsedda utgifter kan till och med skapa behov som inte annars skulle tillgodoses eller diskuteras. Det finns vidare inga egentliga skäl till varför användningsområden som t.ex. hiv/aidsverksamhet eller nedläggnin</w:t>
      </w:r>
      <w:r w:rsidRPr="001E42CA">
        <w:t>g</w:t>
      </w:r>
      <w:r w:rsidRPr="001E42CA">
        <w:t>ar i försvaret inte bör äskas och prövas inom respektive politikområde. Enligt rapporten bör därför utgiftsområde 25 koncentreras till generella statsbidrag, utjämningsbidrag och bidrag till Rådet för kommunal redovisning. Utgifter för ändamål som inte kan hänföras till dessa tre anslag</w:t>
      </w:r>
      <w:r w:rsidRPr="001E42CA">
        <w:t xml:space="preserve"> bör äskas under r</w:t>
      </w:r>
      <w:r w:rsidRPr="001E42CA">
        <w:t>e</w:t>
      </w:r>
      <w:r w:rsidRPr="001E42CA">
        <w:t>spekt</w:t>
      </w:r>
      <w:r w:rsidRPr="001E42CA">
        <w:t>i</w:t>
      </w:r>
      <w:r w:rsidRPr="001E42CA">
        <w:t xml:space="preserve">ve politikområde. </w:t>
      </w:r>
    </w:p>
    <w:p w:rsidR="00DC1575" w:rsidRPr="001E42CA" w:rsidRDefault="00DC1575">
      <w:pPr>
        <w:pStyle w:val="R3"/>
      </w:pPr>
      <w:r w:rsidRPr="001E42CA">
        <w:t>Remissinstanserna</w:t>
      </w:r>
    </w:p>
    <w:p w:rsidR="00DC1575" w:rsidRPr="001E42CA" w:rsidRDefault="00DC1575">
      <w:r w:rsidRPr="001E42CA">
        <w:rPr>
          <w:i/>
        </w:rPr>
        <w:t>Statskontoret</w:t>
      </w:r>
      <w:r w:rsidRPr="001E42CA">
        <w:t xml:space="preserve"> tillstyrker i princip revisorernas förslag. Statskontoret har dock förståelse för att statsmakterna behöver ha möjlighet att stödja kommuner och landsting som drabbats av plötsliga och/eller omfattande problem. Eventuella anslag som inrättas i samband med sådant stöd bör enligt Statskontorets mening vara tillfälliga. Kontoret vill dock understryka bet</w:t>
      </w:r>
      <w:r w:rsidRPr="001E42CA">
        <w:t>y</w:t>
      </w:r>
      <w:r w:rsidRPr="001E42CA">
        <w:t xml:space="preserve">delsen av att det statliga stödet till kommuner och landsting normalt ges i generella former. </w:t>
      </w:r>
    </w:p>
    <w:p w:rsidR="00DC1575" w:rsidRPr="001E42CA" w:rsidRDefault="00DC1575">
      <w:pPr>
        <w:pStyle w:val="Normaltindrag"/>
      </w:pPr>
      <w:r w:rsidRPr="001E42CA">
        <w:rPr>
          <w:i/>
        </w:rPr>
        <w:t>Svenska Kommunförbundet</w:t>
      </w:r>
      <w:r w:rsidRPr="001E42CA">
        <w:t xml:space="preserve"> och </w:t>
      </w:r>
      <w:r w:rsidRPr="001E42CA">
        <w:rPr>
          <w:i/>
        </w:rPr>
        <w:t>Landstingsförbundet</w:t>
      </w:r>
      <w:r w:rsidRPr="001E42CA">
        <w:t xml:space="preserve"> pekar på ett liknande sätt på att det inom ramen för anslaget har finansierats vissa akuta behov som inte rimligen kan förutses och därmed beaktas inom ramen för en ordinär kommunal budget. Dit hör t.ex. hjälp vid översvämningarna. Sådana insatser kan, enligt förbunden, endast regeringen klara och det bör finnas en finansiell beredskap för detta. Om det ska vara ett särskilt öronmärkt anslag – som ju är svårt att beräkna – eller lösas på annat sätt när det inträffar är, enligt förbu</w:t>
      </w:r>
      <w:r w:rsidRPr="001E42CA">
        <w:t>n</w:t>
      </w:r>
      <w:r w:rsidRPr="001E42CA">
        <w:t xml:space="preserve">den, en fråga för regeringen att pröva. </w:t>
      </w:r>
    </w:p>
    <w:p w:rsidR="00DC1575" w:rsidRPr="001E42CA" w:rsidRDefault="00DC1575">
      <w:pPr>
        <w:pStyle w:val="Normaltindrag"/>
      </w:pPr>
      <w:r w:rsidRPr="001E42CA">
        <w:rPr>
          <w:i/>
        </w:rPr>
        <w:t>Ekonomiförvaltningsutredningen</w:t>
      </w:r>
      <w:r w:rsidRPr="001E42CA">
        <w:t xml:space="preserve"> ställer sig negativ till förslaget. Utre</w:t>
      </w:r>
      <w:r w:rsidRPr="001E42CA">
        <w:t>d</w:t>
      </w:r>
      <w:r w:rsidRPr="001E42CA">
        <w:t>ningen finner, mot bakgrund av kommunsektorns ekonomiska och strukt</w:t>
      </w:r>
      <w:r w:rsidRPr="001E42CA">
        <w:t>u</w:t>
      </w:r>
      <w:r w:rsidRPr="001E42CA">
        <w:t>rella problem, revisorernas förslag väl drastiskt och kan därför inte ge det sitt stöd, även om det från budgetteknisk synpunkt har vissa förtjänster. De pol</w:t>
      </w:r>
      <w:r w:rsidRPr="001E42CA">
        <w:t>i</w:t>
      </w:r>
      <w:r w:rsidRPr="001E42CA">
        <w:t xml:space="preserve">tiska och praktiska fördelarna med den nuvarande ordningen överväger enligt utredningens mening. </w:t>
      </w:r>
    </w:p>
    <w:p w:rsidR="00DC1575" w:rsidRPr="001E42CA" w:rsidRDefault="00DC1575">
      <w:pPr>
        <w:pStyle w:val="Normaltindrag"/>
      </w:pPr>
      <w:r w:rsidRPr="001E42CA">
        <w:rPr>
          <w:i/>
        </w:rPr>
        <w:t>Malungs kommun</w:t>
      </w:r>
      <w:r w:rsidRPr="001E42CA">
        <w:t xml:space="preserve"> anser att statens budget bör innehålla ett särskilt anslag för akut ekonomiskt bistånd till oförskyllt drabbad kommun vid yttre hände</w:t>
      </w:r>
      <w:r w:rsidRPr="001E42CA">
        <w:t>l</w:t>
      </w:r>
      <w:r w:rsidRPr="001E42CA">
        <w:t xml:space="preserve">se av naturkatastrofkaraktär eller annan likvärdig händelse. </w:t>
      </w:r>
    </w:p>
    <w:p w:rsidR="00DC1575" w:rsidRPr="001E42CA" w:rsidRDefault="00DC1575">
      <w:pPr>
        <w:pStyle w:val="Normaltindrag"/>
      </w:pPr>
      <w:r w:rsidRPr="001E42CA">
        <w:rPr>
          <w:i/>
        </w:rPr>
        <w:t>Institutet för kommunal ekonomi</w:t>
      </w:r>
      <w:r w:rsidRPr="001E42CA">
        <w:t xml:space="preserve"> och </w:t>
      </w:r>
      <w:r w:rsidRPr="001E42CA">
        <w:rPr>
          <w:i/>
        </w:rPr>
        <w:t>Forshaga kommun</w:t>
      </w:r>
      <w:r w:rsidRPr="001E42CA">
        <w:t xml:space="preserve"> tillstyrker revis</w:t>
      </w:r>
      <w:r w:rsidRPr="001E42CA">
        <w:t>o</w:t>
      </w:r>
      <w:r w:rsidRPr="001E42CA">
        <w:t>rernas förslag.</w:t>
      </w:r>
    </w:p>
    <w:p w:rsidR="00DC1575" w:rsidRPr="001E42CA" w:rsidRDefault="00DC1575">
      <w:pPr>
        <w:pStyle w:val="R3"/>
      </w:pPr>
      <w:r w:rsidRPr="001E42CA">
        <w:t>Revisorerna</w:t>
      </w:r>
    </w:p>
    <w:p w:rsidR="00DC1575" w:rsidRPr="001E42CA" w:rsidRDefault="00DC1575">
      <w:r w:rsidRPr="001E42CA">
        <w:t>Ett par av de remissinstanser som haft synpunkter på revisorernas förslag ställer sig tveksamma till att renodla utgiftsområdet. De pekar på att det kan finnas behov av att stödja kommuner och landsting som drabbas av plötsliga och/eller omfattande problem. Som exempel nämns översvämningarna i juli 2000.</w:t>
      </w:r>
    </w:p>
    <w:p w:rsidR="00DC1575" w:rsidRPr="001E42CA" w:rsidRDefault="00DC1575">
      <w:pPr>
        <w:pStyle w:val="Normaltindrag"/>
      </w:pPr>
      <w:r w:rsidRPr="001E42CA">
        <w:t>Revisorerna kan dock konstatera att endast en blygsam del av anslaget u</w:t>
      </w:r>
      <w:r w:rsidRPr="001E42CA">
        <w:t>t</w:t>
      </w:r>
      <w:r w:rsidRPr="001E42CA">
        <w:t>nyttjats för den typen av ändamål. Som framgår av rapporten har katastrofi</w:t>
      </w:r>
      <w:r w:rsidRPr="001E42CA">
        <w:t>n</w:t>
      </w:r>
      <w:r w:rsidRPr="001E42CA">
        <w:t>satser utgjort en mycket liten del av den del av anslaget som inte gått till kommuner och landsting med särskilt svåra ekonomiska problem. I huvudsak har det varit fråga om andra typer av ekonomiskt stöd.</w:t>
      </w:r>
    </w:p>
    <w:p w:rsidR="00DC1575" w:rsidRPr="001E42CA" w:rsidRDefault="00DC1575">
      <w:pPr>
        <w:pStyle w:val="Normaltindrag"/>
      </w:pPr>
      <w:r w:rsidRPr="001E42CA">
        <w:t>Enligt revisorernas uppfattning har anslaget delvis använts som ett anslag för oförutsedda utgifter. Sådana anslag finns inte inom andra utgiftsområden och revisorerna har svårt att förstå varför utgiftsområde 25 har en sådan särpr</w:t>
      </w:r>
      <w:r w:rsidRPr="001E42CA">
        <w:t>äglad karaktär att det anses nödvändigt just inom detta område. Som redan framgått ingår vissa av användningsområdena, t.ex. insatser för fly</w:t>
      </w:r>
      <w:r w:rsidRPr="001E42CA">
        <w:t>k</w:t>
      </w:r>
      <w:r w:rsidRPr="001E42CA">
        <w:t>tingar, vissa katastrofinsatser och nedläggningar i försvaret, inte i den no</w:t>
      </w:r>
      <w:r w:rsidRPr="001E42CA">
        <w:t>r</w:t>
      </w:r>
      <w:r w:rsidRPr="001E42CA">
        <w:t xml:space="preserve">mala budgetprövningen och det finns, enligt revisorernas uppfattning, risk för att ett sådant förfarande leder till ökade utgifter. Revisorerna vill också erinra om att anslaget infördes som ett </w:t>
      </w:r>
      <w:r w:rsidRPr="001E42CA">
        <w:rPr>
          <w:i/>
        </w:rPr>
        <w:t>tillfälligt</w:t>
      </w:r>
      <w:r w:rsidRPr="001E42CA">
        <w:t xml:space="preserve"> stöd. I samband med inf</w:t>
      </w:r>
      <w:r w:rsidRPr="001E42CA">
        <w:t>ö</w:t>
      </w:r>
      <w:r w:rsidRPr="001E42CA">
        <w:t>randet av anslaget diskuterades inte heller andra användningso</w:t>
      </w:r>
      <w:r w:rsidRPr="001E42CA">
        <w:t>mråden än stöd till kommuner och land</w:t>
      </w:r>
      <w:r w:rsidRPr="001E42CA">
        <w:t>s</w:t>
      </w:r>
      <w:r w:rsidRPr="001E42CA">
        <w:t xml:space="preserve">ting med en särskilt svår ekonomisk situation. </w:t>
      </w:r>
    </w:p>
    <w:p w:rsidR="00DC1575" w:rsidRPr="001E42CA" w:rsidRDefault="00DC1575">
      <w:pPr>
        <w:pStyle w:val="Normaltindrag"/>
      </w:pPr>
      <w:r w:rsidRPr="001E42CA">
        <w:t>Det har, enligt revisorernas uppfattning, inte framkommit några sakskäl som kan föranleda en revidering av förslaget. Enligt vår uppfattning har utgifterna hittills varit av den karaktären att de mycket väl varit möjliga att äska under andra politikområden. Om det uppstår situationer av plötslig eller tillfällig natur finns det enligt revisorernas bedömning möjlighet att hantera dessa inom ramen för den befintliga statsbud</w:t>
      </w:r>
      <w:r w:rsidRPr="001E42CA">
        <w:t>geten. Enligt 9 kap. 5 § reg</w:t>
      </w:r>
      <w:r w:rsidRPr="001E42CA">
        <w:t>e</w:t>
      </w:r>
      <w:r w:rsidRPr="001E42CA">
        <w:t>ringsformen kan riksdagen för löpande budgetår på tilläggsbudget ändra och anvisa nya anslag.</w:t>
      </w:r>
    </w:p>
    <w:p w:rsidR="00DC1575" w:rsidRPr="001E42CA" w:rsidRDefault="00DC1575">
      <w:pPr>
        <w:pStyle w:val="Normaltindrag"/>
      </w:pPr>
      <w:r w:rsidRPr="001E42CA">
        <w:t>Revisorerna föreslår därför att utgiftsområde 25 Allmänna bidrag till kommuner och landsting endast bör omfatta anslagen 91:1 Generellt statsb</w:t>
      </w:r>
      <w:r w:rsidRPr="001E42CA">
        <w:t>i</w:t>
      </w:r>
      <w:r w:rsidRPr="001E42CA">
        <w:t>drag till kommuner och landsting, 91:3 Statligt utjämningsbidrag till ko</w:t>
      </w:r>
      <w:r w:rsidRPr="001E42CA">
        <w:t>m</w:t>
      </w:r>
      <w:r w:rsidRPr="001E42CA">
        <w:t xml:space="preserve">muner och landsting och 91:4 Bidrag till Rådet för kommunal redovisning. Utgifter för ändamål som inte kan hänföras till dessa tre anslag bör äskas under respektive politikområde. </w:t>
      </w:r>
    </w:p>
    <w:p w:rsidR="00DC1575" w:rsidRPr="001E42CA" w:rsidRDefault="00DC1575">
      <w:pPr>
        <w:pStyle w:val="Rubrik2"/>
      </w:pPr>
      <w:bookmarkStart w:id="16" w:name="_Toc524493441"/>
      <w:bookmarkStart w:id="17" w:name="_Toc526302367"/>
      <w:r w:rsidRPr="001E42CA">
        <w:t>Uppföljning</w:t>
      </w:r>
      <w:bookmarkEnd w:id="16"/>
      <w:bookmarkEnd w:id="17"/>
    </w:p>
    <w:p w:rsidR="00DC1575" w:rsidRPr="001E42CA" w:rsidRDefault="00DC1575">
      <w:pPr>
        <w:pStyle w:val="R3"/>
        <w:spacing w:before="123"/>
      </w:pPr>
      <w:r w:rsidRPr="001E42CA">
        <w:t>Rapporten</w:t>
      </w:r>
    </w:p>
    <w:p w:rsidR="00DC1575" w:rsidRPr="001E42CA" w:rsidRDefault="00DC1575">
      <w:r w:rsidRPr="001E42CA">
        <w:t>I rapporten pekas på att regeringen har tillkallat en särskild utredare med uppdrag att följa upp och stödja de kommuner och landsting vars ansöknin</w:t>
      </w:r>
      <w:r w:rsidRPr="001E42CA">
        <w:t>g</w:t>
      </w:r>
      <w:r w:rsidRPr="001E42CA">
        <w:t>ar beretts av Kommundelegationen och som av regeringen beviljats bidrag. Enligt revisorernas uppfattning bör uppföljningen hanteras av en myndighet. Detta innebär en tydligare reglering av uppgiften och bidrar till att skapa större kontinuitet och en mer oberoende ställning i förhållande till uppgiften att säkerställa gjorda avtal och att bidra till att överenskomna kostnadssän</w:t>
      </w:r>
      <w:r w:rsidRPr="001E42CA">
        <w:t>k</w:t>
      </w:r>
      <w:r w:rsidRPr="001E42CA">
        <w:t>ningar genomförs. Att hjälpa kommuner och landsting att komma till rätta med en för hög kostnadsnivå kräver ett stort mått av tydl</w:t>
      </w:r>
      <w:r w:rsidRPr="001E42CA">
        <w:t>ighet. En myndighet har sannolikt större möjligheter, utifrån sina instruktioner, att hantera denna process. Exempelvis lyckades inte Kommundelegationen, som hade formen av en kommitté, att presentera entydiga åtgärdsplaner.</w:t>
      </w:r>
    </w:p>
    <w:p w:rsidR="00DC1575" w:rsidRPr="001E42CA" w:rsidRDefault="00DC1575">
      <w:pPr>
        <w:pStyle w:val="Normaltindrag"/>
      </w:pPr>
      <w:r w:rsidRPr="001E42CA">
        <w:t>Bostadsdelegationen har också slutit ett stort antal avtal med kommuner. Det har dock hittills inte presenterats någon lösning för hur uppföljningen av dessa avtal ska organiseras. Enligt rapporten bör regeringen därför presentera en sådan lö</w:t>
      </w:r>
      <w:r w:rsidRPr="001E42CA">
        <w:t>s</w:t>
      </w:r>
      <w:r w:rsidRPr="001E42CA">
        <w:t xml:space="preserve">ning. </w:t>
      </w:r>
    </w:p>
    <w:p w:rsidR="00DC1575" w:rsidRPr="001E42CA" w:rsidRDefault="00DC1575">
      <w:pPr>
        <w:pStyle w:val="R3"/>
      </w:pPr>
      <w:r w:rsidRPr="001E42CA">
        <w:t>Remissinstanserna</w:t>
      </w:r>
    </w:p>
    <w:p w:rsidR="00DC1575" w:rsidRPr="001E42CA" w:rsidRDefault="00DC1575">
      <w:r w:rsidRPr="001E42CA">
        <w:rPr>
          <w:i/>
        </w:rPr>
        <w:t>Statskontoret, Institutet för kommunal ekonomi</w:t>
      </w:r>
      <w:r w:rsidRPr="001E42CA">
        <w:t xml:space="preserve"> och </w:t>
      </w:r>
      <w:r w:rsidRPr="001E42CA">
        <w:rPr>
          <w:i/>
        </w:rPr>
        <w:t>Forshaga kommun</w:t>
      </w:r>
      <w:r w:rsidRPr="001E42CA">
        <w:t xml:space="preserve"> til</w:t>
      </w:r>
      <w:r w:rsidRPr="001E42CA">
        <w:t>l</w:t>
      </w:r>
      <w:r w:rsidRPr="001E42CA">
        <w:t xml:space="preserve">styrker förslaget. </w:t>
      </w:r>
      <w:r w:rsidRPr="001E42CA">
        <w:rPr>
          <w:i/>
        </w:rPr>
        <w:t>Statskontoret</w:t>
      </w:r>
      <w:r w:rsidRPr="001E42CA">
        <w:t xml:space="preserve"> konstaterar dock att det saknas en lämplig central funktion för en sådan uppföljning. Statskontoret vill i sammanhanget erinra om att frågan om att inrätta ett organ för statlig uppföljning av ko</w:t>
      </w:r>
      <w:r w:rsidRPr="001E42CA">
        <w:t>m</w:t>
      </w:r>
      <w:r w:rsidRPr="001E42CA">
        <w:t>muner och landsting aktualiserats av flera utredningar utifrån skilda perspe</w:t>
      </w:r>
      <w:r w:rsidRPr="001E42CA">
        <w:t>k</w:t>
      </w:r>
      <w:r w:rsidRPr="001E42CA">
        <w:t>tiv. Det har handlat om uppföljning av prestationer och kostnader, av styr-, organisations- och verksamhetsformer samt av uppgifter med betydelse för utjämningssystemet. Statskontor</w:t>
      </w:r>
      <w:r w:rsidRPr="001E42CA">
        <w:t>et konstaterar att inget av utredningarnas förslag om inrättande av ett uppföljningsorgan förverkligats. Kontoret anser att ett och samma organ bör kunna hantera samtliga här nämnda typer av statlig uppföljning av kommuner och land</w:t>
      </w:r>
      <w:r w:rsidRPr="001E42CA">
        <w:t>s</w:t>
      </w:r>
      <w:r w:rsidRPr="001E42CA">
        <w:t xml:space="preserve">ting. </w:t>
      </w:r>
    </w:p>
    <w:p w:rsidR="00DC1575" w:rsidRPr="001E42CA" w:rsidRDefault="00DC1575">
      <w:pPr>
        <w:pStyle w:val="Normaltindrag"/>
      </w:pPr>
      <w:r w:rsidRPr="001E42CA">
        <w:rPr>
          <w:i/>
        </w:rPr>
        <w:t>Finansdepartementet</w:t>
      </w:r>
      <w:r w:rsidRPr="001E42CA">
        <w:t xml:space="preserve"> påpekar också att det för närvarande inte finns någon myndighet som har kompetens att göra en granskning av de kommuner som fått stöd. Möjligheten finns ju att inrätta en sådan myndighet eller att tillföra kompetens till en redan befintlig myndighet. I det sammanhanget bör dock, enligt departementet, beaktas att den aktuella uppgiften vad gäller uppföl</w:t>
      </w:r>
      <w:r w:rsidRPr="001E42CA">
        <w:t>j</w:t>
      </w:r>
      <w:r w:rsidRPr="001E42CA">
        <w:t>ning av Kommundelegationens arbete är av helt tillfällig karaktär. Finansd</w:t>
      </w:r>
      <w:r w:rsidRPr="001E42CA">
        <w:t>e</w:t>
      </w:r>
      <w:r w:rsidRPr="001E42CA">
        <w:t>partementet pekar vidare på att regeringen i 2001 års ekonomiska vårprop</w:t>
      </w:r>
      <w:r w:rsidRPr="001E42CA">
        <w:t>o</w:t>
      </w:r>
      <w:r w:rsidRPr="001E42CA">
        <w:t>sition a</w:t>
      </w:r>
      <w:r w:rsidRPr="001E42CA">
        <w:t xml:space="preserve">viserade att den avser att låta Bostadsdelegationen fortsätta sitt arbete även under 2002. Av propositionen framgår att uppföljningen av ingångna avtal inledningsvis kommer att ske av Bostadsdelegationen. Uppföljningen bör även innefatta studier av hur de kommuner som sökt stöd men inte har något avtal med delegationen har hanterat sina svårigheter. Regeringen avser att återkomma avseende hur den fortsatta uppföljningen ska ske efter att Bostadsdelegationen har upphört. </w:t>
      </w:r>
    </w:p>
    <w:p w:rsidR="00DC1575" w:rsidRPr="001E42CA" w:rsidRDefault="00DC1575">
      <w:pPr>
        <w:pStyle w:val="Normaltindrag"/>
      </w:pPr>
      <w:r w:rsidRPr="001E42CA">
        <w:t xml:space="preserve">Enligt </w:t>
      </w:r>
      <w:r w:rsidRPr="001E42CA">
        <w:rPr>
          <w:i/>
        </w:rPr>
        <w:t>Ekonomiförvaltningsutredningens</w:t>
      </w:r>
      <w:r w:rsidRPr="001E42CA">
        <w:t xml:space="preserve"> mening förefaller revisorerna inte ha gjort klart för sig att en kommitté, som också innefattar formen särskild utredare, formellt sett utgör en myndighet under regeringen. Någon avgöra</w:t>
      </w:r>
      <w:r w:rsidRPr="001E42CA">
        <w:t>n</w:t>
      </w:r>
      <w:r w:rsidRPr="001E42CA">
        <w:t>de innehållslig skillnad vad gäller styrningen av en kommitté eller liknande respektive en myndighet med reguljär verksamhet finns inte enligt utre</w:t>
      </w:r>
      <w:r w:rsidRPr="001E42CA">
        <w:t>d</w:t>
      </w:r>
      <w:r w:rsidRPr="001E42CA">
        <w:t>ningen, och de fördelar som revisorerna anför till förmån för en myndighet i den meningen revisorerna lägger i begreppet har enligt utredningen in</w:t>
      </w:r>
      <w:r w:rsidRPr="001E42CA">
        <w:t>gen större tyngd. Enligt utredningens mening bör det stå regeringen fritt att välja i vilka former en uppföljning av Bostadsdelegationens och Kommundeleg</w:t>
      </w:r>
      <w:r w:rsidRPr="001E42CA">
        <w:t>a</w:t>
      </w:r>
      <w:r w:rsidRPr="001E42CA">
        <w:t>tionens arbete ska ske.</w:t>
      </w:r>
    </w:p>
    <w:p w:rsidR="00DC1575" w:rsidRPr="001E42CA" w:rsidRDefault="00DC1575">
      <w:pPr>
        <w:pStyle w:val="R3"/>
      </w:pPr>
      <w:r w:rsidRPr="001E42CA">
        <w:t>Revisorerna</w:t>
      </w:r>
    </w:p>
    <w:p w:rsidR="00DC1575" w:rsidRPr="001E42CA" w:rsidRDefault="00DC1575">
      <w:r w:rsidRPr="001E42CA">
        <w:t>Riksdagens revisorer är helt medvetna om att en kommitté formellt sett utgör en myndighet under regeringen. Till skillnad från Ekonomiförvaltningsu</w:t>
      </w:r>
      <w:r w:rsidRPr="001E42CA">
        <w:t>t</w:t>
      </w:r>
      <w:r w:rsidRPr="001E42CA">
        <w:t>redningen anser vi dock att en reguljär myndighet normalt får en mer ober</w:t>
      </w:r>
      <w:r w:rsidRPr="001E42CA">
        <w:t>o</w:t>
      </w:r>
      <w:r w:rsidRPr="001E42CA">
        <w:t>ende ställning än en kommitté. Enligt vår uppfattning krävs det en hög grad av tydlighet och auktoritet för att hjälpa kommuner och landsting att komma till rätta med den för höga kostnadsn</w:t>
      </w:r>
      <w:r w:rsidRPr="001E42CA">
        <w:t>i</w:t>
      </w:r>
      <w:r w:rsidRPr="001E42CA">
        <w:t xml:space="preserve">vån. </w:t>
      </w:r>
    </w:p>
    <w:p w:rsidR="00DC1575" w:rsidRPr="001E42CA" w:rsidRDefault="00DC1575">
      <w:pPr>
        <w:pStyle w:val="Normaltindrag"/>
      </w:pPr>
      <w:r w:rsidRPr="001E42CA">
        <w:t>Vi kan däremot dela Finansdepartementets och Statskontorets påpekanden om att det för närvarande inte finns någon lämplig myndighet för den här typen av uppföljning. Revisorerna noterar också att Finansdepartementet pekar på att uppföljnings</w:t>
      </w:r>
      <w:r w:rsidRPr="001E42CA">
        <w:t xml:space="preserve">arbetet är av tillfällig karaktär. Mot bakgrund av detta och mot bakgrund av att revisorerna i avsnitt 2.1 föreslagit att anslaget bör avvecklas avstår revisorerna från att lägga något förslag på detta område. Om anslaget inte avvecklas vill dock revisorerna peka på att frågan behöver en lösning. </w:t>
      </w:r>
    </w:p>
    <w:p w:rsidR="00DC1575" w:rsidRPr="001E42CA" w:rsidRDefault="00DC1575">
      <w:pPr>
        <w:pStyle w:val="Rubrik1"/>
      </w:pPr>
      <w:bookmarkStart w:id="18" w:name="_Toc524493442"/>
      <w:bookmarkStart w:id="19" w:name="_Toc526302368"/>
      <w:r w:rsidRPr="001E42CA">
        <w:t>Revisorernas förslag</w:t>
      </w:r>
      <w:bookmarkEnd w:id="18"/>
      <w:bookmarkEnd w:id="19"/>
    </w:p>
    <w:p w:rsidR="00DC1575" w:rsidRPr="001E42CA" w:rsidRDefault="00DC1575">
      <w:r w:rsidRPr="001E42CA">
        <w:t>Med hänvisning till de motiveringar som framförts under Revisorernas öve</w:t>
      </w:r>
      <w:r w:rsidRPr="001E42CA">
        <w:t>r</w:t>
      </w:r>
      <w:r w:rsidRPr="001E42CA">
        <w:t>väganden föreslår Riksdagens revisorer att riksdagen fattar följande beslut.</w:t>
      </w:r>
    </w:p>
    <w:p w:rsidR="00DC1575" w:rsidRPr="001E42CA" w:rsidRDefault="00DC1575">
      <w:pPr>
        <w:pStyle w:val="R3"/>
      </w:pPr>
      <w:r w:rsidRPr="001E42CA">
        <w:t>Avveckling av anslaget</w:t>
      </w:r>
    </w:p>
    <w:p w:rsidR="00DC1575" w:rsidRPr="001E42CA" w:rsidRDefault="00DC1575">
      <w:r w:rsidRPr="001E42CA">
        <w:t xml:space="preserve">Riksdagen tillkännager för regeringen som sin mening vad revisorerna anfört i avsnitt 2.1 om avveckling av anslaget. </w:t>
      </w:r>
    </w:p>
    <w:p w:rsidR="00DC1575" w:rsidRPr="001E42CA" w:rsidRDefault="00DC1575">
      <w:pPr>
        <w:pStyle w:val="R3"/>
      </w:pPr>
      <w:r w:rsidRPr="001E42CA">
        <w:t>Renodla anslaget</w:t>
      </w:r>
    </w:p>
    <w:p w:rsidR="00DC1575" w:rsidRPr="001E42CA" w:rsidRDefault="00DC1575">
      <w:r w:rsidRPr="001E42CA">
        <w:t>Riksdagen tillkännager för regeringen som sin mening vad revisorerna anfört i avsnitt 2.3 om att renodla anslaget.</w:t>
      </w:r>
    </w:p>
    <w:p w:rsidR="00DC1575" w:rsidRPr="001E42CA" w:rsidRDefault="00DC1575">
      <w:pPr>
        <w:pStyle w:val="Normaltindrag"/>
      </w:pPr>
    </w:p>
    <w:p w:rsidR="00DC1575" w:rsidRPr="001E42CA" w:rsidRDefault="00DC1575">
      <w:r w:rsidRPr="001E42CA">
        <w:t>Detta ärende har avgjorts av revisorerna i plenum. I beslutet har deltagit revi</w:t>
      </w:r>
      <w:r w:rsidRPr="001E42CA">
        <w:softHyphen/>
        <w:t>sorerna Ingemar Josefsson (s), Anders G Högmark (m), Per Rosengren (v), Bengt Silfverstrand (s), Anita Jönsson (s), Kenneth Lantz (kd), Hans Ste</w:t>
      </w:r>
      <w:r w:rsidRPr="001E42CA">
        <w:t>n</w:t>
      </w:r>
      <w:r w:rsidRPr="001E42CA">
        <w:t>berg (s), Karl-Gösta Svenson (m), Marie Engström (v), Björn Kaaling (s), Ingvar Eriksson (m) och Nils-Göran Holmqvist (s).</w:t>
      </w:r>
    </w:p>
    <w:p w:rsidR="00DC1575" w:rsidRPr="001E42CA" w:rsidRDefault="00DC1575">
      <w:r w:rsidRPr="001E42CA">
        <w:t>Vid ärendets slutliga handläggning har vidare närvarit kanslichef Åke Dah</w:t>
      </w:r>
      <w:r w:rsidRPr="001E42CA">
        <w:t>l</w:t>
      </w:r>
      <w:r w:rsidRPr="001E42CA">
        <w:t>berg och utredningschef Patrick Joyce (föredragande). Revisionsdirektör Mats J</w:t>
      </w:r>
      <w:r w:rsidRPr="001E42CA">
        <w:t>o</w:t>
      </w:r>
      <w:r w:rsidRPr="001E42CA">
        <w:t>hansson har varit ansvarig för ärendets beredning.</w:t>
      </w:r>
    </w:p>
    <w:p w:rsidR="00DC1575" w:rsidRPr="001E42CA" w:rsidRDefault="00DC1575">
      <w:r w:rsidRPr="001E42CA">
        <w:t>Stockholm den 4 oktober 2001</w:t>
      </w:r>
    </w:p>
    <w:p w:rsidR="00DC1575" w:rsidRPr="001E42CA" w:rsidRDefault="00DC1575">
      <w:pPr>
        <w:pStyle w:val="Normaltindrag"/>
      </w:pPr>
    </w:p>
    <w:p w:rsidR="00DC1575" w:rsidRPr="001E42CA" w:rsidRDefault="00DC1575">
      <w:r w:rsidRPr="001E42CA">
        <w:t>På Riksdagens revisorers vägnar</w:t>
      </w:r>
    </w:p>
    <w:p w:rsidR="00DC1575" w:rsidRPr="001E42CA" w:rsidRDefault="00DC1575">
      <w:pPr>
        <w:pStyle w:val="Normaltindrag"/>
        <w:ind w:firstLine="0"/>
        <w:rPr>
          <w:i/>
          <w:sz w:val="21"/>
        </w:rPr>
      </w:pPr>
    </w:p>
    <w:p w:rsidR="00DC1575" w:rsidRPr="001E42CA" w:rsidRDefault="00DC1575">
      <w:pPr>
        <w:pStyle w:val="Normaltindrag"/>
        <w:ind w:firstLine="0"/>
        <w:rPr>
          <w:i/>
          <w:sz w:val="21"/>
        </w:rPr>
      </w:pPr>
    </w:p>
    <w:p w:rsidR="00DC1575" w:rsidRPr="001E42CA" w:rsidRDefault="00DC1575">
      <w:pPr>
        <w:pStyle w:val="Normaltindrag"/>
        <w:ind w:firstLine="0"/>
      </w:pPr>
      <w:r w:rsidRPr="001E42CA">
        <w:rPr>
          <w:i/>
          <w:sz w:val="21"/>
        </w:rPr>
        <w:t>Ingemar</w:t>
      </w:r>
      <w:r w:rsidRPr="001E42CA">
        <w:t xml:space="preserve"> </w:t>
      </w:r>
      <w:r w:rsidRPr="001E42CA">
        <w:rPr>
          <w:i/>
          <w:sz w:val="21"/>
        </w:rPr>
        <w:t>Josefsson</w:t>
      </w:r>
      <w:r w:rsidRPr="001E42CA">
        <w:t xml:space="preserve"> </w:t>
      </w:r>
    </w:p>
    <w:p w:rsidR="00DC1575" w:rsidRPr="001E42CA" w:rsidRDefault="00DC1575">
      <w:pPr>
        <w:pStyle w:val="Normaltindrag"/>
        <w:ind w:firstLine="0"/>
      </w:pPr>
    </w:p>
    <w:p w:rsidR="00DC1575" w:rsidRPr="001E42CA" w:rsidRDefault="00DC1575">
      <w:pPr>
        <w:pStyle w:val="Normaltindrag"/>
        <w:ind w:firstLine="1304"/>
      </w:pPr>
      <w:r w:rsidRPr="001E42CA">
        <w:tab/>
      </w:r>
      <w:r w:rsidRPr="001E42CA">
        <w:tab/>
      </w:r>
      <w:r w:rsidRPr="001E42CA">
        <w:rPr>
          <w:i/>
          <w:sz w:val="21"/>
        </w:rPr>
        <w:t>Patrick</w:t>
      </w:r>
      <w:r w:rsidRPr="001E42CA">
        <w:t xml:space="preserve"> </w:t>
      </w:r>
      <w:r w:rsidRPr="001E42CA">
        <w:rPr>
          <w:i/>
          <w:sz w:val="21"/>
        </w:rPr>
        <w:t>Joyce</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8"/>
          <w:footerReference w:type="default" r:id="rId9"/>
          <w:pgSz w:w="11906" w:h="16838" w:code="9"/>
          <w:pgMar w:top="567" w:right="4876" w:bottom="4508" w:left="1134" w:header="227" w:footer="227" w:gutter="0"/>
          <w:cols w:space="720"/>
        </w:sectPr>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1E42CA">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DC1575" w:rsidRPr="001E42CA" w:rsidRDefault="00DC1575">
            <w:pPr>
              <w:pStyle w:val="HuvudRubrik"/>
            </w:pPr>
            <w:r w:rsidRPr="001E42CA">
              <w:t xml:space="preserve">Rapport </w:t>
            </w:r>
            <w:bookmarkStart w:id="20" w:name="BetänkandeNr"/>
            <w:bookmarkEnd w:id="20"/>
            <w:r w:rsidRPr="001E42CA">
              <w:t>2000/01:9</w:t>
            </w:r>
          </w:p>
        </w:tc>
        <w:tc>
          <w:tcPr>
            <w:tcW w:w="2126" w:type="dxa"/>
            <w:gridSpan w:val="2"/>
            <w:tcBorders>
              <w:bottom w:val="single" w:sz="6" w:space="0" w:color="auto"/>
            </w:tcBorders>
          </w:tcPr>
          <w:p w:rsidR="00DC1575" w:rsidRPr="001E42CA" w:rsidRDefault="001E42CA">
            <w:pPr>
              <w:pStyle w:val="rtal"/>
              <w:spacing w:before="120"/>
              <w:ind w:left="0"/>
            </w:pPr>
            <w:r w:rsidRPr="001E42CA">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1E42CA">
        <w:tblPrEx>
          <w:tblCellMar>
            <w:top w:w="0" w:type="dxa"/>
            <w:bottom w:w="0" w:type="dxa"/>
          </w:tblCellMar>
        </w:tblPrEx>
        <w:trPr>
          <w:cantSplit/>
          <w:trHeight w:hRule="exact" w:val="660"/>
        </w:trPr>
        <w:tc>
          <w:tcPr>
            <w:tcW w:w="3012" w:type="dxa"/>
          </w:tcPr>
          <w:p w:rsidR="00DC1575" w:rsidRPr="001E42CA" w:rsidRDefault="00DC1575">
            <w:pPr>
              <w:pStyle w:val="StatusSida1"/>
            </w:pPr>
          </w:p>
        </w:tc>
        <w:tc>
          <w:tcPr>
            <w:tcW w:w="2445" w:type="dxa"/>
            <w:gridSpan w:val="2"/>
          </w:tcPr>
          <w:p w:rsidR="00DC1575" w:rsidRPr="001E42CA" w:rsidRDefault="00DC1575">
            <w:pPr>
              <w:pStyle w:val="UtskriftsdatumSida1"/>
              <w:rPr>
                <w:b/>
                <w:sz w:val="28"/>
              </w:rPr>
            </w:pPr>
          </w:p>
        </w:tc>
        <w:tc>
          <w:tcPr>
            <w:tcW w:w="2126" w:type="dxa"/>
            <w:gridSpan w:val="2"/>
          </w:tcPr>
          <w:p w:rsidR="00DC1575" w:rsidRPr="001E42CA" w:rsidRDefault="00DC1575"/>
        </w:tc>
      </w:tr>
    </w:tbl>
    <w:p w:rsidR="00DC1575" w:rsidRPr="001E42CA" w:rsidRDefault="00DC1575"/>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1E42CA">
        <w:tblPrEx>
          <w:tblCellMar>
            <w:top w:w="0" w:type="dxa"/>
            <w:bottom w:w="0" w:type="dxa"/>
          </w:tblCellMar>
        </w:tblPrEx>
        <w:trPr>
          <w:cantSplit/>
        </w:trPr>
        <w:tc>
          <w:tcPr>
            <w:tcW w:w="6036" w:type="dxa"/>
          </w:tcPr>
          <w:p w:rsidR="00DC1575" w:rsidRPr="001E42CA" w:rsidRDefault="00DC1575">
            <w:pPr>
              <w:spacing w:before="240"/>
            </w:pPr>
          </w:p>
        </w:tc>
      </w:tr>
      <w:tr w:rsidR="00000000" w:rsidRPr="001E42CA">
        <w:tblPrEx>
          <w:tblCellMar>
            <w:top w:w="0" w:type="dxa"/>
            <w:bottom w:w="0" w:type="dxa"/>
          </w:tblCellMar>
        </w:tblPrEx>
        <w:trPr>
          <w:cantSplit/>
          <w:trHeight w:val="6000"/>
        </w:trPr>
        <w:tc>
          <w:tcPr>
            <w:tcW w:w="6036" w:type="dxa"/>
          </w:tcPr>
          <w:p w:rsidR="00DC1575" w:rsidRPr="001E42CA" w:rsidRDefault="00DC1575">
            <w:pPr>
              <w:pStyle w:val="RubrikFrstaSida"/>
            </w:pPr>
            <w:bookmarkStart w:id="21" w:name="Mittenrubrik"/>
            <w:bookmarkEnd w:id="21"/>
            <w:r w:rsidRPr="001E42CA">
              <w:t xml:space="preserve">Akut- eller långvård? </w:t>
            </w:r>
          </w:p>
          <w:p w:rsidR="00DC1575" w:rsidRPr="001E42CA" w:rsidRDefault="00DC1575">
            <w:pPr>
              <w:pStyle w:val="RubrikFrstaSida"/>
              <w:spacing w:before="120"/>
            </w:pPr>
            <w:r w:rsidRPr="001E42CA">
              <w:t>- statens stöd till kommuner med ekonomiska problem</w:t>
            </w:r>
          </w:p>
        </w:tc>
      </w:tr>
    </w:tbl>
    <w:p w:rsidR="00DC1575" w:rsidRPr="001E42CA" w:rsidRDefault="00DC1575"/>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1E42CA">
        <w:tblPrEx>
          <w:tblCellMar>
            <w:top w:w="0" w:type="dxa"/>
            <w:bottom w:w="0" w:type="dxa"/>
          </w:tblCellMar>
        </w:tblPrEx>
        <w:trPr>
          <w:cantSplit/>
        </w:trPr>
        <w:tc>
          <w:tcPr>
            <w:tcW w:w="7583" w:type="dxa"/>
            <w:gridSpan w:val="3"/>
          </w:tcPr>
          <w:p w:rsidR="00DC1575" w:rsidRPr="001E42CA" w:rsidRDefault="00DC1575">
            <w:pPr>
              <w:pStyle w:val="Citat"/>
              <w:spacing w:before="0" w:line="245" w:lineRule="exact"/>
            </w:pPr>
          </w:p>
        </w:tc>
      </w:tr>
      <w:tr w:rsidR="00000000" w:rsidRPr="001E42CA">
        <w:tblPrEx>
          <w:tblCellMar>
            <w:top w:w="0" w:type="dxa"/>
            <w:bottom w:w="0" w:type="dxa"/>
          </w:tblCellMar>
        </w:tblPrEx>
        <w:tc>
          <w:tcPr>
            <w:tcW w:w="2905" w:type="dxa"/>
          </w:tcPr>
          <w:p w:rsidR="00DC1575" w:rsidRPr="001E42CA" w:rsidRDefault="00DC1575">
            <w:r w:rsidRPr="001E42CA">
              <w:t>RIKSDAGENS REVIS</w:t>
            </w:r>
            <w:r w:rsidRPr="001E42CA">
              <w:t>O</w:t>
            </w:r>
            <w:r w:rsidRPr="001E42CA">
              <w:t>RER</w:t>
            </w:r>
          </w:p>
        </w:tc>
        <w:tc>
          <w:tcPr>
            <w:tcW w:w="2268" w:type="dxa"/>
          </w:tcPr>
          <w:p w:rsidR="00DC1575" w:rsidRPr="001E42CA" w:rsidRDefault="00DC1575">
            <w:r w:rsidRPr="001E42CA">
              <w:t>TEL 08-786 40 00</w:t>
            </w:r>
          </w:p>
        </w:tc>
        <w:tc>
          <w:tcPr>
            <w:tcW w:w="2410" w:type="dxa"/>
          </w:tcPr>
          <w:p w:rsidR="00DC1575" w:rsidRPr="001E42CA" w:rsidRDefault="00DC1575">
            <w:r w:rsidRPr="001E42CA">
              <w:t>www.riksdagen.se/rr</w:t>
            </w:r>
          </w:p>
        </w:tc>
      </w:tr>
      <w:tr w:rsidR="00000000" w:rsidRPr="001E42CA">
        <w:tblPrEx>
          <w:tblCellMar>
            <w:top w:w="0" w:type="dxa"/>
            <w:bottom w:w="0" w:type="dxa"/>
          </w:tblCellMar>
        </w:tblPrEx>
        <w:tc>
          <w:tcPr>
            <w:tcW w:w="2905" w:type="dxa"/>
          </w:tcPr>
          <w:p w:rsidR="00DC1575" w:rsidRPr="001E42CA" w:rsidRDefault="00DC1575">
            <w:r w:rsidRPr="001E42CA">
              <w:t>100 12 STOCKHOLM</w:t>
            </w:r>
          </w:p>
        </w:tc>
        <w:tc>
          <w:tcPr>
            <w:tcW w:w="2268" w:type="dxa"/>
          </w:tcPr>
          <w:p w:rsidR="00DC1575" w:rsidRPr="001E42CA" w:rsidRDefault="00DC1575">
            <w:r w:rsidRPr="001E42CA">
              <w:t>FAX 08-786 61 88</w:t>
            </w:r>
          </w:p>
        </w:tc>
        <w:tc>
          <w:tcPr>
            <w:tcW w:w="2410" w:type="dxa"/>
          </w:tcPr>
          <w:p w:rsidR="00DC1575" w:rsidRPr="001E42CA" w:rsidRDefault="00DC1575"/>
        </w:tc>
      </w:tr>
    </w:tbl>
    <w:p w:rsidR="00DC1575" w:rsidRPr="001E42CA" w:rsidRDefault="00DC1575">
      <w:pPr>
        <w:pStyle w:val="Normaltindrag"/>
        <w:sectPr w:rsidR="00000000" w:rsidRPr="001E42CA">
          <w:headerReference w:type="default" r:id="rId13"/>
          <w:footerReference w:type="default" r:id="rId14"/>
          <w:pgSz w:w="11906" w:h="16838" w:code="9"/>
          <w:pgMar w:top="567" w:right="4876" w:bottom="4508" w:left="1134" w:header="227" w:footer="227" w:gutter="0"/>
          <w:cols w:space="720"/>
        </w:sectPr>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15"/>
          <w:footerReference w:type="default" r:id="rId16"/>
          <w:pgSz w:w="11906" w:h="16838" w:code="9"/>
          <w:pgMar w:top="567" w:right="4876" w:bottom="4508" w:left="1134" w:header="227" w:footer="227" w:gutter="0"/>
          <w:cols w:space="720"/>
        </w:sectPr>
      </w:pPr>
    </w:p>
    <w:p w:rsidR="00DC1575" w:rsidRPr="001E42CA" w:rsidRDefault="00DC1575">
      <w:pPr>
        <w:pStyle w:val="R1"/>
      </w:pPr>
      <w:r w:rsidRPr="001E42CA">
        <w:t>Förord</w:t>
      </w:r>
    </w:p>
    <w:p w:rsidR="00DC1575" w:rsidRPr="001E42CA" w:rsidRDefault="00DC1575">
      <w:r w:rsidRPr="001E42CA">
        <w:t>Riksdagens revisorer presenterar härmed sin rapport om stöd till kommuner och landsting med ekonomiska problem. Beslut om rapporten har fattats av revisorerna i plenum den 5 april 2001. Rapporten sänds nu på remiss. Rev</w:t>
      </w:r>
      <w:r w:rsidRPr="001E42CA">
        <w:t>i</w:t>
      </w:r>
      <w:r w:rsidRPr="001E42CA">
        <w:t>sorernas slutliga ställningstagande och förslag kommer därefter att utformas i en skr</w:t>
      </w:r>
      <w:r w:rsidRPr="001E42CA">
        <w:t>i</w:t>
      </w:r>
      <w:r w:rsidRPr="001E42CA">
        <w:t>velse till riksdagen.</w:t>
      </w:r>
    </w:p>
    <w:p w:rsidR="00DC1575" w:rsidRPr="001E42CA" w:rsidRDefault="00DC1575">
      <w:pPr>
        <w:pStyle w:val="Normaltindrag"/>
      </w:pPr>
      <w:r w:rsidRPr="001E42CA">
        <w:t>Granskningen har beretts av revisorernas första avdelning. I avdelningen ingår Ingemar Josefsson (s), ordförande, Karl-Gösta Svenson (m), vice or</w:t>
      </w:r>
      <w:r w:rsidRPr="001E42CA">
        <w:t>d</w:t>
      </w:r>
      <w:r w:rsidRPr="001E42CA">
        <w:t>förande, Agneta Lundberg (s), Björn Kaaling (s), Sten Lundström (v), G</w:t>
      </w:r>
      <w:r w:rsidRPr="001E42CA">
        <w:t>u</w:t>
      </w:r>
      <w:r w:rsidRPr="001E42CA">
        <w:t>nilla Tjernberg (kd), Patrik Norinder (m) och Ronny Korsberg (mp).</w:t>
      </w:r>
    </w:p>
    <w:p w:rsidR="00DC1575" w:rsidRPr="001E42CA" w:rsidRDefault="00DC1575">
      <w:pPr>
        <w:pStyle w:val="Normaltindrag"/>
      </w:pPr>
      <w:r w:rsidRPr="001E42CA">
        <w:t>Inom revisorernas kansli har revisionsdirektör Mats Johansson varit ansv</w:t>
      </w:r>
      <w:r w:rsidRPr="001E42CA">
        <w:t>a</w:t>
      </w:r>
      <w:r w:rsidRPr="001E42CA">
        <w:t>rig för utredningsarbetet. Pol. stud. Mattias Pettersson har deltagit som pra</w:t>
      </w:r>
      <w:r w:rsidRPr="001E42CA">
        <w:t>k</w:t>
      </w:r>
      <w:r w:rsidRPr="001E42CA">
        <w:t>tikant i arbetet. Kanslichef Åke Dahlberg och utredningschef Patrick Joyce har bidragit med synpunkter på rapporten.</w:t>
      </w:r>
    </w:p>
    <w:p w:rsidR="00DC1575" w:rsidRPr="001E42CA" w:rsidRDefault="00DC1575">
      <w:pPr>
        <w:pStyle w:val="Normaltindrag"/>
      </w:pPr>
      <w:r w:rsidRPr="001E42CA">
        <w:t>Ernst &amp; Young AB har på uppdrag av Riksdagens revisorer genomfört en studie av ärendehanteringen. Uppdraget avser en analys av beslutsunderlag, beslutskriterier och avtal.</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17"/>
          <w:footerReference w:type="default" r:id="rId18"/>
          <w:pgSz w:w="11906" w:h="16838" w:code="9"/>
          <w:pgMar w:top="567" w:right="4876" w:bottom="4508" w:left="1134" w:header="227" w:footer="227" w:gutter="0"/>
          <w:cols w:space="720"/>
        </w:sectPr>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19"/>
          <w:footerReference w:type="default" r:id="rId20"/>
          <w:pgSz w:w="11906" w:h="16838" w:code="9"/>
          <w:pgMar w:top="567" w:right="4876" w:bottom="4508" w:left="1134" w:header="227" w:footer="227" w:gutter="0"/>
          <w:cols w:space="720"/>
        </w:sectPr>
      </w:pPr>
    </w:p>
    <w:p w:rsidR="00DC1575" w:rsidRPr="001E42CA" w:rsidRDefault="00DC1575">
      <w:r w:rsidRPr="001E42CA">
        <w:t>Sammanfattning</w:t>
      </w:r>
    </w:p>
    <w:p w:rsidR="00DC1575" w:rsidRPr="001E42CA" w:rsidRDefault="00DC1575">
      <w:pPr>
        <w:pStyle w:val="R2"/>
        <w:spacing w:before="123"/>
      </w:pPr>
      <w:r w:rsidRPr="001E42CA">
        <w:t>Allmänt</w:t>
      </w:r>
    </w:p>
    <w:p w:rsidR="00DC1575" w:rsidRPr="001E42CA" w:rsidRDefault="00DC1575">
      <w:r w:rsidRPr="001E42CA">
        <w:t>Regeringen angav i 1995 års kompletteringsproposition att vissa kommuner och landsting som hade en särskilt svår ekonomisk situation kunde få pr</w:t>
      </w:r>
      <w:r w:rsidRPr="001E42CA">
        <w:t>o</w:t>
      </w:r>
      <w:r w:rsidRPr="001E42CA">
        <w:t>blem vid införandet av det nya utjämningssystemet. För att skapa möjligheter att tillfälligt bistå sådana kommuner och landsting ställdes medel till reg</w:t>
      </w:r>
      <w:r w:rsidRPr="001E42CA">
        <w:t>e</w:t>
      </w:r>
      <w:r w:rsidRPr="001E42CA">
        <w:t>ringens disposition och ett nytt anslag infördes.</w:t>
      </w:r>
    </w:p>
    <w:p w:rsidR="00DC1575" w:rsidRPr="001E42CA" w:rsidRDefault="00DC1575">
      <w:pPr>
        <w:pStyle w:val="Normaltindrag"/>
      </w:pPr>
      <w:r w:rsidRPr="001E42CA">
        <w:t>Riksdagens revisorer kan konstatera att efter drygt fem år finns detta til</w:t>
      </w:r>
      <w:r w:rsidRPr="001E42CA">
        <w:t>l</w:t>
      </w:r>
      <w:r w:rsidRPr="001E42CA">
        <w:t xml:space="preserve">fälliga stöd fortfarande kvar. Det har således fått karaktären av ett permanent anslag. Anslaget har dessutom endast i marginell utsträckning utnyttjats för dess ursprungliga syfte, dvs. att hantera problem i samband med införandet av det nya utjämningssystemet. Den förändrade användningen har emellertid anmälts till riksdagen. </w:t>
      </w:r>
    </w:p>
    <w:p w:rsidR="00DC1575" w:rsidRPr="001E42CA" w:rsidRDefault="00DC1575">
      <w:pPr>
        <w:pStyle w:val="Normaltindrag"/>
      </w:pPr>
      <w:r w:rsidRPr="001E42CA">
        <w:t>Anslaget har utnyttjats för följande 12 änd</w:t>
      </w:r>
      <w:r w:rsidRPr="001E42CA">
        <w:t>a</w:t>
      </w:r>
      <w:r w:rsidRPr="001E42CA">
        <w:t>mål.</w:t>
      </w:r>
    </w:p>
    <w:p w:rsidR="00DC1575" w:rsidRPr="001E42CA" w:rsidRDefault="00DC1575">
      <w:pPr>
        <w:pStyle w:val="Normaltindrag"/>
      </w:pPr>
    </w:p>
    <w:p w:rsidR="00DC1575" w:rsidRPr="001E42CA" w:rsidRDefault="00DC1575">
      <w:pPr>
        <w:numPr>
          <w:ilvl w:val="0"/>
          <w:numId w:val="101"/>
        </w:numPr>
        <w:spacing w:before="0"/>
        <w:ind w:left="357" w:hanging="357"/>
      </w:pPr>
      <w:r w:rsidRPr="001E42CA">
        <w:t>Stöd till kommuner och landsting med problem att uppnå ekonomisk balans.</w:t>
      </w:r>
    </w:p>
    <w:p w:rsidR="00DC1575" w:rsidRPr="001E42CA" w:rsidRDefault="00DC1575">
      <w:pPr>
        <w:numPr>
          <w:ilvl w:val="0"/>
          <w:numId w:val="101"/>
        </w:numPr>
      </w:pPr>
      <w:r w:rsidRPr="001E42CA">
        <w:t>Stöd till kommuner med övermäktiga åtaganden för boendet.</w:t>
      </w:r>
    </w:p>
    <w:p w:rsidR="00DC1575" w:rsidRPr="001E42CA" w:rsidRDefault="00DC1575">
      <w:pPr>
        <w:numPr>
          <w:ilvl w:val="0"/>
          <w:numId w:val="101"/>
        </w:numPr>
      </w:pPr>
      <w:r w:rsidRPr="001E42CA">
        <w:t>Omstruktureringsprojekt.</w:t>
      </w:r>
    </w:p>
    <w:p w:rsidR="00DC1575" w:rsidRPr="001E42CA" w:rsidRDefault="00DC1575">
      <w:pPr>
        <w:numPr>
          <w:ilvl w:val="0"/>
          <w:numId w:val="101"/>
        </w:numPr>
      </w:pPr>
      <w:r w:rsidRPr="001E42CA">
        <w:t>Insatser för flyktingar.</w:t>
      </w:r>
    </w:p>
    <w:p w:rsidR="00DC1575" w:rsidRPr="001E42CA" w:rsidRDefault="00DC1575">
      <w:pPr>
        <w:numPr>
          <w:ilvl w:val="0"/>
          <w:numId w:val="101"/>
        </w:numPr>
      </w:pPr>
      <w:r w:rsidRPr="001E42CA">
        <w:t>Förebyggande hiv/aidsverksamhet.</w:t>
      </w:r>
    </w:p>
    <w:p w:rsidR="00DC1575" w:rsidRPr="001E42CA" w:rsidRDefault="00DC1575">
      <w:pPr>
        <w:numPr>
          <w:ilvl w:val="0"/>
          <w:numId w:val="101"/>
        </w:numPr>
      </w:pPr>
      <w:r w:rsidRPr="001E42CA">
        <w:t>Översvämningarna i juli 2000.</w:t>
      </w:r>
    </w:p>
    <w:p w:rsidR="00DC1575" w:rsidRPr="001E42CA" w:rsidRDefault="00DC1575">
      <w:pPr>
        <w:numPr>
          <w:ilvl w:val="0"/>
          <w:numId w:val="101"/>
        </w:numPr>
      </w:pPr>
      <w:r w:rsidRPr="001E42CA">
        <w:t>Andra katastrofer.</w:t>
      </w:r>
    </w:p>
    <w:p w:rsidR="00DC1575" w:rsidRPr="001E42CA" w:rsidRDefault="00DC1575">
      <w:pPr>
        <w:numPr>
          <w:ilvl w:val="0"/>
          <w:numId w:val="101"/>
        </w:numPr>
      </w:pPr>
      <w:r w:rsidRPr="001E42CA">
        <w:t>Kommunkontosystemet.</w:t>
      </w:r>
    </w:p>
    <w:p w:rsidR="00DC1575" w:rsidRPr="001E42CA" w:rsidRDefault="00DC1575">
      <w:pPr>
        <w:numPr>
          <w:ilvl w:val="0"/>
          <w:numId w:val="101"/>
        </w:numPr>
      </w:pPr>
      <w:r w:rsidRPr="001E42CA">
        <w:t>Omställningsbidrag för landsting.</w:t>
      </w:r>
    </w:p>
    <w:p w:rsidR="00DC1575" w:rsidRPr="001E42CA" w:rsidRDefault="00DC1575">
      <w:pPr>
        <w:numPr>
          <w:ilvl w:val="0"/>
          <w:numId w:val="101"/>
        </w:numPr>
      </w:pPr>
      <w:r w:rsidRPr="001E42CA">
        <w:t>Stöd och service för vissa funktionshindrade.</w:t>
      </w:r>
    </w:p>
    <w:p w:rsidR="00DC1575" w:rsidRPr="001E42CA" w:rsidRDefault="00DC1575">
      <w:pPr>
        <w:numPr>
          <w:ilvl w:val="0"/>
          <w:numId w:val="101"/>
        </w:numPr>
      </w:pPr>
      <w:r w:rsidRPr="001E42CA">
        <w:t>Konsumentåtgärder.</w:t>
      </w:r>
    </w:p>
    <w:p w:rsidR="00DC1575" w:rsidRPr="001E42CA" w:rsidRDefault="00DC1575">
      <w:pPr>
        <w:numPr>
          <w:ilvl w:val="0"/>
          <w:numId w:val="101"/>
        </w:numPr>
      </w:pPr>
      <w:r w:rsidRPr="001E42CA">
        <w:t>Nedläggningar i försvaret.</w:t>
      </w:r>
    </w:p>
    <w:p w:rsidR="00DC1575" w:rsidRPr="001E42CA" w:rsidRDefault="00DC1575">
      <w:pPr>
        <w:pStyle w:val="Normaltindrag"/>
      </w:pPr>
    </w:p>
    <w:p w:rsidR="00DC1575" w:rsidRPr="001E42CA" w:rsidRDefault="00DC1575">
      <w:pPr>
        <w:spacing w:before="0"/>
      </w:pPr>
      <w:r w:rsidRPr="001E42CA">
        <w:t>Totalt har drygt 6,4 miljarder kronor hittills fördelats eller avses att fördelas. Merparten, eller drygt 3,7 miljarder kronor, har fördelats till kommuner och landsting med särskilt svåra ekonomiska problem. Drygt 40 procent av me</w:t>
      </w:r>
      <w:r w:rsidRPr="001E42CA">
        <w:t>d</w:t>
      </w:r>
      <w:r w:rsidRPr="001E42CA">
        <w:t>len har dock fördelats till andra ändamål (punkterna 3–12).</w:t>
      </w:r>
    </w:p>
    <w:p w:rsidR="00DC1575" w:rsidRPr="001E42CA" w:rsidRDefault="00DC1575">
      <w:pPr>
        <w:pStyle w:val="R2"/>
      </w:pPr>
      <w:r w:rsidRPr="001E42CA">
        <w:t>Revisorernas bedömningar</w:t>
      </w:r>
    </w:p>
    <w:p w:rsidR="00DC1575" w:rsidRPr="001E42CA" w:rsidRDefault="00DC1575">
      <w:r w:rsidRPr="001E42CA">
        <w:t>Revisorerna gör bl.a. följande bedömningar.</w:t>
      </w:r>
    </w:p>
    <w:p w:rsidR="00DC1575" w:rsidRPr="001E42CA" w:rsidRDefault="00DC1575">
      <w:pPr>
        <w:pStyle w:val="Normaltindrag"/>
      </w:pPr>
    </w:p>
    <w:p w:rsidR="00DC1575" w:rsidRPr="001E42CA" w:rsidRDefault="00DC1575">
      <w:pPr>
        <w:numPr>
          <w:ilvl w:val="0"/>
          <w:numId w:val="11"/>
        </w:numPr>
        <w:spacing w:before="0"/>
        <w:ind w:left="357" w:hanging="357"/>
      </w:pPr>
      <w:r w:rsidRPr="001E42CA">
        <w:t>Stora delar av anslaget saknar ett mål.</w:t>
      </w:r>
    </w:p>
    <w:p w:rsidR="00DC1575" w:rsidRPr="001E42CA" w:rsidRDefault="00DC1575">
      <w:pPr>
        <w:numPr>
          <w:ilvl w:val="0"/>
          <w:numId w:val="12"/>
        </w:numPr>
      </w:pPr>
      <w:r w:rsidRPr="001E42CA">
        <w:t>Systemet med mål- och resultatstyrning förutsätter en tydlig rollförde</w:t>
      </w:r>
      <w:r w:rsidRPr="001E42CA">
        <w:t>l</w:t>
      </w:r>
      <w:r w:rsidRPr="001E42CA">
        <w:t>ning mellan riksdag, regering och myndigheter. Anslag som står till r</w:t>
      </w:r>
      <w:r w:rsidRPr="001E42CA">
        <w:t>e</w:t>
      </w:r>
      <w:r w:rsidRPr="001E42CA">
        <w:t>geringens disposition kan dock komma att bryta detta mönster. Det normala är att regeringen ställer upp mål för en myndighet. Utifrån den redovisning som myndigheten lämnar bedömer regeringen resultaten eller måluppfyllelsen av verksamheten. I detta fall är det regeringen som både redovisar resultat och bedömer resultaten eller måluppfyllelsen. Regeringen bedömer med andra ord den verksamhet som den själv utför. Resultat och måluppfyllel</w:t>
      </w:r>
      <w:r w:rsidRPr="001E42CA">
        <w:t xml:space="preserve">se kan därmed vara svårare att värdera. </w:t>
      </w:r>
    </w:p>
    <w:p w:rsidR="00DC1575" w:rsidRPr="001E42CA" w:rsidRDefault="00DC1575">
      <w:pPr>
        <w:numPr>
          <w:ilvl w:val="0"/>
          <w:numId w:val="11"/>
        </w:numPr>
      </w:pPr>
      <w:r w:rsidRPr="001E42CA">
        <w:t>Bristen på entydiga och mätbara mål gör det svårt att bedöma hur ver</w:t>
      </w:r>
      <w:r w:rsidRPr="001E42CA">
        <w:t>k</w:t>
      </w:r>
      <w:r w:rsidRPr="001E42CA">
        <w:t>samheten fungerar. Detta förstärks av att resultatredovisningen i budge</w:t>
      </w:r>
      <w:r w:rsidRPr="001E42CA">
        <w:t>t</w:t>
      </w:r>
      <w:r w:rsidRPr="001E42CA">
        <w:t>propositionen är bristfällig. Det går med andra ord inte att utifrån reg</w:t>
      </w:r>
      <w:r w:rsidRPr="001E42CA">
        <w:t>e</w:t>
      </w:r>
      <w:r w:rsidRPr="001E42CA">
        <w:t>ringens material b</w:t>
      </w:r>
      <w:r w:rsidRPr="001E42CA">
        <w:t>e</w:t>
      </w:r>
      <w:r w:rsidRPr="001E42CA">
        <w:t>döma hur anslaget har hanterats.</w:t>
      </w:r>
    </w:p>
    <w:p w:rsidR="00DC1575" w:rsidRPr="001E42CA" w:rsidRDefault="00DC1575">
      <w:pPr>
        <w:numPr>
          <w:ilvl w:val="0"/>
          <w:numId w:val="11"/>
        </w:numPr>
      </w:pPr>
      <w:r w:rsidRPr="001E42CA">
        <w:t xml:space="preserve">Stora delar av hanteringen av anslaget regleras inte av någon förordning. </w:t>
      </w:r>
    </w:p>
    <w:p w:rsidR="00DC1575" w:rsidRPr="001E42CA" w:rsidRDefault="00DC1575">
      <w:pPr>
        <w:numPr>
          <w:ilvl w:val="0"/>
          <w:numId w:val="11"/>
        </w:numPr>
      </w:pPr>
      <w:r w:rsidRPr="001E42CA">
        <w:t>Beslutskriterier är oklara. Kommuner med dålig ekonomi, men med stor verksamhet har fått stöd. Detta kan tyda på att kommuner som senar</w:t>
      </w:r>
      <w:r w:rsidRPr="001E42CA">
        <w:t>e</w:t>
      </w:r>
      <w:r w:rsidRPr="001E42CA">
        <w:t>lagt omstruktureringar har fått stöd.</w:t>
      </w:r>
    </w:p>
    <w:p w:rsidR="00DC1575" w:rsidRPr="001E42CA" w:rsidRDefault="00DC1575">
      <w:pPr>
        <w:numPr>
          <w:ilvl w:val="0"/>
          <w:numId w:val="11"/>
        </w:numPr>
      </w:pPr>
      <w:r w:rsidRPr="001E42CA">
        <w:t>Regeringens avtal är i många fall av översiktlig karaktär och saknar åtgärdsplaner. Detta kan bidra till att nödvändiga åtgärder inte geno</w:t>
      </w:r>
      <w:r w:rsidRPr="001E42CA">
        <w:t>m</w:t>
      </w:r>
      <w:r w:rsidRPr="001E42CA">
        <w:t xml:space="preserve">förs. </w:t>
      </w:r>
    </w:p>
    <w:p w:rsidR="00DC1575" w:rsidRPr="001E42CA" w:rsidRDefault="00DC1575">
      <w:pPr>
        <w:numPr>
          <w:ilvl w:val="0"/>
          <w:numId w:val="11"/>
        </w:numPr>
      </w:pPr>
      <w:r w:rsidRPr="001E42CA">
        <w:t>Regeringen har valt att tidigarelägga 25 procent av utbetalningen av det stöd som föreslogs av Kommundelegationen. Utbetalningen förutsätter att kommunen/landstinget redovisar hur arbetet med att uppfylla åtaga</w:t>
      </w:r>
      <w:r w:rsidRPr="001E42CA">
        <w:t>n</w:t>
      </w:r>
      <w:r w:rsidRPr="001E42CA">
        <w:t>dena fortlöper. Förfarandet kan dock skapa incitament att inte genomf</w:t>
      </w:r>
      <w:r w:rsidRPr="001E42CA">
        <w:t>ö</w:t>
      </w:r>
      <w:r w:rsidRPr="001E42CA">
        <w:t>ra nödvändiga neddra</w:t>
      </w:r>
      <w:r w:rsidRPr="001E42CA">
        <w:t>g</w:t>
      </w:r>
      <w:r w:rsidRPr="001E42CA">
        <w:t>ningar.</w:t>
      </w:r>
    </w:p>
    <w:p w:rsidR="00DC1575" w:rsidRPr="001E42CA" w:rsidRDefault="00DC1575">
      <w:pPr>
        <w:numPr>
          <w:ilvl w:val="0"/>
          <w:numId w:val="11"/>
        </w:numPr>
      </w:pPr>
      <w:r w:rsidRPr="001E42CA">
        <w:t xml:space="preserve">Uppföljningen av de bägge delegationerna är osäker. </w:t>
      </w:r>
    </w:p>
    <w:p w:rsidR="00DC1575" w:rsidRPr="001E42CA" w:rsidRDefault="00DC1575">
      <w:pPr>
        <w:pStyle w:val="R2"/>
      </w:pPr>
      <w:r w:rsidRPr="001E42CA">
        <w:t>Revisorernas förslag</w:t>
      </w:r>
    </w:p>
    <w:p w:rsidR="00DC1575" w:rsidRPr="001E42CA" w:rsidRDefault="00DC1575">
      <w:r w:rsidRPr="001E42CA">
        <w:t>Normalt hade sådana iakttagelser föranlett ett antal förslag från Riksdagens revisorer om styrning, kontroll och organisation. Revisorerna har dock nyl</w:t>
      </w:r>
      <w:r w:rsidRPr="001E42CA">
        <w:t>i</w:t>
      </w:r>
      <w:r w:rsidRPr="001E42CA">
        <w:t>gen genomfört en mer principiell granskning av anslag som står till regerin</w:t>
      </w:r>
      <w:r w:rsidRPr="001E42CA">
        <w:t>g</w:t>
      </w:r>
      <w:r w:rsidRPr="001E42CA">
        <w:t>ens disposition och lämnat ett antal förslag.</w:t>
      </w:r>
    </w:p>
    <w:p w:rsidR="00DC1575" w:rsidRPr="001E42CA" w:rsidRDefault="00DC1575">
      <w:pPr>
        <w:pStyle w:val="Normaltindrag"/>
      </w:pPr>
      <w:r w:rsidRPr="001E42CA">
        <w:t xml:space="preserve">Kontroll- och styrningsfrågor spelar å andra sidan en mindre roll i detta sammanhang eftersom Riksdagens revisorer väljer att föreslå </w:t>
      </w:r>
      <w:r w:rsidRPr="001E42CA">
        <w:rPr>
          <w:i/>
        </w:rPr>
        <w:t>en avveckling av anslaget</w:t>
      </w:r>
      <w:r w:rsidRPr="001E42CA">
        <w:t>. Revisorerna föreslår i stället utredandet av ett nytt regelsystem som kan öka incitamenten till en god ekonomisk hushållning i kommuner och land</w:t>
      </w:r>
      <w:r w:rsidRPr="001E42CA">
        <w:t>s</w:t>
      </w:r>
      <w:r w:rsidRPr="001E42CA">
        <w:t xml:space="preserve">ting. </w:t>
      </w:r>
    </w:p>
    <w:p w:rsidR="00DC1575" w:rsidRPr="001E42CA" w:rsidRDefault="00DC1575">
      <w:pPr>
        <w:pStyle w:val="Normaltindrag"/>
      </w:pPr>
    </w:p>
    <w:p w:rsidR="00DC1575" w:rsidRPr="001E42CA" w:rsidRDefault="00DC1575">
      <w:pPr>
        <w:pStyle w:val="R3"/>
      </w:pPr>
      <w:r w:rsidRPr="001E42CA">
        <w:br w:type="page"/>
        <w:t>Avveckla anslaget successivt</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Bidraget till särskilda insatser i vissa kommuner och landsting bör avvecklas från och med 2004.</w:t>
      </w:r>
    </w:p>
    <w:p w:rsidR="00DC1575" w:rsidRPr="001E42CA" w:rsidRDefault="00DC1575">
      <w:pPr>
        <w:pStyle w:val="Normaltindrag"/>
      </w:pPr>
    </w:p>
    <w:p w:rsidR="00DC1575" w:rsidRPr="001E42CA" w:rsidRDefault="00DC1575">
      <w:pPr>
        <w:spacing w:before="0"/>
      </w:pPr>
      <w:r w:rsidRPr="001E42CA">
        <w:t>De två verksamheter som kan betraktas som huvudsyftet med anslaget har avvecklats eller är under avveckling. Detta förhållande bör innebära att de problem som Kommundelegationen och Bostadsdelegationen sattes att ha</w:t>
      </w:r>
      <w:r w:rsidRPr="001E42CA">
        <w:t>n</w:t>
      </w:r>
      <w:r w:rsidRPr="001E42CA">
        <w:t>tera i stort sett anses avklarade. Eftersom anslaget inrättades som ett tillfälligt stöd till kommuner och landsting är tidpunkten, enligt revisorernas bedö</w:t>
      </w:r>
      <w:r w:rsidRPr="001E42CA">
        <w:t>m</w:t>
      </w:r>
      <w:r w:rsidRPr="001E42CA">
        <w:t xml:space="preserve">ning, därför lämplig att avveckla anslaget. </w:t>
      </w:r>
    </w:p>
    <w:p w:rsidR="00DC1575" w:rsidRPr="001E42CA" w:rsidRDefault="00DC1575">
      <w:pPr>
        <w:pStyle w:val="Normaltindrag"/>
      </w:pPr>
      <w:r w:rsidRPr="001E42CA">
        <w:t>Riksdagens revisorers förslag motiveras dock framför allt utifrån det fö</w:t>
      </w:r>
      <w:r w:rsidRPr="001E42CA">
        <w:t>r</w:t>
      </w:r>
      <w:r w:rsidRPr="001E42CA">
        <w:t>hållandet att det kommunala finansiella ansvaret måste tydliggöras. Stödet till kommuner och landsting med ekonomiska problem inbjuder till finans</w:t>
      </w:r>
      <w:r w:rsidRPr="001E42CA">
        <w:t>i</w:t>
      </w:r>
      <w:r w:rsidRPr="001E42CA">
        <w:t>ellt risktagande och är inte förenligt med idén om fullt kommunalt ansvarst</w:t>
      </w:r>
      <w:r w:rsidRPr="001E42CA">
        <w:t>a</w:t>
      </w:r>
      <w:r w:rsidRPr="001E42CA">
        <w:t>gande. Exempelvis kan anslaget för särskilda insatser uppfattas som en form av garanti för att täcka kommunala förluster. Vetskapen att staten explicit eller implicit ställer en sådan finansiell garanti kan öka kommunernas riskt</w:t>
      </w:r>
      <w:r w:rsidRPr="001E42CA">
        <w:t>a</w:t>
      </w:r>
      <w:r w:rsidRPr="001E42CA">
        <w:t>gande. Resonemanget förstärks på ett mycket starkt och tydl</w:t>
      </w:r>
      <w:r w:rsidRPr="001E42CA">
        <w:t>igt sätt av att de kommuner som fått bifall har en mer omfattande verksamhet än avslag</w:t>
      </w:r>
      <w:r w:rsidRPr="001E42CA">
        <w:t>s</w:t>
      </w:r>
      <w:r w:rsidRPr="001E42CA">
        <w:t>kommunerna och kommunsektorn i övrigt. Det kan innebära att kommuner som senarelagt omstruktureringar fått stöd från regerin</w:t>
      </w:r>
      <w:r w:rsidRPr="001E42CA">
        <w:t>g</w:t>
      </w:r>
      <w:r w:rsidRPr="001E42CA">
        <w:t>en/Kommun-delegationen. Det finns också anledning att i detta sammanhang beakta att överenskommelserna mellan regeringen och kommunerna/landstingen är diffusa. Om statsbidraget betalas ut utan att kostnadssänkningarna geno</w:t>
      </w:r>
      <w:r w:rsidRPr="001E42CA">
        <w:t>m</w:t>
      </w:r>
      <w:r w:rsidRPr="001E42CA">
        <w:t>förts finns det risk för att en struktur som saknar långsiktig hållbarhet und</w:t>
      </w:r>
      <w:r w:rsidRPr="001E42CA">
        <w:t>e</w:t>
      </w:r>
      <w:r w:rsidRPr="001E42CA">
        <w:t>r</w:t>
      </w:r>
      <w:r w:rsidRPr="001E42CA">
        <w:t>stöds och att den framtida trovärdigheten urholkas. En faktor som ytterligare förstärker osäkerheten är att regeringen valt att tidigarelägga 25 procent av utbetalningen av det bidrag som hanteras av regeringen. För regeringens del kan det också konstateras att de överenskommelser som träffas är att betrakta som utfästelser från statens sida. Staten åtar sig att, om kommunen genomför vissa åtgärder, lämna ett bidrag. Det finns inga formella hinder för att reg</w:t>
      </w:r>
      <w:r w:rsidRPr="001E42CA">
        <w:t>e</w:t>
      </w:r>
      <w:r w:rsidRPr="001E42CA">
        <w:t>ringen vid ett senare tillfälle fattar ett nyt</w:t>
      </w:r>
      <w:r w:rsidRPr="001E42CA">
        <w:t>t beslut om att betala ut bidraget även om åtgärderna inte genomförs, eller om b</w:t>
      </w:r>
      <w:r w:rsidRPr="001E42CA">
        <w:t>a</w:t>
      </w:r>
      <w:r w:rsidRPr="001E42CA">
        <w:t xml:space="preserve">lans inte uppnås. </w:t>
      </w:r>
    </w:p>
    <w:p w:rsidR="00DC1575" w:rsidRPr="001E42CA" w:rsidRDefault="00DC1575">
      <w:pPr>
        <w:pStyle w:val="Normaltindrag"/>
      </w:pPr>
      <w:r w:rsidRPr="001E42CA">
        <w:t>Revisorerna pekar bl.a. också på att hanteringen kan strida mot utjä</w:t>
      </w:r>
      <w:r w:rsidRPr="001E42CA">
        <w:t>m</w:t>
      </w:r>
      <w:r w:rsidRPr="001E42CA">
        <w:t>ningssystemet, att kostnadsutjämningen redan kompenserar, att statsbidragen bör ges i generella former och att liknande stöd tidigare har avvecklats.</w:t>
      </w:r>
    </w:p>
    <w:p w:rsidR="00DC1575" w:rsidRPr="001E42CA" w:rsidRDefault="00DC1575">
      <w:pPr>
        <w:pStyle w:val="R3"/>
      </w:pPr>
      <w:r w:rsidRPr="001E42CA">
        <w:t>Öka det finansiella ansvaret och minska risktagandet</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Regeringen bör få i uppdrag att utreda alternativ som inte har p</w:t>
      </w:r>
      <w:r w:rsidRPr="001E42CA">
        <w:t>å</w:t>
      </w:r>
      <w:r w:rsidRPr="001E42CA">
        <w:t>tagliga budgetmässiga konsekvenser. Det gäller framför allt alternativ som kan öka kommunernas/landstingens finansiella ansvar och som leder till ett minskat risktagande.</w:t>
      </w:r>
    </w:p>
    <w:p w:rsidR="00DC1575" w:rsidRPr="001E42CA" w:rsidRDefault="00DC1575">
      <w:pPr>
        <w:pStyle w:val="Normaltindrag"/>
      </w:pPr>
    </w:p>
    <w:p w:rsidR="00DC1575" w:rsidRPr="001E42CA" w:rsidRDefault="00DC1575">
      <w:pPr>
        <w:spacing w:before="0"/>
      </w:pPr>
      <w:r w:rsidRPr="001E42CA">
        <w:t xml:space="preserve">De statliga insatserna ska leda till besparingar och omstruktureringar som innebär en godtagbar och sund ekonomisk utveckling i de kommuner och landsting som fått stöd. Enligt revisorernas bedömning behöver dock inte alltid ekonomiskt stöd vara en förstahandslösning. Det finns därför, enligt revisorernas mening, anledning att bl.a. analysera den lagstiftning som styr kommunernas och landstingens ekonomiska förvaltning och dess effekter på det kommunala beteendet. Ett regelsystem som förbättrar incitamenten </w:t>
      </w:r>
      <w:r w:rsidRPr="001E42CA">
        <w:t>för kommuner/landsting att ta ett finansiellt ansvar och som leder till ett minskat risktagande hos dessa är att föredra. Ett område som är särskilt viktigt att analysera i detta sammanhang är kommunernas och landstingens ekonomiska förvaltning. Den kommunala budgetprocessen är vidare relativt svagt regl</w:t>
      </w:r>
      <w:r w:rsidRPr="001E42CA">
        <w:t>e</w:t>
      </w:r>
      <w:r w:rsidRPr="001E42CA">
        <w:t xml:space="preserve">rad. </w:t>
      </w:r>
    </w:p>
    <w:p w:rsidR="00DC1575" w:rsidRPr="001E42CA" w:rsidRDefault="00DC1575">
      <w:pPr>
        <w:pStyle w:val="R3"/>
      </w:pPr>
      <w:r w:rsidRPr="001E42CA">
        <w:t xml:space="preserve">Utgiftsområdet bör renodlas </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Allmänna bidrag till kommuner bör endast omfatta anslagen Gen</w:t>
      </w:r>
      <w:r w:rsidRPr="001E42CA">
        <w:t>e</w:t>
      </w:r>
      <w:r w:rsidRPr="001E42CA">
        <w:t>rellt statsbidrag till kommuner och landsting, Statligt utjämningsbidrag till kommuner och landsting och Bidrag till Rådet för kommunal redovisning. Utgifter för ändamål som inte kan hänföras till dessa tre anslag bör äskas under respektive politiko</w:t>
      </w:r>
      <w:r w:rsidRPr="001E42CA">
        <w:t>m</w:t>
      </w:r>
      <w:r w:rsidRPr="001E42CA">
        <w:t>råde.</w:t>
      </w:r>
    </w:p>
    <w:p w:rsidR="00DC1575" w:rsidRPr="001E42CA" w:rsidRDefault="00DC1575">
      <w:pPr>
        <w:pStyle w:val="Normaltindrag"/>
      </w:pPr>
    </w:p>
    <w:p w:rsidR="00DC1575" w:rsidRPr="001E42CA" w:rsidRDefault="00DC1575">
      <w:pPr>
        <w:spacing w:before="0"/>
      </w:pPr>
      <w:r w:rsidRPr="001E42CA">
        <w:t>Anslaget har delvis använts som ett anslag för oförutsedda utgifter. Använ</w:t>
      </w:r>
      <w:r w:rsidRPr="001E42CA">
        <w:t>d</w:t>
      </w:r>
      <w:r w:rsidRPr="001E42CA">
        <w:t xml:space="preserve">ningen har i och för sig anmälts till riksdagen, men dessa utgifter har inte genomgått en normal budgetprövning. De aktualiseras således ej på samma sätt som andra utgiftsanslag i den årliga budgetprövningen och blir i princip inte föremål för förnyade beslut inför varje budgetår. </w:t>
      </w:r>
    </w:p>
    <w:p w:rsidR="00DC1575" w:rsidRPr="001E42CA" w:rsidRDefault="00DC1575">
      <w:pPr>
        <w:pStyle w:val="Normaltindrag"/>
      </w:pPr>
      <w:r w:rsidRPr="001E42CA">
        <w:t>Enligt revisorernas uppfattning finns det stor risk för att ändamål som inte genomgår en normal budgetprövning leder till ökade utgifter. Ett anslag som har karaktären av oförutsedda utgifter kan till och med skapa behov som int</w:t>
      </w:r>
      <w:r w:rsidRPr="001E42CA">
        <w:t>e annars skulle tillgodoses eller diskuteras. Det finns vidare inga egentliga skäl till varför användningsområden som t.ex. hiv/aidsverksamhet eller nedläg</w:t>
      </w:r>
      <w:r w:rsidRPr="001E42CA">
        <w:t>g</w:t>
      </w:r>
      <w:r w:rsidRPr="001E42CA">
        <w:t xml:space="preserve">ningar i försvaret inte bör äskas och prövas inom respektive politikområde. </w:t>
      </w:r>
    </w:p>
    <w:p w:rsidR="00DC1575" w:rsidRPr="001E42CA" w:rsidRDefault="00DC1575">
      <w:pPr>
        <w:pStyle w:val="R3"/>
      </w:pPr>
      <w:r w:rsidRPr="001E42CA">
        <w:t xml:space="preserve">Uppföljningen bör preciseras och ske av en myndighet </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xml:space="preserve">: Uppföljningen av Kommundelegationens arbete bör ske av en myndighet. </w:t>
      </w:r>
    </w:p>
    <w:p w:rsidR="00DC1575" w:rsidRPr="001E42CA" w:rsidRDefault="00DC1575">
      <w:pPr>
        <w:pStyle w:val="Normaltindrag"/>
        <w:pBdr>
          <w:top w:val="single" w:sz="4" w:space="1" w:color="auto"/>
          <w:left w:val="single" w:sz="4" w:space="4" w:color="auto"/>
          <w:bottom w:val="single" w:sz="4" w:space="1" w:color="auto"/>
          <w:right w:val="single" w:sz="4" w:space="4" w:color="auto"/>
        </w:pBdr>
      </w:pPr>
      <w:r w:rsidRPr="001E42CA">
        <w:t>Regeringen bör redovisa hur uppföljningen av Bostadsdelegationens arbete ska organiseras.</w:t>
      </w:r>
    </w:p>
    <w:p w:rsidR="00DC1575" w:rsidRPr="001E42CA" w:rsidRDefault="00DC1575">
      <w:pPr>
        <w:pStyle w:val="Normaltindrag"/>
      </w:pPr>
    </w:p>
    <w:p w:rsidR="00DC1575" w:rsidRPr="001E42CA" w:rsidRDefault="00DC1575">
      <w:pPr>
        <w:spacing w:before="0"/>
      </w:pPr>
      <w:r w:rsidRPr="001E42CA">
        <w:t>Regeringen har tillkallat en särskild utredare med uppdrag att följa upp och stödja de kommuner och landsting vars ansökningar beretts av Kommund</w:t>
      </w:r>
      <w:r w:rsidRPr="001E42CA">
        <w:t>e</w:t>
      </w:r>
      <w:r w:rsidRPr="001E42CA">
        <w:t>legationen och som av regeringen beviljats bidrag. Enligt revisorernas up</w:t>
      </w:r>
      <w:r w:rsidRPr="001E42CA">
        <w:t>p</w:t>
      </w:r>
      <w:r w:rsidRPr="001E42CA">
        <w:t>fattning bör uppföljningen hanteras av en myndighet. Detta innebär en tydl</w:t>
      </w:r>
      <w:r w:rsidRPr="001E42CA">
        <w:t>i</w:t>
      </w:r>
      <w:r w:rsidRPr="001E42CA">
        <w:t>gare reglering av uppgiften och bidrar till att skapa större kontinuitet och en mer oberoende ställning i förhållande till uppgiften att säkerställa gjorda avtal och att bidra till att överenskomna kostnadssänkningar genomförs. Att hjälpa kommuner och landsting att komma tillrätta med en för hög kostnad</w:t>
      </w:r>
      <w:r w:rsidRPr="001E42CA">
        <w:t>s</w:t>
      </w:r>
      <w:r w:rsidRPr="001E42CA">
        <w:t>nivå kräver ett stort mått av tydlighet. En myndighet har</w:t>
      </w:r>
      <w:r w:rsidRPr="001E42CA">
        <w:t xml:space="preserve"> sannolikt större möjligheter, utifrån sina instruktioner, att hantera denna process. Exempelvis lyckades inte Kommundelegationen, som hade formen av en kommitté, att presentera entydiga åtgärdsplaner.</w:t>
      </w:r>
    </w:p>
    <w:p w:rsidR="00DC1575" w:rsidRPr="001E42CA" w:rsidRDefault="00DC1575">
      <w:pPr>
        <w:pStyle w:val="Normaltindrag"/>
      </w:pPr>
      <w:r w:rsidRPr="001E42CA">
        <w:t>Bostadsdelegationen har också slutit ett stort antal avtal med kommuner. Det har dock hittills inte presenterats någon lösning för hur uppföljningen av dessa avtal ska organiseras. Regeringen bör därför presentera en sådan lö</w:t>
      </w:r>
      <w:r w:rsidRPr="001E42CA">
        <w:t>s</w:t>
      </w:r>
      <w:r w:rsidRPr="001E42CA">
        <w:t xml:space="preserve">ning. </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21"/>
          <w:footerReference w:type="default" r:id="rId22"/>
          <w:pgSz w:w="11906" w:h="16838" w:code="9"/>
          <w:pgMar w:top="567" w:right="4876" w:bottom="4508" w:left="1134" w:header="227" w:footer="227" w:gutter="0"/>
          <w:cols w:space="720"/>
        </w:sectPr>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sectPr w:rsidR="00000000" w:rsidRPr="001E42CA">
          <w:headerReference w:type="default" r:id="rId23"/>
          <w:footerReference w:type="default" r:id="rId24"/>
          <w:pgSz w:w="11906" w:h="16838" w:code="9"/>
          <w:pgMar w:top="567" w:right="4876" w:bottom="4508" w:left="1134" w:header="227" w:footer="227" w:gutter="0"/>
          <w:cols w:space="720"/>
        </w:sectPr>
      </w:pPr>
    </w:p>
    <w:p w:rsidR="00DC1575" w:rsidRPr="001E42CA" w:rsidRDefault="00DC1575">
      <w:pPr>
        <w:pStyle w:val="Rubrik1"/>
        <w:numPr>
          <w:ilvl w:val="0"/>
          <w:numId w:val="104"/>
        </w:numPr>
      </w:pPr>
      <w:bookmarkStart w:id="22" w:name="_Toc526302369"/>
      <w:r w:rsidRPr="001E42CA">
        <w:t>Granskningens bakgrund och inriktning</w:t>
      </w:r>
      <w:bookmarkEnd w:id="22"/>
    </w:p>
    <w:p w:rsidR="00DC1575" w:rsidRPr="001E42CA" w:rsidRDefault="00DC1575">
      <w:r w:rsidRPr="001E42CA">
        <w:t>Statsbidragen till kommuner och landsting förändrades kraftigt fr.o.m. 1993. Flertalet av de specialdestinerade statsbidragen avskaffades och ersattes av ett mer generellt regelsystem. Tanken var bl.a. att minska den statliga detal</w:t>
      </w:r>
      <w:r w:rsidRPr="001E42CA">
        <w:t>j</w:t>
      </w:r>
      <w:r w:rsidRPr="001E42CA">
        <w:t>styrningen och öka det kommunala ansvaret för verksamhetens utformning och prioritering.</w:t>
      </w:r>
    </w:p>
    <w:p w:rsidR="00DC1575" w:rsidRPr="001E42CA" w:rsidRDefault="00DC1575">
      <w:pPr>
        <w:pStyle w:val="Normaltindrag"/>
      </w:pPr>
      <w:r w:rsidRPr="001E42CA">
        <w:t xml:space="preserve">Huvudparten av statsbidragen till kommuner och landsting utgår numera i form av ett generellt statsbidrag som i huvudsak fördelas efter invånarantal. Bidraget är </w:t>
      </w:r>
      <w:r w:rsidRPr="001E42CA">
        <w:rPr>
          <w:i/>
        </w:rPr>
        <w:t>ett allmänt finansiellt stöd till kommuner och landsting</w:t>
      </w:r>
      <w:r w:rsidRPr="001E42CA">
        <w:t xml:space="preserve"> (anslaget 91:1, utgiftsområde 25).</w:t>
      </w:r>
    </w:p>
    <w:p w:rsidR="00DC1575" w:rsidRPr="001E42CA" w:rsidRDefault="00DC1575">
      <w:pPr>
        <w:pStyle w:val="Normaltindrag"/>
      </w:pPr>
      <w:r w:rsidRPr="001E42CA">
        <w:t xml:space="preserve">I utgiftsområde 25 ingår också anslaget 91:3 </w:t>
      </w:r>
      <w:r w:rsidRPr="001E42CA">
        <w:rPr>
          <w:i/>
        </w:rPr>
        <w:t>Statligt utjämningsbidrag</w:t>
      </w:r>
      <w:r w:rsidRPr="001E42CA">
        <w:t xml:space="preserve"> som är en del av det statliga utjämningssystemet för kommuner och land</w:t>
      </w:r>
      <w:r w:rsidRPr="001E42CA">
        <w:t>s</w:t>
      </w:r>
      <w:r w:rsidRPr="001E42CA">
        <w:t>ting. Utjämningsbidraget utjämnar såväl skillnader i skattekraft som strukt</w:t>
      </w:r>
      <w:r w:rsidRPr="001E42CA">
        <w:t>u</w:t>
      </w:r>
      <w:r w:rsidRPr="001E42CA">
        <w:t xml:space="preserve">rella kostnadsskillnader. Bidraget motsvaras av avgifter på statsbudgetens inkomstsida från kommuner och landsting som har en mer gynnsam inkomst- och kostnadsstruktur. Inkomst- och kostnadsutjämningen är statsfinansiellt neutral, eftersom summan av bidrag och avgifter är lika stor. </w:t>
      </w:r>
    </w:p>
    <w:p w:rsidR="00DC1575" w:rsidRPr="001E42CA" w:rsidRDefault="00DC1575">
      <w:pPr>
        <w:pStyle w:val="Normaltindrag"/>
      </w:pPr>
      <w:r w:rsidRPr="001E42CA">
        <w:t>Bidragen fördelas enligt strikta och av riksdagen i la</w:t>
      </w:r>
      <w:r w:rsidRPr="001E42CA">
        <w:t xml:space="preserve">g beslutade regler. Regeringens utrymme att i efterhand påverka fördelningen är mycket litet. För att förändra fördelningsprinciperna krävs riksdagens godkännande. </w:t>
      </w:r>
    </w:p>
    <w:p w:rsidR="00DC1575" w:rsidRPr="001E42CA" w:rsidRDefault="00DC1575">
      <w:pPr>
        <w:pStyle w:val="Normaltindrag"/>
      </w:pPr>
      <w:r w:rsidRPr="001E42CA">
        <w:rPr>
          <w:i/>
        </w:rPr>
        <w:t>Bidrag till särskilda insatser i vissa kommuner och landsting</w:t>
      </w:r>
      <w:r w:rsidRPr="001E42CA">
        <w:t>, som ingår som anslaget 91:2 i utgiftsområde 25 Allmänna bidrag till kommuner, står däremot till regeringens disposition och styrs bara delvis av ett fastställt regelverk. Detta ger regeringen ett stort utrymme att fördela medel som inte styrs av några på förhand fastställda principer. Anslaget avviker också i någon mån från intentionerna bakom den omläggning som har skett av stat</w:t>
      </w:r>
      <w:r w:rsidRPr="001E42CA">
        <w:t>s</w:t>
      </w:r>
      <w:r w:rsidRPr="001E42CA">
        <w:t>bidr</w:t>
      </w:r>
      <w:r w:rsidRPr="001E42CA">
        <w:t>a</w:t>
      </w:r>
      <w:r w:rsidRPr="001E42CA">
        <w:t xml:space="preserve">gen. </w:t>
      </w:r>
    </w:p>
    <w:p w:rsidR="00DC1575" w:rsidRPr="001E42CA" w:rsidRDefault="00DC1575">
      <w:pPr>
        <w:pStyle w:val="R2"/>
      </w:pPr>
      <w:r w:rsidRPr="001E42CA">
        <w:t>Bakgrund</w:t>
      </w:r>
    </w:p>
    <w:p w:rsidR="00DC1575" w:rsidRPr="001E42CA" w:rsidRDefault="00DC1575">
      <w:r w:rsidRPr="001E42CA">
        <w:t>Riksdagens revisorer har tidigare berört problem som kan vara förknippade med anslag som står till regeringens disposition. Det kan t.ex. vara att insyn och revision försvåras, att Regeringskansliet ibland saknar sakkunskap för att bedöma enskilda fall samt att rollfördelningen mellan riksdag, regering, berörda myndigheter eller kommuner blir otydlig (se kapitel 7). Det finns även i detta fall skäl som motiverar en granskning. Syftet med anslaget har vidgats efter hand och det har fått karaktär av ett perm</w:t>
      </w:r>
      <w:r w:rsidRPr="001E42CA">
        <w:t>anent anslag att a</w:t>
      </w:r>
      <w:r w:rsidRPr="001E42CA">
        <w:t>n</w:t>
      </w:r>
      <w:r w:rsidRPr="001E42CA">
        <w:t>vända för att hantera speciella problem i kommunerna. Vidare gäller t.ex. att bidraget har en förhållandevis stor omfattning, att delar av hanteringen inte regleras av någon förordning och att anslagstypen inte är förknippad med normala krav på målformulering och resultatanalys. Inriktningen av anslaget kan vidare leda till olika former av incitamentsproblem.</w:t>
      </w:r>
      <w:r w:rsidRPr="001E42CA">
        <w:rPr>
          <w:rStyle w:val="Fotnotsreferens"/>
        </w:rPr>
        <w:footnoteReference w:id="1"/>
      </w:r>
      <w:r w:rsidRPr="001E42CA">
        <w:t xml:space="preserve"> Förslaget till granskning har initierats av revisorerna själva.</w:t>
      </w:r>
    </w:p>
    <w:p w:rsidR="00DC1575" w:rsidRPr="001E42CA" w:rsidRDefault="00DC1575">
      <w:pPr>
        <w:pStyle w:val="R2"/>
      </w:pPr>
      <w:r w:rsidRPr="001E42CA">
        <w:t>Granskningens syfte</w:t>
      </w:r>
    </w:p>
    <w:p w:rsidR="00DC1575" w:rsidRPr="001E42CA" w:rsidRDefault="00DC1575">
      <w:r w:rsidRPr="001E42CA">
        <w:t>Huvudsyftet med granskningen är att analysera fördelningsprocessen. Det gäller framför allt en analys av vilka beslutsunderlag och beslutskriterier som legat bakom beslut om stöd och avslag. I detta ingår också en analys av avtalen mellan kommunerna/landstingen och staten samt vilka typer av kommuner som fått respektive inte fått stöd.</w:t>
      </w:r>
    </w:p>
    <w:p w:rsidR="00DC1575" w:rsidRPr="001E42CA" w:rsidRDefault="00DC1575">
      <w:pPr>
        <w:pStyle w:val="Normaltindrag"/>
      </w:pPr>
      <w:r w:rsidRPr="001E42CA">
        <w:t>Andra viktiga områden är:</w:t>
      </w:r>
    </w:p>
    <w:p w:rsidR="00DC1575" w:rsidRPr="001E42CA" w:rsidRDefault="00DC1575">
      <w:pPr>
        <w:pStyle w:val="Normaltindrag"/>
      </w:pPr>
    </w:p>
    <w:p w:rsidR="00DC1575" w:rsidRPr="001E42CA" w:rsidRDefault="00DC1575">
      <w:pPr>
        <w:numPr>
          <w:ilvl w:val="0"/>
          <w:numId w:val="41"/>
        </w:numPr>
        <w:spacing w:before="0"/>
        <w:ind w:left="357" w:hanging="357"/>
      </w:pPr>
      <w:r w:rsidRPr="001E42CA">
        <w:t>Analys av anslagets fördelning på olika ändamål.</w:t>
      </w:r>
    </w:p>
    <w:p w:rsidR="00DC1575" w:rsidRPr="001E42CA" w:rsidRDefault="00DC1575">
      <w:pPr>
        <w:numPr>
          <w:ilvl w:val="0"/>
          <w:numId w:val="41"/>
        </w:numPr>
      </w:pPr>
      <w:r w:rsidRPr="001E42CA">
        <w:t>Analys av målformulering och resultatredovisning samt hur anslaget rev</w:t>
      </w:r>
      <w:r w:rsidRPr="001E42CA">
        <w:t>i</w:t>
      </w:r>
      <w:r w:rsidRPr="001E42CA">
        <w:t xml:space="preserve">deras. </w:t>
      </w:r>
    </w:p>
    <w:p w:rsidR="00DC1575" w:rsidRPr="001E42CA" w:rsidRDefault="00DC1575">
      <w:pPr>
        <w:numPr>
          <w:ilvl w:val="0"/>
          <w:numId w:val="41"/>
        </w:numPr>
      </w:pPr>
      <w:r w:rsidRPr="001E42CA">
        <w:t>Diskussion om vilka typer av incitamentsproblem som kan vara fö</w:t>
      </w:r>
      <w:r w:rsidRPr="001E42CA">
        <w:t>r</w:t>
      </w:r>
      <w:r w:rsidRPr="001E42CA">
        <w:t>knippade med olika former av garantier.</w:t>
      </w:r>
    </w:p>
    <w:p w:rsidR="00DC1575" w:rsidRPr="001E42CA" w:rsidRDefault="00DC1575">
      <w:pPr>
        <w:numPr>
          <w:ilvl w:val="0"/>
          <w:numId w:val="41"/>
        </w:numPr>
      </w:pPr>
      <w:r w:rsidRPr="001E42CA">
        <w:t>Alternativa strategier och/eller stödformer.</w:t>
      </w:r>
    </w:p>
    <w:p w:rsidR="00DC1575" w:rsidRPr="001E42CA" w:rsidRDefault="00DC1575">
      <w:pPr>
        <w:pStyle w:val="Normaltindrag"/>
      </w:pPr>
    </w:p>
    <w:p w:rsidR="00DC1575" w:rsidRPr="001E42CA" w:rsidRDefault="00DC1575">
      <w:pPr>
        <w:spacing w:before="0"/>
      </w:pPr>
      <w:r w:rsidRPr="001E42CA">
        <w:t>Ernst &amp; Young AB har på uppdrag av Riksdagens revisorer genomfört en studie av fördelningsprocessen och avtalen mellan staten och kommunerna. Uppdraget avser en analys av vilka beslutsunderlag och beslutskriterier som legat bakom beslut om stöd och avslag och hur avtalen utformats. Totalt har 35 ärenden granskats, vilket motsvarar drygt 25 procent av de ärenden som var färdigbehandlade när uppdraget preciserades.</w:t>
      </w:r>
    </w:p>
    <w:p w:rsidR="00DC1575" w:rsidRPr="001E42CA" w:rsidRDefault="00DC1575">
      <w:pPr>
        <w:pStyle w:val="Normaltindrag"/>
      </w:pPr>
      <w:r w:rsidRPr="001E42CA">
        <w:t>Granskningen avgränsas till att i huvudsak avse bidrag som utbetalats till kommuner och landsting som ansökt om särskilt stöd. Det rör sig främst om stöd som har hanterats av regeringen (efter beredning av Kommundelegati</w:t>
      </w:r>
      <w:r w:rsidRPr="001E42CA">
        <w:t>o</w:t>
      </w:r>
      <w:r w:rsidRPr="001E42CA">
        <w:t>nen) och Bostadsdelegationen. Det innebär att mer generella fördelningar till t.ex. flyktingkostnader och förebyggande hiv/aidsverksamhet behandlas mindre utförligt.</w:t>
      </w:r>
    </w:p>
    <w:p w:rsidR="00DC1575" w:rsidRPr="001E42CA" w:rsidRDefault="00DC1575">
      <w:pPr>
        <w:pStyle w:val="R2"/>
      </w:pPr>
      <w:r w:rsidRPr="001E42CA">
        <w:t>Rapportens innehåll</w:t>
      </w:r>
    </w:p>
    <w:p w:rsidR="00DC1575" w:rsidRPr="001E42CA" w:rsidRDefault="00DC1575">
      <w:r w:rsidRPr="001E42CA">
        <w:t>Rapporten är disponerad enligt följande. Inledningsvis i kapitel 2 redovisas vissa bakgrundsdata om anslaget för bidrag till särskilda insatser i vissa kommuner och landsting. Det gäller anslagets syfte, omfattning och finansi</w:t>
      </w:r>
      <w:r w:rsidRPr="001E42CA">
        <w:t>e</w:t>
      </w:r>
      <w:r w:rsidRPr="001E42CA">
        <w:t>ring. I kapitel 3 redovisas översiktligt verksamheten i de tre instanser som hittills genomfört handläggning och/eller beredning av ärenden. Instanserna är regeringen, Bostadsdelegationen och Kommundelegationen. Kapitel 4 innehåller en analys av om det finns några skillnader mellan kommuner som fått bidrag, kommuner som fått avslag och kommunsektorn som helhet. Analysen avser främst olika finansiella nyckeltal. I kapitel 5 redovisas en genomgång av fördelningsprocessen, dvs. beslutsunderlag och beslutskrit</w:t>
      </w:r>
      <w:r w:rsidRPr="001E42CA">
        <w:t>er</w:t>
      </w:r>
      <w:r w:rsidRPr="001E42CA">
        <w:t>i</w:t>
      </w:r>
      <w:r w:rsidRPr="001E42CA">
        <w:t>er, och avtalen mellan staten och kommunerna. Det senare gäller främst villkoren för att stöd ska utgå och hur avtalen avses att följas upp. I kapitel 6 redovisas anslagets målformulering och resultatredovisning. Kapitel 7 inn</w:t>
      </w:r>
      <w:r w:rsidRPr="001E42CA">
        <w:t>e</w:t>
      </w:r>
      <w:r w:rsidRPr="001E42CA">
        <w:t>håller en genomgång av tidigare analyser av anslag till regeringens dispos</w:t>
      </w:r>
      <w:r w:rsidRPr="001E42CA">
        <w:t>i</w:t>
      </w:r>
      <w:r w:rsidRPr="001E42CA">
        <w:t xml:space="preserve">tion. Avslutningsvis redovisas revisorernas bedömningar i kapitel 8. </w:t>
      </w:r>
    </w:p>
    <w:p w:rsidR="00DC1575" w:rsidRPr="001E42CA" w:rsidRDefault="00DC1575">
      <w:pPr>
        <w:pStyle w:val="Rubrik1"/>
      </w:pPr>
      <w:r w:rsidRPr="001E42CA">
        <w:br w:type="page"/>
      </w:r>
      <w:bookmarkStart w:id="23" w:name="_Toc475355989"/>
      <w:bookmarkStart w:id="24" w:name="_Toc526302370"/>
      <w:r w:rsidRPr="001E42CA">
        <w:t>Anslaget för bidrag till särskilda insatser i vissa kommuner och landsting</w:t>
      </w:r>
      <w:bookmarkEnd w:id="23"/>
      <w:bookmarkEnd w:id="24"/>
    </w:p>
    <w:p w:rsidR="00DC1575" w:rsidRPr="001E42CA" w:rsidRDefault="00DC1575">
      <w:r w:rsidRPr="001E42CA">
        <w:t>Riksdagen beslutade i december 1995 om ett nytt utjämningssystem för kommuner och landsting, som består av separata system för utjämning me</w:t>
      </w:r>
      <w:r w:rsidRPr="001E42CA">
        <w:t>l</w:t>
      </w:r>
      <w:r w:rsidRPr="001E42CA">
        <w:t>lan kommuner och landsting av dels inkomster, dels kostnader för verksa</w:t>
      </w:r>
      <w:r w:rsidRPr="001E42CA">
        <w:t>m</w:t>
      </w:r>
      <w:r w:rsidRPr="001E42CA">
        <w:t>heten.</w:t>
      </w:r>
    </w:p>
    <w:p w:rsidR="00DC1575" w:rsidRPr="001E42CA" w:rsidRDefault="00DC1575">
      <w:pPr>
        <w:pStyle w:val="Normaltindrag"/>
      </w:pPr>
      <w:r w:rsidRPr="001E42CA">
        <w:t>Regeringen angav i 1995 års kompletteringsproposition (prop. 1994/95:150) att vissa kommuner och landsting som hade en särskilt svår ekonomisk situation kunde få problem vid införandet av det nya utjämning</w:t>
      </w:r>
      <w:r w:rsidRPr="001E42CA">
        <w:t>s</w:t>
      </w:r>
      <w:r w:rsidRPr="001E42CA">
        <w:t>systemet.</w:t>
      </w:r>
      <w:r w:rsidRPr="001E42CA">
        <w:rPr>
          <w:rStyle w:val="Fotnotsreferens"/>
        </w:rPr>
        <w:footnoteReference w:id="2"/>
      </w:r>
      <w:r w:rsidRPr="001E42CA">
        <w:t xml:space="preserve"> För att skapa möjligheter att i rekonstruktivt syfte tillfälligt bistå sådana kommuner och landsting ställdes medel till regeringens disposition och ett nytt anslag infördes (då benämnt G5, numera 91:2). Anslaget uppgick till 400 miljoner kronor för 1996</w:t>
      </w:r>
      <w:r w:rsidRPr="001E42CA">
        <w:rPr>
          <w:rStyle w:val="Fotnotsreferens"/>
        </w:rPr>
        <w:footnoteReference w:id="3"/>
      </w:r>
      <w:r w:rsidRPr="001E42CA">
        <w:t xml:space="preserve"> (reservationsanslag).</w:t>
      </w:r>
    </w:p>
    <w:p w:rsidR="00DC1575" w:rsidRPr="001E42CA" w:rsidRDefault="00DC1575">
      <w:pPr>
        <w:pStyle w:val="Normaltindrag"/>
      </w:pPr>
      <w:r w:rsidRPr="001E42CA">
        <w:t>Syftet med anslaget har sedan vidgats efter hand och det har fått karaktären av ett permanent anslag för att hantera speciella problem i kommunerna. Detta kapitel redovisar anslagets förändrade karaktär och omfat</w:t>
      </w:r>
      <w:r w:rsidRPr="001E42CA">
        <w:t>t</w:t>
      </w:r>
      <w:r w:rsidRPr="001E42CA">
        <w:t>ning.</w:t>
      </w:r>
    </w:p>
    <w:p w:rsidR="00DC1575" w:rsidRPr="001E42CA" w:rsidRDefault="00DC1575">
      <w:pPr>
        <w:pStyle w:val="Normaltindrag"/>
      </w:pPr>
      <w:r w:rsidRPr="001E42CA">
        <w:t>Avsnitt 2.1 redovisar anslagets omfattning och utveckling. I avsnitt 2.2 r</w:t>
      </w:r>
      <w:r w:rsidRPr="001E42CA">
        <w:t>e</w:t>
      </w:r>
      <w:r w:rsidRPr="001E42CA">
        <w:t>dovisas hur syftet har förändrats och hur kostnaderna fördelas på olika ä</w:t>
      </w:r>
      <w:r w:rsidRPr="001E42CA">
        <w:t>n</w:t>
      </w:r>
      <w:r w:rsidRPr="001E42CA">
        <w:t>damål. Avsnitt 2.3 innehåller en kort genomgång av hur anslaget finansieras. I avsnitt 2.4 redovisas kortfattat hur anslaget behandlats av riksdagen. I a</w:t>
      </w:r>
      <w:r w:rsidRPr="001E42CA">
        <w:t>v</w:t>
      </w:r>
      <w:r w:rsidRPr="001E42CA">
        <w:t>snitt 2.5 sammanfattas kapi</w:t>
      </w:r>
      <w:r w:rsidRPr="001E42CA">
        <w:t>t</w:t>
      </w:r>
      <w:r w:rsidRPr="001E42CA">
        <w:t xml:space="preserve">let. </w:t>
      </w:r>
    </w:p>
    <w:p w:rsidR="00DC1575" w:rsidRPr="001E42CA" w:rsidRDefault="00DC1575">
      <w:pPr>
        <w:pStyle w:val="Rubrik2"/>
      </w:pPr>
      <w:bookmarkStart w:id="25" w:name="_Toc526302371"/>
      <w:r w:rsidRPr="001E42CA">
        <w:t>Omfattning</w:t>
      </w:r>
      <w:bookmarkEnd w:id="25"/>
    </w:p>
    <w:p w:rsidR="00DC1575" w:rsidRPr="001E42CA" w:rsidRDefault="00DC1575">
      <w:r w:rsidRPr="001E42CA">
        <w:t xml:space="preserve">Anslaget för bidrag till särskilda insatser i vissa kommuner och landsting infördes ursprungligen som ett </w:t>
      </w:r>
      <w:r w:rsidRPr="001E42CA">
        <w:rPr>
          <w:i/>
        </w:rPr>
        <w:t>tillfälligt</w:t>
      </w:r>
      <w:r w:rsidRPr="001E42CA">
        <w:t xml:space="preserve"> stöd. Som framgått ovan finns dock bidraget fortfarande kvar. Detta har i huvudsak motiverats av två skäl (en mer detaljerad redovisning ges i bilaga 1).</w:t>
      </w:r>
    </w:p>
    <w:p w:rsidR="00DC1575" w:rsidRPr="001E42CA" w:rsidRDefault="00DC1575">
      <w:pPr>
        <w:pStyle w:val="Normaltindrag"/>
      </w:pPr>
    </w:p>
    <w:p w:rsidR="00DC1575" w:rsidRPr="001E42CA" w:rsidRDefault="00DC1575">
      <w:pPr>
        <w:numPr>
          <w:ilvl w:val="0"/>
          <w:numId w:val="98"/>
        </w:numPr>
        <w:spacing w:before="0"/>
        <w:ind w:left="357" w:hanging="357"/>
      </w:pPr>
      <w:r w:rsidRPr="001E42CA">
        <w:t>Regeringen borde ha tillgång de extra resurser som de särskilda medlen utgjorde, bl.a. mot bakgrund av de ekonomiska problem som vissa kommuner kunde få till följd av att stora borgensåtaganden måste infr</w:t>
      </w:r>
      <w:r w:rsidRPr="001E42CA">
        <w:t>i</w:t>
      </w:r>
      <w:r w:rsidRPr="001E42CA">
        <w:t xml:space="preserve">as. </w:t>
      </w:r>
    </w:p>
    <w:p w:rsidR="00DC1575" w:rsidRPr="001E42CA" w:rsidRDefault="00DC1575">
      <w:pPr>
        <w:numPr>
          <w:ilvl w:val="0"/>
          <w:numId w:val="98"/>
        </w:numPr>
      </w:pPr>
      <w:r w:rsidRPr="001E42CA">
        <w:t>Regeringen borde ha tillgång till anslaget på grund av att det fanns kommuner och landsting som på grund av speciella omständigheter kunde hamna i en särskilt svår ekonomisk situation (t.ex. kravet på ek</w:t>
      </w:r>
      <w:r w:rsidRPr="001E42CA">
        <w:t>o</w:t>
      </w:r>
      <w:r w:rsidRPr="001E42CA">
        <w:t xml:space="preserve">nomisk balans). </w:t>
      </w:r>
    </w:p>
    <w:p w:rsidR="00DC1575" w:rsidRPr="001E42CA" w:rsidRDefault="00DC1575">
      <w:pPr>
        <w:spacing w:before="0"/>
      </w:pPr>
      <w:r w:rsidRPr="001E42CA">
        <w:t>Anslagsutveckling och utfall sammanfattas i Tabell 2.1. Totalt uppgår ansl</w:t>
      </w:r>
      <w:r w:rsidRPr="001E42CA">
        <w:t>a</w:t>
      </w:r>
      <w:r w:rsidRPr="001E42CA">
        <w:t xml:space="preserve">get t.o.m. 1999 till drygt 3,1 miljarder kronor. För åren 2000–2003 beräknas anslaget till drygt 4,8 miljarder kronor, dvs. ett betydligt högre belopp än för de inledande fyra åren. </w:t>
      </w:r>
    </w:p>
    <w:p w:rsidR="00DC1575" w:rsidRPr="001E42CA" w:rsidRDefault="00DC1575">
      <w:pPr>
        <w:pStyle w:val="Normaltindrag"/>
      </w:pPr>
    </w:p>
    <w:p w:rsidR="00DC1575" w:rsidRPr="001E42CA" w:rsidRDefault="00DC1575">
      <w:pPr>
        <w:pStyle w:val="Tabellrubrik"/>
      </w:pPr>
      <w:r w:rsidRPr="001E42CA">
        <w:t>Tabell 2.1 Anslag och utfall för bidrag till särskilda insatser i vissa kommuner och landsting</w:t>
      </w:r>
    </w:p>
    <w:p w:rsidR="00DC1575" w:rsidRPr="001E42CA" w:rsidRDefault="00DC1575">
      <w:pPr>
        <w:pStyle w:val="Fotnotstext"/>
        <w:spacing w:before="0" w:line="245" w:lineRule="exact"/>
      </w:pPr>
      <w:r w:rsidRPr="001E42CA">
        <w:t>Miljoner kronor</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63"/>
        <w:gridCol w:w="709"/>
        <w:gridCol w:w="710"/>
        <w:gridCol w:w="710"/>
        <w:gridCol w:w="710"/>
        <w:gridCol w:w="710"/>
        <w:gridCol w:w="710"/>
        <w:gridCol w:w="710"/>
        <w:gridCol w:w="710"/>
      </w:tblGrid>
      <w:tr w:rsidR="00000000" w:rsidRPr="001E42CA">
        <w:tblPrEx>
          <w:tblCellMar>
            <w:top w:w="0" w:type="dxa"/>
            <w:bottom w:w="0" w:type="dxa"/>
          </w:tblCellMar>
        </w:tblPrEx>
        <w:tc>
          <w:tcPr>
            <w:tcW w:w="1063" w:type="dxa"/>
            <w:tcBorders>
              <w:top w:val="single" w:sz="4" w:space="0" w:color="auto"/>
              <w:bottom w:val="single" w:sz="4" w:space="0" w:color="auto"/>
            </w:tcBorders>
          </w:tcPr>
          <w:p w:rsidR="00DC1575" w:rsidRPr="001E42CA" w:rsidRDefault="00DC1575">
            <w:pPr>
              <w:pStyle w:val="Tabell"/>
              <w:spacing w:before="40" w:after="40"/>
              <w:jc w:val="left"/>
            </w:pPr>
            <w:r w:rsidRPr="001E42CA">
              <w:t>Proposition</w:t>
            </w:r>
          </w:p>
        </w:tc>
        <w:tc>
          <w:tcPr>
            <w:tcW w:w="709" w:type="dxa"/>
            <w:tcBorders>
              <w:top w:val="single" w:sz="4" w:space="0" w:color="auto"/>
              <w:bottom w:val="single" w:sz="4" w:space="0" w:color="auto"/>
            </w:tcBorders>
          </w:tcPr>
          <w:p w:rsidR="00DC1575" w:rsidRPr="001E42CA" w:rsidRDefault="00DC1575">
            <w:pPr>
              <w:pStyle w:val="Tabell"/>
              <w:spacing w:before="40" w:after="40"/>
              <w:jc w:val="center"/>
            </w:pPr>
            <w:r w:rsidRPr="001E42CA">
              <w:t>1996</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1997</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1998</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1999</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2000</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2001</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2002</w:t>
            </w:r>
          </w:p>
        </w:tc>
        <w:tc>
          <w:tcPr>
            <w:tcW w:w="710" w:type="dxa"/>
            <w:tcBorders>
              <w:top w:val="single" w:sz="4" w:space="0" w:color="auto"/>
              <w:bottom w:val="single" w:sz="4" w:space="0" w:color="auto"/>
            </w:tcBorders>
          </w:tcPr>
          <w:p w:rsidR="00DC1575" w:rsidRPr="001E42CA" w:rsidRDefault="00DC1575">
            <w:pPr>
              <w:pStyle w:val="Tabell"/>
              <w:spacing w:before="40" w:after="40"/>
              <w:jc w:val="center"/>
            </w:pPr>
            <w:r w:rsidRPr="001E42CA">
              <w:t>2003</w:t>
            </w: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1995/96:150</w:t>
            </w:r>
          </w:p>
        </w:tc>
        <w:tc>
          <w:tcPr>
            <w:tcW w:w="709" w:type="dxa"/>
          </w:tcPr>
          <w:p w:rsidR="00DC1575" w:rsidRPr="001E42CA" w:rsidRDefault="00DC1575">
            <w:pPr>
              <w:pStyle w:val="Tabell"/>
              <w:spacing w:before="40" w:after="40"/>
              <w:jc w:val="center"/>
            </w:pPr>
            <w:r w:rsidRPr="001E42CA">
              <w:t>400</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1996/97:1</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400</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1996/97:150</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200</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1997/98:1</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736,6</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1997/98:150</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400</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1998/99:1</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1014</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1998/99:100</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-40</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1999/2000:1</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1091,5</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2000/2001:1</w:t>
            </w:r>
          </w:p>
        </w:tc>
        <w:tc>
          <w:tcPr>
            <w:tcW w:w="709"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r w:rsidRPr="001E42CA">
              <w:t>2066,2</w:t>
            </w:r>
          </w:p>
        </w:tc>
        <w:tc>
          <w:tcPr>
            <w:tcW w:w="710" w:type="dxa"/>
          </w:tcPr>
          <w:p w:rsidR="00DC1575" w:rsidRPr="001E42CA" w:rsidRDefault="00DC1575">
            <w:pPr>
              <w:pStyle w:val="Tabell"/>
              <w:spacing w:before="40" w:after="40"/>
              <w:jc w:val="center"/>
            </w:pPr>
            <w:r w:rsidRPr="001E42CA">
              <w:t>1007</w:t>
            </w:r>
          </w:p>
        </w:tc>
        <w:tc>
          <w:tcPr>
            <w:tcW w:w="710" w:type="dxa"/>
          </w:tcPr>
          <w:p w:rsidR="00DC1575" w:rsidRPr="001E42CA" w:rsidRDefault="00DC1575">
            <w:pPr>
              <w:pStyle w:val="Tabell"/>
              <w:spacing w:before="40" w:after="40"/>
              <w:jc w:val="center"/>
            </w:pPr>
            <w:r w:rsidRPr="001E42CA">
              <w:t>665</w:t>
            </w: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Summa anslag</w:t>
            </w:r>
          </w:p>
        </w:tc>
        <w:tc>
          <w:tcPr>
            <w:tcW w:w="709" w:type="dxa"/>
          </w:tcPr>
          <w:p w:rsidR="00DC1575" w:rsidRPr="001E42CA" w:rsidRDefault="00DC1575">
            <w:pPr>
              <w:pStyle w:val="Tabell"/>
              <w:spacing w:before="40" w:after="40"/>
              <w:jc w:val="center"/>
            </w:pPr>
            <w:r w:rsidRPr="001E42CA">
              <w:t>400</w:t>
            </w:r>
          </w:p>
        </w:tc>
        <w:tc>
          <w:tcPr>
            <w:tcW w:w="710" w:type="dxa"/>
          </w:tcPr>
          <w:p w:rsidR="00DC1575" w:rsidRPr="001E42CA" w:rsidRDefault="00DC1575">
            <w:pPr>
              <w:pStyle w:val="Tabell"/>
              <w:spacing w:before="40" w:after="40"/>
              <w:jc w:val="center"/>
            </w:pPr>
            <w:r w:rsidRPr="001E42CA">
              <w:t>600</w:t>
            </w:r>
          </w:p>
        </w:tc>
        <w:tc>
          <w:tcPr>
            <w:tcW w:w="710" w:type="dxa"/>
          </w:tcPr>
          <w:p w:rsidR="00DC1575" w:rsidRPr="001E42CA" w:rsidRDefault="00DC1575">
            <w:pPr>
              <w:pStyle w:val="Tabell"/>
              <w:spacing w:before="40" w:after="40"/>
              <w:jc w:val="center"/>
            </w:pPr>
            <w:r w:rsidRPr="001E42CA">
              <w:t>1136,6</w:t>
            </w:r>
          </w:p>
        </w:tc>
        <w:tc>
          <w:tcPr>
            <w:tcW w:w="710" w:type="dxa"/>
          </w:tcPr>
          <w:p w:rsidR="00DC1575" w:rsidRPr="001E42CA" w:rsidRDefault="00DC1575">
            <w:pPr>
              <w:pStyle w:val="Tabell"/>
              <w:spacing w:before="40" w:after="40"/>
              <w:jc w:val="center"/>
            </w:pPr>
            <w:r w:rsidRPr="001E42CA">
              <w:t>974</w:t>
            </w:r>
          </w:p>
        </w:tc>
        <w:tc>
          <w:tcPr>
            <w:tcW w:w="710" w:type="dxa"/>
          </w:tcPr>
          <w:p w:rsidR="00DC1575" w:rsidRPr="001E42CA" w:rsidRDefault="00DC1575">
            <w:pPr>
              <w:pStyle w:val="Tabell"/>
              <w:spacing w:before="40" w:after="40"/>
              <w:jc w:val="center"/>
            </w:pPr>
            <w:r w:rsidRPr="001E42CA">
              <w:t>1091,5</w:t>
            </w:r>
          </w:p>
        </w:tc>
        <w:tc>
          <w:tcPr>
            <w:tcW w:w="710" w:type="dxa"/>
          </w:tcPr>
          <w:p w:rsidR="00DC1575" w:rsidRPr="001E42CA" w:rsidRDefault="00DC1575">
            <w:pPr>
              <w:pStyle w:val="Tabell"/>
              <w:spacing w:before="40" w:after="40"/>
              <w:jc w:val="center"/>
            </w:pPr>
            <w:r w:rsidRPr="001E42CA">
              <w:t>2066,2</w:t>
            </w:r>
          </w:p>
        </w:tc>
        <w:tc>
          <w:tcPr>
            <w:tcW w:w="710" w:type="dxa"/>
          </w:tcPr>
          <w:p w:rsidR="00DC1575" w:rsidRPr="001E42CA" w:rsidRDefault="00DC1575">
            <w:pPr>
              <w:pStyle w:val="Tabell"/>
              <w:spacing w:before="40" w:after="40"/>
              <w:jc w:val="center"/>
            </w:pPr>
            <w:r w:rsidRPr="001E42CA">
              <w:t>1007</w:t>
            </w:r>
          </w:p>
        </w:tc>
        <w:tc>
          <w:tcPr>
            <w:tcW w:w="710" w:type="dxa"/>
          </w:tcPr>
          <w:p w:rsidR="00DC1575" w:rsidRPr="001E42CA" w:rsidRDefault="00DC1575">
            <w:pPr>
              <w:pStyle w:val="Tabell"/>
              <w:spacing w:before="40" w:after="40"/>
              <w:jc w:val="center"/>
            </w:pPr>
            <w:r w:rsidRPr="001E42CA">
              <w:t>665</w:t>
            </w:r>
          </w:p>
        </w:tc>
      </w:tr>
      <w:tr w:rsidR="00000000" w:rsidRPr="001E42CA">
        <w:tblPrEx>
          <w:tblCellMar>
            <w:top w:w="0" w:type="dxa"/>
            <w:bottom w:w="0" w:type="dxa"/>
          </w:tblCellMar>
        </w:tblPrEx>
        <w:tc>
          <w:tcPr>
            <w:tcW w:w="1063" w:type="dxa"/>
          </w:tcPr>
          <w:p w:rsidR="00DC1575" w:rsidRPr="001E42CA" w:rsidRDefault="00DC1575">
            <w:pPr>
              <w:pStyle w:val="Tabell"/>
              <w:spacing w:before="40" w:after="40"/>
              <w:jc w:val="left"/>
            </w:pPr>
            <w:r w:rsidRPr="001E42CA">
              <w:t>Utfall</w:t>
            </w:r>
          </w:p>
        </w:tc>
        <w:tc>
          <w:tcPr>
            <w:tcW w:w="709" w:type="dxa"/>
          </w:tcPr>
          <w:p w:rsidR="00DC1575" w:rsidRPr="001E42CA" w:rsidRDefault="00DC1575">
            <w:pPr>
              <w:pStyle w:val="Tabell"/>
              <w:spacing w:before="40" w:after="40"/>
              <w:jc w:val="center"/>
            </w:pPr>
            <w:r w:rsidRPr="001E42CA">
              <w:t>0</w:t>
            </w:r>
          </w:p>
        </w:tc>
        <w:tc>
          <w:tcPr>
            <w:tcW w:w="710" w:type="dxa"/>
          </w:tcPr>
          <w:p w:rsidR="00DC1575" w:rsidRPr="001E42CA" w:rsidRDefault="00DC1575">
            <w:pPr>
              <w:pStyle w:val="Tabell"/>
              <w:spacing w:before="40" w:after="40"/>
              <w:jc w:val="center"/>
            </w:pPr>
            <w:r w:rsidRPr="001E42CA">
              <w:t>646,9</w:t>
            </w:r>
          </w:p>
        </w:tc>
        <w:tc>
          <w:tcPr>
            <w:tcW w:w="710" w:type="dxa"/>
          </w:tcPr>
          <w:p w:rsidR="00DC1575" w:rsidRPr="001E42CA" w:rsidRDefault="00DC1575">
            <w:pPr>
              <w:pStyle w:val="Tabell"/>
              <w:spacing w:before="40" w:after="40"/>
              <w:jc w:val="center"/>
            </w:pPr>
            <w:r w:rsidRPr="001E42CA">
              <w:t>612,7</w:t>
            </w:r>
          </w:p>
        </w:tc>
        <w:tc>
          <w:tcPr>
            <w:tcW w:w="710" w:type="dxa"/>
          </w:tcPr>
          <w:p w:rsidR="00DC1575" w:rsidRPr="001E42CA" w:rsidRDefault="00DC1575">
            <w:pPr>
              <w:pStyle w:val="Tabell"/>
              <w:spacing w:before="40" w:after="40"/>
              <w:jc w:val="center"/>
            </w:pPr>
            <w:r w:rsidRPr="001E42CA">
              <w:t>759,5</w:t>
            </w: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c>
          <w:tcPr>
            <w:tcW w:w="710" w:type="dxa"/>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1063" w:type="dxa"/>
            <w:tcBorders>
              <w:bottom w:val="single" w:sz="4" w:space="0" w:color="auto"/>
            </w:tcBorders>
          </w:tcPr>
          <w:p w:rsidR="00DC1575" w:rsidRPr="001E42CA" w:rsidRDefault="00DC1575">
            <w:pPr>
              <w:pStyle w:val="Tabell"/>
              <w:spacing w:before="40" w:after="40"/>
              <w:jc w:val="left"/>
            </w:pPr>
            <w:r w:rsidRPr="001E42CA">
              <w:t>Utgående reservation</w:t>
            </w:r>
          </w:p>
        </w:tc>
        <w:tc>
          <w:tcPr>
            <w:tcW w:w="709" w:type="dxa"/>
            <w:tcBorders>
              <w:bottom w:val="single" w:sz="4" w:space="0" w:color="auto"/>
            </w:tcBorders>
          </w:tcPr>
          <w:p w:rsidR="00DC1575" w:rsidRPr="001E42CA" w:rsidRDefault="00DC1575">
            <w:pPr>
              <w:pStyle w:val="Tabell"/>
              <w:spacing w:before="40" w:after="40"/>
              <w:jc w:val="center"/>
            </w:pPr>
            <w:r w:rsidRPr="001E42CA">
              <w:t>401,4</w:t>
            </w:r>
          </w:p>
        </w:tc>
        <w:tc>
          <w:tcPr>
            <w:tcW w:w="710" w:type="dxa"/>
            <w:tcBorders>
              <w:bottom w:val="single" w:sz="4" w:space="0" w:color="auto"/>
            </w:tcBorders>
          </w:tcPr>
          <w:p w:rsidR="00DC1575" w:rsidRPr="001E42CA" w:rsidRDefault="00DC1575">
            <w:pPr>
              <w:pStyle w:val="Tabell"/>
              <w:spacing w:before="40" w:after="40"/>
              <w:jc w:val="center"/>
            </w:pPr>
            <w:r w:rsidRPr="001E42CA">
              <w:t>354,0</w:t>
            </w:r>
          </w:p>
        </w:tc>
        <w:tc>
          <w:tcPr>
            <w:tcW w:w="710" w:type="dxa"/>
            <w:tcBorders>
              <w:bottom w:val="single" w:sz="4" w:space="0" w:color="auto"/>
            </w:tcBorders>
          </w:tcPr>
          <w:p w:rsidR="00DC1575" w:rsidRPr="001E42CA" w:rsidRDefault="00DC1575">
            <w:pPr>
              <w:pStyle w:val="Tabell"/>
              <w:spacing w:before="40" w:after="40"/>
              <w:jc w:val="center"/>
            </w:pPr>
            <w:r w:rsidRPr="001E42CA">
              <w:t>857,8</w:t>
            </w:r>
          </w:p>
        </w:tc>
        <w:tc>
          <w:tcPr>
            <w:tcW w:w="710" w:type="dxa"/>
            <w:tcBorders>
              <w:bottom w:val="single" w:sz="4" w:space="0" w:color="auto"/>
            </w:tcBorders>
          </w:tcPr>
          <w:p w:rsidR="00DC1575" w:rsidRPr="001E42CA" w:rsidRDefault="00DC1575">
            <w:pPr>
              <w:pStyle w:val="Tabell"/>
              <w:spacing w:before="40" w:after="40"/>
              <w:jc w:val="center"/>
            </w:pPr>
            <w:r w:rsidRPr="001E42CA">
              <w:t>1071,9</w:t>
            </w:r>
          </w:p>
        </w:tc>
        <w:tc>
          <w:tcPr>
            <w:tcW w:w="710" w:type="dxa"/>
            <w:tcBorders>
              <w:bottom w:val="single" w:sz="4" w:space="0" w:color="auto"/>
            </w:tcBorders>
          </w:tcPr>
          <w:p w:rsidR="00DC1575" w:rsidRPr="001E42CA" w:rsidRDefault="00DC1575">
            <w:pPr>
              <w:pStyle w:val="Tabell"/>
              <w:spacing w:before="40" w:after="40"/>
              <w:jc w:val="center"/>
            </w:pPr>
          </w:p>
        </w:tc>
        <w:tc>
          <w:tcPr>
            <w:tcW w:w="710" w:type="dxa"/>
            <w:tcBorders>
              <w:bottom w:val="single" w:sz="4" w:space="0" w:color="auto"/>
            </w:tcBorders>
          </w:tcPr>
          <w:p w:rsidR="00DC1575" w:rsidRPr="001E42CA" w:rsidRDefault="00DC1575">
            <w:pPr>
              <w:pStyle w:val="Tabell"/>
              <w:spacing w:before="40" w:after="40"/>
              <w:jc w:val="center"/>
            </w:pPr>
          </w:p>
        </w:tc>
        <w:tc>
          <w:tcPr>
            <w:tcW w:w="710" w:type="dxa"/>
            <w:tcBorders>
              <w:bottom w:val="single" w:sz="4" w:space="0" w:color="auto"/>
            </w:tcBorders>
          </w:tcPr>
          <w:p w:rsidR="00DC1575" w:rsidRPr="001E42CA" w:rsidRDefault="00DC1575">
            <w:pPr>
              <w:pStyle w:val="Tabell"/>
              <w:spacing w:before="40" w:after="40"/>
              <w:jc w:val="center"/>
            </w:pPr>
          </w:p>
        </w:tc>
        <w:tc>
          <w:tcPr>
            <w:tcW w:w="710" w:type="dxa"/>
            <w:tcBorders>
              <w:bottom w:val="single" w:sz="4" w:space="0" w:color="auto"/>
            </w:tcBorders>
          </w:tcPr>
          <w:p w:rsidR="00DC1575" w:rsidRPr="001E42CA" w:rsidRDefault="00DC1575">
            <w:pPr>
              <w:pStyle w:val="Tabell"/>
              <w:spacing w:before="40" w:after="40"/>
              <w:jc w:val="center"/>
            </w:pPr>
          </w:p>
        </w:tc>
      </w:tr>
    </w:tbl>
    <w:p w:rsidR="00DC1575" w:rsidRPr="001E42CA" w:rsidRDefault="00DC1575">
      <w:pPr>
        <w:pStyle w:val="Rubrik2"/>
      </w:pPr>
      <w:bookmarkStart w:id="26" w:name="_Toc526302372"/>
      <w:r w:rsidRPr="001E42CA">
        <w:t>Syftet med anslaget</w:t>
      </w:r>
      <w:bookmarkEnd w:id="26"/>
    </w:p>
    <w:p w:rsidR="00DC1575" w:rsidRPr="001E42CA" w:rsidRDefault="00DC1575">
      <w:r w:rsidRPr="001E42CA">
        <w:t>Som framgått ovan infördes anslaget ursprungligen för att tillfälligt hantera problem i samband med införandet av det nya utjämningssystemet för ko</w:t>
      </w:r>
      <w:r w:rsidRPr="001E42CA">
        <w:t>m</w:t>
      </w:r>
      <w:r w:rsidRPr="001E42CA">
        <w:t>munerna. Syftet har sedan dess ändrat karaktär och gått i riktning mot ett stöd till kommuner och landsting som på grund av speciella omständigheter kan hamna i en särskilt svår ekonomisk situation. Detta har i huvudsak hant</w:t>
      </w:r>
      <w:r w:rsidRPr="001E42CA">
        <w:t>e</w:t>
      </w:r>
      <w:r w:rsidRPr="001E42CA">
        <w:t>rats genom stödgivning av:</w:t>
      </w:r>
    </w:p>
    <w:p w:rsidR="00DC1575" w:rsidRPr="001E42CA" w:rsidRDefault="00DC1575">
      <w:pPr>
        <w:pStyle w:val="Normaltindrag"/>
      </w:pPr>
    </w:p>
    <w:p w:rsidR="00DC1575" w:rsidRPr="001E42CA" w:rsidRDefault="00DC1575">
      <w:pPr>
        <w:numPr>
          <w:ilvl w:val="0"/>
          <w:numId w:val="99"/>
        </w:numPr>
        <w:spacing w:before="0"/>
        <w:ind w:left="357" w:hanging="357"/>
      </w:pPr>
      <w:r w:rsidRPr="001E42CA">
        <w:t>regeringen,</w:t>
      </w:r>
    </w:p>
    <w:p w:rsidR="00DC1575" w:rsidRPr="001E42CA" w:rsidRDefault="00DC1575">
      <w:pPr>
        <w:numPr>
          <w:ilvl w:val="0"/>
          <w:numId w:val="99"/>
        </w:numPr>
      </w:pPr>
      <w:r w:rsidRPr="001E42CA">
        <w:t>Kommundelegationen,</w:t>
      </w:r>
    </w:p>
    <w:p w:rsidR="00DC1575" w:rsidRPr="001E42CA" w:rsidRDefault="00DC1575">
      <w:pPr>
        <w:numPr>
          <w:ilvl w:val="0"/>
          <w:numId w:val="99"/>
        </w:numPr>
      </w:pPr>
      <w:r w:rsidRPr="001E42CA">
        <w:t>Bostadsdelegationen.</w:t>
      </w:r>
    </w:p>
    <w:p w:rsidR="00DC1575" w:rsidRPr="001E42CA" w:rsidRDefault="00DC1575">
      <w:pPr>
        <w:pStyle w:val="Normaltindrag"/>
      </w:pPr>
    </w:p>
    <w:p w:rsidR="00DC1575" w:rsidRPr="001E42CA" w:rsidRDefault="00DC1575">
      <w:r w:rsidRPr="001E42CA">
        <w:t>Dessa tre instanser har fördelat drygt 3,7 miljarder kronor till kommuner och landsting med särskilt svåra ekonomiska problem som ansökt om stöd. Detta motsvarar närmare 60 procent av de drygt 6,4 miljarder kronor som fördelats eller avses att fördelas (dvs. för ändamål som hittills är kända). Verksamh</w:t>
      </w:r>
      <w:r w:rsidRPr="001E42CA">
        <w:t>e</w:t>
      </w:r>
      <w:r w:rsidRPr="001E42CA">
        <w:t xml:space="preserve">ten i de tre instanserna beskrivs närmare i kapitel 3. </w:t>
      </w:r>
    </w:p>
    <w:p w:rsidR="00DC1575" w:rsidRPr="001E42CA" w:rsidRDefault="00DC1575">
      <w:pPr>
        <w:pStyle w:val="Normaltindrag"/>
      </w:pPr>
      <w:r w:rsidRPr="001E42CA">
        <w:t>Anslaget har dock även utnyttjats för ett flertal andra användningsomr</w:t>
      </w:r>
      <w:r w:rsidRPr="001E42CA">
        <w:t>å</w:t>
      </w:r>
      <w:r w:rsidRPr="001E42CA">
        <w:t>den. Ungefär 2,7 miljarder kronor har fördelats till andra ändamål, punkterna 4–13 i Tabell 2.2. Ändamålen har en mycket splittrad inriktning och kan knappast i sin helhet ses som stöd till kommuner och landsting som av spec</w:t>
      </w:r>
      <w:r w:rsidRPr="001E42CA">
        <w:t>i</w:t>
      </w:r>
      <w:r w:rsidRPr="001E42CA">
        <w:t>ella omständigheter hamnat i en särskilt svår ekonomisk situation. Ändam</w:t>
      </w:r>
      <w:r w:rsidRPr="001E42CA">
        <w:t>å</w:t>
      </w:r>
      <w:r w:rsidRPr="001E42CA">
        <w:t>len redovisas närmare i bilaga 1.</w:t>
      </w:r>
    </w:p>
    <w:p w:rsidR="00DC1575" w:rsidRPr="001E42CA" w:rsidRDefault="00DC1575">
      <w:pPr>
        <w:pStyle w:val="Normaltindrag"/>
      </w:pPr>
    </w:p>
    <w:p w:rsidR="00DC1575" w:rsidRPr="001E42CA" w:rsidRDefault="00DC1575">
      <w:pPr>
        <w:pStyle w:val="Tabellrubrik"/>
      </w:pPr>
      <w:r w:rsidRPr="001E42CA">
        <w:t>Tabell 2.2 Anslagets fördelning på olika ändamål 1996–2002</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189"/>
        <w:gridCol w:w="2847"/>
      </w:tblGrid>
      <w:tr w:rsidR="00000000" w:rsidRPr="001E42CA">
        <w:tblPrEx>
          <w:tblCellMar>
            <w:top w:w="0" w:type="dxa"/>
            <w:bottom w:w="0" w:type="dxa"/>
          </w:tblCellMar>
        </w:tblPrEx>
        <w:tc>
          <w:tcPr>
            <w:tcW w:w="3189" w:type="dxa"/>
            <w:tcBorders>
              <w:top w:val="single" w:sz="4" w:space="0" w:color="auto"/>
              <w:bottom w:val="single" w:sz="4" w:space="0" w:color="auto"/>
            </w:tcBorders>
          </w:tcPr>
          <w:p w:rsidR="00DC1575" w:rsidRPr="001E42CA" w:rsidRDefault="00DC1575">
            <w:pPr>
              <w:pStyle w:val="Tabell"/>
              <w:spacing w:before="40" w:after="40"/>
            </w:pPr>
          </w:p>
        </w:tc>
        <w:tc>
          <w:tcPr>
            <w:tcW w:w="2847" w:type="dxa"/>
            <w:tcBorders>
              <w:top w:val="single" w:sz="4" w:space="0" w:color="auto"/>
              <w:bottom w:val="single" w:sz="4" w:space="0" w:color="auto"/>
            </w:tcBorders>
          </w:tcPr>
          <w:p w:rsidR="00DC1575" w:rsidRPr="001E42CA" w:rsidRDefault="00DC1575">
            <w:pPr>
              <w:pStyle w:val="Tabell"/>
              <w:spacing w:before="40" w:after="40"/>
              <w:jc w:val="center"/>
            </w:pP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Regeringsbeslut efter särskild ansökan</w:t>
            </w:r>
          </w:p>
        </w:tc>
        <w:tc>
          <w:tcPr>
            <w:tcW w:w="2847" w:type="dxa"/>
          </w:tcPr>
          <w:p w:rsidR="00DC1575" w:rsidRPr="001E42CA" w:rsidRDefault="00DC1575">
            <w:pPr>
              <w:pStyle w:val="Tabell"/>
              <w:spacing w:before="40" w:after="40"/>
              <w:jc w:val="center"/>
            </w:pPr>
            <w:r w:rsidRPr="001E42CA">
              <w:t xml:space="preserve">  333,0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Regeringsbeslut som beretts av Ko</w:t>
            </w:r>
            <w:r w:rsidRPr="001E42CA">
              <w:t>m</w:t>
            </w:r>
            <w:r w:rsidRPr="001E42CA">
              <w:t>mu</w:t>
            </w:r>
            <w:r w:rsidRPr="001E42CA">
              <w:t>n</w:t>
            </w:r>
            <w:r w:rsidRPr="001E42CA">
              <w:t>delegationen</w:t>
            </w:r>
          </w:p>
        </w:tc>
        <w:tc>
          <w:tcPr>
            <w:tcW w:w="2847" w:type="dxa"/>
          </w:tcPr>
          <w:p w:rsidR="00DC1575" w:rsidRPr="001E42CA" w:rsidRDefault="00DC1575">
            <w:pPr>
              <w:pStyle w:val="Tabell"/>
              <w:spacing w:before="40" w:after="40"/>
              <w:jc w:val="center"/>
            </w:pPr>
            <w:r w:rsidRPr="001E42CA">
              <w:t>1332,3</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Bostadsdelegationen</w:t>
            </w:r>
          </w:p>
        </w:tc>
        <w:tc>
          <w:tcPr>
            <w:tcW w:w="2847" w:type="dxa"/>
          </w:tcPr>
          <w:p w:rsidR="00DC1575" w:rsidRPr="001E42CA" w:rsidRDefault="00DC1575">
            <w:pPr>
              <w:pStyle w:val="Tabell"/>
              <w:spacing w:before="40" w:after="40"/>
              <w:jc w:val="center"/>
            </w:pPr>
            <w:r w:rsidRPr="001E42CA">
              <w:t>2060,0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Omstruktureringsprojekt</w:t>
            </w:r>
          </w:p>
        </w:tc>
        <w:tc>
          <w:tcPr>
            <w:tcW w:w="2847" w:type="dxa"/>
          </w:tcPr>
          <w:p w:rsidR="00DC1575" w:rsidRPr="001E42CA" w:rsidRDefault="00DC1575">
            <w:pPr>
              <w:pStyle w:val="Tabell"/>
              <w:spacing w:before="40" w:after="40"/>
              <w:jc w:val="center"/>
            </w:pPr>
            <w:r w:rsidRPr="001E42CA">
              <w:t xml:space="preserve">  200,0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Flyktingkostnader</w:t>
            </w:r>
          </w:p>
        </w:tc>
        <w:tc>
          <w:tcPr>
            <w:tcW w:w="2847" w:type="dxa"/>
          </w:tcPr>
          <w:p w:rsidR="00DC1575" w:rsidRPr="001E42CA" w:rsidRDefault="00DC1575">
            <w:pPr>
              <w:pStyle w:val="Tabell"/>
              <w:spacing w:before="40" w:after="40"/>
              <w:jc w:val="center"/>
            </w:pPr>
            <w:r w:rsidRPr="001E42CA">
              <w:t xml:space="preserve">  650,0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Hiv/aidsverksamhet</w:t>
            </w:r>
          </w:p>
        </w:tc>
        <w:tc>
          <w:tcPr>
            <w:tcW w:w="2847" w:type="dxa"/>
          </w:tcPr>
          <w:p w:rsidR="00DC1575" w:rsidRPr="001E42CA" w:rsidRDefault="00DC1575">
            <w:pPr>
              <w:pStyle w:val="Tabell"/>
              <w:spacing w:before="40" w:after="40"/>
              <w:jc w:val="center"/>
            </w:pPr>
            <w:r w:rsidRPr="001E42CA">
              <w:t xml:space="preserve">  342,0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Översvämningarna i juli 2000</w:t>
            </w:r>
          </w:p>
        </w:tc>
        <w:tc>
          <w:tcPr>
            <w:tcW w:w="2847" w:type="dxa"/>
          </w:tcPr>
          <w:p w:rsidR="00DC1575" w:rsidRPr="001E42CA" w:rsidRDefault="00DC1575">
            <w:pPr>
              <w:pStyle w:val="Tabell"/>
              <w:spacing w:before="40" w:after="40"/>
              <w:jc w:val="center"/>
            </w:pPr>
            <w:r w:rsidRPr="001E42CA">
              <w:t xml:space="preserve">  100,0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Andra katastrofer (diskotekbranden i Göt</w:t>
            </w:r>
            <w:r w:rsidRPr="001E42CA">
              <w:t>e</w:t>
            </w:r>
            <w:r w:rsidRPr="001E42CA">
              <w:t>borg och raset i Vagnhärad)</w:t>
            </w:r>
          </w:p>
        </w:tc>
        <w:tc>
          <w:tcPr>
            <w:tcW w:w="2847" w:type="dxa"/>
          </w:tcPr>
          <w:p w:rsidR="00DC1575" w:rsidRPr="001E42CA" w:rsidRDefault="00DC1575">
            <w:pPr>
              <w:pStyle w:val="Tabell"/>
              <w:spacing w:before="40" w:after="40"/>
              <w:jc w:val="center"/>
            </w:pPr>
            <w:r w:rsidRPr="001E42CA">
              <w:t xml:space="preserve">    96,0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Kommunkontosystemet</w:t>
            </w:r>
          </w:p>
        </w:tc>
        <w:tc>
          <w:tcPr>
            <w:tcW w:w="2847" w:type="dxa"/>
          </w:tcPr>
          <w:p w:rsidR="00DC1575" w:rsidRPr="001E42CA" w:rsidRDefault="00DC1575">
            <w:pPr>
              <w:pStyle w:val="Tabell"/>
              <w:spacing w:before="40" w:after="40"/>
              <w:jc w:val="center"/>
            </w:pPr>
            <w:r w:rsidRPr="001E42CA">
              <w:t xml:space="preserve">      1,5</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Omställningsbidrag för landsting</w:t>
            </w:r>
          </w:p>
        </w:tc>
        <w:tc>
          <w:tcPr>
            <w:tcW w:w="2847" w:type="dxa"/>
          </w:tcPr>
          <w:p w:rsidR="00DC1575" w:rsidRPr="001E42CA" w:rsidRDefault="00DC1575">
            <w:pPr>
              <w:pStyle w:val="Tabell"/>
              <w:spacing w:before="40" w:after="40"/>
              <w:jc w:val="center"/>
            </w:pPr>
            <w:r w:rsidRPr="001E42CA">
              <w:t xml:space="preserve">  300,0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Stöd och service till funktionshindrade</w:t>
            </w:r>
          </w:p>
        </w:tc>
        <w:tc>
          <w:tcPr>
            <w:tcW w:w="2847" w:type="dxa"/>
          </w:tcPr>
          <w:p w:rsidR="00DC1575" w:rsidRPr="001E42CA" w:rsidRDefault="00DC1575">
            <w:pPr>
              <w:pStyle w:val="Tabell"/>
              <w:spacing w:before="40" w:after="40"/>
              <w:jc w:val="center"/>
            </w:pPr>
            <w:r w:rsidRPr="001E42CA">
              <w:t xml:space="preserve">  900,0</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Konsumentåtgärder</w:t>
            </w:r>
          </w:p>
        </w:tc>
        <w:tc>
          <w:tcPr>
            <w:tcW w:w="2847" w:type="dxa"/>
          </w:tcPr>
          <w:p w:rsidR="00DC1575" w:rsidRPr="001E42CA" w:rsidRDefault="00DC1575">
            <w:pPr>
              <w:pStyle w:val="Tabell"/>
              <w:spacing w:before="40" w:after="40"/>
              <w:jc w:val="center"/>
            </w:pPr>
            <w:r w:rsidRPr="001E42CA">
              <w:t xml:space="preserve">    23,8</w:t>
            </w:r>
          </w:p>
        </w:tc>
      </w:tr>
      <w:tr w:rsidR="00000000" w:rsidRPr="001E42CA">
        <w:tblPrEx>
          <w:tblCellMar>
            <w:top w:w="0" w:type="dxa"/>
            <w:bottom w:w="0" w:type="dxa"/>
          </w:tblCellMar>
        </w:tblPrEx>
        <w:tc>
          <w:tcPr>
            <w:tcW w:w="3189" w:type="dxa"/>
          </w:tcPr>
          <w:p w:rsidR="00DC1575" w:rsidRPr="001E42CA" w:rsidRDefault="00DC1575">
            <w:pPr>
              <w:pStyle w:val="Tabell"/>
              <w:numPr>
                <w:ilvl w:val="0"/>
                <w:numId w:val="100"/>
              </w:numPr>
              <w:spacing w:before="40" w:after="40"/>
            </w:pPr>
            <w:r w:rsidRPr="001E42CA">
              <w:t>Nedläggningar i försvaret</w:t>
            </w:r>
          </w:p>
        </w:tc>
        <w:tc>
          <w:tcPr>
            <w:tcW w:w="2847" w:type="dxa"/>
          </w:tcPr>
          <w:p w:rsidR="00DC1575" w:rsidRPr="001E42CA" w:rsidRDefault="00DC1575">
            <w:pPr>
              <w:pStyle w:val="Tabell"/>
              <w:spacing w:before="40" w:after="40"/>
              <w:jc w:val="center"/>
            </w:pPr>
            <w:r w:rsidRPr="001E42CA">
              <w:t xml:space="preserve">    95,4</w:t>
            </w:r>
          </w:p>
        </w:tc>
      </w:tr>
      <w:tr w:rsidR="00000000" w:rsidRPr="001E42CA">
        <w:tblPrEx>
          <w:tblCellMar>
            <w:top w:w="0" w:type="dxa"/>
            <w:bottom w:w="0" w:type="dxa"/>
          </w:tblCellMar>
        </w:tblPrEx>
        <w:tc>
          <w:tcPr>
            <w:tcW w:w="3189" w:type="dxa"/>
            <w:tcBorders>
              <w:bottom w:val="single" w:sz="4" w:space="0" w:color="auto"/>
            </w:tcBorders>
          </w:tcPr>
          <w:p w:rsidR="00DC1575" w:rsidRPr="001E42CA" w:rsidRDefault="00DC1575">
            <w:pPr>
              <w:pStyle w:val="Tabell"/>
              <w:spacing w:before="40" w:after="40"/>
            </w:pPr>
            <w:r w:rsidRPr="001E42CA">
              <w:t>Summa</w:t>
            </w:r>
          </w:p>
        </w:tc>
        <w:tc>
          <w:tcPr>
            <w:tcW w:w="2847" w:type="dxa"/>
            <w:tcBorders>
              <w:bottom w:val="single" w:sz="4" w:space="0" w:color="auto"/>
            </w:tcBorders>
          </w:tcPr>
          <w:p w:rsidR="00DC1575" w:rsidRPr="001E42CA" w:rsidRDefault="00DC1575">
            <w:pPr>
              <w:pStyle w:val="Tabell"/>
              <w:spacing w:before="40" w:after="40"/>
              <w:jc w:val="center"/>
            </w:pPr>
            <w:r w:rsidRPr="001E42CA">
              <w:t>6434,0</w:t>
            </w:r>
          </w:p>
        </w:tc>
      </w:tr>
    </w:tbl>
    <w:p w:rsidR="00DC1575" w:rsidRPr="001E42CA" w:rsidRDefault="00DC1575">
      <w:pPr>
        <w:pStyle w:val="Rubrik2"/>
      </w:pPr>
      <w:bookmarkStart w:id="27" w:name="_Toc526302373"/>
      <w:r w:rsidRPr="001E42CA">
        <w:t>Finansiering</w:t>
      </w:r>
      <w:bookmarkEnd w:id="27"/>
    </w:p>
    <w:p w:rsidR="00DC1575" w:rsidRPr="001E42CA" w:rsidRDefault="00DC1575">
      <w:r w:rsidRPr="001E42CA">
        <w:t>Anslaget har finansierats med medel som i annan form skulle ha överförts till kommuner och landsting. Det gäller medel som enligt tidigare beslut skulle återföras till kommunerna som en kompensation för införandet av en allmän löneavgift samt höjningen av de särskilda löneska</w:t>
      </w:r>
      <w:r w:rsidRPr="001E42CA">
        <w:t>t</w:t>
      </w:r>
      <w:r w:rsidRPr="001E42CA">
        <w:t>terna för att finansiera EU-avgiften. Vidare har en viss del av de höjda statsbidragen avsatts för särski</w:t>
      </w:r>
      <w:r w:rsidRPr="001E42CA">
        <w:t>l</w:t>
      </w:r>
      <w:r w:rsidRPr="001E42CA">
        <w:t xml:space="preserve">da insatser. </w:t>
      </w:r>
    </w:p>
    <w:p w:rsidR="00DC1575" w:rsidRPr="001E42CA" w:rsidRDefault="00DC1575">
      <w:pPr>
        <w:pStyle w:val="Rubrik2"/>
      </w:pPr>
      <w:bookmarkStart w:id="28" w:name="_Toc526302374"/>
      <w:r w:rsidRPr="001E42CA">
        <w:t>Riksdagens behandling</w:t>
      </w:r>
      <w:bookmarkEnd w:id="28"/>
    </w:p>
    <w:p w:rsidR="00DC1575" w:rsidRPr="001E42CA" w:rsidRDefault="00DC1575">
      <w:r w:rsidRPr="001E42CA">
        <w:t>I samband med behandlingen av budgetpropositionen för 2001 uttalade f</w:t>
      </w:r>
      <w:r w:rsidRPr="001E42CA">
        <w:t>i</w:t>
      </w:r>
      <w:r w:rsidRPr="001E42CA">
        <w:t>nansutskottet följande:</w:t>
      </w:r>
    </w:p>
    <w:p w:rsidR="00DC1575" w:rsidRPr="001E42CA" w:rsidRDefault="00DC1575">
      <w:pPr>
        <w:pStyle w:val="Citat"/>
      </w:pPr>
      <w:r w:rsidRPr="001E42CA">
        <w:t>Även om en förbättring av kommunsektorns ekonomi i stort kan förutses för de närmaste åren är utskottet väl medvetet om att vissa kommuner och landsting under en övergångsperiod kommer att ha en svår ekonomisk situ</w:t>
      </w:r>
      <w:r w:rsidRPr="001E42CA">
        <w:t>a</w:t>
      </w:r>
      <w:r w:rsidRPr="001E42CA">
        <w:t>tion. Utskottet delar därför regeringens bedömning att det finns behov av särskilda medel för att bl.a. stödja kommuner med stora åtaganden för boe</w:t>
      </w:r>
      <w:r w:rsidRPr="001E42CA">
        <w:t>n</w:t>
      </w:r>
      <w:r w:rsidRPr="001E42CA">
        <w:t>det...   ...Utskottet kan i likhet med regeringen konstatera att det finns ett antal kommuner och landsting som till följd av främst strukturella orsaker har hamnat i en särskilt svår ekonomisk situation och därför har svårigheter att klara balanskravet. Dessa problem kan på kort sikt knappast lösas inom ramen för det kommunala utjämningssystemet. Det är mot de</w:t>
      </w:r>
      <w:r w:rsidRPr="001E42CA">
        <w:t>nna bakgrund som det kan finnas behov av medel för särskilt stöd. För att bedöma behovet av stöd och vilka villkor som skall ställas måste en individuell prövning göras i varje enskilt fall, vilken innefattar en ingående analys av den sökande kommunens eller landstingets ekonomiska situation och en överläggning med kommunen/landstinget om vilka åtgärder som bör vidtas. För att bereda ansökningar om stöd inrättade regeringen Kommundelegationen. Grunderna för bidragsgivningen finns fastlagda i delegationens d</w:t>
      </w:r>
      <w:r w:rsidRPr="001E42CA">
        <w:t xml:space="preserve">irektiv. </w:t>
      </w:r>
    </w:p>
    <w:p w:rsidR="00DC1575" w:rsidRPr="001E42CA" w:rsidRDefault="00DC1575">
      <w:r w:rsidRPr="001E42CA">
        <w:t>I samma betänkande diskuterades också ett alternativt anslag i samband med finansutskottets behandling av åtgärder med anledning av översvämningarna i Mellansverige. Det hade väckts krav på att ett nytt anslag skulle inrättas för insatser vid allvarliga händelser av nationell betydelse. Enligt utskottets mening borde situationer av detta slag kunna hanteras inom ramen för den befintliga statsbudgeten och den flexibilitet som nuvarande anslagssystem medger, t.ex. genom utnyttjande av anslagssparand</w:t>
      </w:r>
      <w:r w:rsidRPr="001E42CA">
        <w:t>e eller anslagskrediter. En bättre lösning än den motionärerna förordade ansågs vara att på redan tillä</w:t>
      </w:r>
      <w:r w:rsidRPr="001E42CA">
        <w:t>m</w:t>
      </w:r>
      <w:r w:rsidRPr="001E42CA">
        <w:t>pat sätt utnyttja anslaget Bidrag till särskilda insatser i vissa kommuner och landsting för insatser av detta slag. Utskottet avstyrkte motionen och riksd</w:t>
      </w:r>
      <w:r w:rsidRPr="001E42CA">
        <w:t>a</w:t>
      </w:r>
      <w:r w:rsidRPr="001E42CA">
        <w:t xml:space="preserve">gen beslutade i enlighet med utskottets förslag. </w:t>
      </w:r>
    </w:p>
    <w:p w:rsidR="00DC1575" w:rsidRPr="001E42CA" w:rsidRDefault="00DC1575">
      <w:pPr>
        <w:pStyle w:val="Rubrik2"/>
      </w:pPr>
      <w:bookmarkStart w:id="29" w:name="_Toc526302375"/>
      <w:r w:rsidRPr="001E42CA">
        <w:t>Sammanfattning</w:t>
      </w:r>
      <w:bookmarkEnd w:id="29"/>
    </w:p>
    <w:p w:rsidR="00DC1575" w:rsidRPr="001E42CA" w:rsidRDefault="00DC1575">
      <w:r w:rsidRPr="001E42CA">
        <w:t>Sammanfattningsvis förefaller syftet med anslaget i viss mån ha ändrat k</w:t>
      </w:r>
      <w:r w:rsidRPr="001E42CA">
        <w:t>a</w:t>
      </w:r>
      <w:r w:rsidRPr="001E42CA">
        <w:t>raktär. Anslaget infördes ursprungligen för att hantera problem i samband med det nya utjämningssystemet. Det har senare utnyttjats bl.a. för omstru</w:t>
      </w:r>
      <w:r w:rsidRPr="001E42CA">
        <w:t>k</w:t>
      </w:r>
      <w:r w:rsidRPr="001E42CA">
        <w:t>tureringsprojekt, för flyktingkostnader, för bidrag till kommuner och land</w:t>
      </w:r>
      <w:r w:rsidRPr="001E42CA">
        <w:t>s</w:t>
      </w:r>
      <w:r w:rsidRPr="001E42CA">
        <w:t>ting för förebyggande hiv/aidsverksamhet, som ett stöd till kommuner med övermäktiga åtaganden för boendet och för åtgärder i syfte att uppnå det lagstadgade balanskravet för kommuner och landsting. Det har därmed fått karaktären av ett permanent anslag från att från början ha varit avs</w:t>
      </w:r>
      <w:r w:rsidRPr="001E42CA">
        <w:t>ett som ett temporärt stöd. Det förefaller vidare som att endast en liten del, eller mindre än 5 procent (omstrukteringsprojekt, se Tabell 2.2), av anslaget utnyttjats för dess ursprungliga syfte.</w:t>
      </w:r>
    </w:p>
    <w:p w:rsidR="00DC1575" w:rsidRPr="001E42CA" w:rsidRDefault="00DC1575">
      <w:pPr>
        <w:pStyle w:val="Rubrik1"/>
      </w:pPr>
      <w:r w:rsidRPr="001E42CA">
        <w:br w:type="page"/>
      </w:r>
      <w:bookmarkStart w:id="30" w:name="_Toc526302376"/>
      <w:r w:rsidRPr="001E42CA">
        <w:t>Organisation och handläggning</w:t>
      </w:r>
      <w:bookmarkEnd w:id="30"/>
    </w:p>
    <w:p w:rsidR="00DC1575" w:rsidRPr="001E42CA" w:rsidRDefault="00DC1575">
      <w:r w:rsidRPr="001E42CA">
        <w:t>Handläggning och/eller beredning av ärenden har genomförts i tre olika instanser: regeringen, Kommundelegationen och Bostadsdelegationen. A</w:t>
      </w:r>
      <w:r w:rsidRPr="001E42CA">
        <w:t>v</w:t>
      </w:r>
      <w:r w:rsidRPr="001E42CA">
        <w:t>sikten med detta kapitel är att översiktligt redovisa verksamheten i dessa tre insta</w:t>
      </w:r>
      <w:r w:rsidRPr="001E42CA">
        <w:t>n</w:t>
      </w:r>
      <w:r w:rsidRPr="001E42CA">
        <w:t>ser.</w:t>
      </w:r>
    </w:p>
    <w:p w:rsidR="00DC1575" w:rsidRPr="001E42CA" w:rsidRDefault="00DC1575">
      <w:pPr>
        <w:pStyle w:val="Normaltindrag"/>
      </w:pPr>
      <w:r w:rsidRPr="001E42CA">
        <w:t>Avsnitt 3.1 innehåller en genomgång av regeringens verksamhet. I avsnitt 3.2 redovisas Kommundelegationens verksamhet. Förutom organisation och arbetssätt ges en kort bakgrund till dess tillkomst och dess uppdrag. Avsnitt 3.3 inn</w:t>
      </w:r>
      <w:r w:rsidRPr="001E42CA">
        <w:t>e</w:t>
      </w:r>
      <w:r w:rsidRPr="001E42CA">
        <w:t>håller motsvarande uppgifter för Bostadsdelegationen.</w:t>
      </w:r>
    </w:p>
    <w:p w:rsidR="00DC1575" w:rsidRPr="001E42CA" w:rsidRDefault="00DC1575">
      <w:pPr>
        <w:pStyle w:val="Rubrik2"/>
      </w:pPr>
      <w:bookmarkStart w:id="31" w:name="_Toc526302377"/>
      <w:r w:rsidRPr="001E42CA">
        <w:t>Regeringen</w:t>
      </w:r>
      <w:bookmarkEnd w:id="31"/>
    </w:p>
    <w:p w:rsidR="00DC1575" w:rsidRPr="001E42CA" w:rsidRDefault="00DC1575">
      <w:r w:rsidRPr="001E42CA">
        <w:t>Anslaget inrättades som tidigare nämnts för regeringens disposition. Ärenden med anknytning till anslaget bereddes fram till och med juni 1996 vid enh</w:t>
      </w:r>
      <w:r w:rsidRPr="001E42CA">
        <w:t>e</w:t>
      </w:r>
      <w:r w:rsidRPr="001E42CA">
        <w:t>ten för kommunal ekonomi vid Finansdepartementet. Ansvaret för bere</w:t>
      </w:r>
      <w:r w:rsidRPr="001E42CA">
        <w:t>d</w:t>
      </w:r>
      <w:r w:rsidRPr="001E42CA">
        <w:t>ningen överfördes därefter till Inrikesdepartementet och har från och med den 1 januari 1999 återigen placerats vid Finansdepa</w:t>
      </w:r>
      <w:r w:rsidRPr="001E42CA">
        <w:t>r</w:t>
      </w:r>
      <w:r w:rsidRPr="001E42CA">
        <w:t xml:space="preserve">tementet. </w:t>
      </w:r>
    </w:p>
    <w:p w:rsidR="00DC1575" w:rsidRPr="001E42CA" w:rsidRDefault="00DC1575">
      <w:pPr>
        <w:pStyle w:val="R3"/>
      </w:pPr>
      <w:r w:rsidRPr="001E42CA">
        <w:t>Hanteringen</w:t>
      </w:r>
    </w:p>
    <w:p w:rsidR="00DC1575" w:rsidRPr="001E42CA" w:rsidRDefault="00DC1575">
      <w:r w:rsidRPr="001E42CA">
        <w:t>Regeringens hantering av bidraget till särskilda insatser regleras inte genom någon förordning (det är endast Bostadsdelegationens verksamhet som regl</w:t>
      </w:r>
      <w:r w:rsidRPr="001E42CA">
        <w:t>e</w:t>
      </w:r>
      <w:r w:rsidRPr="001E42CA">
        <w:t>ras genom förordningar, se avsnitt 3.3). Ansökan om stöd från enskilda kommuner och landsting, och som inte överlämnats till någon delegation, har analyserats mot bakgrund av kommunens eller landstingets ekonomiska utveckling och andra variabler som t.ex. kostnadsnivå, arbetslöshet, dem</w:t>
      </w:r>
      <w:r w:rsidRPr="001E42CA">
        <w:t>o</w:t>
      </w:r>
      <w:r w:rsidRPr="001E42CA">
        <w:t>grafi och vakansgrad i bostadsbeståndet (enligt uppgift har konsulter anlitats för vissa analyser). Det har gjorts bedömningar av styrförmåga, vilka åtgä</w:t>
      </w:r>
      <w:r w:rsidRPr="001E42CA">
        <w:t>r</w:t>
      </w:r>
      <w:r w:rsidRPr="001E42CA">
        <w:t>der som vidtagits, vilka åtgärder som den sökande är beredd att vidta</w:t>
      </w:r>
      <w:r w:rsidRPr="001E42CA">
        <w:t>, bu</w:t>
      </w:r>
      <w:r w:rsidRPr="001E42CA">
        <w:t>d</w:t>
      </w:r>
      <w:r w:rsidRPr="001E42CA">
        <w:t>getdisciplin etc. Stöd har enligt uppgift enbart lämnats till kommuner eller landsting vars ekonomi har varit anmärkningsvärt dålig. Besluten om stöd har varit förenade med olika former av villkor. Det kan t.ex. gälla krav att kommunen ska upprätta en plan som beskriver de åtgärder som kommunen själv kommer att vidta för att nå en ekonomi i balans senast 2000. Vidtagna åtgärder och effekterna av dessa ska sedan redovisas till r</w:t>
      </w:r>
      <w:r w:rsidRPr="001E42CA">
        <w:t>e</w:t>
      </w:r>
      <w:r w:rsidRPr="001E42CA">
        <w:t>geringen.</w:t>
      </w:r>
    </w:p>
    <w:p w:rsidR="00DC1575" w:rsidRPr="001E42CA" w:rsidRDefault="00DC1575">
      <w:pPr>
        <w:pStyle w:val="R3"/>
      </w:pPr>
      <w:r w:rsidRPr="001E42CA">
        <w:t>Kommuner och landsting som sökt stöd</w:t>
      </w:r>
    </w:p>
    <w:p w:rsidR="00DC1575" w:rsidRPr="001E42CA" w:rsidRDefault="00DC1575">
      <w:r w:rsidRPr="001E42CA">
        <w:t>Regeringen har från 1996 fram till och med 2000 tagit emot 174 ansökningar (exklusive ansökningar för flyktingkostnader, katastrofinsatser etc.) från kommuner och landsting om bidrag för särskilda insatser (flera har ansökt mer än en gång, totalt har 112 kommuner och 9 landsting ansökt). Efter prövning av varje enskilt fall har regeringen fattat beslut om bidrag till 12 kommuner, medan 48 kommuner och landsting har fått avslag. Regeringen har överlämnat 68 ansökningar till Bostadsdelegationen och 42 ansökn</w:t>
      </w:r>
      <w:r w:rsidRPr="001E42CA">
        <w:t>ingar till Kommundelegationen (ytterligare 24 ansökningar har behandlats i sa</w:t>
      </w:r>
      <w:r w:rsidRPr="001E42CA">
        <w:t>m</w:t>
      </w:r>
      <w:r w:rsidRPr="001E42CA">
        <w:t>råd med Bostadsdelegationen). 4 ansökningar har a</w:t>
      </w:r>
      <w:r w:rsidRPr="001E42CA">
        <w:t>v</w:t>
      </w:r>
      <w:r w:rsidRPr="001E42CA">
        <w:t xml:space="preserve">skrivits. </w:t>
      </w:r>
    </w:p>
    <w:p w:rsidR="00DC1575" w:rsidRPr="001E42CA" w:rsidRDefault="00DC1575">
      <w:pPr>
        <w:pStyle w:val="Normaltindrag"/>
      </w:pPr>
      <w:r w:rsidRPr="001E42CA">
        <w:t>Regeringen har fattat beslut om bidrag på drygt 333 miljoner kronor till kommuner som ansökt om särskilt stöd innan de bägge delegationerna inrä</w:t>
      </w:r>
      <w:r w:rsidRPr="001E42CA">
        <w:t>t</w:t>
      </w:r>
      <w:r w:rsidRPr="001E42CA">
        <w:t>tades. Kommundelegationens förslag behandlades av regeringen under hö</w:t>
      </w:r>
      <w:r w:rsidRPr="001E42CA">
        <w:t>s</w:t>
      </w:r>
      <w:r w:rsidRPr="001E42CA">
        <w:t xml:space="preserve">ten 2000. Regeringen beslöt att fördela drygt 1,3 miljarder kronor till 36 kommuner och 5 landsting, medan 25 kommuner fick avslag. </w:t>
      </w:r>
    </w:p>
    <w:p w:rsidR="00DC1575" w:rsidRPr="001E42CA" w:rsidRDefault="00DC1575">
      <w:pPr>
        <w:pStyle w:val="Normaltindrag"/>
      </w:pPr>
      <w:r w:rsidRPr="001E42CA">
        <w:t>Regeringen har också direkt fördelat eller avser att fördela ca 2 485 milj</w:t>
      </w:r>
      <w:r w:rsidRPr="001E42CA">
        <w:t>o</w:t>
      </w:r>
      <w:r w:rsidRPr="001E42CA">
        <w:t>ner kronor för andra ändamål (Tabell 3.1). Sammantaget har regeringen fattat eller avser att fatta beslut om stöd för drygt 4 150 miljoner kronor. Merpa</w:t>
      </w:r>
      <w:r w:rsidRPr="001E42CA">
        <w:t>r</w:t>
      </w:r>
      <w:r w:rsidRPr="001E42CA">
        <w:t>ten, eller ca 60 procent, avser hittills ändamål som inte explicit avser ko</w:t>
      </w:r>
      <w:r w:rsidRPr="001E42CA">
        <w:t>m</w:t>
      </w:r>
      <w:r w:rsidRPr="001E42CA">
        <w:t>muner med särskilt svåra ekonomiska problem.</w:t>
      </w:r>
    </w:p>
    <w:p w:rsidR="00DC1575" w:rsidRPr="001E42CA" w:rsidRDefault="00DC1575">
      <w:pPr>
        <w:pStyle w:val="Normaltindrag"/>
      </w:pPr>
    </w:p>
    <w:p w:rsidR="00DC1575" w:rsidRPr="001E42CA" w:rsidRDefault="00DC1575">
      <w:pPr>
        <w:pStyle w:val="Tabellrubrik"/>
      </w:pPr>
      <w:r w:rsidRPr="001E42CA">
        <w:t>Tabell 3.1 Medel som fördelats eller avses att fördelas av regeringen 1996–2002</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843"/>
      </w:tblGrid>
      <w:tr w:rsidR="00000000" w:rsidRPr="001E42CA">
        <w:tblPrEx>
          <w:tblCellMar>
            <w:top w:w="0" w:type="dxa"/>
            <w:bottom w:w="0" w:type="dxa"/>
          </w:tblCellMar>
        </w:tblPrEx>
        <w:tc>
          <w:tcPr>
            <w:tcW w:w="4181" w:type="dxa"/>
            <w:tcBorders>
              <w:top w:val="single" w:sz="4" w:space="0" w:color="auto"/>
              <w:bottom w:val="single" w:sz="4" w:space="0" w:color="auto"/>
            </w:tcBorders>
          </w:tcPr>
          <w:p w:rsidR="00DC1575" w:rsidRPr="001E42CA" w:rsidRDefault="00DC1575">
            <w:pPr>
              <w:pStyle w:val="Tabell"/>
              <w:spacing w:before="40" w:after="40"/>
              <w:jc w:val="left"/>
            </w:pPr>
          </w:p>
        </w:tc>
        <w:tc>
          <w:tcPr>
            <w:tcW w:w="1843" w:type="dxa"/>
            <w:tcBorders>
              <w:top w:val="single" w:sz="4" w:space="0" w:color="auto"/>
              <w:bottom w:val="single" w:sz="4" w:space="0" w:color="auto"/>
            </w:tcBorders>
          </w:tcPr>
          <w:p w:rsidR="00DC1575" w:rsidRPr="001E42CA" w:rsidRDefault="00DC1575">
            <w:pPr>
              <w:pStyle w:val="Tabell"/>
              <w:spacing w:before="40" w:after="40"/>
              <w:jc w:val="center"/>
            </w:pPr>
            <w:r w:rsidRPr="001E42CA">
              <w:t>Bidrag (mkr)</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Beslut efter särskild ans</w:t>
            </w:r>
            <w:r w:rsidRPr="001E42CA">
              <w:t>ö</w:t>
            </w:r>
            <w:r w:rsidRPr="001E42CA">
              <w:t>kan</w:t>
            </w:r>
          </w:p>
        </w:tc>
        <w:tc>
          <w:tcPr>
            <w:tcW w:w="1843" w:type="dxa"/>
          </w:tcPr>
          <w:p w:rsidR="00DC1575" w:rsidRPr="001E42CA" w:rsidRDefault="00DC1575">
            <w:pPr>
              <w:pStyle w:val="Tabell"/>
              <w:spacing w:before="40" w:after="40"/>
              <w:jc w:val="center"/>
            </w:pPr>
            <w:r w:rsidRPr="001E42CA">
              <w:t xml:space="preserve">  333,0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Ansökningar som har beretts av Kommundelegati</w:t>
            </w:r>
            <w:r w:rsidRPr="001E42CA">
              <w:t>o</w:t>
            </w:r>
            <w:r w:rsidRPr="001E42CA">
              <w:t>nen</w:t>
            </w:r>
          </w:p>
        </w:tc>
        <w:tc>
          <w:tcPr>
            <w:tcW w:w="1843" w:type="dxa"/>
          </w:tcPr>
          <w:p w:rsidR="00DC1575" w:rsidRPr="001E42CA" w:rsidRDefault="00DC1575">
            <w:pPr>
              <w:pStyle w:val="Tabell"/>
              <w:spacing w:before="40" w:after="40"/>
              <w:jc w:val="center"/>
            </w:pPr>
            <w:r w:rsidRPr="001E42CA">
              <w:t>1332,3</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Omstruktureringsprojekt</w:t>
            </w:r>
          </w:p>
        </w:tc>
        <w:tc>
          <w:tcPr>
            <w:tcW w:w="1843" w:type="dxa"/>
          </w:tcPr>
          <w:p w:rsidR="00DC1575" w:rsidRPr="001E42CA" w:rsidRDefault="00DC1575">
            <w:pPr>
              <w:pStyle w:val="Tabell"/>
              <w:spacing w:before="40" w:after="40"/>
              <w:jc w:val="center"/>
            </w:pPr>
            <w:r w:rsidRPr="001E42CA">
              <w:t xml:space="preserve">  200,0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Flyktingkostnader</w:t>
            </w:r>
          </w:p>
        </w:tc>
        <w:tc>
          <w:tcPr>
            <w:tcW w:w="1843" w:type="dxa"/>
          </w:tcPr>
          <w:p w:rsidR="00DC1575" w:rsidRPr="001E42CA" w:rsidRDefault="00DC1575">
            <w:pPr>
              <w:pStyle w:val="Tabell"/>
              <w:spacing w:before="40" w:after="40"/>
              <w:jc w:val="center"/>
            </w:pPr>
            <w:r w:rsidRPr="001E42CA">
              <w:t xml:space="preserve">  650,0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Hiv/aidsverksamhet</w:t>
            </w:r>
          </w:p>
        </w:tc>
        <w:tc>
          <w:tcPr>
            <w:tcW w:w="1843" w:type="dxa"/>
          </w:tcPr>
          <w:p w:rsidR="00DC1575" w:rsidRPr="001E42CA" w:rsidRDefault="00DC1575">
            <w:pPr>
              <w:pStyle w:val="Tabell"/>
              <w:spacing w:before="40" w:after="40"/>
              <w:jc w:val="center"/>
            </w:pPr>
            <w:r w:rsidRPr="001E42CA">
              <w:t xml:space="preserve">  342,0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Översvämningarna i juli 2000</w:t>
            </w:r>
          </w:p>
        </w:tc>
        <w:tc>
          <w:tcPr>
            <w:tcW w:w="1843" w:type="dxa"/>
          </w:tcPr>
          <w:p w:rsidR="00DC1575" w:rsidRPr="001E42CA" w:rsidRDefault="00DC1575">
            <w:pPr>
              <w:pStyle w:val="Tabell"/>
              <w:spacing w:before="40" w:after="40"/>
              <w:jc w:val="center"/>
            </w:pPr>
            <w:r w:rsidRPr="001E42CA">
              <w:t xml:space="preserve">  100,0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Andra katastrofer (diskotekbranden i Göteborg och raset i Vagnhärad)</w:t>
            </w:r>
          </w:p>
        </w:tc>
        <w:tc>
          <w:tcPr>
            <w:tcW w:w="1843" w:type="dxa"/>
          </w:tcPr>
          <w:p w:rsidR="00DC1575" w:rsidRPr="001E42CA" w:rsidRDefault="00DC1575">
            <w:pPr>
              <w:pStyle w:val="Tabell"/>
              <w:spacing w:before="40" w:after="40"/>
              <w:jc w:val="center"/>
            </w:pPr>
            <w:r w:rsidRPr="001E42CA">
              <w:t xml:space="preserve">    96,0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Kommunkontosystemet</w:t>
            </w:r>
          </w:p>
        </w:tc>
        <w:tc>
          <w:tcPr>
            <w:tcW w:w="1843" w:type="dxa"/>
          </w:tcPr>
          <w:p w:rsidR="00DC1575" w:rsidRPr="001E42CA" w:rsidRDefault="00DC1575">
            <w:pPr>
              <w:pStyle w:val="Tabell"/>
              <w:spacing w:before="40" w:after="40"/>
              <w:jc w:val="center"/>
            </w:pPr>
            <w:r w:rsidRPr="001E42CA">
              <w:t xml:space="preserve">      1,5</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Omställningsbidrag för landsting</w:t>
            </w:r>
          </w:p>
        </w:tc>
        <w:tc>
          <w:tcPr>
            <w:tcW w:w="1843" w:type="dxa"/>
          </w:tcPr>
          <w:p w:rsidR="00DC1575" w:rsidRPr="001E42CA" w:rsidRDefault="00DC1575">
            <w:pPr>
              <w:pStyle w:val="Tabell"/>
              <w:spacing w:before="40" w:after="40"/>
              <w:jc w:val="center"/>
            </w:pPr>
            <w:r w:rsidRPr="001E42CA">
              <w:t xml:space="preserve">  300,0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Stöd och service till funktionshindrade (ytterligare 200 mkr fördelas av Socialstyrelsen)</w:t>
            </w:r>
          </w:p>
        </w:tc>
        <w:tc>
          <w:tcPr>
            <w:tcW w:w="1843" w:type="dxa"/>
          </w:tcPr>
          <w:p w:rsidR="00DC1575" w:rsidRPr="001E42CA" w:rsidRDefault="00DC1575">
            <w:pPr>
              <w:pStyle w:val="Tabell"/>
              <w:spacing w:before="40" w:after="40"/>
              <w:jc w:val="center"/>
            </w:pPr>
            <w:r w:rsidRPr="001E42CA">
              <w:t xml:space="preserve">  700,0</w:t>
            </w:r>
          </w:p>
        </w:tc>
      </w:tr>
      <w:tr w:rsidR="00000000" w:rsidRPr="001E42CA">
        <w:tblPrEx>
          <w:tblCellMar>
            <w:top w:w="0" w:type="dxa"/>
            <w:bottom w:w="0" w:type="dxa"/>
          </w:tblCellMar>
        </w:tblPrEx>
        <w:tc>
          <w:tcPr>
            <w:tcW w:w="4181" w:type="dxa"/>
          </w:tcPr>
          <w:p w:rsidR="00DC1575" w:rsidRPr="001E42CA" w:rsidRDefault="00DC1575">
            <w:pPr>
              <w:pStyle w:val="Tabell"/>
              <w:spacing w:before="40" w:after="40"/>
              <w:jc w:val="left"/>
            </w:pPr>
            <w:r w:rsidRPr="001E42CA">
              <w:t>Nedläggningar i försvaret</w:t>
            </w:r>
          </w:p>
        </w:tc>
        <w:tc>
          <w:tcPr>
            <w:tcW w:w="1843" w:type="dxa"/>
          </w:tcPr>
          <w:p w:rsidR="00DC1575" w:rsidRPr="001E42CA" w:rsidRDefault="00DC1575">
            <w:pPr>
              <w:pStyle w:val="Tabell"/>
              <w:spacing w:before="40" w:after="40"/>
              <w:jc w:val="center"/>
            </w:pPr>
            <w:r w:rsidRPr="001E42CA">
              <w:t xml:space="preserve">    95,4</w:t>
            </w:r>
          </w:p>
        </w:tc>
      </w:tr>
      <w:tr w:rsidR="00000000" w:rsidRPr="001E42CA">
        <w:tblPrEx>
          <w:tblCellMar>
            <w:top w:w="0" w:type="dxa"/>
            <w:bottom w:w="0" w:type="dxa"/>
          </w:tblCellMar>
        </w:tblPrEx>
        <w:tc>
          <w:tcPr>
            <w:tcW w:w="4181" w:type="dxa"/>
            <w:tcBorders>
              <w:bottom w:val="single" w:sz="4" w:space="0" w:color="auto"/>
            </w:tcBorders>
          </w:tcPr>
          <w:p w:rsidR="00DC1575" w:rsidRPr="001E42CA" w:rsidRDefault="00DC1575">
            <w:pPr>
              <w:pStyle w:val="Tabell"/>
              <w:spacing w:before="40" w:after="40"/>
              <w:jc w:val="left"/>
              <w:rPr>
                <w:i/>
              </w:rPr>
            </w:pPr>
            <w:r w:rsidRPr="001E42CA">
              <w:rPr>
                <w:i/>
              </w:rPr>
              <w:t>Summa</w:t>
            </w:r>
          </w:p>
        </w:tc>
        <w:tc>
          <w:tcPr>
            <w:tcW w:w="1843" w:type="dxa"/>
            <w:tcBorders>
              <w:bottom w:val="single" w:sz="4" w:space="0" w:color="auto"/>
            </w:tcBorders>
          </w:tcPr>
          <w:p w:rsidR="00DC1575" w:rsidRPr="001E42CA" w:rsidRDefault="00DC1575">
            <w:pPr>
              <w:pStyle w:val="Tabell"/>
              <w:spacing w:before="40" w:after="40"/>
              <w:jc w:val="center"/>
              <w:rPr>
                <w:i/>
              </w:rPr>
            </w:pPr>
            <w:r w:rsidRPr="001E42CA">
              <w:rPr>
                <w:i/>
              </w:rPr>
              <w:t>4150,2</w:t>
            </w:r>
          </w:p>
        </w:tc>
      </w:tr>
    </w:tbl>
    <w:p w:rsidR="00DC1575" w:rsidRPr="001E42CA" w:rsidRDefault="00DC1575">
      <w:pPr>
        <w:pStyle w:val="Normaltindrag"/>
      </w:pPr>
    </w:p>
    <w:p w:rsidR="00DC1575" w:rsidRPr="001E42CA" w:rsidRDefault="00DC1575">
      <w:pPr>
        <w:spacing w:before="0"/>
      </w:pPr>
      <w:r w:rsidRPr="001E42CA">
        <w:t>I samband med behandlingen av budgetpropositionen för 2000 avstyrkte finansutskottet två motioner som kritiserade bidragsgivningen, men föru</w:t>
      </w:r>
      <w:r w:rsidRPr="001E42CA">
        <w:t>t</w:t>
      </w:r>
      <w:r w:rsidRPr="001E42CA">
        <w:t>satte att regeringen vid lämpligt tillfälle återkommer till riksdagen med en mer utförlig återrapportering om hur de anvisade medlen har använts (1999/2000:FiU3).</w:t>
      </w:r>
    </w:p>
    <w:p w:rsidR="00DC1575" w:rsidRPr="001E42CA" w:rsidRDefault="00DC1575">
      <w:pPr>
        <w:pStyle w:val="Rubrik2"/>
      </w:pPr>
      <w:bookmarkStart w:id="32" w:name="_Toc526302378"/>
      <w:r w:rsidRPr="001E42CA">
        <w:t>Kommundelegationen</w:t>
      </w:r>
      <w:bookmarkEnd w:id="32"/>
    </w:p>
    <w:p w:rsidR="00DC1575" w:rsidRPr="001E42CA" w:rsidRDefault="00DC1575">
      <w:r w:rsidRPr="001E42CA">
        <w:t>Genom beslut av regeringen den 19 augusti 1999 inrättades Delegationen för stöd till vissa kommuner och landsting med svårigheter att klara balanskravet (Kommundelegationen). Delegationens uppdrag var att inför regeringens beslut bereda ärenden om ett eventuellt ekonomiskt stöd skulle ges till vissa kommuner och landsting för åtgärder i syfte att nå ekonomisk balans. För kommuner och landsting gäller ett balanskrav som innebär att budgeten varje år ska upprättas så att intäkterna överstiger kostnaderna. Et</w:t>
      </w:r>
      <w:r w:rsidRPr="001E42CA">
        <w:t>t eventuellt neg</w:t>
      </w:r>
      <w:r w:rsidRPr="001E42CA">
        <w:t>a</w:t>
      </w:r>
      <w:r w:rsidRPr="001E42CA">
        <w:t>tivt resultat vid räkenskapsårets slut ska återställas inom två år.</w:t>
      </w:r>
    </w:p>
    <w:p w:rsidR="00DC1575" w:rsidRPr="001E42CA" w:rsidRDefault="00DC1575">
      <w:pPr>
        <w:pStyle w:val="Normaltindrag"/>
      </w:pPr>
      <w:r w:rsidRPr="001E42CA">
        <w:t>Delegationen har formellt haft formen av en kommitté med tre ledamöter</w:t>
      </w:r>
      <w:r w:rsidRPr="001E42CA">
        <w:rPr>
          <w:rStyle w:val="Fotnotsreferens"/>
        </w:rPr>
        <w:footnoteReference w:id="4"/>
      </w:r>
      <w:r w:rsidRPr="001E42CA">
        <w:t xml:space="preserve"> (en ordförande), två sakkunniga och ett sekretariat på tre till fyra personer. Kommundelegationen överlämnade sitt slutrapport till regeringen den 30 juni 2000.</w:t>
      </w:r>
    </w:p>
    <w:p w:rsidR="00DC1575" w:rsidRPr="001E42CA" w:rsidRDefault="00DC1575">
      <w:pPr>
        <w:pStyle w:val="R3"/>
      </w:pPr>
      <w:r w:rsidRPr="001E42CA">
        <w:t>Bakgrund</w:t>
      </w:r>
    </w:p>
    <w:p w:rsidR="00DC1575" w:rsidRPr="001E42CA" w:rsidRDefault="00DC1575">
      <w:r w:rsidRPr="001E42CA">
        <w:t>I kommittédirektiven (dir. 1999:65) pekade regeringen på att en kommuns eller ett landstings ekonomiska svårigheter ofta beror på yttre strukturella faktorer. En svag ekonomisk tillväxt i regionen, negativ befolkningsutvec</w:t>
      </w:r>
      <w:r w:rsidRPr="001E42CA">
        <w:t>k</w:t>
      </w:r>
      <w:r w:rsidRPr="001E42CA">
        <w:t>ling, obalanser i åldersstrukturen samt behov av infrastrukturinvesteringar är exempel på faktorer som kan försvåra anpassningen av verksamheten till de ekonomiska ramarna. En kommun eller ett landsting som utsätts för kraftiga strukturella förän</w:t>
      </w:r>
      <w:r w:rsidRPr="001E42CA">
        <w:t>d</w:t>
      </w:r>
      <w:r w:rsidRPr="001E42CA">
        <w:t xml:space="preserve">ringar kan få svårt att nå balans i ekonomin. </w:t>
      </w:r>
    </w:p>
    <w:p w:rsidR="00DC1575" w:rsidRPr="001E42CA" w:rsidRDefault="00DC1575">
      <w:pPr>
        <w:pStyle w:val="Normaltindrag"/>
      </w:pPr>
      <w:r w:rsidRPr="001E42CA">
        <w:t>Regeringen bedömde att det kunde finnas 40–50 kommuner och ett antal landsting som hade problem till följd av sådana strukturella faktorer och där särskilda åtgärder behövde vidtas för att kravet på ekonomisk balans s</w:t>
      </w:r>
      <w:r w:rsidRPr="001E42CA">
        <w:t>kulle kunna uppnås.</w:t>
      </w:r>
      <w:r w:rsidRPr="001E42CA">
        <w:rPr>
          <w:rStyle w:val="Fotnotsreferens"/>
        </w:rPr>
        <w:footnoteReference w:id="5"/>
      </w:r>
      <w:r w:rsidRPr="001E42CA">
        <w:t xml:space="preserve"> Det kunde vara fråga om olika typer av rekonstruktiva åtgä</w:t>
      </w:r>
      <w:r w:rsidRPr="001E42CA">
        <w:t>r</w:t>
      </w:r>
      <w:r w:rsidRPr="001E42CA">
        <w:t>der, exempelvis omstrukturering i form av kompetensutveckling och likna</w:t>
      </w:r>
      <w:r w:rsidRPr="001E42CA">
        <w:t>n</w:t>
      </w:r>
      <w:r w:rsidRPr="001E42CA">
        <w:t>de. I vissa fall kunde kommunen eller landstinget behöva ekonomiskt stöd för att genomföra åtgärder med en annan inriktning än vad som gäller för det tillfälliga stöd som i dag kan lämnas till kommuner med bostadsåtaganden. Medel för bidrag till särskilda insatser i vissa kommuner och landsting har av riksdagen ställts till regeringens förfogande för att även i sådana fall kunn</w:t>
      </w:r>
      <w:r w:rsidRPr="001E42CA">
        <w:t xml:space="preserve">a bistå kommuner och landsting som befinner sig i en särskilt svår ekonomisk situation. </w:t>
      </w:r>
    </w:p>
    <w:p w:rsidR="00DC1575" w:rsidRPr="001E42CA" w:rsidRDefault="00DC1575">
      <w:pPr>
        <w:pStyle w:val="R3"/>
      </w:pPr>
      <w:r w:rsidRPr="001E42CA">
        <w:t>Uppdraget</w:t>
      </w:r>
    </w:p>
    <w:p w:rsidR="00DC1575" w:rsidRPr="001E42CA" w:rsidRDefault="00DC1575">
      <w:r w:rsidRPr="001E42CA">
        <w:t>Delegationen har haft i uppdrag att inför regeringens beslut bereda ärenden om huruvida ett ekonomiskt stöd ska ges till vissa kommuner och landsting för åtgärder i syfte att nå ekonomisk balans och därvid överlägga med berö</w:t>
      </w:r>
      <w:r w:rsidRPr="001E42CA">
        <w:t>r</w:t>
      </w:r>
      <w:r w:rsidRPr="001E42CA">
        <w:t>da kommuner och landsting om vilka åtgärder de bör vidta. Delegationen har endast berett ärenden som överlämnats till den efter särskilda beslut av reg</w:t>
      </w:r>
      <w:r w:rsidRPr="001E42CA">
        <w:t>e</w:t>
      </w:r>
      <w:r w:rsidRPr="001E42CA">
        <w:t xml:space="preserve">ringen. </w:t>
      </w:r>
    </w:p>
    <w:p w:rsidR="00DC1575" w:rsidRPr="001E42CA" w:rsidRDefault="00DC1575">
      <w:pPr>
        <w:pStyle w:val="Normaltindrag"/>
      </w:pPr>
      <w:r w:rsidRPr="001E42CA">
        <w:t>Uppgiften var bl.a. att göra en grundlig analys av de enskilda kommune</w:t>
      </w:r>
      <w:r w:rsidRPr="001E42CA">
        <w:t>r</w:t>
      </w:r>
      <w:r w:rsidRPr="001E42CA">
        <w:t>nas och landstingens ekonomiska situation och föra en aktiv dialog med dem om vilka åtgärder som borde vidtas och vilka krav som måste ställas för att stöd skulle bli aktuellt. Delegationen skulle bedöma vilka åtgärder och fo</w:t>
      </w:r>
      <w:r w:rsidRPr="001E42CA">
        <w:t>r</w:t>
      </w:r>
      <w:r w:rsidRPr="001E42CA">
        <w:t>mer för stöd som var mest lämpade med hänsyn till kommunens respektive landstingets förutsättningar. I detta sammanhang skulle särskilt kostnadss</w:t>
      </w:r>
      <w:r w:rsidRPr="001E42CA">
        <w:t>i</w:t>
      </w:r>
      <w:r w:rsidRPr="001E42CA">
        <w:t>dan i ekonomin analyseras och jämförelser göras med andra kommuner eller landsting när möjliga åtgärder diskuterades. Kommunen eller landst</w:t>
      </w:r>
      <w:r w:rsidRPr="001E42CA">
        <w:t>inget måste vidta åtgärder för att effektivisera och rationalisera verksamheten innan ett stöd kunde lämnas. Det ålåg därvid kommunen eller landstinget att aktivt arbeta för att ta fram förslag till lämpliga åtgärder och att bistå deleg</w:t>
      </w:r>
      <w:r w:rsidRPr="001E42CA">
        <w:t>a</w:t>
      </w:r>
      <w:r w:rsidRPr="001E42CA">
        <w:t>tionen med de underlag som kunde behövas. Delegationen borde också bistå kommunen eller landstinget i arbetet med att finna långsiktigt hållbara lö</w:t>
      </w:r>
      <w:r w:rsidRPr="001E42CA">
        <w:t>s</w:t>
      </w:r>
      <w:r w:rsidRPr="001E42CA">
        <w:t xml:space="preserve">ningar. </w:t>
      </w:r>
    </w:p>
    <w:p w:rsidR="00DC1575" w:rsidRPr="001E42CA" w:rsidRDefault="00DC1575">
      <w:pPr>
        <w:pStyle w:val="R3"/>
      </w:pPr>
      <w:r w:rsidRPr="001E42CA">
        <w:t>Restriktiv prövning</w:t>
      </w:r>
    </w:p>
    <w:p w:rsidR="00DC1575" w:rsidRPr="001E42CA" w:rsidRDefault="00DC1575">
      <w:r w:rsidRPr="001E42CA">
        <w:t>Förslag om ekonomiskt stöd skulle lämnas till regeringen endast för komm</w:t>
      </w:r>
      <w:r w:rsidRPr="001E42CA">
        <w:t>u</w:t>
      </w:r>
      <w:r w:rsidRPr="001E42CA">
        <w:t>ner och landsting som befann sig i en särskilt svår ekonomisk situation och som till följd av strukturella faktorer hade problem att nå balans. Stödet skulle lämnas på sådana villkor att statens kostnader minimerades. Behovet av ekonomiskt stöd skulle prövas av delegationen dels mot kommunens eller landstingets egna ekonomiska förutsättningar, dels mot de aktuella åtgärde</w:t>
      </w:r>
      <w:r w:rsidRPr="001E42CA">
        <w:t>r</w:t>
      </w:r>
      <w:r w:rsidRPr="001E42CA">
        <w:t>nas kostnad och ekonomiska effekt. Delegationens förslag till stöd i form av bidrag måste baseras på de ekonomiska ramar regeringen förf</w:t>
      </w:r>
      <w:r w:rsidRPr="001E42CA">
        <w:t>ogar över för detta ändamål samt den totala ekonomiska situationen för samtliga sökande kommuner och landsting.</w:t>
      </w:r>
    </w:p>
    <w:p w:rsidR="00DC1575" w:rsidRPr="001E42CA" w:rsidRDefault="00DC1575">
      <w:pPr>
        <w:pStyle w:val="Normaltindrag"/>
      </w:pPr>
      <w:r w:rsidRPr="001E42CA">
        <w:t>Delegationen borde sträva efter att tillsammans med Bostadsdelegationen utveckla ett likartat synsätt på dels de kommunalekonomiska bedömninga</w:t>
      </w:r>
      <w:r w:rsidRPr="001E42CA">
        <w:t>r</w:t>
      </w:r>
      <w:r w:rsidRPr="001E42CA">
        <w:t>na, dels de strukturella faktorernas inverkan på en kommuns framtida ek</w:t>
      </w:r>
      <w:r w:rsidRPr="001E42CA">
        <w:t>o</w:t>
      </w:r>
      <w:r w:rsidRPr="001E42CA">
        <w:t>nomi</w:t>
      </w:r>
      <w:r w:rsidRPr="001E42CA">
        <w:t>s</w:t>
      </w:r>
      <w:r w:rsidRPr="001E42CA">
        <w:t xml:space="preserve">ka utveckling. </w:t>
      </w:r>
    </w:p>
    <w:p w:rsidR="00DC1575" w:rsidRPr="001E42CA" w:rsidRDefault="00DC1575">
      <w:pPr>
        <w:pStyle w:val="Normaltindrag"/>
      </w:pPr>
      <w:r w:rsidRPr="001E42CA">
        <w:t>I de ärenden där delegationen bedömde att ekonomiskt stöd borde komma i fråga skulle delegationen i samarbete med kommunen respektive landstinget upprätta ett förslag till överenskommelse</w:t>
      </w:r>
      <w:r w:rsidRPr="001E42CA">
        <w:rPr>
          <w:rStyle w:val="Fotnotsreferens"/>
        </w:rPr>
        <w:footnoteReference w:id="6"/>
      </w:r>
      <w:r w:rsidRPr="001E42CA">
        <w:t xml:space="preserve"> om villkoren för stödet. Villkoren skulle ange hur en rekonstruktion av ekonomin skulle göras och i övrigt vilka åtgärder som skulle vidtas i syfte att nå ekonomisk balans. Förslaget till överenskommelse skulle också ange hur överenskommelsen skulle följas upp. Förslaget skulle sedan ligga till grund för regeringens beslut. En föru</w:t>
      </w:r>
      <w:r w:rsidRPr="001E42CA">
        <w:t>t</w:t>
      </w:r>
      <w:r w:rsidRPr="001E42CA">
        <w:t>sättning för att regeringen skulle bevilja stöd var att förslaget till överen</w:t>
      </w:r>
      <w:r w:rsidRPr="001E42CA">
        <w:t>s</w:t>
      </w:r>
      <w:r w:rsidRPr="001E42CA">
        <w:t>kommelse hade go</w:t>
      </w:r>
      <w:r w:rsidRPr="001E42CA">
        <w:t>d</w:t>
      </w:r>
      <w:r w:rsidRPr="001E42CA">
        <w:t xml:space="preserve">känts av kommunfullmäktige eller landstingsfullmäktige. </w:t>
      </w:r>
    </w:p>
    <w:p w:rsidR="00DC1575" w:rsidRPr="001E42CA" w:rsidRDefault="00DC1575">
      <w:pPr>
        <w:pStyle w:val="R3"/>
      </w:pPr>
      <w:r w:rsidRPr="001E42CA">
        <w:t>Arbetssätt</w:t>
      </w:r>
      <w:r w:rsidRPr="001E42CA">
        <w:rPr>
          <w:rStyle w:val="Fotnotsreferens"/>
        </w:rPr>
        <w:footnoteReference w:id="7"/>
      </w:r>
    </w:p>
    <w:p w:rsidR="00DC1575" w:rsidRPr="001E42CA" w:rsidRDefault="00DC1575">
      <w:r w:rsidRPr="001E42CA">
        <w:t>Delegationen hade inledningsvis en första, enskild sammankomst med var och en av aktuella kommuner och landsting. Syftet med sammankomsterna var att utifrån de sökandes redovisning av sin situation och det ekonomiska läget, diskutera olika förslag till rekonstruktionsåtgärder. I samband med dessa genomgångar gjorde delegationen också en s.k. grundanalys av varje sökande (se avsnitt 5.1). Delegationen har också gjort egna alternativa b</w:t>
      </w:r>
      <w:r w:rsidRPr="001E42CA">
        <w:t>e</w:t>
      </w:r>
      <w:r w:rsidRPr="001E42CA">
        <w:t>räkningar av den ekonomiska utvecklingen för kommunen/landstinget fram till 2002 utifrån likartade beräkningsförutsättningar. Syftet med dessa berä</w:t>
      </w:r>
      <w:r w:rsidRPr="001E42CA">
        <w:t>k</w:t>
      </w:r>
      <w:r w:rsidRPr="001E42CA">
        <w:t>ningar var dels att bedöma realismen i den egna budgeten, dels att bedöma behovet av nivåsänkning för att möjliggöra en ekonomi i balans 2002 (se avsnitt 5.1).</w:t>
      </w:r>
    </w:p>
    <w:p w:rsidR="00DC1575" w:rsidRPr="001E42CA" w:rsidRDefault="00DC1575">
      <w:pPr>
        <w:pStyle w:val="Normaltindrag"/>
      </w:pPr>
      <w:r w:rsidRPr="001E42CA">
        <w:t>Med stöd av grundanalysen och den information som framkommit vid sammankomsterna gjorde delegationen sedan en samlad bedömning av r</w:t>
      </w:r>
      <w:r w:rsidRPr="001E42CA">
        <w:t>e</w:t>
      </w:r>
      <w:r w:rsidRPr="001E42CA">
        <w:t>spektive sökande. Syftet var att bestämma huruvida man skulle arbeta vidare med den enskilda kommunen respektive landstinget eller avsluta berednin</w:t>
      </w:r>
      <w:r w:rsidRPr="001E42CA">
        <w:t>g</w:t>
      </w:r>
      <w:r w:rsidRPr="001E42CA">
        <w:t>en med hänvisning till att den sökande bedömdes klara balanskravet till 2002 av egen kraft.</w:t>
      </w:r>
    </w:p>
    <w:p w:rsidR="00DC1575" w:rsidRPr="001E42CA" w:rsidRDefault="00DC1575">
      <w:pPr>
        <w:pStyle w:val="Normaltindrag"/>
      </w:pPr>
      <w:r w:rsidRPr="001E42CA">
        <w:t>Delegationen fastställde följande kriterier för bedömning av huruvida en ansökan skulle beredas vidare eller avslutas.</w:t>
      </w:r>
    </w:p>
    <w:p w:rsidR="00DC1575" w:rsidRPr="001E42CA" w:rsidRDefault="00DC1575">
      <w:pPr>
        <w:pStyle w:val="Normaltindrag"/>
      </w:pPr>
    </w:p>
    <w:p w:rsidR="00DC1575" w:rsidRPr="001E42CA" w:rsidRDefault="00DC1575">
      <w:pPr>
        <w:numPr>
          <w:ilvl w:val="0"/>
          <w:numId w:val="102"/>
        </w:numPr>
        <w:spacing w:before="0"/>
        <w:ind w:left="357" w:hanging="357"/>
      </w:pPr>
      <w:r w:rsidRPr="001E42CA">
        <w:t>Strukturella orsaker, t.ex. kraftig befolkningsminskning.</w:t>
      </w:r>
    </w:p>
    <w:p w:rsidR="00DC1575" w:rsidRPr="001E42CA" w:rsidRDefault="00DC1575">
      <w:pPr>
        <w:numPr>
          <w:ilvl w:val="0"/>
          <w:numId w:val="102"/>
        </w:numPr>
      </w:pPr>
      <w:r w:rsidRPr="001E42CA">
        <w:t>Ekonomin beräknades vara i obalans sett över en treårsperiod, dvs. negativt resultat sammantaget för åren 2000–2002.</w:t>
      </w:r>
    </w:p>
    <w:p w:rsidR="00DC1575" w:rsidRPr="001E42CA" w:rsidRDefault="00DC1575">
      <w:pPr>
        <w:numPr>
          <w:ilvl w:val="0"/>
          <w:numId w:val="102"/>
        </w:numPr>
      </w:pPr>
      <w:r w:rsidRPr="001E42CA">
        <w:t>Särskilt svag balansräkning, främst hög låneskuld.</w:t>
      </w:r>
    </w:p>
    <w:p w:rsidR="00DC1575" w:rsidRPr="001E42CA" w:rsidRDefault="00DC1575">
      <w:pPr>
        <w:numPr>
          <w:ilvl w:val="0"/>
          <w:numId w:val="102"/>
        </w:numPr>
      </w:pPr>
      <w:r w:rsidRPr="001E42CA">
        <w:t>Små möjligheter till intäktsförstärkningar i form av taxor, avgifter, skatter m.m.</w:t>
      </w:r>
    </w:p>
    <w:p w:rsidR="00DC1575" w:rsidRPr="001E42CA" w:rsidRDefault="00DC1575">
      <w:pPr>
        <w:pStyle w:val="Normaltindrag"/>
      </w:pPr>
    </w:p>
    <w:p w:rsidR="00DC1575" w:rsidRPr="001E42CA" w:rsidRDefault="00DC1575">
      <w:pPr>
        <w:spacing w:before="0"/>
      </w:pPr>
      <w:r w:rsidRPr="001E42CA">
        <w:t>Utifrån bedömningarna om eventuell fortsatt beredning och med utgång</w:t>
      </w:r>
      <w:r w:rsidRPr="001E42CA">
        <w:t>s</w:t>
      </w:r>
      <w:r w:rsidRPr="001E42CA">
        <w:t>punkt i behovet av nivåsänkning för perioden 2000–2002 begärdes sedan en konkret åtgärdsplan från de sökande vilken skulle bli föremål för vidare beredning. Åtgärdsplanen skulle ligga till grund för en överläggning om ett förslag till överenskommelse om villkor och bidrag. Inhämtandet av åtgärd</w:t>
      </w:r>
      <w:r w:rsidRPr="001E42CA">
        <w:t>s</w:t>
      </w:r>
      <w:r w:rsidRPr="001E42CA">
        <w:t>planer fick ofta göras i flera steg. I en andra omgång, efter viss standardis</w:t>
      </w:r>
      <w:r w:rsidRPr="001E42CA">
        <w:t>e</w:t>
      </w:r>
      <w:r w:rsidRPr="001E42CA">
        <w:t>ring och konkretisering av kraven, inkom reviderade åtgärdsplaner. Deleg</w:t>
      </w:r>
      <w:r w:rsidRPr="001E42CA">
        <w:t>a</w:t>
      </w:r>
      <w:r w:rsidRPr="001E42CA">
        <w:t>tionen fick av framför allt tidsskäl acceptera en del mer övergr</w:t>
      </w:r>
      <w:r w:rsidRPr="001E42CA">
        <w:t>ipande, ej konkretiserade åtgärdsförslag (se avsnitt 5.3).</w:t>
      </w:r>
    </w:p>
    <w:p w:rsidR="00DC1575" w:rsidRPr="001E42CA" w:rsidRDefault="00DC1575">
      <w:pPr>
        <w:pStyle w:val="Normaltindrag"/>
      </w:pPr>
      <w:r w:rsidRPr="001E42CA">
        <w:t>Med åtgärdsplanerna som grund inbjöds representanter från berörda ko</w:t>
      </w:r>
      <w:r w:rsidRPr="001E42CA">
        <w:t>m</w:t>
      </w:r>
      <w:r w:rsidRPr="001E42CA">
        <w:t>muner och landsting till ytterligare överläggningar med delegationen i syfte att skapa ett underlag för ett förslag till överenskommelse mellan kommunen respektive landstingen och Kommundelegationen om vilka villkor som skulle gälla för att ekonomisk balans skulle uppnås senast 2002. Denna öve</w:t>
      </w:r>
      <w:r w:rsidRPr="001E42CA">
        <w:t>r</w:t>
      </w:r>
      <w:r w:rsidRPr="001E42CA">
        <w:t>enskommelse överlämnades därefter, under förutsättning av fullmäktiges godkännande, till regeringen för beslut.</w:t>
      </w:r>
    </w:p>
    <w:p w:rsidR="00DC1575" w:rsidRPr="001E42CA" w:rsidRDefault="00DC1575">
      <w:pPr>
        <w:pStyle w:val="Normaltindrag"/>
      </w:pPr>
      <w:r w:rsidRPr="001E42CA">
        <w:t>Delegationen har i dialogen haft som utgångspunkt att statsbidraget för omstruktureringskostnader ska ut</w:t>
      </w:r>
      <w:r w:rsidRPr="001E42CA">
        <w:t>betalas först i efterhand och när följande villkor har uppfyllts:</w:t>
      </w:r>
    </w:p>
    <w:p w:rsidR="00DC1575" w:rsidRPr="001E42CA" w:rsidRDefault="00DC1575">
      <w:pPr>
        <w:pStyle w:val="Normaltindrag"/>
      </w:pPr>
    </w:p>
    <w:p w:rsidR="00DC1575" w:rsidRPr="001E42CA" w:rsidRDefault="00DC1575">
      <w:pPr>
        <w:numPr>
          <w:ilvl w:val="0"/>
          <w:numId w:val="55"/>
        </w:numPr>
        <w:spacing w:before="0"/>
        <w:ind w:left="357" w:hanging="357"/>
      </w:pPr>
      <w:r w:rsidRPr="001E42CA">
        <w:t xml:space="preserve">ekonomisk balans kan redovisas, </w:t>
      </w:r>
    </w:p>
    <w:p w:rsidR="00DC1575" w:rsidRPr="001E42CA" w:rsidRDefault="00DC1575">
      <w:pPr>
        <w:numPr>
          <w:ilvl w:val="0"/>
          <w:numId w:val="55"/>
        </w:numPr>
      </w:pPr>
      <w:r w:rsidRPr="001E42CA">
        <w:t>föreslagna åtgärder har genomförts och sparmålen uppnåtts.</w:t>
      </w:r>
    </w:p>
    <w:p w:rsidR="00DC1575" w:rsidRPr="001E42CA" w:rsidRDefault="00DC1575">
      <w:pPr>
        <w:pStyle w:val="Normaltindrag"/>
      </w:pPr>
    </w:p>
    <w:p w:rsidR="00DC1575" w:rsidRPr="001E42CA" w:rsidRDefault="00DC1575">
      <w:pPr>
        <w:spacing w:before="0"/>
      </w:pPr>
      <w:r w:rsidRPr="001E42CA">
        <w:t>Enligt delegationen kunde vissa åtgärder vara förenade med kostnader och en utbetalning i efterskott kunde innebära en viss påfrestning på kommunens eller landstingens likviditet. Delegationen gjorde dock bedömningen att kommunerna och landstingen klarade denna likviditetspåfrestning. Det fanns också en mycket stor acceptans hos kommunerna och landstingen för detta förhållningssätt.</w:t>
      </w:r>
    </w:p>
    <w:p w:rsidR="00DC1575" w:rsidRPr="001E42CA" w:rsidRDefault="00DC1575">
      <w:pPr>
        <w:pStyle w:val="Normaltindrag"/>
      </w:pPr>
      <w:r w:rsidRPr="001E42CA">
        <w:t>Förslagen till statsbidragens storlek har relaterats till omfattningen av spa</w:t>
      </w:r>
      <w:r w:rsidRPr="001E42CA">
        <w:t>r</w:t>
      </w:r>
      <w:r w:rsidRPr="001E42CA">
        <w:t>åtgärderna i stället för redovisade omstruktureringskostnader. Den huvu</w:t>
      </w:r>
      <w:r w:rsidRPr="001E42CA">
        <w:t>d</w:t>
      </w:r>
      <w:r w:rsidRPr="001E42CA">
        <w:t>princip som ligger till grund för delegationens förslag om bidragsnivåer är att bidrag kan utgå med en viss andel av sparbehovens omfattning och kan dä</w:t>
      </w:r>
      <w:r w:rsidRPr="001E42CA">
        <w:t>r</w:t>
      </w:r>
      <w:r w:rsidRPr="001E42CA">
        <w:t>med utgöra stöd till omstruktureringskostnaderna. Detta innebär att den sökande själv kan välja den mest kostnadseffektiva omstruktureringsåtgä</w:t>
      </w:r>
      <w:r w:rsidRPr="001E42CA">
        <w:t>r</w:t>
      </w:r>
      <w:r w:rsidRPr="001E42CA">
        <w:t>den. Delegationen har valt att utgå från sparbehovets omfattning för balans 2002 när bidragets storlek har bestämts. Bidragets andel av sparåtg</w:t>
      </w:r>
      <w:r w:rsidRPr="001E42CA">
        <w:t>ärderna har varierat något med anledning av delegationens bedömning av de söka</w:t>
      </w:r>
      <w:r w:rsidRPr="001E42CA">
        <w:t>n</w:t>
      </w:r>
      <w:r w:rsidRPr="001E42CA">
        <w:t>des ekonomiska bärkraft. Utformningen av överenskommelserna med ko</w:t>
      </w:r>
      <w:r w:rsidRPr="001E42CA">
        <w:t>m</w:t>
      </w:r>
      <w:r w:rsidRPr="001E42CA">
        <w:t>m</w:t>
      </w:r>
      <w:r w:rsidRPr="001E42CA">
        <w:t>u</w:t>
      </w:r>
      <w:r w:rsidRPr="001E42CA">
        <w:t xml:space="preserve">nerna och landstingen redovisas närmare i kapitel 5. </w:t>
      </w:r>
    </w:p>
    <w:p w:rsidR="00DC1575" w:rsidRPr="001E42CA" w:rsidRDefault="00DC1575">
      <w:pPr>
        <w:pStyle w:val="R3"/>
      </w:pPr>
      <w:r w:rsidRPr="001E42CA">
        <w:t>Delegationens förslag</w:t>
      </w:r>
    </w:p>
    <w:p w:rsidR="00DC1575" w:rsidRPr="001E42CA" w:rsidRDefault="00DC1575">
      <w:r w:rsidRPr="001E42CA">
        <w:t>Delegationen har genom regeringens beslut fått sammanlagt 42 ärenden för beredning, varav 35 har avsett kommuner och 7 har avsett landsting.</w:t>
      </w:r>
      <w:r w:rsidRPr="001E42CA">
        <w:rPr>
          <w:rStyle w:val="Fotnotsreferens"/>
        </w:rPr>
        <w:footnoteReference w:id="8"/>
      </w:r>
      <w:r w:rsidRPr="001E42CA">
        <w:t xml:space="preserve"> Av kommunärendena har 9 varit sådana där Bostadsdelegationen tidigare bevi</w:t>
      </w:r>
      <w:r w:rsidRPr="001E42CA">
        <w:t>l</w:t>
      </w:r>
      <w:r w:rsidRPr="001E42CA">
        <w:t xml:space="preserve">jat stöd och tecknat avtal med kommunen om rekonstruktion av kommunens bostadsåtaganden. </w:t>
      </w:r>
    </w:p>
    <w:p w:rsidR="00DC1575" w:rsidRPr="001E42CA" w:rsidRDefault="00DC1575">
      <w:pPr>
        <w:pStyle w:val="Normaltindrag"/>
      </w:pPr>
      <w:r w:rsidRPr="001E42CA">
        <w:t>Därutöver har delegationen haft att delta i samråd om sammanlagt 26 kommunärenden som har överlämnats till Bostadsdelegationen. Av dessa har 2 ärenden återtagits. De kvarstående kommunerna har ekonomiska problem som primärt kan hänföras till boendet, men de har också sökt statligt stöd av regeringen för mer allmänna ekonomiska problem. Samrådet</w:t>
      </w:r>
      <w:r w:rsidRPr="001E42CA">
        <w:t xml:space="preserve"> med Kommu</w:t>
      </w:r>
      <w:r w:rsidRPr="001E42CA">
        <w:t>n</w:t>
      </w:r>
      <w:r w:rsidRPr="001E42CA">
        <w:t>delegationen har syftat till att pröva om det också föreligger mer strukturellt betingade grunder för ett eventuellt statligt stöd i enlighet med Kommund</w:t>
      </w:r>
      <w:r w:rsidRPr="001E42CA">
        <w:t>e</w:t>
      </w:r>
      <w:r w:rsidRPr="001E42CA">
        <w:t>legationens direktiv. Dessa ärenden har överlämnats till Bostadsdelegationen som lämnat ett samlat förslag till regeringen för prö</w:t>
      </w:r>
      <w:r w:rsidRPr="001E42CA">
        <w:t>v</w:t>
      </w:r>
      <w:r w:rsidRPr="001E42CA">
        <w:t>ning.</w:t>
      </w:r>
    </w:p>
    <w:p w:rsidR="00DC1575" w:rsidRPr="001E42CA" w:rsidRDefault="00DC1575">
      <w:pPr>
        <w:pStyle w:val="Normaltindrag"/>
      </w:pPr>
      <w:r w:rsidRPr="001E42CA">
        <w:t>Det samlade resultatet av delegationens arbete framgår av Tabell 3.2. T</w:t>
      </w:r>
      <w:r w:rsidRPr="001E42CA">
        <w:t>o</w:t>
      </w:r>
      <w:r w:rsidRPr="001E42CA">
        <w:t>talt förslås bifall i 60 procent av ärendena. Delegationens förslag till bidrag uppgår till drygt 1 mi</w:t>
      </w:r>
      <w:r w:rsidRPr="001E42CA">
        <w:t>l</w:t>
      </w:r>
      <w:r w:rsidRPr="001E42CA">
        <w:t xml:space="preserve">jard kronor. </w:t>
      </w:r>
    </w:p>
    <w:p w:rsidR="00DC1575" w:rsidRPr="001E42CA" w:rsidRDefault="00DC1575">
      <w:pPr>
        <w:pStyle w:val="Normaltindrag"/>
      </w:pPr>
    </w:p>
    <w:p w:rsidR="00DC1575" w:rsidRPr="001E42CA" w:rsidRDefault="00DC1575">
      <w:pPr>
        <w:pStyle w:val="Tabellrubrik"/>
      </w:pPr>
      <w:r w:rsidRPr="001E42CA">
        <w:t>Tabell 3.2 Kommundelegationens förslag till beslut för kommuner och landsting</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47"/>
        <w:gridCol w:w="996"/>
        <w:gridCol w:w="996"/>
        <w:gridCol w:w="997"/>
      </w:tblGrid>
      <w:tr w:rsidR="00000000" w:rsidRPr="001E42CA">
        <w:tblPrEx>
          <w:tblCellMar>
            <w:top w:w="0" w:type="dxa"/>
            <w:bottom w:w="0" w:type="dxa"/>
          </w:tblCellMar>
        </w:tblPrEx>
        <w:tc>
          <w:tcPr>
            <w:tcW w:w="3047" w:type="dxa"/>
            <w:tcBorders>
              <w:top w:val="single" w:sz="4" w:space="0" w:color="auto"/>
              <w:bottom w:val="single" w:sz="4" w:space="0" w:color="auto"/>
            </w:tcBorders>
          </w:tcPr>
          <w:p w:rsidR="00DC1575" w:rsidRPr="001E42CA" w:rsidRDefault="00DC1575">
            <w:pPr>
              <w:pStyle w:val="Tabell"/>
              <w:spacing w:before="40" w:after="40"/>
            </w:pPr>
          </w:p>
        </w:tc>
        <w:tc>
          <w:tcPr>
            <w:tcW w:w="996" w:type="dxa"/>
            <w:tcBorders>
              <w:top w:val="single" w:sz="4" w:space="0" w:color="auto"/>
              <w:bottom w:val="single" w:sz="4" w:space="0" w:color="auto"/>
            </w:tcBorders>
          </w:tcPr>
          <w:p w:rsidR="00DC1575" w:rsidRPr="001E42CA" w:rsidRDefault="00DC1575">
            <w:pPr>
              <w:pStyle w:val="Tabell"/>
              <w:spacing w:before="40" w:after="40"/>
              <w:jc w:val="center"/>
            </w:pPr>
            <w:r w:rsidRPr="001E42CA">
              <w:t>Antal avslag</w:t>
            </w:r>
          </w:p>
        </w:tc>
        <w:tc>
          <w:tcPr>
            <w:tcW w:w="996" w:type="dxa"/>
            <w:tcBorders>
              <w:top w:val="single" w:sz="4" w:space="0" w:color="auto"/>
              <w:bottom w:val="single" w:sz="4" w:space="0" w:color="auto"/>
            </w:tcBorders>
          </w:tcPr>
          <w:p w:rsidR="00DC1575" w:rsidRPr="001E42CA" w:rsidRDefault="00DC1575">
            <w:pPr>
              <w:pStyle w:val="Tabell"/>
              <w:spacing w:before="40" w:after="40"/>
              <w:jc w:val="center"/>
            </w:pPr>
            <w:r w:rsidRPr="001E42CA">
              <w:t>Antal bifall</w:t>
            </w:r>
          </w:p>
        </w:tc>
        <w:tc>
          <w:tcPr>
            <w:tcW w:w="997" w:type="dxa"/>
            <w:tcBorders>
              <w:top w:val="single" w:sz="4" w:space="0" w:color="auto"/>
              <w:bottom w:val="single" w:sz="4" w:space="0" w:color="auto"/>
            </w:tcBorders>
          </w:tcPr>
          <w:p w:rsidR="00DC1575" w:rsidRPr="001E42CA" w:rsidRDefault="00DC1575">
            <w:pPr>
              <w:pStyle w:val="Tabell"/>
              <w:spacing w:before="40" w:after="40"/>
              <w:jc w:val="center"/>
            </w:pPr>
            <w:r w:rsidRPr="001E42CA">
              <w:t>Föreslaget bidrag (mkr)</w:t>
            </w:r>
          </w:p>
        </w:tc>
      </w:tr>
      <w:tr w:rsidR="00000000" w:rsidRPr="001E42CA">
        <w:tblPrEx>
          <w:tblCellMar>
            <w:top w:w="0" w:type="dxa"/>
            <w:bottom w:w="0" w:type="dxa"/>
          </w:tblCellMar>
        </w:tblPrEx>
        <w:tc>
          <w:tcPr>
            <w:tcW w:w="3047" w:type="dxa"/>
          </w:tcPr>
          <w:p w:rsidR="00DC1575" w:rsidRPr="001E42CA" w:rsidRDefault="00DC1575">
            <w:pPr>
              <w:pStyle w:val="Tabell"/>
              <w:spacing w:before="40" w:after="40"/>
            </w:pPr>
            <w:r w:rsidRPr="001E42CA">
              <w:t>Kommuner och landsting vars ansöknin</w:t>
            </w:r>
            <w:r w:rsidRPr="001E42CA">
              <w:t>g</w:t>
            </w:r>
            <w:r w:rsidRPr="001E42CA">
              <w:t>ar behandlats av Kommundelegationen</w:t>
            </w:r>
          </w:p>
        </w:tc>
        <w:tc>
          <w:tcPr>
            <w:tcW w:w="996" w:type="dxa"/>
          </w:tcPr>
          <w:p w:rsidR="00DC1575" w:rsidRPr="001E42CA" w:rsidRDefault="00DC1575">
            <w:pPr>
              <w:pStyle w:val="Tabell"/>
              <w:spacing w:before="40" w:after="40"/>
              <w:jc w:val="center"/>
            </w:pPr>
            <w:r w:rsidRPr="001E42CA">
              <w:t>14</w:t>
            </w:r>
          </w:p>
        </w:tc>
        <w:tc>
          <w:tcPr>
            <w:tcW w:w="996" w:type="dxa"/>
          </w:tcPr>
          <w:p w:rsidR="00DC1575" w:rsidRPr="001E42CA" w:rsidRDefault="00DC1575">
            <w:pPr>
              <w:pStyle w:val="Tabell"/>
              <w:spacing w:before="40" w:after="40"/>
              <w:jc w:val="center"/>
            </w:pPr>
            <w:r w:rsidRPr="001E42CA">
              <w:t>18</w:t>
            </w:r>
          </w:p>
        </w:tc>
        <w:tc>
          <w:tcPr>
            <w:tcW w:w="997" w:type="dxa"/>
          </w:tcPr>
          <w:p w:rsidR="00DC1575" w:rsidRPr="001E42CA" w:rsidRDefault="00DC1575">
            <w:pPr>
              <w:pStyle w:val="Tabell"/>
              <w:spacing w:before="40" w:after="40"/>
              <w:jc w:val="center"/>
            </w:pPr>
            <w:r w:rsidRPr="001E42CA">
              <w:t xml:space="preserve">  526,1</w:t>
            </w:r>
          </w:p>
        </w:tc>
      </w:tr>
      <w:tr w:rsidR="00000000" w:rsidRPr="001E42CA">
        <w:tblPrEx>
          <w:tblCellMar>
            <w:top w:w="0" w:type="dxa"/>
            <w:bottom w:w="0" w:type="dxa"/>
          </w:tblCellMar>
        </w:tblPrEx>
        <w:tc>
          <w:tcPr>
            <w:tcW w:w="3047" w:type="dxa"/>
          </w:tcPr>
          <w:p w:rsidR="00DC1575" w:rsidRPr="001E42CA" w:rsidRDefault="00DC1575">
            <w:pPr>
              <w:pStyle w:val="Tabell"/>
              <w:spacing w:before="40" w:after="40"/>
            </w:pPr>
            <w:r w:rsidRPr="001E42CA">
              <w:t>Kommuner som redan har avtal med Bostadsdelegationen</w:t>
            </w:r>
          </w:p>
        </w:tc>
        <w:tc>
          <w:tcPr>
            <w:tcW w:w="996" w:type="dxa"/>
          </w:tcPr>
          <w:p w:rsidR="00DC1575" w:rsidRPr="001E42CA" w:rsidRDefault="00DC1575">
            <w:pPr>
              <w:pStyle w:val="Tabell"/>
              <w:spacing w:before="40" w:after="40"/>
              <w:jc w:val="center"/>
            </w:pPr>
            <w:r w:rsidRPr="001E42CA">
              <w:t xml:space="preserve">  2</w:t>
            </w:r>
          </w:p>
        </w:tc>
        <w:tc>
          <w:tcPr>
            <w:tcW w:w="996" w:type="dxa"/>
          </w:tcPr>
          <w:p w:rsidR="00DC1575" w:rsidRPr="001E42CA" w:rsidRDefault="00DC1575">
            <w:pPr>
              <w:pStyle w:val="Tabell"/>
              <w:spacing w:before="40" w:after="40"/>
              <w:jc w:val="center"/>
            </w:pPr>
            <w:r w:rsidRPr="001E42CA">
              <w:t xml:space="preserve">  7</w:t>
            </w:r>
          </w:p>
        </w:tc>
        <w:tc>
          <w:tcPr>
            <w:tcW w:w="997" w:type="dxa"/>
          </w:tcPr>
          <w:p w:rsidR="00DC1575" w:rsidRPr="001E42CA" w:rsidRDefault="00DC1575">
            <w:pPr>
              <w:pStyle w:val="Tabell"/>
              <w:spacing w:before="40" w:after="40"/>
              <w:jc w:val="center"/>
            </w:pPr>
            <w:r w:rsidRPr="001E42CA">
              <w:t xml:space="preserve">  159,7</w:t>
            </w:r>
          </w:p>
        </w:tc>
      </w:tr>
      <w:tr w:rsidR="00000000" w:rsidRPr="001E42CA">
        <w:tblPrEx>
          <w:tblCellMar>
            <w:top w:w="0" w:type="dxa"/>
            <w:bottom w:w="0" w:type="dxa"/>
          </w:tblCellMar>
        </w:tblPrEx>
        <w:tc>
          <w:tcPr>
            <w:tcW w:w="3047" w:type="dxa"/>
          </w:tcPr>
          <w:p w:rsidR="00DC1575" w:rsidRPr="001E42CA" w:rsidRDefault="00DC1575">
            <w:pPr>
              <w:pStyle w:val="Tabell"/>
              <w:spacing w:before="40" w:after="40"/>
            </w:pPr>
            <w:r w:rsidRPr="001E42CA">
              <w:t>Kommuner vars ansökningar behandlats både av Kommundelegationen och B</w:t>
            </w:r>
            <w:r w:rsidRPr="001E42CA">
              <w:t>o</w:t>
            </w:r>
            <w:r w:rsidRPr="001E42CA">
              <w:t>stadsdelegationen</w:t>
            </w:r>
          </w:p>
        </w:tc>
        <w:tc>
          <w:tcPr>
            <w:tcW w:w="996" w:type="dxa"/>
          </w:tcPr>
          <w:p w:rsidR="00DC1575" w:rsidRPr="001E42CA" w:rsidRDefault="00DC1575">
            <w:pPr>
              <w:pStyle w:val="Tabell"/>
              <w:spacing w:before="40" w:after="40"/>
              <w:jc w:val="center"/>
            </w:pPr>
            <w:r w:rsidRPr="001E42CA">
              <w:t>10</w:t>
            </w:r>
          </w:p>
        </w:tc>
        <w:tc>
          <w:tcPr>
            <w:tcW w:w="996" w:type="dxa"/>
          </w:tcPr>
          <w:p w:rsidR="00DC1575" w:rsidRPr="001E42CA" w:rsidRDefault="00DC1575">
            <w:pPr>
              <w:pStyle w:val="Tabell"/>
              <w:spacing w:before="40" w:after="40"/>
              <w:jc w:val="center"/>
            </w:pPr>
            <w:r w:rsidRPr="001E42CA">
              <w:t>14</w:t>
            </w:r>
          </w:p>
        </w:tc>
        <w:tc>
          <w:tcPr>
            <w:tcW w:w="997" w:type="dxa"/>
          </w:tcPr>
          <w:p w:rsidR="00DC1575" w:rsidRPr="001E42CA" w:rsidRDefault="00DC1575">
            <w:pPr>
              <w:pStyle w:val="Tabell"/>
              <w:spacing w:before="40" w:after="40"/>
              <w:jc w:val="center"/>
            </w:pPr>
            <w:r w:rsidRPr="001E42CA">
              <w:t xml:space="preserve">  320,9</w:t>
            </w:r>
          </w:p>
        </w:tc>
      </w:tr>
      <w:tr w:rsidR="00000000" w:rsidRPr="001E42CA">
        <w:tblPrEx>
          <w:tblCellMar>
            <w:top w:w="0" w:type="dxa"/>
            <w:bottom w:w="0" w:type="dxa"/>
          </w:tblCellMar>
        </w:tblPrEx>
        <w:tc>
          <w:tcPr>
            <w:tcW w:w="3047" w:type="dxa"/>
            <w:tcBorders>
              <w:bottom w:val="single" w:sz="4" w:space="0" w:color="auto"/>
            </w:tcBorders>
          </w:tcPr>
          <w:p w:rsidR="00DC1575" w:rsidRPr="001E42CA" w:rsidRDefault="00DC1575">
            <w:pPr>
              <w:pStyle w:val="Tabell"/>
              <w:spacing w:before="40" w:after="40"/>
            </w:pPr>
            <w:r w:rsidRPr="001E42CA">
              <w:t>Summa</w:t>
            </w:r>
          </w:p>
        </w:tc>
        <w:tc>
          <w:tcPr>
            <w:tcW w:w="996" w:type="dxa"/>
            <w:tcBorders>
              <w:bottom w:val="single" w:sz="4" w:space="0" w:color="auto"/>
            </w:tcBorders>
          </w:tcPr>
          <w:p w:rsidR="00DC1575" w:rsidRPr="001E42CA" w:rsidRDefault="00DC1575">
            <w:pPr>
              <w:pStyle w:val="Tabell"/>
              <w:spacing w:before="40" w:after="40"/>
              <w:jc w:val="center"/>
            </w:pPr>
            <w:r w:rsidRPr="001E42CA">
              <w:t>26</w:t>
            </w:r>
          </w:p>
        </w:tc>
        <w:tc>
          <w:tcPr>
            <w:tcW w:w="996" w:type="dxa"/>
            <w:tcBorders>
              <w:bottom w:val="single" w:sz="4" w:space="0" w:color="auto"/>
            </w:tcBorders>
          </w:tcPr>
          <w:p w:rsidR="00DC1575" w:rsidRPr="001E42CA" w:rsidRDefault="00DC1575">
            <w:pPr>
              <w:pStyle w:val="Tabell"/>
              <w:spacing w:before="40" w:after="40"/>
              <w:jc w:val="center"/>
            </w:pPr>
            <w:r w:rsidRPr="001E42CA">
              <w:t>39</w:t>
            </w:r>
          </w:p>
        </w:tc>
        <w:tc>
          <w:tcPr>
            <w:tcW w:w="997" w:type="dxa"/>
            <w:tcBorders>
              <w:bottom w:val="single" w:sz="4" w:space="0" w:color="auto"/>
            </w:tcBorders>
          </w:tcPr>
          <w:p w:rsidR="00DC1575" w:rsidRPr="001E42CA" w:rsidRDefault="00DC1575">
            <w:pPr>
              <w:pStyle w:val="Tabell"/>
              <w:spacing w:before="40" w:after="40"/>
              <w:jc w:val="center"/>
            </w:pPr>
            <w:r w:rsidRPr="001E42CA">
              <w:t>1006,7</w:t>
            </w:r>
          </w:p>
        </w:tc>
      </w:tr>
    </w:tbl>
    <w:p w:rsidR="00DC1575" w:rsidRPr="001E42CA" w:rsidRDefault="00DC1575">
      <w:pPr>
        <w:spacing w:before="40"/>
        <w:rPr>
          <w:sz w:val="17"/>
        </w:rPr>
      </w:pPr>
      <w:r w:rsidRPr="001E42CA">
        <w:rPr>
          <w:i/>
          <w:sz w:val="17"/>
        </w:rPr>
        <w:t>Källa</w:t>
      </w:r>
      <w:r w:rsidRPr="001E42CA">
        <w:rPr>
          <w:sz w:val="17"/>
        </w:rPr>
        <w:t>: Kommundelegationen (2000).</w:t>
      </w:r>
    </w:p>
    <w:p w:rsidR="00DC1575" w:rsidRPr="001E42CA" w:rsidRDefault="00DC1575">
      <w:pPr>
        <w:pStyle w:val="Normaltindrag"/>
      </w:pPr>
    </w:p>
    <w:p w:rsidR="00DC1575" w:rsidRPr="001E42CA" w:rsidRDefault="00DC1575">
      <w:pPr>
        <w:spacing w:before="0"/>
      </w:pPr>
      <w:r w:rsidRPr="001E42CA">
        <w:t>Delegationen redovisade i sin slutrapport vissa iakttagelser kring problem och möjli</w:t>
      </w:r>
      <w:r w:rsidRPr="001E42CA">
        <w:t>g</w:t>
      </w:r>
      <w:r w:rsidRPr="001E42CA">
        <w:t>heter i den kommunala verksamheten.</w:t>
      </w:r>
    </w:p>
    <w:p w:rsidR="00DC1575" w:rsidRPr="001E42CA" w:rsidRDefault="00DC1575">
      <w:pPr>
        <w:pStyle w:val="Normaltindrag"/>
      </w:pPr>
    </w:p>
    <w:p w:rsidR="00DC1575" w:rsidRPr="001E42CA" w:rsidRDefault="00DC1575">
      <w:pPr>
        <w:numPr>
          <w:ilvl w:val="0"/>
          <w:numId w:val="56"/>
        </w:numPr>
      </w:pPr>
      <w:r w:rsidRPr="001E42CA">
        <w:t>Det lokala, politiska ledarskapet och ledarskapet i förvaltningen är av avgörande betydelse för hur framgångsrikt en kommun eller ett land</w:t>
      </w:r>
      <w:r w:rsidRPr="001E42CA">
        <w:t>s</w:t>
      </w:r>
      <w:r w:rsidRPr="001E42CA">
        <w:t xml:space="preserve">ting lyckas lösa sina problem, oberoende om förutsättningarna är goda eller dåliga. </w:t>
      </w:r>
    </w:p>
    <w:p w:rsidR="00DC1575" w:rsidRPr="001E42CA" w:rsidRDefault="00DC1575">
      <w:pPr>
        <w:numPr>
          <w:ilvl w:val="0"/>
          <w:numId w:val="56"/>
        </w:numPr>
      </w:pPr>
      <w:r w:rsidRPr="001E42CA">
        <w:t>Det finns i vissa regioner en tendens till konkurrens om medborgare och företag som på olika sätt kan få negativa konsekvenser för den komm</w:t>
      </w:r>
      <w:r w:rsidRPr="001E42CA">
        <w:t>u</w:t>
      </w:r>
      <w:r w:rsidRPr="001E42CA">
        <w:t>nala ekonomin.</w:t>
      </w:r>
    </w:p>
    <w:p w:rsidR="00DC1575" w:rsidRPr="001E42CA" w:rsidRDefault="00DC1575">
      <w:pPr>
        <w:numPr>
          <w:ilvl w:val="0"/>
          <w:numId w:val="56"/>
        </w:numPr>
      </w:pPr>
      <w:r w:rsidRPr="001E42CA">
        <w:t>Inom vissa områden förekommer det i mindre utsträckning ett samarbete mellan kommuner. De hinder som finns kan vara av både legal natur och av ”revirmässig” natur. Det skulle dock kunna finnas anledning att överväga en bred inventering av både hinder och möjligheter för ett u</w:t>
      </w:r>
      <w:r w:rsidRPr="001E42CA">
        <w:t>t</w:t>
      </w:r>
      <w:r w:rsidRPr="001E42CA">
        <w:t>ökat samarbete inom olika verksamhetsområden, och i anslutning till detta även en stimulans av konkreta försöksverksamheter med ökad samverkan.</w:t>
      </w:r>
    </w:p>
    <w:p w:rsidR="00DC1575" w:rsidRPr="001E42CA" w:rsidRDefault="00DC1575">
      <w:pPr>
        <w:numPr>
          <w:ilvl w:val="0"/>
          <w:numId w:val="56"/>
        </w:numPr>
      </w:pPr>
      <w:r w:rsidRPr="001E42CA">
        <w:t>Professionaliteten och flexibiliteten i exempelvis personalpolitiken borde kunna öka. Det finns ofta problem med insikten om att bema</w:t>
      </w:r>
      <w:r w:rsidRPr="001E42CA">
        <w:t>n</w:t>
      </w:r>
      <w:r w:rsidRPr="001E42CA">
        <w:t>ningen måste anpassas till behov av resurser, särskilt om det innebär personalneddragnin</w:t>
      </w:r>
      <w:r w:rsidRPr="001E42CA">
        <w:t>g</w:t>
      </w:r>
      <w:r w:rsidRPr="001E42CA">
        <w:t xml:space="preserve">ar. </w:t>
      </w:r>
    </w:p>
    <w:p w:rsidR="00DC1575" w:rsidRPr="001E42CA" w:rsidRDefault="00DC1575">
      <w:pPr>
        <w:pStyle w:val="R3"/>
      </w:pPr>
      <w:r w:rsidRPr="001E42CA">
        <w:t>Regeringens hantering av Kommundelegationens förslag</w:t>
      </w:r>
    </w:p>
    <w:p w:rsidR="00DC1575" w:rsidRPr="001E42CA" w:rsidRDefault="00DC1575">
      <w:r w:rsidRPr="001E42CA">
        <w:t>Regeringen fattade under hösten 2000 beslut i de ärenden som Kommund</w:t>
      </w:r>
      <w:r w:rsidRPr="001E42CA">
        <w:t>e</w:t>
      </w:r>
      <w:r w:rsidRPr="001E42CA">
        <w:t>legationen överlämnat till regeringen. Totalt beslutade regeringen att fördela 1 332 miljoner kronor till 36 kommuner och 5 landsting. Jämfört med Ko</w:t>
      </w:r>
      <w:r w:rsidRPr="001E42CA">
        <w:t>m</w:t>
      </w:r>
      <w:r w:rsidRPr="001E42CA">
        <w:t>mundelegationens förslag var det en ökning med drygt 325 miljoner kronor.  Ökningen förklaras bl.a. av att Norrbottens läns landsting, som ej var färdi</w:t>
      </w:r>
      <w:r w:rsidRPr="001E42CA">
        <w:t>g</w:t>
      </w:r>
      <w:r w:rsidRPr="001E42CA">
        <w:t>berett av Kommundelegationen, erhöll ett bidrag på 180 miljoner kronor och att Jämtlands läns landsting, som föreslagits få avslag av delegationen, erhöll ett bidrag på 15 miljoner kronor. Resterande 130 miljo</w:t>
      </w:r>
      <w:r w:rsidRPr="001E42CA">
        <w:t xml:space="preserve">ner kronor förklaras av att regeringen beslöt att öka delegationens förslag med drygt 10 procent.  </w:t>
      </w:r>
    </w:p>
    <w:p w:rsidR="00DC1575" w:rsidRPr="001E42CA" w:rsidRDefault="00DC1575">
      <w:pPr>
        <w:pStyle w:val="Normaltindrag"/>
      </w:pPr>
      <w:r w:rsidRPr="001E42CA">
        <w:t>Även inom andra områden var regeringen mer generös än Kommundel</w:t>
      </w:r>
      <w:r w:rsidRPr="001E42CA">
        <w:t>e</w:t>
      </w:r>
      <w:r w:rsidRPr="001E42CA">
        <w:t>gationen.</w:t>
      </w:r>
    </w:p>
    <w:p w:rsidR="00DC1575" w:rsidRPr="001E42CA" w:rsidRDefault="00DC1575">
      <w:pPr>
        <w:pStyle w:val="Normaltindrag"/>
      </w:pPr>
    </w:p>
    <w:p w:rsidR="00DC1575" w:rsidRPr="001E42CA" w:rsidRDefault="00DC1575">
      <w:pPr>
        <w:numPr>
          <w:ilvl w:val="0"/>
          <w:numId w:val="57"/>
        </w:numPr>
        <w:spacing w:before="0"/>
        <w:ind w:left="357" w:hanging="357"/>
      </w:pPr>
      <w:r w:rsidRPr="001E42CA">
        <w:t>25 procent av bidraget betalas ut redan i början av 2002. Kommundel</w:t>
      </w:r>
      <w:r w:rsidRPr="001E42CA">
        <w:t>e</w:t>
      </w:r>
      <w:r w:rsidRPr="001E42CA">
        <w:t>gationens förslag var att hela bidraget skulle betalas ut först när balans i ekonomin uppnåtts.</w:t>
      </w:r>
    </w:p>
    <w:p w:rsidR="00DC1575" w:rsidRPr="001E42CA" w:rsidRDefault="00DC1575">
      <w:pPr>
        <w:numPr>
          <w:ilvl w:val="0"/>
          <w:numId w:val="57"/>
        </w:numPr>
      </w:pPr>
      <w:r w:rsidRPr="001E42CA">
        <w:t>Till skillnad från Kommundelegationens förslag utgår stöd även om ekonomisk balans uppnåtts med en mindre kostnadsminskning än avt</w:t>
      </w:r>
      <w:r w:rsidRPr="001E42CA">
        <w:t>a</w:t>
      </w:r>
      <w:r w:rsidRPr="001E42CA">
        <w:t xml:space="preserve">lat, men då i proportion till kostnadsminskningen. </w:t>
      </w:r>
    </w:p>
    <w:p w:rsidR="00DC1575" w:rsidRPr="001E42CA" w:rsidRDefault="00DC1575">
      <w:pPr>
        <w:pStyle w:val="Rubrik2"/>
      </w:pPr>
      <w:bookmarkStart w:id="33" w:name="_Toc526302379"/>
      <w:r w:rsidRPr="001E42CA">
        <w:t>Bostadsdelegationen</w:t>
      </w:r>
      <w:bookmarkEnd w:id="33"/>
    </w:p>
    <w:p w:rsidR="00DC1575" w:rsidRPr="001E42CA" w:rsidRDefault="00DC1575">
      <w:r w:rsidRPr="001E42CA">
        <w:t>Bostadsdelegationen inrättades den 1 juli 1998. Syftet var bl.a. att avlasta regeringen i hanteringen av ärenden om särskilda insatser för kommuner i de fall kommunens svårigheter väsentligen härrörde från dess åtaganden för boendet. Genom en sådan hanteringsordning skulle det också på ett annat sätt bli möjligt att kontinuerligt följa upp olika förutsättningar och villkor i en överenskommelse mellan staten och kommunen om stöd (prop. 1997/98:119).</w:t>
      </w:r>
    </w:p>
    <w:p w:rsidR="00DC1575" w:rsidRPr="001E42CA" w:rsidRDefault="00DC1575">
      <w:pPr>
        <w:pStyle w:val="R3"/>
      </w:pPr>
      <w:r w:rsidRPr="001E42CA">
        <w:t>Bakgrund och uppdrag</w:t>
      </w:r>
    </w:p>
    <w:p w:rsidR="00DC1575" w:rsidRPr="001E42CA" w:rsidRDefault="00DC1575">
      <w:r w:rsidRPr="001E42CA">
        <w:t>Bakgrunden till denna form av stöd var bl.a. att för många kommuner var ansvaret för de egna bostadsföretagens åtaganden en återkommande orsak till ekonomiska problem, exempelvis Haninge kommun. Som exempel på sv</w:t>
      </w:r>
      <w:r w:rsidRPr="001E42CA">
        <w:t>å</w:t>
      </w:r>
      <w:r w:rsidRPr="001E42CA">
        <w:t>righeter nämndes att bestående strukturella förändringar kan leda till att förutsättningarna för den kommunala verksamheten och bostadsföretagen väsentligt försämras. Exempelvis kunde det vara fråga om att den verksa</w:t>
      </w:r>
      <w:r w:rsidRPr="001E42CA">
        <w:t>m</w:t>
      </w:r>
      <w:r w:rsidRPr="001E42CA">
        <w:t>het som dominerat sysselsättningen på en ort i kommunen slås ut på ett sätt som leder till en tilltagande avfol</w:t>
      </w:r>
      <w:r w:rsidRPr="001E42CA">
        <w:t>k</w:t>
      </w:r>
      <w:r w:rsidRPr="001E42CA">
        <w:t xml:space="preserve">ning på denna ort (prop. 1997/98:119). </w:t>
      </w:r>
    </w:p>
    <w:p w:rsidR="00DC1575" w:rsidRPr="001E42CA" w:rsidRDefault="00DC1575">
      <w:pPr>
        <w:pStyle w:val="Normaltindrag"/>
      </w:pPr>
      <w:r w:rsidRPr="001E42CA">
        <w:t>En utgångspunkt för regeringens förslag var att en kommun själv bär det yttersta ansvaret för sina åtaganden för boendet. I vissa speciella si</w:t>
      </w:r>
      <w:r w:rsidRPr="001E42CA">
        <w:t xml:space="preserve">tuationer kan emellertid statens övergripande ansvar för den offentliga verksamheten och ekonomin motivera tillfälligt stöd till en enskild kommun som saknar förutsättningar att av egen kraft fullgöra sina åtaganden. Frågor om stöd ska i första hand prövas mot kommunens egna ekonomiska förutsättningar. Endast kommuner med en särskilt svår ekonomisk situation ska komma i fråga för stöd (prop. 1997/98:119). </w:t>
      </w:r>
    </w:p>
    <w:p w:rsidR="00DC1575" w:rsidRPr="001E42CA" w:rsidRDefault="00DC1575">
      <w:pPr>
        <w:pStyle w:val="Normaltindrag"/>
      </w:pPr>
      <w:r w:rsidRPr="001E42CA">
        <w:t>Stödet är begränsat till vissa former av åtaganden. Med åtaganden för b</w:t>
      </w:r>
      <w:r w:rsidRPr="001E42CA">
        <w:t>o</w:t>
      </w:r>
      <w:r w:rsidRPr="001E42CA">
        <w:t>endet avses en kommuns åtaganden, direkt eller indirekt, för ett bostadsför</w:t>
      </w:r>
      <w:r w:rsidRPr="001E42CA">
        <w:t>e</w:t>
      </w:r>
      <w:r w:rsidRPr="001E42CA">
        <w:t>tag över vilket kommunen har bestämmande inflytande. Det avser också en kommuns borgensåtaganden för enskilda bostadsrättsföreningar inom ko</w:t>
      </w:r>
      <w:r w:rsidRPr="001E42CA">
        <w:t>m</w:t>
      </w:r>
      <w:r w:rsidRPr="001E42CA">
        <w:t>munen som erhållit statligt reglerat bostadslån eller erhållit bidrag enligt förordningen (1991:1933) om statligt räntebidrag för ny- och ombyggnad av bostäder.</w:t>
      </w:r>
    </w:p>
    <w:p w:rsidR="00DC1575" w:rsidRPr="001E42CA" w:rsidRDefault="00DC1575">
      <w:pPr>
        <w:pStyle w:val="R3"/>
      </w:pPr>
      <w:r w:rsidRPr="001E42CA">
        <w:t>Organisation och arbetssätt</w:t>
      </w:r>
    </w:p>
    <w:p w:rsidR="00DC1575" w:rsidRPr="001E42CA" w:rsidRDefault="00DC1575">
      <w:r w:rsidRPr="001E42CA">
        <w:t>Delegationens verksamhet regleras genom förordningen (1998:667) med instruktion för Delegationen för stöd till vissa kommuner med bostadsåt</w:t>
      </w:r>
      <w:r w:rsidRPr="001E42CA">
        <w:t>a</w:t>
      </w:r>
      <w:r w:rsidRPr="001E42CA">
        <w:t>ganden. Delegationen leds av en styrelse som utses av regeringen (ordföra</w:t>
      </w:r>
      <w:r w:rsidRPr="001E42CA">
        <w:t>n</w:t>
      </w:r>
      <w:r w:rsidRPr="001E42CA">
        <w:t>de och tre ledamöter)</w:t>
      </w:r>
      <w:r w:rsidRPr="001E42CA">
        <w:rPr>
          <w:rStyle w:val="Fotnotsreferens"/>
        </w:rPr>
        <w:footnoteReference w:id="9"/>
      </w:r>
      <w:r w:rsidRPr="001E42CA">
        <w:t>. Kansliet leds av en kanslichef och har därutöver två handlägg</w:t>
      </w:r>
      <w:r w:rsidRPr="001E42CA">
        <w:t>a</w:t>
      </w:r>
      <w:r w:rsidRPr="001E42CA">
        <w:t xml:space="preserve">re. </w:t>
      </w:r>
    </w:p>
    <w:p w:rsidR="00DC1575" w:rsidRPr="001E42CA" w:rsidRDefault="00DC1575">
      <w:pPr>
        <w:pStyle w:val="Normaltindrag"/>
      </w:pPr>
      <w:r w:rsidRPr="001E42CA">
        <w:t>Bostadsdelegationen har till uppgift att</w:t>
      </w:r>
    </w:p>
    <w:p w:rsidR="00DC1575" w:rsidRPr="001E42CA" w:rsidRDefault="00DC1575">
      <w:pPr>
        <w:numPr>
          <w:ilvl w:val="0"/>
          <w:numId w:val="24"/>
        </w:numPr>
      </w:pPr>
      <w:r w:rsidRPr="001E42CA">
        <w:t>handlägga ärenden om stöd enligt förordningen (1998:666) om statligt stöd för vissa kommunala åtaganden för boendet,</w:t>
      </w:r>
    </w:p>
    <w:p w:rsidR="00DC1575" w:rsidRPr="001E42CA" w:rsidRDefault="00DC1575">
      <w:pPr>
        <w:numPr>
          <w:ilvl w:val="0"/>
          <w:numId w:val="24"/>
        </w:numPr>
      </w:pPr>
      <w:r w:rsidRPr="001E42CA">
        <w:t>överlägga med enskilda kommuner om lämpliga åtgärder och villkor för sådant stöd,</w:t>
      </w:r>
    </w:p>
    <w:p w:rsidR="00DC1575" w:rsidRPr="001E42CA" w:rsidRDefault="00DC1575">
      <w:pPr>
        <w:numPr>
          <w:ilvl w:val="0"/>
          <w:numId w:val="24"/>
        </w:numPr>
      </w:pPr>
      <w:r w:rsidRPr="001E42CA">
        <w:t>i enskilda stödärenden medverka vid rekonstruktioner och vid uppt</w:t>
      </w:r>
      <w:r w:rsidRPr="001E42CA">
        <w:t>a</w:t>
      </w:r>
      <w:r w:rsidRPr="001E42CA">
        <w:t>gande av lån,</w:t>
      </w:r>
    </w:p>
    <w:p w:rsidR="00DC1575" w:rsidRPr="001E42CA" w:rsidRDefault="00DC1575">
      <w:pPr>
        <w:numPr>
          <w:ilvl w:val="0"/>
          <w:numId w:val="24"/>
        </w:numPr>
      </w:pPr>
      <w:r w:rsidRPr="001E42CA">
        <w:t>samordna olika insatser för att bistå med stöd samt,</w:t>
      </w:r>
    </w:p>
    <w:p w:rsidR="00DC1575" w:rsidRPr="001E42CA" w:rsidRDefault="00DC1575">
      <w:pPr>
        <w:numPr>
          <w:ilvl w:val="0"/>
          <w:numId w:val="24"/>
        </w:numPr>
      </w:pPr>
      <w:r w:rsidRPr="001E42CA">
        <w:t>bevaka att villkor för stöd följs och ta till vara statens intresse när dessa villkor inte följs.</w:t>
      </w:r>
    </w:p>
    <w:p w:rsidR="00DC1575" w:rsidRPr="001E42CA" w:rsidRDefault="00DC1575">
      <w:r w:rsidRPr="001E42CA">
        <w:t>Stödet ska utformas på ett sådant sätt att statens långsiktiga kostnader hålls så låga som möjligt och så att statens insatser så långt som möjligt återvinns. Beslut om stöd ska förenas med villkor.</w:t>
      </w:r>
    </w:p>
    <w:p w:rsidR="00DC1575" w:rsidRPr="001E42CA" w:rsidRDefault="00DC1575">
      <w:pPr>
        <w:pStyle w:val="Normaltindrag"/>
      </w:pPr>
      <w:r w:rsidRPr="001E42CA">
        <w:t>Bostadsdelegationen ska tillfälligt bistå kommuner med stöd för att mo</w:t>
      </w:r>
      <w:r w:rsidRPr="001E42CA">
        <w:t>t</w:t>
      </w:r>
      <w:r w:rsidRPr="001E42CA">
        <w:t>verka att en kommun på grund av åtaganden för boendet inte kan fullgöra sina ekonomiska förpliktelser. Verksamhetsmålet är att statligt stöd ska lä</w:t>
      </w:r>
      <w:r w:rsidRPr="001E42CA">
        <w:t>m</w:t>
      </w:r>
      <w:r w:rsidRPr="001E42CA">
        <w:t>nas på sådana villkor att statens kostnader minimeras (se kapitel 6 för en närmare analys).</w:t>
      </w:r>
    </w:p>
    <w:p w:rsidR="00DC1575" w:rsidRPr="001E42CA" w:rsidRDefault="00DC1575">
      <w:pPr>
        <w:pStyle w:val="Normaltindrag"/>
      </w:pPr>
      <w:r w:rsidRPr="001E42CA">
        <w:t>I samband med ansökningar om stöd analyserar delegationen kommunens ekonomiska utveckling. Delegationen analyserar även bostadsföretagen. Analyserna av den kommunala ekonomin och av bostadsföretagen ligger tillsammans med diskussioner med kommunledningen till grund för B</w:t>
      </w:r>
      <w:r w:rsidRPr="001E42CA">
        <w:t>o</w:t>
      </w:r>
      <w:r w:rsidRPr="001E42CA">
        <w:t>stadsdelegationens bedömning av hur stort åtagande för boendet som ko</w:t>
      </w:r>
      <w:r w:rsidRPr="001E42CA">
        <w:t>m</w:t>
      </w:r>
      <w:r w:rsidRPr="001E42CA">
        <w:t>munen bör klara att finansiera med egna medel. En väsentlig förutsättning för rekonstruktionsarbetet är att det råder enighet mellan kommunen och delegationen om vad som måste göras och hur rekonstruktionsarbetet ska genomföras. Resultatet av överläggningarna uttrycks därför i ett avtal mellan staten och kommunen. Genom detta regleras kommunens åtagande gentemot bostadsföretaget och staten samt statens åtagande gentemot kommunen. Delegat</w:t>
      </w:r>
      <w:r w:rsidRPr="001E42CA">
        <w:t>ionens arbetssätt redovisas närmare i kap</w:t>
      </w:r>
      <w:r w:rsidRPr="001E42CA">
        <w:t>i</w:t>
      </w:r>
      <w:r w:rsidRPr="001E42CA">
        <w:t>tel 5.</w:t>
      </w:r>
    </w:p>
    <w:p w:rsidR="00DC1575" w:rsidRPr="001E42CA" w:rsidRDefault="00DC1575">
      <w:pPr>
        <w:pStyle w:val="R3"/>
      </w:pPr>
      <w:r w:rsidRPr="001E42CA">
        <w:t>Delegationens beslut</w:t>
      </w:r>
    </w:p>
    <w:p w:rsidR="00DC1575" w:rsidRPr="001E42CA" w:rsidRDefault="00DC1575">
      <w:r w:rsidRPr="001E42CA">
        <w:t>91 kommuner hade fram till utgången av den 31 januari 2001 sökt stöd från Bostadsdelegationen. Avtal om stöd har träffats med 36 kommuner, varav en ännu inte är slutligt godkänd. Avslag på ansökan har lämnats till 43 komm</w:t>
      </w:r>
      <w:r w:rsidRPr="001E42CA">
        <w:t>u</w:t>
      </w:r>
      <w:r w:rsidRPr="001E42CA">
        <w:t xml:space="preserve">ner och 6 ansökningar är avskrivna. Ansökningar från 6 kommuner var ännu ej behandlade. </w:t>
      </w:r>
    </w:p>
    <w:p w:rsidR="00DC1575" w:rsidRPr="001E42CA" w:rsidRDefault="00DC1575">
      <w:pPr>
        <w:pStyle w:val="Normaltindrag"/>
      </w:pPr>
      <w:r w:rsidRPr="001E42CA">
        <w:t>För delegationens verksamhet har under åren 1998–2000 sammanlagt 2 060 miljoner kronor anvisats. Delegationen har fram till och med 2000 åtagit sig att lämna bidrag med 1 640 miljoner kronor. Till det kommer 115 miljoner kronor som har reserverats för täckande av framtida förluster på de kreditgarantier som hittills har ställts ut. Sammantaget väntas kostnaderna för stödgivningen uppgå till drygt 2 miljarder kronor.</w:t>
      </w:r>
    </w:p>
    <w:p w:rsidR="00DC1575" w:rsidRPr="001E42CA" w:rsidRDefault="00DC1575">
      <w:pPr>
        <w:pStyle w:val="Normaltindrag"/>
      </w:pPr>
    </w:p>
    <w:p w:rsidR="00DC1575" w:rsidRPr="001E42CA" w:rsidRDefault="00DC1575">
      <w:pPr>
        <w:pStyle w:val="Tabellrubrik"/>
      </w:pPr>
      <w:r w:rsidRPr="001E42CA">
        <w:t>Tabell 3.3 Bostadsdelegationens ärenden</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630"/>
        <w:gridCol w:w="879"/>
        <w:gridCol w:w="879"/>
        <w:gridCol w:w="879"/>
        <w:gridCol w:w="879"/>
        <w:gridCol w:w="879"/>
      </w:tblGrid>
      <w:tr w:rsidR="00000000" w:rsidRPr="001E42CA">
        <w:tblPrEx>
          <w:tblCellMar>
            <w:top w:w="0" w:type="dxa"/>
            <w:bottom w:w="0" w:type="dxa"/>
          </w:tblCellMar>
        </w:tblPrEx>
        <w:tc>
          <w:tcPr>
            <w:tcW w:w="1630" w:type="dxa"/>
            <w:tcBorders>
              <w:top w:val="single" w:sz="4" w:space="0" w:color="auto"/>
            </w:tcBorders>
          </w:tcPr>
          <w:p w:rsidR="00DC1575" w:rsidRPr="001E42CA" w:rsidRDefault="00DC1575">
            <w:pPr>
              <w:pStyle w:val="Tabell"/>
              <w:spacing w:before="40" w:after="40"/>
              <w:jc w:val="left"/>
            </w:pPr>
          </w:p>
        </w:tc>
        <w:tc>
          <w:tcPr>
            <w:tcW w:w="879" w:type="dxa"/>
            <w:tcBorders>
              <w:top w:val="single" w:sz="4" w:space="0" w:color="auto"/>
            </w:tcBorders>
          </w:tcPr>
          <w:p w:rsidR="00DC1575" w:rsidRPr="001E42CA" w:rsidRDefault="00DC1575">
            <w:pPr>
              <w:pStyle w:val="Tabell"/>
              <w:spacing w:before="40" w:after="40"/>
              <w:jc w:val="center"/>
            </w:pPr>
            <w:r w:rsidRPr="001E42CA">
              <w:t>Ej b</w:t>
            </w:r>
            <w:r w:rsidRPr="001E42CA">
              <w:t>e</w:t>
            </w:r>
            <w:r w:rsidRPr="001E42CA">
              <w:t>handlade</w:t>
            </w:r>
          </w:p>
        </w:tc>
        <w:tc>
          <w:tcPr>
            <w:tcW w:w="879" w:type="dxa"/>
            <w:tcBorders>
              <w:top w:val="single" w:sz="4" w:space="0" w:color="auto"/>
            </w:tcBorders>
          </w:tcPr>
          <w:p w:rsidR="00DC1575" w:rsidRPr="001E42CA" w:rsidRDefault="00DC1575">
            <w:pPr>
              <w:pStyle w:val="Tabell"/>
              <w:spacing w:before="40" w:after="40"/>
              <w:jc w:val="center"/>
            </w:pPr>
            <w:r w:rsidRPr="001E42CA">
              <w:t>Avskrivna</w:t>
            </w:r>
          </w:p>
        </w:tc>
        <w:tc>
          <w:tcPr>
            <w:tcW w:w="879" w:type="dxa"/>
            <w:tcBorders>
              <w:top w:val="single" w:sz="4" w:space="0" w:color="auto"/>
            </w:tcBorders>
          </w:tcPr>
          <w:p w:rsidR="00DC1575" w:rsidRPr="001E42CA" w:rsidRDefault="00DC1575">
            <w:pPr>
              <w:pStyle w:val="Tabell"/>
              <w:spacing w:before="40" w:after="40"/>
              <w:jc w:val="center"/>
            </w:pPr>
            <w:r w:rsidRPr="001E42CA">
              <w:t>Antal avslag</w:t>
            </w:r>
          </w:p>
        </w:tc>
        <w:tc>
          <w:tcPr>
            <w:tcW w:w="879" w:type="dxa"/>
            <w:tcBorders>
              <w:top w:val="single" w:sz="4" w:space="0" w:color="auto"/>
            </w:tcBorders>
          </w:tcPr>
          <w:p w:rsidR="00DC1575" w:rsidRPr="001E42CA" w:rsidRDefault="00DC1575">
            <w:pPr>
              <w:pStyle w:val="Tabell"/>
              <w:spacing w:before="40" w:after="40"/>
              <w:jc w:val="center"/>
            </w:pPr>
            <w:r w:rsidRPr="001E42CA">
              <w:t>Antal bifall</w:t>
            </w:r>
          </w:p>
        </w:tc>
        <w:tc>
          <w:tcPr>
            <w:tcW w:w="879" w:type="dxa"/>
            <w:tcBorders>
              <w:top w:val="single" w:sz="4" w:space="0" w:color="auto"/>
            </w:tcBorders>
          </w:tcPr>
          <w:p w:rsidR="00DC1575" w:rsidRPr="001E42CA" w:rsidRDefault="00DC1575">
            <w:pPr>
              <w:pStyle w:val="Tabell"/>
              <w:spacing w:before="40" w:after="40"/>
              <w:jc w:val="center"/>
            </w:pPr>
            <w:r w:rsidRPr="001E42CA">
              <w:t>Bidrag (mkr)</w:t>
            </w:r>
          </w:p>
        </w:tc>
      </w:tr>
      <w:tr w:rsidR="00000000" w:rsidRPr="001E42CA">
        <w:tblPrEx>
          <w:tblCellMar>
            <w:top w:w="0" w:type="dxa"/>
            <w:bottom w:w="0" w:type="dxa"/>
          </w:tblCellMar>
        </w:tblPrEx>
        <w:tc>
          <w:tcPr>
            <w:tcW w:w="1630" w:type="dxa"/>
            <w:tcBorders>
              <w:top w:val="single" w:sz="4" w:space="0" w:color="auto"/>
              <w:bottom w:val="single" w:sz="4" w:space="0" w:color="auto"/>
            </w:tcBorders>
          </w:tcPr>
          <w:p w:rsidR="00DC1575" w:rsidRPr="001E42CA" w:rsidRDefault="00DC1575">
            <w:pPr>
              <w:pStyle w:val="Tabell"/>
              <w:spacing w:before="40" w:after="40"/>
              <w:jc w:val="left"/>
            </w:pPr>
            <w:r w:rsidRPr="001E42CA">
              <w:t>Beslut av Bostad</w:t>
            </w:r>
            <w:r w:rsidRPr="001E42CA">
              <w:t>s</w:t>
            </w:r>
            <w:r w:rsidRPr="001E42CA">
              <w:t>delegationen</w:t>
            </w:r>
          </w:p>
        </w:tc>
        <w:tc>
          <w:tcPr>
            <w:tcW w:w="879" w:type="dxa"/>
            <w:tcBorders>
              <w:top w:val="single" w:sz="4" w:space="0" w:color="auto"/>
              <w:bottom w:val="single" w:sz="4" w:space="0" w:color="auto"/>
            </w:tcBorders>
          </w:tcPr>
          <w:p w:rsidR="00DC1575" w:rsidRPr="001E42CA" w:rsidRDefault="00DC1575">
            <w:pPr>
              <w:pStyle w:val="Tabell"/>
              <w:spacing w:before="40" w:after="40"/>
              <w:jc w:val="center"/>
            </w:pPr>
            <w:r w:rsidRPr="001E42CA">
              <w:t>6</w:t>
            </w:r>
          </w:p>
        </w:tc>
        <w:tc>
          <w:tcPr>
            <w:tcW w:w="879" w:type="dxa"/>
            <w:tcBorders>
              <w:top w:val="single" w:sz="4" w:space="0" w:color="auto"/>
              <w:bottom w:val="single" w:sz="4" w:space="0" w:color="auto"/>
            </w:tcBorders>
          </w:tcPr>
          <w:p w:rsidR="00DC1575" w:rsidRPr="001E42CA" w:rsidRDefault="00DC1575">
            <w:pPr>
              <w:pStyle w:val="Tabell"/>
              <w:spacing w:before="40" w:after="40"/>
              <w:jc w:val="center"/>
            </w:pPr>
            <w:r w:rsidRPr="001E42CA">
              <w:t>6</w:t>
            </w:r>
          </w:p>
        </w:tc>
        <w:tc>
          <w:tcPr>
            <w:tcW w:w="879" w:type="dxa"/>
            <w:tcBorders>
              <w:top w:val="single" w:sz="4" w:space="0" w:color="auto"/>
              <w:bottom w:val="single" w:sz="4" w:space="0" w:color="auto"/>
            </w:tcBorders>
          </w:tcPr>
          <w:p w:rsidR="00DC1575" w:rsidRPr="001E42CA" w:rsidRDefault="00DC1575">
            <w:pPr>
              <w:pStyle w:val="Tabell"/>
              <w:spacing w:before="40" w:after="40"/>
              <w:jc w:val="center"/>
            </w:pPr>
            <w:r w:rsidRPr="001E42CA">
              <w:t>43</w:t>
            </w:r>
          </w:p>
        </w:tc>
        <w:tc>
          <w:tcPr>
            <w:tcW w:w="879" w:type="dxa"/>
            <w:tcBorders>
              <w:top w:val="single" w:sz="4" w:space="0" w:color="auto"/>
              <w:bottom w:val="single" w:sz="4" w:space="0" w:color="auto"/>
            </w:tcBorders>
          </w:tcPr>
          <w:p w:rsidR="00DC1575" w:rsidRPr="001E42CA" w:rsidRDefault="00DC1575">
            <w:pPr>
              <w:pStyle w:val="Tabell"/>
              <w:spacing w:before="40" w:after="40"/>
              <w:jc w:val="center"/>
            </w:pPr>
            <w:r w:rsidRPr="001E42CA">
              <w:t>36</w:t>
            </w:r>
          </w:p>
        </w:tc>
        <w:tc>
          <w:tcPr>
            <w:tcW w:w="879" w:type="dxa"/>
            <w:tcBorders>
              <w:top w:val="single" w:sz="4" w:space="0" w:color="auto"/>
              <w:bottom w:val="single" w:sz="4" w:space="0" w:color="auto"/>
            </w:tcBorders>
          </w:tcPr>
          <w:p w:rsidR="00DC1575" w:rsidRPr="001E42CA" w:rsidRDefault="00DC1575">
            <w:pPr>
              <w:pStyle w:val="Tabell"/>
              <w:spacing w:before="40" w:after="40"/>
              <w:jc w:val="center"/>
            </w:pPr>
            <w:r w:rsidRPr="001E42CA">
              <w:t>1 640</w:t>
            </w:r>
          </w:p>
        </w:tc>
      </w:tr>
    </w:tbl>
    <w:p w:rsidR="00DC1575" w:rsidRPr="001E42CA" w:rsidRDefault="00DC1575">
      <w:pPr>
        <w:pStyle w:val="Tabell"/>
        <w:spacing w:before="40" w:line="245" w:lineRule="exact"/>
      </w:pPr>
      <w:r w:rsidRPr="001E42CA">
        <w:rPr>
          <w:i/>
        </w:rPr>
        <w:t>Källa</w:t>
      </w:r>
      <w:r w:rsidRPr="001E42CA">
        <w:t>: Bostadsdelegationen (2001).</w:t>
      </w:r>
    </w:p>
    <w:p w:rsidR="00DC1575" w:rsidRPr="001E42CA" w:rsidRDefault="00DC1575">
      <w:r w:rsidRPr="001E42CA">
        <w:t>Genom rekonstruktionsavtalen har kommunerna åtagit sig att genomföra rekonstruktionsåtgärder i sina bostadsföretag för ett sammanlagt belopp av ca 3 150 miljoner kronor. Kommunernas kostnader för att avveckla sina bo</w:t>
      </w:r>
      <w:r w:rsidRPr="001E42CA">
        <w:t>r</w:t>
      </w:r>
      <w:r w:rsidRPr="001E42CA">
        <w:t>gensåtaganden för bostadsrättsföreningar kan för de kommuner som berörs av hittills träffade överenskommelser om avlösen uppskattas till ca 400 mi</w:t>
      </w:r>
      <w:r w:rsidRPr="001E42CA">
        <w:t>l</w:t>
      </w:r>
      <w:r w:rsidRPr="001E42CA">
        <w:t>joner kronor. Härav har staten således svarat för ca 1 640 miljoner kronor. Inklusive reserveringar för framtida förluster uppgår statens åtaganden till ca 1 750 miljoner kronor (Bostadsdelegationen, 2001).</w:t>
      </w:r>
    </w:p>
    <w:p w:rsidR="00DC1575" w:rsidRPr="001E42CA" w:rsidRDefault="00DC1575">
      <w:pPr>
        <w:pStyle w:val="Normaltindrag"/>
      </w:pPr>
    </w:p>
    <w:p w:rsidR="00DC1575" w:rsidRPr="001E42CA" w:rsidRDefault="00DC1575">
      <w:pPr>
        <w:pStyle w:val="Rubrik1"/>
      </w:pPr>
      <w:r w:rsidRPr="001E42CA">
        <w:br w:type="page"/>
      </w:r>
      <w:bookmarkStart w:id="34" w:name="_Toc526302380"/>
      <w:r w:rsidRPr="001E42CA">
        <w:t>Några jämförelser mellan stödkommuner och andra kommuner</w:t>
      </w:r>
      <w:bookmarkEnd w:id="34"/>
    </w:p>
    <w:p w:rsidR="00DC1575" w:rsidRPr="001E42CA" w:rsidRDefault="00DC1575">
      <w:r w:rsidRPr="001E42CA">
        <w:t>Bidraget till särskilda insatser i vissa kommuner och landsting är inte gen</w:t>
      </w:r>
      <w:r w:rsidRPr="001E42CA">
        <w:t>e</w:t>
      </w:r>
      <w:r w:rsidRPr="001E42CA">
        <w:t>rellt eller obegränsat. Normalt sett bör det därför finnas några former av skillnader mellan kommuner som fått bifall och avslag. Exempelvis bör det inte vara orimligt att anta att kommuner som fått bidrag har en sämre ek</w:t>
      </w:r>
      <w:r w:rsidRPr="001E42CA">
        <w:t>o</w:t>
      </w:r>
      <w:r w:rsidRPr="001E42CA">
        <w:t>nomi än kommuner som inte fått bidrag. Att sådana skillnader bör föreko</w:t>
      </w:r>
      <w:r w:rsidRPr="001E42CA">
        <w:t>m</w:t>
      </w:r>
      <w:r w:rsidRPr="001E42CA">
        <w:t>ma framgår också av instruktionerna till de organ som handlagt och/eller berett ärenden. När det gäller Kommundelegationen skulle förslag om ek</w:t>
      </w:r>
      <w:r w:rsidRPr="001E42CA">
        <w:t>o</w:t>
      </w:r>
      <w:r w:rsidRPr="001E42CA">
        <w:t>nomiskt stöd lämnas till regeringen endast för kommuner och landsting som</w:t>
      </w:r>
      <w:r w:rsidRPr="001E42CA">
        <w:t xml:space="preserve"> befann sig i en särskilt svår ekonomisk situation och som följd av strukturella faktorer hade problem att nå ekonomisk balans. För Bostadsdelegationens del skulle på ett liknande sätt endast kommuner med en särskilt svår ekon</w:t>
      </w:r>
      <w:r w:rsidRPr="001E42CA">
        <w:t>o</w:t>
      </w:r>
      <w:r w:rsidRPr="001E42CA">
        <w:t>misk situ</w:t>
      </w:r>
      <w:r w:rsidRPr="001E42CA">
        <w:t>a</w:t>
      </w:r>
      <w:r w:rsidRPr="001E42CA">
        <w:t>tion komma i fråga för stöd.</w:t>
      </w:r>
    </w:p>
    <w:p w:rsidR="00DC1575" w:rsidRPr="001E42CA" w:rsidRDefault="00DC1575">
      <w:pPr>
        <w:pStyle w:val="Normaltindrag"/>
      </w:pPr>
      <w:r w:rsidRPr="001E42CA">
        <w:t>Avsikten med detta kapitel är att analysera om det finns några påtagliga skillnader mellan kommuner som fått bidrag och kommuner som inte fått bidrag (mer formella skillnader i handläggning etc. redovisas i kapitel 5). Det gäller t.ex. olika bakg</w:t>
      </w:r>
      <w:r w:rsidRPr="001E42CA">
        <w:t xml:space="preserve">rundsfaktorer och finansiella nyckeltal. Det finns också anledning att grovt analysera om det finns några skillnader mellan de olika organ som handlagt ärendena, dvs. regeringen, Bostadsdelegationen och Kommundelegationen. </w:t>
      </w:r>
    </w:p>
    <w:p w:rsidR="00DC1575" w:rsidRPr="001E42CA" w:rsidRDefault="00DC1575">
      <w:pPr>
        <w:pStyle w:val="Normaltindrag"/>
      </w:pPr>
      <w:r w:rsidRPr="001E42CA">
        <w:t>Analysen avgränsas i huvudsak till att avse ärenden som beslutats av B</w:t>
      </w:r>
      <w:r w:rsidRPr="001E42CA">
        <w:t>o</w:t>
      </w:r>
      <w:r w:rsidRPr="001E42CA">
        <w:t>stadsdelegationen och ärenden som beretts av Kommundelegationen och senare beslutats av regeringen. Till detta kommer ett antal ärenden som inte överlämnats till någon av delegationerna, utan beslutats direkt av regerin</w:t>
      </w:r>
      <w:r w:rsidRPr="001E42CA">
        <w:t>g</w:t>
      </w:r>
      <w:r w:rsidRPr="001E42CA">
        <w:t>en.</w:t>
      </w:r>
      <w:r w:rsidRPr="001E42CA">
        <w:rPr>
          <w:rStyle w:val="Fotnotsreferens"/>
        </w:rPr>
        <w:footnoteReference w:id="10"/>
      </w:r>
      <w:r w:rsidRPr="001E42CA">
        <w:t xml:space="preserve"> Analysen har begränsats till att endast avse primä</w:t>
      </w:r>
      <w:r w:rsidRPr="001E42CA">
        <w:t>r</w:t>
      </w:r>
      <w:r w:rsidRPr="001E42CA">
        <w:t>kommuner.</w:t>
      </w:r>
    </w:p>
    <w:p w:rsidR="00DC1575" w:rsidRPr="001E42CA" w:rsidRDefault="00DC1575">
      <w:pPr>
        <w:pStyle w:val="Normaltindrag"/>
      </w:pPr>
      <w:r w:rsidRPr="001E42CA">
        <w:t>Inledningsvis i avsnitt 4.1 redovisas kortfattat hur undersökningen geno</w:t>
      </w:r>
      <w:r w:rsidRPr="001E42CA">
        <w:t>m</w:t>
      </w:r>
      <w:r w:rsidRPr="001E42CA">
        <w:t>förts. Avsnitt 4.2 innehåller en analys av olika bakgrundsdata. Det gäller t.ex. kommunstorlek, skattesats, skattekraft och befolkningsförändringar. I avsnitt 4.3 analyseras ett antal finansiella nyckeltal. Dessa är av karaktären nett</w:t>
      </w:r>
      <w:r w:rsidRPr="001E42CA">
        <w:t>o</w:t>
      </w:r>
      <w:r w:rsidRPr="001E42CA">
        <w:t>kostnader, resultat, självfinansieringsgrad, soliditet etc. Avsnitt 4.4 innehåller en genomgång av några mått som speglar verksamhetens omfattning. A</w:t>
      </w:r>
      <w:r w:rsidRPr="001E42CA">
        <w:t>v</w:t>
      </w:r>
      <w:r w:rsidRPr="001E42CA">
        <w:t>sikten är att få en indikation på om det föreligger skillnader i t.ex. ambition</w:t>
      </w:r>
      <w:r w:rsidRPr="001E42CA">
        <w:t>s</w:t>
      </w:r>
      <w:r w:rsidRPr="001E42CA">
        <w:t>nivå mellan kommunerna. I avsnitt 4.5 redovisa</w:t>
      </w:r>
      <w:r w:rsidRPr="001E42CA">
        <w:t>s hur de politiska majoritet</w:t>
      </w:r>
      <w:r w:rsidRPr="001E42CA">
        <w:t>s</w:t>
      </w:r>
      <w:r w:rsidRPr="001E42CA">
        <w:t>förhållandena varierar mellan de berörda kommunerna. Avsnitt 4.6 innehå</w:t>
      </w:r>
      <w:r w:rsidRPr="001E42CA">
        <w:t>l</w:t>
      </w:r>
      <w:r w:rsidRPr="001E42CA">
        <w:t>ler slutligen några avslutande synpunkter.</w:t>
      </w:r>
    </w:p>
    <w:p w:rsidR="00DC1575" w:rsidRPr="001E42CA" w:rsidRDefault="00DC1575">
      <w:pPr>
        <w:pStyle w:val="Rubrik2"/>
      </w:pPr>
      <w:bookmarkStart w:id="35" w:name="_Toc526302381"/>
      <w:r w:rsidRPr="001E42CA">
        <w:t>Kort om data och metod</w:t>
      </w:r>
      <w:bookmarkEnd w:id="35"/>
    </w:p>
    <w:p w:rsidR="00DC1575" w:rsidRPr="001E42CA" w:rsidRDefault="00DC1575">
      <w:r w:rsidRPr="001E42CA">
        <w:t>Totalt har 135 ansökningar från 107 kommuner analyserats. Skillnaden me</w:t>
      </w:r>
      <w:r w:rsidRPr="001E42CA">
        <w:t>l</w:t>
      </w:r>
      <w:r w:rsidRPr="001E42CA">
        <w:t>lan antalet ansökningar och kommuner förklaras av att ett antal kommuner har ansökt om stöd hos bägge delegationerna. Urvalet innebär att 95 procent av ansökningarna har analyserats, dvs. det är i princip en totalundersökning. Bortfallet på ca 5 procent beror i huvudsak på att dessa ärenden ej var fä</w:t>
      </w:r>
      <w:r w:rsidRPr="001E42CA">
        <w:t>r</w:t>
      </w:r>
      <w:r w:rsidRPr="001E42CA">
        <w:t>digbehandlade när bearbetningen genomfördes (november/december 2000). Totalt har kommunerna fått drygt 2,3 miljarder kronor i stöd.</w:t>
      </w:r>
    </w:p>
    <w:p w:rsidR="00DC1575" w:rsidRPr="001E42CA" w:rsidRDefault="00DC1575">
      <w:pPr>
        <w:pStyle w:val="Normaltindrag"/>
      </w:pPr>
      <w:r w:rsidRPr="001E42CA">
        <w:t xml:space="preserve">För att kunna jämföra avslag och bifall samt de olika beslutsinstanserna har </w:t>
      </w:r>
      <w:r w:rsidRPr="001E42CA">
        <w:t>kommunerna delats in i följa</w:t>
      </w:r>
      <w:r w:rsidRPr="001E42CA">
        <w:t>n</w:t>
      </w:r>
      <w:r w:rsidRPr="001E42CA">
        <w:t>de grupper:</w:t>
      </w:r>
    </w:p>
    <w:p w:rsidR="00DC1575" w:rsidRPr="001E42CA" w:rsidRDefault="00DC1575">
      <w:pPr>
        <w:pStyle w:val="Normaltindrag"/>
      </w:pPr>
    </w:p>
    <w:p w:rsidR="00DC1575" w:rsidRPr="001E42CA" w:rsidRDefault="00DC1575">
      <w:pPr>
        <w:numPr>
          <w:ilvl w:val="0"/>
          <w:numId w:val="50"/>
        </w:numPr>
        <w:spacing w:before="0"/>
        <w:ind w:left="357" w:hanging="357"/>
      </w:pPr>
      <w:r w:rsidRPr="001E42CA">
        <w:t>Kommuner som fått bifall av Bostadsdelegationen.</w:t>
      </w:r>
    </w:p>
    <w:p w:rsidR="00DC1575" w:rsidRPr="001E42CA" w:rsidRDefault="00DC1575">
      <w:pPr>
        <w:numPr>
          <w:ilvl w:val="0"/>
          <w:numId w:val="50"/>
        </w:numPr>
      </w:pPr>
      <w:r w:rsidRPr="001E42CA">
        <w:t>Kommuner som fått avslag av Bostadsdelegationen.</w:t>
      </w:r>
    </w:p>
    <w:p w:rsidR="00DC1575" w:rsidRPr="001E42CA" w:rsidRDefault="00DC1575">
      <w:pPr>
        <w:numPr>
          <w:ilvl w:val="0"/>
          <w:numId w:val="50"/>
        </w:numPr>
      </w:pPr>
      <w:r w:rsidRPr="001E42CA">
        <w:t>Kommuner som fått bifall av regeringen efter förslag från Kommund</w:t>
      </w:r>
      <w:r w:rsidRPr="001E42CA">
        <w:t>e</w:t>
      </w:r>
      <w:r w:rsidRPr="001E42CA">
        <w:t>leg</w:t>
      </w:r>
      <w:r w:rsidRPr="001E42CA">
        <w:t>a</w:t>
      </w:r>
      <w:r w:rsidRPr="001E42CA">
        <w:t>tionen.</w:t>
      </w:r>
    </w:p>
    <w:p w:rsidR="00DC1575" w:rsidRPr="001E42CA" w:rsidRDefault="00DC1575">
      <w:pPr>
        <w:numPr>
          <w:ilvl w:val="0"/>
          <w:numId w:val="50"/>
        </w:numPr>
      </w:pPr>
      <w:r w:rsidRPr="001E42CA">
        <w:t>Kommuner som fått avslag av regeringen efter förslag från Kommu</w:t>
      </w:r>
      <w:r w:rsidRPr="001E42CA">
        <w:t>n</w:t>
      </w:r>
      <w:r w:rsidRPr="001E42CA">
        <w:t>deleg</w:t>
      </w:r>
      <w:r w:rsidRPr="001E42CA">
        <w:t>a</w:t>
      </w:r>
      <w:r w:rsidRPr="001E42CA">
        <w:t>tionen.</w:t>
      </w:r>
    </w:p>
    <w:p w:rsidR="00DC1575" w:rsidRPr="001E42CA" w:rsidRDefault="00DC1575">
      <w:pPr>
        <w:numPr>
          <w:ilvl w:val="0"/>
          <w:numId w:val="50"/>
        </w:numPr>
      </w:pPr>
      <w:r w:rsidRPr="001E42CA">
        <w:t>Ärenden som beretts gemensamt av Bostadsdelegationen och Kommu</w:t>
      </w:r>
      <w:r w:rsidRPr="001E42CA">
        <w:t>n</w:t>
      </w:r>
      <w:r w:rsidRPr="001E42CA">
        <w:t>del</w:t>
      </w:r>
      <w:r w:rsidRPr="001E42CA">
        <w:t>e</w:t>
      </w:r>
      <w:r w:rsidRPr="001E42CA">
        <w:t>gationen.</w:t>
      </w:r>
      <w:r w:rsidRPr="001E42CA">
        <w:rPr>
          <w:rStyle w:val="Fotnotsreferens"/>
        </w:rPr>
        <w:footnoteReference w:id="11"/>
      </w:r>
    </w:p>
    <w:p w:rsidR="00DC1575" w:rsidRPr="001E42CA" w:rsidRDefault="00DC1575">
      <w:pPr>
        <w:numPr>
          <w:ilvl w:val="0"/>
          <w:numId w:val="50"/>
        </w:numPr>
      </w:pPr>
      <w:r w:rsidRPr="001E42CA">
        <w:t>Kommuner som fått avslag av regeringen och som inte överlämnats till n</w:t>
      </w:r>
      <w:r w:rsidRPr="001E42CA">
        <w:t>å</w:t>
      </w:r>
      <w:r w:rsidRPr="001E42CA">
        <w:t xml:space="preserve">gon delegation. </w:t>
      </w:r>
    </w:p>
    <w:p w:rsidR="00DC1575" w:rsidRPr="001E42CA" w:rsidRDefault="00DC1575">
      <w:pPr>
        <w:pStyle w:val="Normaltindrag"/>
      </w:pPr>
    </w:p>
    <w:p w:rsidR="00DC1575" w:rsidRPr="001E42CA" w:rsidRDefault="00DC1575">
      <w:pPr>
        <w:spacing w:before="0"/>
      </w:pPr>
      <w:r w:rsidRPr="001E42CA">
        <w:t>Fördelningen av ärenden mellan de olika grupperingarna framgår av Tabell 4.1. Totalt har ca 45 procent av kommunerna fått bifall på sina ansökningar. Regeringen har varit något mer generös i sin bedömning än Bostadsdeleg</w:t>
      </w:r>
      <w:r w:rsidRPr="001E42CA">
        <w:t>a</w:t>
      </w:r>
      <w:r w:rsidRPr="001E42CA">
        <w:t xml:space="preserve">tionen. </w:t>
      </w:r>
    </w:p>
    <w:p w:rsidR="00DC1575" w:rsidRPr="001E42CA" w:rsidRDefault="00DC1575">
      <w:pPr>
        <w:pStyle w:val="Normaltindrag"/>
      </w:pPr>
    </w:p>
    <w:p w:rsidR="00DC1575" w:rsidRPr="001E42CA" w:rsidRDefault="00DC1575">
      <w:pPr>
        <w:pStyle w:val="Tabellrubrik"/>
      </w:pPr>
      <w:r w:rsidRPr="001E42CA">
        <w:t>Tabell 4.1 Ansökningar fördelade på beslutsinstanser</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858"/>
        <w:gridCol w:w="1059"/>
        <w:gridCol w:w="1059"/>
        <w:gridCol w:w="1060"/>
      </w:tblGrid>
      <w:tr w:rsidR="00000000" w:rsidRPr="001E42CA">
        <w:tblPrEx>
          <w:tblCellMar>
            <w:top w:w="0" w:type="dxa"/>
            <w:bottom w:w="0" w:type="dxa"/>
          </w:tblCellMar>
        </w:tblPrEx>
        <w:tc>
          <w:tcPr>
            <w:tcW w:w="2858" w:type="dxa"/>
            <w:tcBorders>
              <w:top w:val="single" w:sz="4" w:space="0" w:color="auto"/>
              <w:bottom w:val="single" w:sz="4" w:space="0" w:color="auto"/>
            </w:tcBorders>
          </w:tcPr>
          <w:p w:rsidR="00DC1575" w:rsidRPr="001E42CA" w:rsidRDefault="00DC1575">
            <w:pPr>
              <w:pStyle w:val="Tabell"/>
              <w:spacing w:before="40" w:after="40"/>
              <w:jc w:val="left"/>
            </w:pPr>
          </w:p>
        </w:tc>
        <w:tc>
          <w:tcPr>
            <w:tcW w:w="1059" w:type="dxa"/>
            <w:tcBorders>
              <w:top w:val="single" w:sz="4" w:space="0" w:color="auto"/>
              <w:bottom w:val="single" w:sz="4" w:space="0" w:color="auto"/>
            </w:tcBorders>
          </w:tcPr>
          <w:p w:rsidR="00DC1575" w:rsidRPr="001E42CA" w:rsidRDefault="00DC1575">
            <w:pPr>
              <w:pStyle w:val="Tabell"/>
              <w:spacing w:before="40" w:after="40"/>
              <w:jc w:val="center"/>
            </w:pPr>
            <w:r w:rsidRPr="001E42CA">
              <w:t>Bifall</w:t>
            </w:r>
          </w:p>
        </w:tc>
        <w:tc>
          <w:tcPr>
            <w:tcW w:w="1059" w:type="dxa"/>
            <w:tcBorders>
              <w:top w:val="single" w:sz="4" w:space="0" w:color="auto"/>
              <w:bottom w:val="single" w:sz="4" w:space="0" w:color="auto"/>
            </w:tcBorders>
          </w:tcPr>
          <w:p w:rsidR="00DC1575" w:rsidRPr="001E42CA" w:rsidRDefault="00DC1575">
            <w:pPr>
              <w:pStyle w:val="Tabell"/>
              <w:spacing w:before="40" w:after="40"/>
              <w:jc w:val="center"/>
            </w:pPr>
            <w:r w:rsidRPr="001E42CA">
              <w:t>Avslag</w:t>
            </w:r>
          </w:p>
        </w:tc>
        <w:tc>
          <w:tcPr>
            <w:tcW w:w="1060" w:type="dxa"/>
            <w:tcBorders>
              <w:top w:val="single" w:sz="4" w:space="0" w:color="auto"/>
              <w:bottom w:val="single" w:sz="4" w:space="0" w:color="auto"/>
            </w:tcBorders>
          </w:tcPr>
          <w:p w:rsidR="00DC1575" w:rsidRPr="001E42CA" w:rsidRDefault="00DC1575">
            <w:pPr>
              <w:pStyle w:val="Tabell"/>
              <w:spacing w:before="40" w:after="40"/>
              <w:jc w:val="center"/>
            </w:pPr>
            <w:r w:rsidRPr="001E42CA">
              <w:t>Summa</w:t>
            </w:r>
          </w:p>
        </w:tc>
      </w:tr>
      <w:tr w:rsidR="00000000" w:rsidRPr="001E42CA">
        <w:tblPrEx>
          <w:tblCellMar>
            <w:top w:w="0" w:type="dxa"/>
            <w:bottom w:w="0" w:type="dxa"/>
          </w:tblCellMar>
        </w:tblPrEx>
        <w:tc>
          <w:tcPr>
            <w:tcW w:w="2858" w:type="dxa"/>
          </w:tcPr>
          <w:p w:rsidR="00DC1575" w:rsidRPr="001E42CA" w:rsidRDefault="00DC1575">
            <w:pPr>
              <w:pStyle w:val="Tabell"/>
              <w:spacing w:before="40" w:after="40"/>
              <w:jc w:val="left"/>
            </w:pPr>
            <w:r w:rsidRPr="001E42CA">
              <w:t>Bostadsdelegationen</w:t>
            </w:r>
          </w:p>
        </w:tc>
        <w:tc>
          <w:tcPr>
            <w:tcW w:w="1059" w:type="dxa"/>
          </w:tcPr>
          <w:p w:rsidR="00DC1575" w:rsidRPr="001E42CA" w:rsidRDefault="00DC1575">
            <w:pPr>
              <w:pStyle w:val="Tabell"/>
              <w:spacing w:before="40" w:after="40"/>
              <w:jc w:val="center"/>
            </w:pPr>
            <w:r w:rsidRPr="001E42CA">
              <w:t>24</w:t>
            </w:r>
          </w:p>
        </w:tc>
        <w:tc>
          <w:tcPr>
            <w:tcW w:w="1059" w:type="dxa"/>
          </w:tcPr>
          <w:p w:rsidR="00DC1575" w:rsidRPr="001E42CA" w:rsidRDefault="00DC1575">
            <w:pPr>
              <w:pStyle w:val="Tabell"/>
              <w:spacing w:before="40" w:after="40"/>
              <w:jc w:val="center"/>
            </w:pPr>
            <w:r w:rsidRPr="001E42CA">
              <w:t>38</w:t>
            </w:r>
          </w:p>
        </w:tc>
        <w:tc>
          <w:tcPr>
            <w:tcW w:w="1060" w:type="dxa"/>
          </w:tcPr>
          <w:p w:rsidR="00DC1575" w:rsidRPr="001E42CA" w:rsidRDefault="00DC1575">
            <w:pPr>
              <w:pStyle w:val="Tabell"/>
              <w:spacing w:before="40" w:after="40"/>
              <w:jc w:val="center"/>
            </w:pPr>
            <w:r w:rsidRPr="001E42CA">
              <w:t xml:space="preserve">  62</w:t>
            </w:r>
          </w:p>
        </w:tc>
      </w:tr>
      <w:tr w:rsidR="00000000" w:rsidRPr="001E42CA">
        <w:tblPrEx>
          <w:tblCellMar>
            <w:top w:w="0" w:type="dxa"/>
            <w:bottom w:w="0" w:type="dxa"/>
          </w:tblCellMar>
        </w:tblPrEx>
        <w:tc>
          <w:tcPr>
            <w:tcW w:w="2858" w:type="dxa"/>
          </w:tcPr>
          <w:p w:rsidR="00DC1575" w:rsidRPr="001E42CA" w:rsidRDefault="00DC1575">
            <w:pPr>
              <w:pStyle w:val="Tabell"/>
              <w:spacing w:before="40" w:after="40"/>
              <w:jc w:val="left"/>
            </w:pPr>
            <w:r w:rsidRPr="001E42CA">
              <w:t>Regeringen efter förslag från Ko</w:t>
            </w:r>
            <w:r w:rsidRPr="001E42CA">
              <w:t>m</w:t>
            </w:r>
            <w:r w:rsidRPr="001E42CA">
              <w:t>mundelegationen</w:t>
            </w:r>
          </w:p>
        </w:tc>
        <w:tc>
          <w:tcPr>
            <w:tcW w:w="1059" w:type="dxa"/>
          </w:tcPr>
          <w:p w:rsidR="00DC1575" w:rsidRPr="001E42CA" w:rsidRDefault="00DC1575">
            <w:pPr>
              <w:pStyle w:val="Tabell"/>
              <w:spacing w:before="40" w:after="40"/>
              <w:jc w:val="center"/>
            </w:pPr>
            <w:r w:rsidRPr="001E42CA">
              <w:t>22</w:t>
            </w:r>
          </w:p>
        </w:tc>
        <w:tc>
          <w:tcPr>
            <w:tcW w:w="1059" w:type="dxa"/>
          </w:tcPr>
          <w:p w:rsidR="00DC1575" w:rsidRPr="001E42CA" w:rsidRDefault="00DC1575">
            <w:pPr>
              <w:pStyle w:val="Tabell"/>
              <w:spacing w:before="40" w:after="40"/>
              <w:jc w:val="center"/>
            </w:pPr>
            <w:r w:rsidRPr="001E42CA">
              <w:t>22</w:t>
            </w:r>
          </w:p>
        </w:tc>
        <w:tc>
          <w:tcPr>
            <w:tcW w:w="1060" w:type="dxa"/>
          </w:tcPr>
          <w:p w:rsidR="00DC1575" w:rsidRPr="001E42CA" w:rsidRDefault="00DC1575">
            <w:pPr>
              <w:pStyle w:val="Tabell"/>
              <w:spacing w:before="40" w:after="40"/>
              <w:jc w:val="center"/>
            </w:pPr>
            <w:r w:rsidRPr="001E42CA">
              <w:t xml:space="preserve">  44</w:t>
            </w:r>
          </w:p>
        </w:tc>
      </w:tr>
      <w:tr w:rsidR="00000000" w:rsidRPr="001E42CA">
        <w:tblPrEx>
          <w:tblCellMar>
            <w:top w:w="0" w:type="dxa"/>
            <w:bottom w:w="0" w:type="dxa"/>
          </w:tblCellMar>
        </w:tblPrEx>
        <w:tc>
          <w:tcPr>
            <w:tcW w:w="2858" w:type="dxa"/>
          </w:tcPr>
          <w:p w:rsidR="00DC1575" w:rsidRPr="001E42CA" w:rsidRDefault="00DC1575">
            <w:pPr>
              <w:pStyle w:val="Tabell"/>
              <w:spacing w:before="40" w:after="40"/>
              <w:jc w:val="left"/>
            </w:pPr>
            <w:r w:rsidRPr="001E42CA">
              <w:t>Regeringen efter förslag från bägge delegationerna</w:t>
            </w:r>
          </w:p>
        </w:tc>
        <w:tc>
          <w:tcPr>
            <w:tcW w:w="1059" w:type="dxa"/>
          </w:tcPr>
          <w:p w:rsidR="00DC1575" w:rsidRPr="001E42CA" w:rsidRDefault="00DC1575">
            <w:pPr>
              <w:pStyle w:val="Tabell"/>
              <w:spacing w:before="40" w:after="40"/>
              <w:jc w:val="center"/>
            </w:pPr>
            <w:r w:rsidRPr="001E42CA">
              <w:t>14</w:t>
            </w:r>
          </w:p>
        </w:tc>
        <w:tc>
          <w:tcPr>
            <w:tcW w:w="1059" w:type="dxa"/>
          </w:tcPr>
          <w:p w:rsidR="00DC1575" w:rsidRPr="001E42CA" w:rsidRDefault="00DC1575">
            <w:pPr>
              <w:pStyle w:val="Tabell"/>
              <w:spacing w:before="40" w:after="40"/>
              <w:jc w:val="center"/>
            </w:pPr>
            <w:r w:rsidRPr="001E42CA">
              <w:t xml:space="preserve">  0</w:t>
            </w:r>
          </w:p>
        </w:tc>
        <w:tc>
          <w:tcPr>
            <w:tcW w:w="1060" w:type="dxa"/>
          </w:tcPr>
          <w:p w:rsidR="00DC1575" w:rsidRPr="001E42CA" w:rsidRDefault="00DC1575">
            <w:pPr>
              <w:pStyle w:val="Tabell"/>
              <w:spacing w:before="40" w:after="40"/>
              <w:jc w:val="center"/>
            </w:pPr>
            <w:r w:rsidRPr="001E42CA">
              <w:t xml:space="preserve">  14</w:t>
            </w:r>
          </w:p>
        </w:tc>
      </w:tr>
      <w:tr w:rsidR="00000000" w:rsidRPr="001E42CA">
        <w:tblPrEx>
          <w:tblCellMar>
            <w:top w:w="0" w:type="dxa"/>
            <w:bottom w:w="0" w:type="dxa"/>
          </w:tblCellMar>
        </w:tblPrEx>
        <w:tc>
          <w:tcPr>
            <w:tcW w:w="2858" w:type="dxa"/>
          </w:tcPr>
          <w:p w:rsidR="00DC1575" w:rsidRPr="001E42CA" w:rsidRDefault="00DC1575">
            <w:pPr>
              <w:pStyle w:val="Tabell"/>
              <w:spacing w:before="40" w:after="40"/>
              <w:jc w:val="left"/>
            </w:pPr>
            <w:r w:rsidRPr="001E42CA">
              <w:t>Regeringen utan förslag från någon delegation (beslut efter 1998-08-28)</w:t>
            </w:r>
          </w:p>
        </w:tc>
        <w:tc>
          <w:tcPr>
            <w:tcW w:w="1059" w:type="dxa"/>
          </w:tcPr>
          <w:p w:rsidR="00DC1575" w:rsidRPr="001E42CA" w:rsidRDefault="00DC1575">
            <w:pPr>
              <w:pStyle w:val="Tabell"/>
              <w:spacing w:before="40" w:after="40"/>
              <w:jc w:val="center"/>
            </w:pPr>
            <w:r w:rsidRPr="001E42CA">
              <w:t xml:space="preserve">  0</w:t>
            </w:r>
          </w:p>
        </w:tc>
        <w:tc>
          <w:tcPr>
            <w:tcW w:w="1059" w:type="dxa"/>
          </w:tcPr>
          <w:p w:rsidR="00DC1575" w:rsidRPr="001E42CA" w:rsidRDefault="00DC1575">
            <w:pPr>
              <w:pStyle w:val="Tabell"/>
              <w:spacing w:before="40" w:after="40"/>
              <w:jc w:val="center"/>
            </w:pPr>
            <w:r w:rsidRPr="001E42CA">
              <w:t>15</w:t>
            </w:r>
          </w:p>
        </w:tc>
        <w:tc>
          <w:tcPr>
            <w:tcW w:w="1060" w:type="dxa"/>
          </w:tcPr>
          <w:p w:rsidR="00DC1575" w:rsidRPr="001E42CA" w:rsidRDefault="00DC1575">
            <w:pPr>
              <w:pStyle w:val="Tabell"/>
              <w:spacing w:before="40" w:after="40"/>
              <w:jc w:val="center"/>
            </w:pPr>
            <w:r w:rsidRPr="001E42CA">
              <w:t xml:space="preserve">  15</w:t>
            </w:r>
          </w:p>
        </w:tc>
      </w:tr>
      <w:tr w:rsidR="00000000" w:rsidRPr="001E42CA">
        <w:tblPrEx>
          <w:tblCellMar>
            <w:top w:w="0" w:type="dxa"/>
            <w:bottom w:w="0" w:type="dxa"/>
          </w:tblCellMar>
        </w:tblPrEx>
        <w:tc>
          <w:tcPr>
            <w:tcW w:w="2858" w:type="dxa"/>
            <w:tcBorders>
              <w:bottom w:val="single" w:sz="4" w:space="0" w:color="auto"/>
            </w:tcBorders>
          </w:tcPr>
          <w:p w:rsidR="00DC1575" w:rsidRPr="001E42CA" w:rsidRDefault="00DC1575">
            <w:pPr>
              <w:pStyle w:val="Tabell"/>
              <w:spacing w:before="40" w:after="40"/>
              <w:jc w:val="left"/>
            </w:pPr>
            <w:r w:rsidRPr="001E42CA">
              <w:t>Summa</w:t>
            </w:r>
          </w:p>
        </w:tc>
        <w:tc>
          <w:tcPr>
            <w:tcW w:w="1059" w:type="dxa"/>
            <w:tcBorders>
              <w:bottom w:val="single" w:sz="4" w:space="0" w:color="auto"/>
            </w:tcBorders>
          </w:tcPr>
          <w:p w:rsidR="00DC1575" w:rsidRPr="001E42CA" w:rsidRDefault="00DC1575">
            <w:pPr>
              <w:pStyle w:val="Tabell"/>
              <w:spacing w:before="40" w:after="40"/>
              <w:jc w:val="center"/>
            </w:pPr>
            <w:r w:rsidRPr="001E42CA">
              <w:t>60</w:t>
            </w:r>
          </w:p>
        </w:tc>
        <w:tc>
          <w:tcPr>
            <w:tcW w:w="1059" w:type="dxa"/>
            <w:tcBorders>
              <w:bottom w:val="single" w:sz="4" w:space="0" w:color="auto"/>
            </w:tcBorders>
          </w:tcPr>
          <w:p w:rsidR="00DC1575" w:rsidRPr="001E42CA" w:rsidRDefault="00DC1575">
            <w:pPr>
              <w:pStyle w:val="Tabell"/>
              <w:spacing w:before="40" w:after="40"/>
              <w:jc w:val="center"/>
            </w:pPr>
            <w:r w:rsidRPr="001E42CA">
              <w:t>75</w:t>
            </w:r>
          </w:p>
        </w:tc>
        <w:tc>
          <w:tcPr>
            <w:tcW w:w="1060" w:type="dxa"/>
            <w:tcBorders>
              <w:bottom w:val="single" w:sz="4" w:space="0" w:color="auto"/>
            </w:tcBorders>
          </w:tcPr>
          <w:p w:rsidR="00DC1575" w:rsidRPr="001E42CA" w:rsidRDefault="00DC1575">
            <w:pPr>
              <w:pStyle w:val="Tabell"/>
              <w:spacing w:before="40" w:after="40"/>
              <w:jc w:val="center"/>
            </w:pPr>
            <w:r w:rsidRPr="001E42CA">
              <w:t>135</w:t>
            </w:r>
          </w:p>
        </w:tc>
      </w:tr>
    </w:tbl>
    <w:p w:rsidR="00DC1575" w:rsidRPr="001E42CA" w:rsidRDefault="00DC1575">
      <w:pPr>
        <w:pStyle w:val="Normaltindrag"/>
      </w:pPr>
    </w:p>
    <w:p w:rsidR="00DC1575" w:rsidRPr="001E42CA" w:rsidRDefault="00DC1575">
      <w:pPr>
        <w:spacing w:before="0"/>
      </w:pPr>
      <w:r w:rsidRPr="001E42CA">
        <w:t>En databas har skapats som innehåller olika former av bakgrundsdata och nyckeltal för kommunerna. Databasen bygger i huvudsak på tillgänglig st</w:t>
      </w:r>
      <w:r w:rsidRPr="001E42CA">
        <w:t>a</w:t>
      </w:r>
      <w:r w:rsidRPr="001E42CA">
        <w:t xml:space="preserve">tistik från Svenska Kommunförbundet, Statistiska centralbyrån och AMS. Merparten av variablerna avser verksamhetsåret 1999. För några få variabler som t.ex. verksamhetens kostnader har korta tidsserier skapats. </w:t>
      </w:r>
    </w:p>
    <w:p w:rsidR="00DC1575" w:rsidRPr="001E42CA" w:rsidRDefault="00DC1575">
      <w:pPr>
        <w:pStyle w:val="Normaltindrag"/>
      </w:pPr>
      <w:r w:rsidRPr="001E42CA">
        <w:t>De resultat som presenteras avser i huvudsak medelvärden för de olika jämförelsegrupperna. Kommunerna har i sådana fall viktats efter befol</w:t>
      </w:r>
      <w:r w:rsidRPr="001E42CA">
        <w:t>k</w:t>
      </w:r>
      <w:r w:rsidRPr="001E42CA">
        <w:t>ningsstorlek för att få jämförbarhet mellan de olika gru</w:t>
      </w:r>
      <w:r w:rsidRPr="001E42CA">
        <w:t>p</w:t>
      </w:r>
      <w:r w:rsidRPr="001E42CA">
        <w:t xml:space="preserve">perna. </w:t>
      </w:r>
    </w:p>
    <w:p w:rsidR="00DC1575" w:rsidRPr="001E42CA" w:rsidRDefault="00DC1575">
      <w:pPr>
        <w:pStyle w:val="Normaltindrag"/>
      </w:pPr>
      <w:r w:rsidRPr="001E42CA">
        <w:t>Det bör betonas att materialet i många fall, framför allt vad gäller olika nyckeltal, bygger på uppgifter som kommunerna själva lämnat i sina årsr</w:t>
      </w:r>
      <w:r w:rsidRPr="001E42CA">
        <w:t>e</w:t>
      </w:r>
      <w:r w:rsidRPr="001E42CA">
        <w:t>dovisningar. Redovisningspraxis etc. kan dock skilja sig åt mellan olika kommuner, varför materialet är förenat med en viss osäkerhet. En ytterligare aspekt är att data inte inkluderar den verksamhet som bedrivs i kommunala för</w:t>
      </w:r>
      <w:r w:rsidRPr="001E42CA">
        <w:t>e</w:t>
      </w:r>
      <w:r w:rsidRPr="001E42CA">
        <w:t>tag. Detta kan påverka jämförbarheten mellan olika kommuner.</w:t>
      </w:r>
    </w:p>
    <w:p w:rsidR="00DC1575" w:rsidRPr="001E42CA" w:rsidRDefault="00DC1575">
      <w:pPr>
        <w:pStyle w:val="Rubrik2"/>
      </w:pPr>
      <w:bookmarkStart w:id="36" w:name="_Toc526302382"/>
      <w:r w:rsidRPr="001E42CA">
        <w:t>Bakgrundsdata</w:t>
      </w:r>
      <w:bookmarkEnd w:id="36"/>
    </w:p>
    <w:p w:rsidR="00DC1575" w:rsidRPr="001E42CA" w:rsidRDefault="00DC1575">
      <w:r w:rsidRPr="001E42CA">
        <w:t>Befolkningen i de 107 kommuner som analyserats uppgår till närmare 1,6 miljoner personer, dvs. ca 18 procent av befolknin</w:t>
      </w:r>
      <w:r w:rsidRPr="001E42CA">
        <w:t>g</w:t>
      </w:r>
      <w:r w:rsidRPr="001E42CA">
        <w:t>en i Sverige.</w:t>
      </w:r>
    </w:p>
    <w:p w:rsidR="00DC1575" w:rsidRPr="001E42CA" w:rsidRDefault="00DC1575">
      <w:pPr>
        <w:pStyle w:val="R3"/>
      </w:pPr>
      <w:r w:rsidRPr="001E42CA">
        <w:t>Befolkning, kommungrupper etc.</w:t>
      </w:r>
    </w:p>
    <w:p w:rsidR="00DC1575" w:rsidRPr="001E42CA" w:rsidRDefault="00DC1575">
      <w:r w:rsidRPr="001E42CA">
        <w:t>Inledningsvis redovisas några data om befolkning, län, kommungrupper etc. Redovisningen avser samtliga ansökningar, dvs. materialet har inte grupp</w:t>
      </w:r>
      <w:r w:rsidRPr="001E42CA">
        <w:t>e</w:t>
      </w:r>
      <w:r w:rsidRPr="001E42CA">
        <w:t>rats efter vilken instans som handlagt ärendena.</w:t>
      </w:r>
    </w:p>
    <w:p w:rsidR="00DC1575" w:rsidRPr="001E42CA" w:rsidRDefault="00DC1575">
      <w:pPr>
        <w:pStyle w:val="Normaltindrag"/>
      </w:pPr>
      <w:r w:rsidRPr="001E42CA">
        <w:t>De sökande kommunernas befolkningsstorlek avviker markant från ko</w:t>
      </w:r>
      <w:r w:rsidRPr="001E42CA">
        <w:t>m</w:t>
      </w:r>
      <w:r w:rsidRPr="001E42CA">
        <w:t>munsektorn som helhet. Merparten av kommunerna är små och har en b</w:t>
      </w:r>
      <w:r w:rsidRPr="001E42CA">
        <w:t>e</w:t>
      </w:r>
      <w:r w:rsidRPr="001E42CA">
        <w:t xml:space="preserve">folkning som understiger 20 000 personer. Endast fyra kommuner har en befolkning som överstiger 50 000 personer. En av dessa har en befolkning som överstiger 100 000 personer. </w:t>
      </w:r>
    </w:p>
    <w:p w:rsidR="00DC1575" w:rsidRPr="001E42CA" w:rsidRDefault="00DC1575">
      <w:pPr>
        <w:pStyle w:val="Normaltindrag"/>
      </w:pPr>
      <w:r w:rsidRPr="001E42CA">
        <w:t>När det gäller stödets fördelning är de något större kommunerna överr</w:t>
      </w:r>
      <w:r w:rsidRPr="001E42CA">
        <w:t>e</w:t>
      </w:r>
      <w:r w:rsidRPr="001E42CA">
        <w:t>presenterade. Stödet per innevånare sjunker dock med stigande ko</w:t>
      </w:r>
      <w:r w:rsidRPr="001E42CA">
        <w:t>m</w:t>
      </w:r>
      <w:r w:rsidRPr="001E42CA">
        <w:t>munstorlek, dvs. små kommuner får mest stöd per innevånare.</w:t>
      </w:r>
    </w:p>
    <w:p w:rsidR="00DC1575" w:rsidRPr="001E42CA" w:rsidRDefault="00DC1575">
      <w:pPr>
        <w:pStyle w:val="Normaltindrag"/>
      </w:pPr>
    </w:p>
    <w:p w:rsidR="00DC1575" w:rsidRPr="001E42CA" w:rsidRDefault="00DC1575">
      <w:pPr>
        <w:pStyle w:val="Tabellrubrik"/>
      </w:pPr>
      <w:r w:rsidRPr="001E42CA">
        <w:t>Tabell 4.2 Befolkningsstorlek och stödfördelning</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488"/>
        <w:gridCol w:w="1134"/>
        <w:gridCol w:w="1134"/>
        <w:gridCol w:w="1134"/>
        <w:gridCol w:w="1134"/>
      </w:tblGrid>
      <w:tr w:rsidR="00000000" w:rsidRPr="001E42CA">
        <w:tblPrEx>
          <w:tblCellMar>
            <w:top w:w="0" w:type="dxa"/>
            <w:bottom w:w="0" w:type="dxa"/>
          </w:tblCellMar>
        </w:tblPrEx>
        <w:tc>
          <w:tcPr>
            <w:tcW w:w="1488" w:type="dxa"/>
            <w:tcBorders>
              <w:top w:val="single" w:sz="4" w:space="0" w:color="auto"/>
              <w:bottom w:val="single" w:sz="4" w:space="0" w:color="auto"/>
            </w:tcBorders>
          </w:tcPr>
          <w:p w:rsidR="00DC1575" w:rsidRPr="001E42CA" w:rsidRDefault="00DC1575">
            <w:pPr>
              <w:pStyle w:val="Tabell"/>
              <w:spacing w:before="40" w:after="40"/>
              <w:jc w:val="left"/>
            </w:pPr>
            <w:r w:rsidRPr="001E42CA">
              <w:t>Storleksklass (befolkning)</w:t>
            </w:r>
          </w:p>
        </w:tc>
        <w:tc>
          <w:tcPr>
            <w:tcW w:w="1134"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samtliga kommuner (%)</w:t>
            </w:r>
          </w:p>
        </w:tc>
        <w:tc>
          <w:tcPr>
            <w:tcW w:w="1134"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samtliga sökande kommuner (%)</w:t>
            </w:r>
          </w:p>
        </w:tc>
        <w:tc>
          <w:tcPr>
            <w:tcW w:w="1134"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stödet (%)</w:t>
            </w:r>
          </w:p>
        </w:tc>
        <w:tc>
          <w:tcPr>
            <w:tcW w:w="1134" w:type="dxa"/>
            <w:tcBorders>
              <w:top w:val="single" w:sz="4" w:space="0" w:color="auto"/>
              <w:bottom w:val="single" w:sz="4" w:space="0" w:color="auto"/>
            </w:tcBorders>
          </w:tcPr>
          <w:p w:rsidR="00DC1575" w:rsidRPr="001E42CA" w:rsidRDefault="00DC1575">
            <w:pPr>
              <w:pStyle w:val="Tabell"/>
              <w:spacing w:before="40" w:after="40"/>
              <w:jc w:val="center"/>
            </w:pPr>
            <w:r w:rsidRPr="001E42CA">
              <w:t>Stöd per innevånare (kr</w:t>
            </w:r>
            <w:r w:rsidRPr="001E42CA">
              <w:t>o</w:t>
            </w:r>
            <w:r w:rsidRPr="001E42CA">
              <w:t>nor)</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&lt;5000</w:t>
            </w:r>
          </w:p>
        </w:tc>
        <w:tc>
          <w:tcPr>
            <w:tcW w:w="1134" w:type="dxa"/>
          </w:tcPr>
          <w:p w:rsidR="00DC1575" w:rsidRPr="001E42CA" w:rsidRDefault="00DC1575">
            <w:pPr>
              <w:pStyle w:val="Tabell"/>
              <w:spacing w:before="40" w:after="40"/>
              <w:jc w:val="center"/>
            </w:pPr>
            <w:r w:rsidRPr="001E42CA">
              <w:t xml:space="preserve">    4,5</w:t>
            </w:r>
          </w:p>
        </w:tc>
        <w:tc>
          <w:tcPr>
            <w:tcW w:w="1134" w:type="dxa"/>
          </w:tcPr>
          <w:p w:rsidR="00DC1575" w:rsidRPr="001E42CA" w:rsidRDefault="00DC1575">
            <w:pPr>
              <w:pStyle w:val="Tabell"/>
              <w:spacing w:before="40" w:after="40"/>
              <w:jc w:val="center"/>
            </w:pPr>
            <w:r w:rsidRPr="001E42CA">
              <w:t xml:space="preserve">  10,3</w:t>
            </w:r>
          </w:p>
        </w:tc>
        <w:tc>
          <w:tcPr>
            <w:tcW w:w="1134" w:type="dxa"/>
          </w:tcPr>
          <w:p w:rsidR="00DC1575" w:rsidRPr="001E42CA" w:rsidRDefault="00DC1575">
            <w:pPr>
              <w:pStyle w:val="Tabell"/>
              <w:spacing w:before="40" w:after="40"/>
              <w:jc w:val="center"/>
            </w:pPr>
            <w:r w:rsidRPr="001E42CA">
              <w:t xml:space="preserve">    6,3</w:t>
            </w:r>
          </w:p>
        </w:tc>
        <w:tc>
          <w:tcPr>
            <w:tcW w:w="1134" w:type="dxa"/>
          </w:tcPr>
          <w:p w:rsidR="00DC1575" w:rsidRPr="001E42CA" w:rsidRDefault="00DC1575">
            <w:pPr>
              <w:pStyle w:val="Tabell"/>
              <w:spacing w:before="40" w:after="40"/>
              <w:jc w:val="center"/>
            </w:pPr>
            <w:r w:rsidRPr="001E42CA">
              <w:t>2 254</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5000-9999</w:t>
            </w:r>
          </w:p>
        </w:tc>
        <w:tc>
          <w:tcPr>
            <w:tcW w:w="1134" w:type="dxa"/>
          </w:tcPr>
          <w:p w:rsidR="00DC1575" w:rsidRPr="001E42CA" w:rsidRDefault="00DC1575">
            <w:pPr>
              <w:pStyle w:val="Tabell"/>
              <w:spacing w:before="40" w:after="40"/>
              <w:jc w:val="center"/>
            </w:pPr>
            <w:r w:rsidRPr="001E42CA">
              <w:t xml:space="preserve">  20,4</w:t>
            </w:r>
          </w:p>
        </w:tc>
        <w:tc>
          <w:tcPr>
            <w:tcW w:w="1134" w:type="dxa"/>
          </w:tcPr>
          <w:p w:rsidR="00DC1575" w:rsidRPr="001E42CA" w:rsidRDefault="00DC1575">
            <w:pPr>
              <w:pStyle w:val="Tabell"/>
              <w:spacing w:before="40" w:after="40"/>
              <w:jc w:val="center"/>
            </w:pPr>
            <w:r w:rsidRPr="001E42CA">
              <w:t xml:space="preserve">  29,0</w:t>
            </w:r>
          </w:p>
        </w:tc>
        <w:tc>
          <w:tcPr>
            <w:tcW w:w="1134" w:type="dxa"/>
          </w:tcPr>
          <w:p w:rsidR="00DC1575" w:rsidRPr="001E42CA" w:rsidRDefault="00DC1575">
            <w:pPr>
              <w:pStyle w:val="Tabell"/>
              <w:spacing w:before="40" w:after="40"/>
              <w:jc w:val="center"/>
            </w:pPr>
            <w:r w:rsidRPr="001E42CA">
              <w:t xml:space="preserve">  19,3</w:t>
            </w:r>
          </w:p>
        </w:tc>
        <w:tc>
          <w:tcPr>
            <w:tcW w:w="1134" w:type="dxa"/>
          </w:tcPr>
          <w:p w:rsidR="00DC1575" w:rsidRPr="001E42CA" w:rsidRDefault="00DC1575">
            <w:pPr>
              <w:pStyle w:val="Tabell"/>
              <w:spacing w:before="40" w:after="40"/>
              <w:jc w:val="center"/>
            </w:pPr>
            <w:r w:rsidRPr="001E42CA">
              <w:t xml:space="preserve">   885</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10000-19999</w:t>
            </w:r>
          </w:p>
        </w:tc>
        <w:tc>
          <w:tcPr>
            <w:tcW w:w="1134" w:type="dxa"/>
          </w:tcPr>
          <w:p w:rsidR="00DC1575" w:rsidRPr="001E42CA" w:rsidRDefault="00DC1575">
            <w:pPr>
              <w:pStyle w:val="Tabell"/>
              <w:spacing w:before="40" w:after="40"/>
              <w:jc w:val="center"/>
            </w:pPr>
            <w:r w:rsidRPr="001E42CA">
              <w:t xml:space="preserve">  33,9</w:t>
            </w:r>
          </w:p>
        </w:tc>
        <w:tc>
          <w:tcPr>
            <w:tcW w:w="1134" w:type="dxa"/>
          </w:tcPr>
          <w:p w:rsidR="00DC1575" w:rsidRPr="001E42CA" w:rsidRDefault="00DC1575">
            <w:pPr>
              <w:pStyle w:val="Tabell"/>
              <w:spacing w:before="40" w:after="40"/>
              <w:jc w:val="center"/>
            </w:pPr>
            <w:r w:rsidRPr="001E42CA">
              <w:t xml:space="preserve">  42,1</w:t>
            </w:r>
          </w:p>
        </w:tc>
        <w:tc>
          <w:tcPr>
            <w:tcW w:w="1134" w:type="dxa"/>
          </w:tcPr>
          <w:p w:rsidR="00DC1575" w:rsidRPr="001E42CA" w:rsidRDefault="00DC1575">
            <w:pPr>
              <w:pStyle w:val="Tabell"/>
              <w:spacing w:before="40" w:after="40"/>
              <w:jc w:val="center"/>
            </w:pPr>
            <w:r w:rsidRPr="001E42CA">
              <w:t xml:space="preserve">  53,3</w:t>
            </w:r>
          </w:p>
        </w:tc>
        <w:tc>
          <w:tcPr>
            <w:tcW w:w="1134" w:type="dxa"/>
          </w:tcPr>
          <w:p w:rsidR="00DC1575" w:rsidRPr="001E42CA" w:rsidRDefault="00DC1575">
            <w:pPr>
              <w:pStyle w:val="Tabell"/>
              <w:spacing w:before="40" w:after="40"/>
              <w:jc w:val="center"/>
            </w:pPr>
            <w:r w:rsidRPr="001E42CA">
              <w:t xml:space="preserve">   639</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20000-49999</w:t>
            </w:r>
          </w:p>
        </w:tc>
        <w:tc>
          <w:tcPr>
            <w:tcW w:w="1134" w:type="dxa"/>
          </w:tcPr>
          <w:p w:rsidR="00DC1575" w:rsidRPr="001E42CA" w:rsidRDefault="00DC1575">
            <w:pPr>
              <w:pStyle w:val="Tabell"/>
              <w:spacing w:before="40" w:after="40"/>
              <w:jc w:val="center"/>
            </w:pPr>
            <w:r w:rsidRPr="001E42CA">
              <w:t xml:space="preserve">  26,7</w:t>
            </w:r>
          </w:p>
        </w:tc>
        <w:tc>
          <w:tcPr>
            <w:tcW w:w="1134" w:type="dxa"/>
          </w:tcPr>
          <w:p w:rsidR="00DC1575" w:rsidRPr="001E42CA" w:rsidRDefault="00DC1575">
            <w:pPr>
              <w:pStyle w:val="Tabell"/>
              <w:spacing w:before="40" w:after="40"/>
              <w:jc w:val="center"/>
            </w:pPr>
            <w:r w:rsidRPr="001E42CA">
              <w:t xml:space="preserve">  15,0</w:t>
            </w:r>
          </w:p>
        </w:tc>
        <w:tc>
          <w:tcPr>
            <w:tcW w:w="1134" w:type="dxa"/>
          </w:tcPr>
          <w:p w:rsidR="00DC1575" w:rsidRPr="001E42CA" w:rsidRDefault="00DC1575">
            <w:pPr>
              <w:pStyle w:val="Tabell"/>
              <w:spacing w:before="40" w:after="40"/>
              <w:jc w:val="center"/>
            </w:pPr>
            <w:r w:rsidRPr="001E42CA">
              <w:t xml:space="preserve">  21,1</w:t>
            </w:r>
          </w:p>
        </w:tc>
        <w:tc>
          <w:tcPr>
            <w:tcW w:w="1134" w:type="dxa"/>
          </w:tcPr>
          <w:p w:rsidR="00DC1575" w:rsidRPr="001E42CA" w:rsidRDefault="00DC1575">
            <w:pPr>
              <w:pStyle w:val="Tabell"/>
              <w:spacing w:before="40" w:after="40"/>
              <w:jc w:val="center"/>
            </w:pPr>
            <w:r w:rsidRPr="001E42CA">
              <w:t xml:space="preserve">   189</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50000-99999</w:t>
            </w:r>
          </w:p>
        </w:tc>
        <w:tc>
          <w:tcPr>
            <w:tcW w:w="1134" w:type="dxa"/>
          </w:tcPr>
          <w:p w:rsidR="00DC1575" w:rsidRPr="001E42CA" w:rsidRDefault="00DC1575">
            <w:pPr>
              <w:pStyle w:val="Tabell"/>
              <w:spacing w:before="40" w:after="40"/>
              <w:jc w:val="center"/>
            </w:pPr>
            <w:r w:rsidRPr="001E42CA">
              <w:t xml:space="preserve">  10,7</w:t>
            </w:r>
          </w:p>
        </w:tc>
        <w:tc>
          <w:tcPr>
            <w:tcW w:w="1134" w:type="dxa"/>
          </w:tcPr>
          <w:p w:rsidR="00DC1575" w:rsidRPr="001E42CA" w:rsidRDefault="00DC1575">
            <w:pPr>
              <w:pStyle w:val="Tabell"/>
              <w:spacing w:before="40" w:after="40"/>
              <w:jc w:val="center"/>
            </w:pPr>
            <w:r w:rsidRPr="001E42CA">
              <w:t xml:space="preserve">    2,8</w:t>
            </w:r>
          </w:p>
        </w:tc>
        <w:tc>
          <w:tcPr>
            <w:tcW w:w="1134" w:type="dxa"/>
          </w:tcPr>
          <w:p w:rsidR="00DC1575" w:rsidRPr="001E42CA" w:rsidRDefault="00DC1575">
            <w:pPr>
              <w:pStyle w:val="Tabell"/>
              <w:spacing w:before="40" w:after="40"/>
              <w:jc w:val="center"/>
            </w:pPr>
            <w:r w:rsidRPr="001E42CA">
              <w:t xml:space="preserve">    0,0</w:t>
            </w:r>
          </w:p>
        </w:tc>
        <w:tc>
          <w:tcPr>
            <w:tcW w:w="1134" w:type="dxa"/>
          </w:tcPr>
          <w:p w:rsidR="00DC1575" w:rsidRPr="001E42CA" w:rsidRDefault="00DC1575">
            <w:pPr>
              <w:pStyle w:val="Tabell"/>
              <w:spacing w:before="40" w:after="40"/>
              <w:jc w:val="center"/>
            </w:pPr>
            <w:r w:rsidRPr="001E42CA">
              <w:t xml:space="preserve">       0</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&gt;100000</w:t>
            </w:r>
          </w:p>
        </w:tc>
        <w:tc>
          <w:tcPr>
            <w:tcW w:w="1134" w:type="dxa"/>
          </w:tcPr>
          <w:p w:rsidR="00DC1575" w:rsidRPr="001E42CA" w:rsidRDefault="00DC1575">
            <w:pPr>
              <w:pStyle w:val="Tabell"/>
              <w:spacing w:before="40" w:after="40"/>
              <w:jc w:val="center"/>
            </w:pPr>
            <w:r w:rsidRPr="001E42CA">
              <w:t xml:space="preserve">    3,8</w:t>
            </w:r>
          </w:p>
        </w:tc>
        <w:tc>
          <w:tcPr>
            <w:tcW w:w="1134" w:type="dxa"/>
          </w:tcPr>
          <w:p w:rsidR="00DC1575" w:rsidRPr="001E42CA" w:rsidRDefault="00DC1575">
            <w:pPr>
              <w:pStyle w:val="Tabell"/>
              <w:spacing w:before="40" w:after="40"/>
              <w:jc w:val="center"/>
            </w:pPr>
            <w:r w:rsidRPr="001E42CA">
              <w:t xml:space="preserve">    0,9</w:t>
            </w:r>
          </w:p>
        </w:tc>
        <w:tc>
          <w:tcPr>
            <w:tcW w:w="1134" w:type="dxa"/>
          </w:tcPr>
          <w:p w:rsidR="00DC1575" w:rsidRPr="001E42CA" w:rsidRDefault="00DC1575">
            <w:pPr>
              <w:pStyle w:val="Tabell"/>
              <w:spacing w:before="40" w:after="40"/>
              <w:jc w:val="center"/>
            </w:pPr>
            <w:r w:rsidRPr="001E42CA">
              <w:t xml:space="preserve">    0,0</w:t>
            </w:r>
          </w:p>
        </w:tc>
        <w:tc>
          <w:tcPr>
            <w:tcW w:w="1134" w:type="dxa"/>
          </w:tcPr>
          <w:p w:rsidR="00DC1575" w:rsidRPr="001E42CA" w:rsidRDefault="00DC1575">
            <w:pPr>
              <w:pStyle w:val="Tabell"/>
              <w:spacing w:before="40" w:after="40"/>
              <w:jc w:val="center"/>
            </w:pPr>
            <w:r w:rsidRPr="001E42CA">
              <w:t xml:space="preserve">       0</w:t>
            </w:r>
          </w:p>
        </w:tc>
      </w:tr>
      <w:tr w:rsidR="00000000" w:rsidRPr="001E42CA">
        <w:tblPrEx>
          <w:tblCellMar>
            <w:top w:w="0" w:type="dxa"/>
            <w:bottom w:w="0" w:type="dxa"/>
          </w:tblCellMar>
        </w:tblPrEx>
        <w:tc>
          <w:tcPr>
            <w:tcW w:w="1488" w:type="dxa"/>
            <w:tcBorders>
              <w:bottom w:val="single" w:sz="4" w:space="0" w:color="auto"/>
            </w:tcBorders>
          </w:tcPr>
          <w:p w:rsidR="00DC1575" w:rsidRPr="001E42CA" w:rsidRDefault="00DC1575">
            <w:pPr>
              <w:pStyle w:val="Tabell"/>
              <w:spacing w:before="40" w:after="40"/>
              <w:jc w:val="left"/>
            </w:pPr>
            <w:r w:rsidRPr="001E42CA">
              <w:t>Summa</w:t>
            </w:r>
          </w:p>
        </w:tc>
        <w:tc>
          <w:tcPr>
            <w:tcW w:w="1134" w:type="dxa"/>
            <w:tcBorders>
              <w:bottom w:val="single" w:sz="4" w:space="0" w:color="auto"/>
            </w:tcBorders>
          </w:tcPr>
          <w:p w:rsidR="00DC1575" w:rsidRPr="001E42CA" w:rsidRDefault="00DC1575">
            <w:pPr>
              <w:pStyle w:val="Tabell"/>
              <w:spacing w:before="40" w:after="40"/>
              <w:jc w:val="center"/>
            </w:pPr>
            <w:r w:rsidRPr="001E42CA">
              <w:t>100,0</w:t>
            </w:r>
          </w:p>
        </w:tc>
        <w:tc>
          <w:tcPr>
            <w:tcW w:w="1134" w:type="dxa"/>
            <w:tcBorders>
              <w:bottom w:val="single" w:sz="4" w:space="0" w:color="auto"/>
            </w:tcBorders>
          </w:tcPr>
          <w:p w:rsidR="00DC1575" w:rsidRPr="001E42CA" w:rsidRDefault="00DC1575">
            <w:pPr>
              <w:pStyle w:val="Tabell"/>
              <w:spacing w:before="40" w:after="40"/>
              <w:jc w:val="center"/>
            </w:pPr>
            <w:r w:rsidRPr="001E42CA">
              <w:t>100,0</w:t>
            </w:r>
          </w:p>
        </w:tc>
        <w:tc>
          <w:tcPr>
            <w:tcW w:w="1134" w:type="dxa"/>
            <w:tcBorders>
              <w:bottom w:val="single" w:sz="4" w:space="0" w:color="auto"/>
            </w:tcBorders>
          </w:tcPr>
          <w:p w:rsidR="00DC1575" w:rsidRPr="001E42CA" w:rsidRDefault="00DC1575">
            <w:pPr>
              <w:pStyle w:val="Tabell"/>
              <w:spacing w:before="40" w:after="40"/>
              <w:jc w:val="center"/>
            </w:pPr>
            <w:r w:rsidRPr="001E42CA">
              <w:t>100,0</w:t>
            </w:r>
          </w:p>
        </w:tc>
        <w:tc>
          <w:tcPr>
            <w:tcW w:w="1134" w:type="dxa"/>
            <w:tcBorders>
              <w:bottom w:val="single" w:sz="4" w:space="0" w:color="auto"/>
            </w:tcBorders>
          </w:tcPr>
          <w:p w:rsidR="00DC1575" w:rsidRPr="001E42CA" w:rsidRDefault="00DC1575">
            <w:pPr>
              <w:pStyle w:val="Tabell"/>
              <w:spacing w:before="40" w:after="40"/>
              <w:jc w:val="center"/>
            </w:pPr>
            <w:r w:rsidRPr="001E42CA">
              <w:t xml:space="preserve">  -</w:t>
            </w:r>
          </w:p>
        </w:tc>
      </w:tr>
    </w:tbl>
    <w:p w:rsidR="00DC1575" w:rsidRPr="001E42CA" w:rsidRDefault="00DC1575">
      <w:pPr>
        <w:pStyle w:val="Normaltindrag"/>
      </w:pPr>
    </w:p>
    <w:p w:rsidR="00DC1575" w:rsidRPr="001E42CA" w:rsidRDefault="00DC1575">
      <w:pPr>
        <w:spacing w:before="0"/>
      </w:pPr>
      <w:r w:rsidRPr="001E42CA">
        <w:t>Drygt 55 procent av stödet är koncentrerat till fyra län: Norrbotten, Vär</w:t>
      </w:r>
      <w:r w:rsidRPr="001E42CA">
        <w:t>m</w:t>
      </w:r>
      <w:r w:rsidRPr="001E42CA">
        <w:t>land, Västernorrland och Örebro. Dessa län har också ett stort antal ansö</w:t>
      </w:r>
      <w:r w:rsidRPr="001E42CA">
        <w:t>k</w:t>
      </w:r>
      <w:r w:rsidRPr="001E42CA">
        <w:t xml:space="preserve">ningar och en hög andel bland kommunerna i länet som sökt stöd. Även län som Blekinge, Gävleborg och Jämtland är överrepresenterade i förhållande till ansökningarna. Andra län som t.ex. Västra Götaland har däremot en hög andel ansökningar, men en betydligt lägre andel av stödet. </w:t>
      </w:r>
    </w:p>
    <w:p w:rsidR="00DC1575" w:rsidRPr="001E42CA" w:rsidRDefault="00DC1575">
      <w:pPr>
        <w:pStyle w:val="Normaltindrag"/>
      </w:pPr>
    </w:p>
    <w:p w:rsidR="00DC1575" w:rsidRPr="001E42CA" w:rsidRDefault="00DC1575">
      <w:pPr>
        <w:pStyle w:val="Tabellrubrik"/>
      </w:pPr>
      <w:r w:rsidRPr="001E42CA">
        <w:t>Tabell 4.3 Kommuner fördelade efter län och stöd</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488"/>
        <w:gridCol w:w="907"/>
        <w:gridCol w:w="907"/>
        <w:gridCol w:w="907"/>
        <w:gridCol w:w="907"/>
        <w:gridCol w:w="908"/>
      </w:tblGrid>
      <w:tr w:rsidR="00000000" w:rsidRPr="001E42CA">
        <w:tblPrEx>
          <w:tblCellMar>
            <w:top w:w="0" w:type="dxa"/>
            <w:bottom w:w="0" w:type="dxa"/>
          </w:tblCellMar>
        </w:tblPrEx>
        <w:tc>
          <w:tcPr>
            <w:tcW w:w="1488" w:type="dxa"/>
            <w:tcBorders>
              <w:top w:val="single" w:sz="4" w:space="0" w:color="auto"/>
              <w:bottom w:val="single" w:sz="4" w:space="0" w:color="auto"/>
            </w:tcBorders>
          </w:tcPr>
          <w:p w:rsidR="00DC1575" w:rsidRPr="001E42CA" w:rsidRDefault="00DC1575">
            <w:pPr>
              <w:pStyle w:val="Tabell"/>
              <w:spacing w:before="40" w:after="40"/>
              <w:jc w:val="left"/>
            </w:pPr>
          </w:p>
        </w:tc>
        <w:tc>
          <w:tcPr>
            <w:tcW w:w="907" w:type="dxa"/>
            <w:tcBorders>
              <w:top w:val="single" w:sz="4" w:space="0" w:color="auto"/>
              <w:bottom w:val="single" w:sz="4" w:space="0" w:color="auto"/>
            </w:tcBorders>
          </w:tcPr>
          <w:p w:rsidR="00DC1575" w:rsidRPr="001E42CA" w:rsidRDefault="00DC1575">
            <w:pPr>
              <w:pStyle w:val="Tabell"/>
              <w:spacing w:before="40" w:after="40"/>
              <w:jc w:val="center"/>
            </w:pPr>
            <w:r w:rsidRPr="001E42CA">
              <w:t>Antal komm</w:t>
            </w:r>
            <w:r w:rsidRPr="001E42CA">
              <w:t>u</w:t>
            </w:r>
            <w:r w:rsidRPr="001E42CA">
              <w:t>ner</w:t>
            </w:r>
          </w:p>
        </w:tc>
        <w:tc>
          <w:tcPr>
            <w:tcW w:w="907"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samtliga sökande kommuner (%)</w:t>
            </w:r>
          </w:p>
        </w:tc>
        <w:tc>
          <w:tcPr>
            <w:tcW w:w="907" w:type="dxa"/>
            <w:tcBorders>
              <w:top w:val="single" w:sz="4" w:space="0" w:color="auto"/>
              <w:bottom w:val="single" w:sz="4" w:space="0" w:color="auto"/>
            </w:tcBorders>
          </w:tcPr>
          <w:p w:rsidR="00DC1575" w:rsidRPr="001E42CA" w:rsidRDefault="00DC1575">
            <w:pPr>
              <w:pStyle w:val="Tabell"/>
              <w:spacing w:before="40" w:after="40"/>
              <w:jc w:val="center"/>
            </w:pPr>
            <w:r w:rsidRPr="001E42CA">
              <w:t>Andel kommuner i länet som sökt stöd (%)</w:t>
            </w:r>
          </w:p>
        </w:tc>
        <w:tc>
          <w:tcPr>
            <w:tcW w:w="907"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stödet (%)</w:t>
            </w:r>
          </w:p>
        </w:tc>
        <w:tc>
          <w:tcPr>
            <w:tcW w:w="908" w:type="dxa"/>
            <w:tcBorders>
              <w:top w:val="single" w:sz="4" w:space="0" w:color="auto"/>
              <w:bottom w:val="single" w:sz="4" w:space="0" w:color="auto"/>
            </w:tcBorders>
          </w:tcPr>
          <w:p w:rsidR="00DC1575" w:rsidRPr="001E42CA" w:rsidRDefault="00DC1575">
            <w:pPr>
              <w:pStyle w:val="Tabell"/>
              <w:spacing w:before="40" w:after="40"/>
              <w:jc w:val="center"/>
            </w:pPr>
            <w:r w:rsidRPr="001E42CA">
              <w:t>Stöd per innevånare (kronor)</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Stockholm</w:t>
            </w:r>
          </w:p>
        </w:tc>
        <w:tc>
          <w:tcPr>
            <w:tcW w:w="907" w:type="dxa"/>
          </w:tcPr>
          <w:p w:rsidR="00DC1575" w:rsidRPr="001E42CA" w:rsidRDefault="00DC1575">
            <w:pPr>
              <w:pStyle w:val="Tabell"/>
              <w:spacing w:before="40" w:after="40"/>
              <w:jc w:val="center"/>
            </w:pPr>
            <w:r w:rsidRPr="001E42CA">
              <w:t xml:space="preserve">    2</w:t>
            </w:r>
          </w:p>
        </w:tc>
        <w:tc>
          <w:tcPr>
            <w:tcW w:w="907" w:type="dxa"/>
          </w:tcPr>
          <w:p w:rsidR="00DC1575" w:rsidRPr="001E42CA" w:rsidRDefault="00DC1575">
            <w:pPr>
              <w:pStyle w:val="Tabell"/>
              <w:spacing w:before="40" w:after="40"/>
              <w:jc w:val="center"/>
            </w:pPr>
            <w:r w:rsidRPr="001E42CA">
              <w:t xml:space="preserve">    1,9</w:t>
            </w:r>
          </w:p>
        </w:tc>
        <w:tc>
          <w:tcPr>
            <w:tcW w:w="907" w:type="dxa"/>
          </w:tcPr>
          <w:p w:rsidR="00DC1575" w:rsidRPr="001E42CA" w:rsidRDefault="00DC1575">
            <w:pPr>
              <w:pStyle w:val="Tabell"/>
              <w:spacing w:before="40" w:after="40"/>
              <w:jc w:val="center"/>
            </w:pPr>
            <w:r w:rsidRPr="001E42CA">
              <w:t xml:space="preserve">  7,7</w:t>
            </w:r>
          </w:p>
        </w:tc>
        <w:tc>
          <w:tcPr>
            <w:tcW w:w="907" w:type="dxa"/>
          </w:tcPr>
          <w:p w:rsidR="00DC1575" w:rsidRPr="001E42CA" w:rsidRDefault="00DC1575">
            <w:pPr>
              <w:pStyle w:val="Tabell"/>
              <w:spacing w:before="40" w:after="40"/>
              <w:jc w:val="center"/>
            </w:pPr>
            <w:r w:rsidRPr="001E42CA">
              <w:t xml:space="preserve">    0,0</w:t>
            </w:r>
          </w:p>
        </w:tc>
        <w:tc>
          <w:tcPr>
            <w:tcW w:w="908" w:type="dxa"/>
          </w:tcPr>
          <w:p w:rsidR="00DC1575" w:rsidRPr="001E42CA" w:rsidRDefault="00DC1575">
            <w:pPr>
              <w:pStyle w:val="Tabell"/>
              <w:spacing w:before="40" w:after="40"/>
              <w:jc w:val="center"/>
            </w:pPr>
            <w:r w:rsidRPr="001E42CA">
              <w:t xml:space="preserve">      0</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Uppsala</w:t>
            </w:r>
          </w:p>
        </w:tc>
        <w:tc>
          <w:tcPr>
            <w:tcW w:w="907" w:type="dxa"/>
          </w:tcPr>
          <w:p w:rsidR="00DC1575" w:rsidRPr="001E42CA" w:rsidRDefault="00DC1575">
            <w:pPr>
              <w:pStyle w:val="Tabell"/>
              <w:spacing w:before="40" w:after="40"/>
              <w:jc w:val="center"/>
            </w:pPr>
            <w:r w:rsidRPr="001E42CA">
              <w:t xml:space="preserve">    2</w:t>
            </w:r>
          </w:p>
        </w:tc>
        <w:tc>
          <w:tcPr>
            <w:tcW w:w="907" w:type="dxa"/>
          </w:tcPr>
          <w:p w:rsidR="00DC1575" w:rsidRPr="001E42CA" w:rsidRDefault="00DC1575">
            <w:pPr>
              <w:pStyle w:val="Tabell"/>
              <w:spacing w:before="40" w:after="40"/>
              <w:jc w:val="center"/>
            </w:pPr>
            <w:r w:rsidRPr="001E42CA">
              <w:t xml:space="preserve">    1,9</w:t>
            </w:r>
          </w:p>
        </w:tc>
        <w:tc>
          <w:tcPr>
            <w:tcW w:w="907" w:type="dxa"/>
          </w:tcPr>
          <w:p w:rsidR="00DC1575" w:rsidRPr="001E42CA" w:rsidRDefault="00DC1575">
            <w:pPr>
              <w:pStyle w:val="Tabell"/>
              <w:spacing w:before="40" w:after="40"/>
              <w:jc w:val="center"/>
            </w:pPr>
            <w:r w:rsidRPr="001E42CA">
              <w:t>33,3</w:t>
            </w:r>
          </w:p>
        </w:tc>
        <w:tc>
          <w:tcPr>
            <w:tcW w:w="907" w:type="dxa"/>
          </w:tcPr>
          <w:p w:rsidR="00DC1575" w:rsidRPr="001E42CA" w:rsidRDefault="00DC1575">
            <w:pPr>
              <w:pStyle w:val="Tabell"/>
              <w:spacing w:before="40" w:after="40"/>
              <w:jc w:val="center"/>
            </w:pPr>
            <w:r w:rsidRPr="001E42CA">
              <w:t xml:space="preserve">    0,4</w:t>
            </w:r>
          </w:p>
        </w:tc>
        <w:tc>
          <w:tcPr>
            <w:tcW w:w="908" w:type="dxa"/>
          </w:tcPr>
          <w:p w:rsidR="00DC1575" w:rsidRPr="001E42CA" w:rsidRDefault="00DC1575">
            <w:pPr>
              <w:pStyle w:val="Tabell"/>
              <w:spacing w:before="40" w:after="40"/>
              <w:jc w:val="center"/>
            </w:pPr>
            <w:r w:rsidRPr="001E42CA">
              <w:t xml:space="preserve">    27</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Södermanland</w:t>
            </w:r>
          </w:p>
        </w:tc>
        <w:tc>
          <w:tcPr>
            <w:tcW w:w="907" w:type="dxa"/>
          </w:tcPr>
          <w:p w:rsidR="00DC1575" w:rsidRPr="001E42CA" w:rsidRDefault="00DC1575">
            <w:pPr>
              <w:pStyle w:val="Tabell"/>
              <w:spacing w:before="40" w:after="40"/>
              <w:jc w:val="center"/>
            </w:pPr>
            <w:r w:rsidRPr="001E42CA">
              <w:t xml:space="preserve">    2</w:t>
            </w:r>
          </w:p>
        </w:tc>
        <w:tc>
          <w:tcPr>
            <w:tcW w:w="907" w:type="dxa"/>
          </w:tcPr>
          <w:p w:rsidR="00DC1575" w:rsidRPr="001E42CA" w:rsidRDefault="00DC1575">
            <w:pPr>
              <w:pStyle w:val="Tabell"/>
              <w:spacing w:before="40" w:after="40"/>
              <w:jc w:val="center"/>
            </w:pPr>
            <w:r w:rsidRPr="001E42CA">
              <w:t xml:space="preserve">    1,9</w:t>
            </w:r>
          </w:p>
        </w:tc>
        <w:tc>
          <w:tcPr>
            <w:tcW w:w="907" w:type="dxa"/>
          </w:tcPr>
          <w:p w:rsidR="00DC1575" w:rsidRPr="001E42CA" w:rsidRDefault="00DC1575">
            <w:pPr>
              <w:pStyle w:val="Tabell"/>
              <w:spacing w:before="40" w:after="40"/>
              <w:jc w:val="center"/>
            </w:pPr>
            <w:r w:rsidRPr="001E42CA">
              <w:t>22,2</w:t>
            </w:r>
          </w:p>
        </w:tc>
        <w:tc>
          <w:tcPr>
            <w:tcW w:w="907" w:type="dxa"/>
          </w:tcPr>
          <w:p w:rsidR="00DC1575" w:rsidRPr="001E42CA" w:rsidRDefault="00DC1575">
            <w:pPr>
              <w:pStyle w:val="Tabell"/>
              <w:spacing w:before="40" w:after="40"/>
              <w:jc w:val="center"/>
            </w:pPr>
            <w:r w:rsidRPr="001E42CA">
              <w:t xml:space="preserve">    0,4</w:t>
            </w:r>
          </w:p>
        </w:tc>
        <w:tc>
          <w:tcPr>
            <w:tcW w:w="908" w:type="dxa"/>
          </w:tcPr>
          <w:p w:rsidR="00DC1575" w:rsidRPr="001E42CA" w:rsidRDefault="00DC1575">
            <w:pPr>
              <w:pStyle w:val="Tabell"/>
              <w:spacing w:before="40" w:after="40"/>
              <w:jc w:val="center"/>
            </w:pPr>
            <w:r w:rsidRPr="001E42CA">
              <w:t xml:space="preserve">    31</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Östergötland</w:t>
            </w:r>
          </w:p>
        </w:tc>
        <w:tc>
          <w:tcPr>
            <w:tcW w:w="907" w:type="dxa"/>
          </w:tcPr>
          <w:p w:rsidR="00DC1575" w:rsidRPr="001E42CA" w:rsidRDefault="00DC1575">
            <w:pPr>
              <w:pStyle w:val="Tabell"/>
              <w:spacing w:before="40" w:after="40"/>
              <w:jc w:val="center"/>
            </w:pPr>
            <w:r w:rsidRPr="001E42CA">
              <w:t xml:space="preserve">    5</w:t>
            </w:r>
          </w:p>
        </w:tc>
        <w:tc>
          <w:tcPr>
            <w:tcW w:w="907" w:type="dxa"/>
          </w:tcPr>
          <w:p w:rsidR="00DC1575" w:rsidRPr="001E42CA" w:rsidRDefault="00DC1575">
            <w:pPr>
              <w:pStyle w:val="Tabell"/>
              <w:spacing w:before="40" w:after="40"/>
              <w:jc w:val="center"/>
            </w:pPr>
            <w:r w:rsidRPr="001E42CA">
              <w:t xml:space="preserve">    4,7</w:t>
            </w:r>
          </w:p>
        </w:tc>
        <w:tc>
          <w:tcPr>
            <w:tcW w:w="907" w:type="dxa"/>
          </w:tcPr>
          <w:p w:rsidR="00DC1575" w:rsidRPr="001E42CA" w:rsidRDefault="00DC1575">
            <w:pPr>
              <w:pStyle w:val="Tabell"/>
              <w:spacing w:before="40" w:after="40"/>
              <w:jc w:val="center"/>
            </w:pPr>
            <w:r w:rsidRPr="001E42CA">
              <w:t>38,5</w:t>
            </w:r>
          </w:p>
        </w:tc>
        <w:tc>
          <w:tcPr>
            <w:tcW w:w="907" w:type="dxa"/>
          </w:tcPr>
          <w:p w:rsidR="00DC1575" w:rsidRPr="001E42CA" w:rsidRDefault="00DC1575">
            <w:pPr>
              <w:pStyle w:val="Tabell"/>
              <w:spacing w:before="40" w:after="40"/>
              <w:jc w:val="center"/>
            </w:pPr>
            <w:r w:rsidRPr="001E42CA">
              <w:t xml:space="preserve">    1,2</w:t>
            </w:r>
          </w:p>
        </w:tc>
        <w:tc>
          <w:tcPr>
            <w:tcW w:w="908" w:type="dxa"/>
          </w:tcPr>
          <w:p w:rsidR="00DC1575" w:rsidRPr="001E42CA" w:rsidRDefault="00DC1575">
            <w:pPr>
              <w:pStyle w:val="Tabell"/>
              <w:spacing w:before="40" w:after="40"/>
              <w:jc w:val="center"/>
            </w:pPr>
            <w:r w:rsidRPr="001E42CA">
              <w:t xml:space="preserve">    61</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Jönköping</w:t>
            </w:r>
          </w:p>
        </w:tc>
        <w:tc>
          <w:tcPr>
            <w:tcW w:w="907" w:type="dxa"/>
          </w:tcPr>
          <w:p w:rsidR="00DC1575" w:rsidRPr="001E42CA" w:rsidRDefault="00DC1575">
            <w:pPr>
              <w:pStyle w:val="Tabell"/>
              <w:spacing w:before="40" w:after="40"/>
              <w:jc w:val="center"/>
            </w:pPr>
            <w:r w:rsidRPr="001E42CA">
              <w:t xml:space="preserve">    4</w:t>
            </w:r>
          </w:p>
        </w:tc>
        <w:tc>
          <w:tcPr>
            <w:tcW w:w="907" w:type="dxa"/>
          </w:tcPr>
          <w:p w:rsidR="00DC1575" w:rsidRPr="001E42CA" w:rsidRDefault="00DC1575">
            <w:pPr>
              <w:pStyle w:val="Tabell"/>
              <w:spacing w:before="40" w:after="40"/>
              <w:jc w:val="center"/>
            </w:pPr>
            <w:r w:rsidRPr="001E42CA">
              <w:t xml:space="preserve">    3,7</w:t>
            </w:r>
          </w:p>
        </w:tc>
        <w:tc>
          <w:tcPr>
            <w:tcW w:w="907" w:type="dxa"/>
          </w:tcPr>
          <w:p w:rsidR="00DC1575" w:rsidRPr="001E42CA" w:rsidRDefault="00DC1575">
            <w:pPr>
              <w:pStyle w:val="Tabell"/>
              <w:spacing w:before="40" w:after="40"/>
              <w:jc w:val="center"/>
            </w:pPr>
            <w:r w:rsidRPr="001E42CA">
              <w:t>30,8</w:t>
            </w:r>
          </w:p>
        </w:tc>
        <w:tc>
          <w:tcPr>
            <w:tcW w:w="907" w:type="dxa"/>
          </w:tcPr>
          <w:p w:rsidR="00DC1575" w:rsidRPr="001E42CA" w:rsidRDefault="00DC1575">
            <w:pPr>
              <w:pStyle w:val="Tabell"/>
              <w:spacing w:before="40" w:after="40"/>
              <w:jc w:val="center"/>
            </w:pPr>
            <w:r w:rsidRPr="001E42CA">
              <w:t xml:space="preserve">    0,0</w:t>
            </w:r>
          </w:p>
        </w:tc>
        <w:tc>
          <w:tcPr>
            <w:tcW w:w="908" w:type="dxa"/>
          </w:tcPr>
          <w:p w:rsidR="00DC1575" w:rsidRPr="001E42CA" w:rsidRDefault="00DC1575">
            <w:pPr>
              <w:pStyle w:val="Tabell"/>
              <w:spacing w:before="40" w:after="40"/>
              <w:jc w:val="center"/>
            </w:pPr>
            <w:r w:rsidRPr="001E42CA">
              <w:t xml:space="preserve">      0</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Kalmar</w:t>
            </w:r>
          </w:p>
        </w:tc>
        <w:tc>
          <w:tcPr>
            <w:tcW w:w="907" w:type="dxa"/>
          </w:tcPr>
          <w:p w:rsidR="00DC1575" w:rsidRPr="001E42CA" w:rsidRDefault="00DC1575">
            <w:pPr>
              <w:pStyle w:val="Tabell"/>
              <w:spacing w:before="40" w:after="40"/>
              <w:jc w:val="center"/>
            </w:pPr>
            <w:r w:rsidRPr="001E42CA">
              <w:t xml:space="preserve">    4</w:t>
            </w:r>
          </w:p>
        </w:tc>
        <w:tc>
          <w:tcPr>
            <w:tcW w:w="907" w:type="dxa"/>
          </w:tcPr>
          <w:p w:rsidR="00DC1575" w:rsidRPr="001E42CA" w:rsidRDefault="00DC1575">
            <w:pPr>
              <w:pStyle w:val="Tabell"/>
              <w:spacing w:before="40" w:after="40"/>
              <w:jc w:val="center"/>
            </w:pPr>
            <w:r w:rsidRPr="001E42CA">
              <w:t xml:space="preserve">    3,7</w:t>
            </w:r>
          </w:p>
        </w:tc>
        <w:tc>
          <w:tcPr>
            <w:tcW w:w="907" w:type="dxa"/>
          </w:tcPr>
          <w:p w:rsidR="00DC1575" w:rsidRPr="001E42CA" w:rsidRDefault="00DC1575">
            <w:pPr>
              <w:pStyle w:val="Tabell"/>
              <w:spacing w:before="40" w:after="40"/>
              <w:jc w:val="center"/>
            </w:pPr>
            <w:r w:rsidRPr="001E42CA">
              <w:t>33,3</w:t>
            </w:r>
          </w:p>
        </w:tc>
        <w:tc>
          <w:tcPr>
            <w:tcW w:w="907" w:type="dxa"/>
          </w:tcPr>
          <w:p w:rsidR="00DC1575" w:rsidRPr="001E42CA" w:rsidRDefault="00DC1575">
            <w:pPr>
              <w:pStyle w:val="Tabell"/>
              <w:spacing w:before="40" w:after="40"/>
              <w:jc w:val="center"/>
            </w:pPr>
            <w:r w:rsidRPr="001E42CA">
              <w:t xml:space="preserve">    1,5</w:t>
            </w:r>
          </w:p>
        </w:tc>
        <w:tc>
          <w:tcPr>
            <w:tcW w:w="908" w:type="dxa"/>
          </w:tcPr>
          <w:p w:rsidR="00DC1575" w:rsidRPr="001E42CA" w:rsidRDefault="00DC1575">
            <w:pPr>
              <w:pStyle w:val="Tabell"/>
              <w:spacing w:before="40" w:after="40"/>
              <w:jc w:val="center"/>
            </w:pPr>
            <w:r w:rsidRPr="001E42CA">
              <w:t xml:space="preserve">  134</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Blekinge</w:t>
            </w:r>
          </w:p>
        </w:tc>
        <w:tc>
          <w:tcPr>
            <w:tcW w:w="907" w:type="dxa"/>
          </w:tcPr>
          <w:p w:rsidR="00DC1575" w:rsidRPr="001E42CA" w:rsidRDefault="00DC1575">
            <w:pPr>
              <w:pStyle w:val="Tabell"/>
              <w:spacing w:before="40" w:after="40"/>
              <w:jc w:val="center"/>
            </w:pPr>
            <w:r w:rsidRPr="001E42CA">
              <w:t xml:space="preserve">    1</w:t>
            </w:r>
          </w:p>
        </w:tc>
        <w:tc>
          <w:tcPr>
            <w:tcW w:w="907" w:type="dxa"/>
          </w:tcPr>
          <w:p w:rsidR="00DC1575" w:rsidRPr="001E42CA" w:rsidRDefault="00DC1575">
            <w:pPr>
              <w:pStyle w:val="Tabell"/>
              <w:spacing w:before="40" w:after="40"/>
              <w:jc w:val="center"/>
            </w:pPr>
            <w:r w:rsidRPr="001E42CA">
              <w:t xml:space="preserve">    0,9</w:t>
            </w:r>
          </w:p>
        </w:tc>
        <w:tc>
          <w:tcPr>
            <w:tcW w:w="907" w:type="dxa"/>
          </w:tcPr>
          <w:p w:rsidR="00DC1575" w:rsidRPr="001E42CA" w:rsidRDefault="00DC1575">
            <w:pPr>
              <w:pStyle w:val="Tabell"/>
              <w:spacing w:before="40" w:after="40"/>
              <w:jc w:val="center"/>
            </w:pPr>
            <w:r w:rsidRPr="001E42CA">
              <w:t>20,0</w:t>
            </w:r>
          </w:p>
        </w:tc>
        <w:tc>
          <w:tcPr>
            <w:tcW w:w="907" w:type="dxa"/>
          </w:tcPr>
          <w:p w:rsidR="00DC1575" w:rsidRPr="001E42CA" w:rsidRDefault="00DC1575">
            <w:pPr>
              <w:pStyle w:val="Tabell"/>
              <w:spacing w:before="40" w:after="40"/>
              <w:jc w:val="center"/>
            </w:pPr>
            <w:r w:rsidRPr="001E42CA">
              <w:t xml:space="preserve">    5,9</w:t>
            </w:r>
          </w:p>
        </w:tc>
        <w:tc>
          <w:tcPr>
            <w:tcW w:w="908" w:type="dxa"/>
          </w:tcPr>
          <w:p w:rsidR="00DC1575" w:rsidRPr="001E42CA" w:rsidRDefault="00DC1575">
            <w:pPr>
              <w:pStyle w:val="Tabell"/>
              <w:spacing w:before="40" w:after="40"/>
              <w:jc w:val="center"/>
            </w:pPr>
            <w:r w:rsidRPr="001E42CA">
              <w:t xml:space="preserve">  828</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Skåne</w:t>
            </w:r>
          </w:p>
        </w:tc>
        <w:tc>
          <w:tcPr>
            <w:tcW w:w="907" w:type="dxa"/>
          </w:tcPr>
          <w:p w:rsidR="00DC1575" w:rsidRPr="001E42CA" w:rsidRDefault="00DC1575">
            <w:pPr>
              <w:pStyle w:val="Tabell"/>
              <w:spacing w:before="40" w:after="40"/>
              <w:jc w:val="center"/>
            </w:pPr>
            <w:r w:rsidRPr="001E42CA">
              <w:t xml:space="preserve">    5</w:t>
            </w:r>
          </w:p>
        </w:tc>
        <w:tc>
          <w:tcPr>
            <w:tcW w:w="907" w:type="dxa"/>
          </w:tcPr>
          <w:p w:rsidR="00DC1575" w:rsidRPr="001E42CA" w:rsidRDefault="00DC1575">
            <w:pPr>
              <w:pStyle w:val="Tabell"/>
              <w:spacing w:before="40" w:after="40"/>
              <w:jc w:val="center"/>
            </w:pPr>
            <w:r w:rsidRPr="001E42CA">
              <w:t xml:space="preserve">    4,7</w:t>
            </w:r>
          </w:p>
        </w:tc>
        <w:tc>
          <w:tcPr>
            <w:tcW w:w="907" w:type="dxa"/>
          </w:tcPr>
          <w:p w:rsidR="00DC1575" w:rsidRPr="001E42CA" w:rsidRDefault="00DC1575">
            <w:pPr>
              <w:pStyle w:val="Tabell"/>
              <w:spacing w:before="40" w:after="40"/>
              <w:jc w:val="center"/>
            </w:pPr>
            <w:r w:rsidRPr="001E42CA">
              <w:t>15,2</w:t>
            </w:r>
          </w:p>
        </w:tc>
        <w:tc>
          <w:tcPr>
            <w:tcW w:w="907" w:type="dxa"/>
          </w:tcPr>
          <w:p w:rsidR="00DC1575" w:rsidRPr="001E42CA" w:rsidRDefault="00DC1575">
            <w:pPr>
              <w:pStyle w:val="Tabell"/>
              <w:spacing w:before="40" w:after="40"/>
              <w:jc w:val="center"/>
            </w:pPr>
            <w:r w:rsidRPr="001E42CA">
              <w:t xml:space="preserve">    1,8</w:t>
            </w:r>
          </w:p>
        </w:tc>
        <w:tc>
          <w:tcPr>
            <w:tcW w:w="908" w:type="dxa"/>
          </w:tcPr>
          <w:p w:rsidR="00DC1575" w:rsidRPr="001E42CA" w:rsidRDefault="00DC1575">
            <w:pPr>
              <w:pStyle w:val="Tabell"/>
              <w:spacing w:before="40" w:after="40"/>
              <w:jc w:val="center"/>
            </w:pPr>
            <w:r w:rsidRPr="001E42CA">
              <w:t xml:space="preserve">    34</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Halland</w:t>
            </w:r>
          </w:p>
        </w:tc>
        <w:tc>
          <w:tcPr>
            <w:tcW w:w="907" w:type="dxa"/>
          </w:tcPr>
          <w:p w:rsidR="00DC1575" w:rsidRPr="001E42CA" w:rsidRDefault="00DC1575">
            <w:pPr>
              <w:pStyle w:val="Tabell"/>
              <w:spacing w:before="40" w:after="40"/>
              <w:jc w:val="center"/>
            </w:pPr>
            <w:r w:rsidRPr="001E42CA">
              <w:t xml:space="preserve">    2</w:t>
            </w:r>
          </w:p>
        </w:tc>
        <w:tc>
          <w:tcPr>
            <w:tcW w:w="907" w:type="dxa"/>
          </w:tcPr>
          <w:p w:rsidR="00DC1575" w:rsidRPr="001E42CA" w:rsidRDefault="00DC1575">
            <w:pPr>
              <w:pStyle w:val="Tabell"/>
              <w:spacing w:before="40" w:after="40"/>
              <w:jc w:val="center"/>
            </w:pPr>
            <w:r w:rsidRPr="001E42CA">
              <w:t xml:space="preserve">    1,9</w:t>
            </w:r>
          </w:p>
        </w:tc>
        <w:tc>
          <w:tcPr>
            <w:tcW w:w="907" w:type="dxa"/>
          </w:tcPr>
          <w:p w:rsidR="00DC1575" w:rsidRPr="001E42CA" w:rsidRDefault="00DC1575">
            <w:pPr>
              <w:pStyle w:val="Tabell"/>
              <w:spacing w:before="40" w:after="40"/>
              <w:jc w:val="center"/>
            </w:pPr>
            <w:r w:rsidRPr="001E42CA">
              <w:t>33,3</w:t>
            </w:r>
          </w:p>
        </w:tc>
        <w:tc>
          <w:tcPr>
            <w:tcW w:w="907" w:type="dxa"/>
          </w:tcPr>
          <w:p w:rsidR="00DC1575" w:rsidRPr="001E42CA" w:rsidRDefault="00DC1575">
            <w:pPr>
              <w:pStyle w:val="Tabell"/>
              <w:spacing w:before="40" w:after="40"/>
              <w:jc w:val="center"/>
            </w:pPr>
            <w:r w:rsidRPr="001E42CA">
              <w:t xml:space="preserve">    0,0</w:t>
            </w:r>
          </w:p>
        </w:tc>
        <w:tc>
          <w:tcPr>
            <w:tcW w:w="908" w:type="dxa"/>
          </w:tcPr>
          <w:p w:rsidR="00DC1575" w:rsidRPr="001E42CA" w:rsidRDefault="00DC1575">
            <w:pPr>
              <w:pStyle w:val="Tabell"/>
              <w:spacing w:before="40" w:after="40"/>
              <w:jc w:val="center"/>
            </w:pPr>
            <w:r w:rsidRPr="001E42CA">
              <w:t xml:space="preserve">      0</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Västra Götaland</w:t>
            </w:r>
          </w:p>
        </w:tc>
        <w:tc>
          <w:tcPr>
            <w:tcW w:w="907" w:type="dxa"/>
          </w:tcPr>
          <w:p w:rsidR="00DC1575" w:rsidRPr="001E42CA" w:rsidRDefault="00DC1575">
            <w:pPr>
              <w:pStyle w:val="Tabell"/>
              <w:spacing w:before="40" w:after="40"/>
              <w:jc w:val="center"/>
            </w:pPr>
            <w:r w:rsidRPr="001E42CA">
              <w:t xml:space="preserve">  18</w:t>
            </w:r>
          </w:p>
        </w:tc>
        <w:tc>
          <w:tcPr>
            <w:tcW w:w="907" w:type="dxa"/>
          </w:tcPr>
          <w:p w:rsidR="00DC1575" w:rsidRPr="001E42CA" w:rsidRDefault="00DC1575">
            <w:pPr>
              <w:pStyle w:val="Tabell"/>
              <w:spacing w:before="40" w:after="40"/>
              <w:jc w:val="center"/>
            </w:pPr>
            <w:r w:rsidRPr="001E42CA">
              <w:t xml:space="preserve">  16,8</w:t>
            </w:r>
          </w:p>
        </w:tc>
        <w:tc>
          <w:tcPr>
            <w:tcW w:w="907" w:type="dxa"/>
          </w:tcPr>
          <w:p w:rsidR="00DC1575" w:rsidRPr="001E42CA" w:rsidRDefault="00DC1575">
            <w:pPr>
              <w:pStyle w:val="Tabell"/>
              <w:spacing w:before="40" w:after="40"/>
              <w:jc w:val="center"/>
            </w:pPr>
            <w:r w:rsidRPr="001E42CA">
              <w:t>36,7</w:t>
            </w:r>
          </w:p>
        </w:tc>
        <w:tc>
          <w:tcPr>
            <w:tcW w:w="907" w:type="dxa"/>
          </w:tcPr>
          <w:p w:rsidR="00DC1575" w:rsidRPr="001E42CA" w:rsidRDefault="00DC1575">
            <w:pPr>
              <w:pStyle w:val="Tabell"/>
              <w:spacing w:before="40" w:after="40"/>
              <w:jc w:val="center"/>
            </w:pPr>
            <w:r w:rsidRPr="001E42CA">
              <w:t xml:space="preserve">    7,5</w:t>
            </w:r>
          </w:p>
        </w:tc>
        <w:tc>
          <w:tcPr>
            <w:tcW w:w="908" w:type="dxa"/>
          </w:tcPr>
          <w:p w:rsidR="00DC1575" w:rsidRPr="001E42CA" w:rsidRDefault="00DC1575">
            <w:pPr>
              <w:pStyle w:val="Tabell"/>
              <w:spacing w:before="40" w:after="40"/>
              <w:jc w:val="center"/>
            </w:pPr>
            <w:r w:rsidRPr="001E42CA">
              <w:t xml:space="preserve">  106</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Värmland</w:t>
            </w:r>
          </w:p>
        </w:tc>
        <w:tc>
          <w:tcPr>
            <w:tcW w:w="907" w:type="dxa"/>
          </w:tcPr>
          <w:p w:rsidR="00DC1575" w:rsidRPr="001E42CA" w:rsidRDefault="00DC1575">
            <w:pPr>
              <w:pStyle w:val="Tabell"/>
              <w:spacing w:before="40" w:after="40"/>
              <w:jc w:val="center"/>
            </w:pPr>
            <w:r w:rsidRPr="001E42CA">
              <w:t xml:space="preserve">  11</w:t>
            </w:r>
          </w:p>
        </w:tc>
        <w:tc>
          <w:tcPr>
            <w:tcW w:w="907" w:type="dxa"/>
          </w:tcPr>
          <w:p w:rsidR="00DC1575" w:rsidRPr="001E42CA" w:rsidRDefault="00DC1575">
            <w:pPr>
              <w:pStyle w:val="Tabell"/>
              <w:spacing w:before="40" w:after="40"/>
              <w:jc w:val="center"/>
            </w:pPr>
            <w:r w:rsidRPr="001E42CA">
              <w:t xml:space="preserve">  10,3</w:t>
            </w:r>
          </w:p>
        </w:tc>
        <w:tc>
          <w:tcPr>
            <w:tcW w:w="907" w:type="dxa"/>
          </w:tcPr>
          <w:p w:rsidR="00DC1575" w:rsidRPr="001E42CA" w:rsidRDefault="00DC1575">
            <w:pPr>
              <w:pStyle w:val="Tabell"/>
              <w:spacing w:before="40" w:after="40"/>
              <w:jc w:val="center"/>
            </w:pPr>
            <w:r w:rsidRPr="001E42CA">
              <w:t>68,8</w:t>
            </w:r>
          </w:p>
        </w:tc>
        <w:tc>
          <w:tcPr>
            <w:tcW w:w="907" w:type="dxa"/>
          </w:tcPr>
          <w:p w:rsidR="00DC1575" w:rsidRPr="001E42CA" w:rsidRDefault="00DC1575">
            <w:pPr>
              <w:pStyle w:val="Tabell"/>
              <w:spacing w:before="40" w:after="40"/>
              <w:jc w:val="center"/>
            </w:pPr>
            <w:r w:rsidRPr="001E42CA">
              <w:t xml:space="preserve">  15,2</w:t>
            </w:r>
          </w:p>
        </w:tc>
        <w:tc>
          <w:tcPr>
            <w:tcW w:w="908" w:type="dxa"/>
          </w:tcPr>
          <w:p w:rsidR="00DC1575" w:rsidRPr="001E42CA" w:rsidRDefault="00DC1575">
            <w:pPr>
              <w:pStyle w:val="Tabell"/>
              <w:spacing w:before="40" w:after="40"/>
              <w:jc w:val="center"/>
            </w:pPr>
            <w:r w:rsidRPr="001E42CA">
              <w:t>1165</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Örebro</w:t>
            </w:r>
          </w:p>
        </w:tc>
        <w:tc>
          <w:tcPr>
            <w:tcW w:w="907" w:type="dxa"/>
          </w:tcPr>
          <w:p w:rsidR="00DC1575" w:rsidRPr="001E42CA" w:rsidRDefault="00DC1575">
            <w:pPr>
              <w:pStyle w:val="Tabell"/>
              <w:spacing w:before="40" w:after="40"/>
              <w:jc w:val="center"/>
            </w:pPr>
            <w:r w:rsidRPr="001E42CA">
              <w:t xml:space="preserve">    8</w:t>
            </w:r>
          </w:p>
        </w:tc>
        <w:tc>
          <w:tcPr>
            <w:tcW w:w="907" w:type="dxa"/>
          </w:tcPr>
          <w:p w:rsidR="00DC1575" w:rsidRPr="001E42CA" w:rsidRDefault="00DC1575">
            <w:pPr>
              <w:pStyle w:val="Tabell"/>
              <w:spacing w:before="40" w:after="40"/>
              <w:jc w:val="center"/>
            </w:pPr>
            <w:r w:rsidRPr="001E42CA">
              <w:t xml:space="preserve">    7,5</w:t>
            </w:r>
          </w:p>
        </w:tc>
        <w:tc>
          <w:tcPr>
            <w:tcW w:w="907" w:type="dxa"/>
          </w:tcPr>
          <w:p w:rsidR="00DC1575" w:rsidRPr="001E42CA" w:rsidRDefault="00DC1575">
            <w:pPr>
              <w:pStyle w:val="Tabell"/>
              <w:spacing w:before="40" w:after="40"/>
              <w:jc w:val="center"/>
            </w:pPr>
            <w:r w:rsidRPr="001E42CA">
              <w:t>66,6</w:t>
            </w:r>
          </w:p>
        </w:tc>
        <w:tc>
          <w:tcPr>
            <w:tcW w:w="907" w:type="dxa"/>
          </w:tcPr>
          <w:p w:rsidR="00DC1575" w:rsidRPr="001E42CA" w:rsidRDefault="00DC1575">
            <w:pPr>
              <w:pStyle w:val="Tabell"/>
              <w:spacing w:before="40" w:after="40"/>
              <w:jc w:val="center"/>
            </w:pPr>
            <w:r w:rsidRPr="001E42CA">
              <w:t xml:space="preserve">  11,0</w:t>
            </w:r>
          </w:p>
        </w:tc>
        <w:tc>
          <w:tcPr>
            <w:tcW w:w="908" w:type="dxa"/>
          </w:tcPr>
          <w:p w:rsidR="00DC1575" w:rsidRPr="001E42CA" w:rsidRDefault="00DC1575">
            <w:pPr>
              <w:pStyle w:val="Tabell"/>
              <w:spacing w:before="40" w:after="40"/>
              <w:jc w:val="center"/>
            </w:pPr>
            <w:r w:rsidRPr="001E42CA">
              <w:t xml:space="preserve">  854</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Västmanland</w:t>
            </w:r>
          </w:p>
        </w:tc>
        <w:tc>
          <w:tcPr>
            <w:tcW w:w="907" w:type="dxa"/>
          </w:tcPr>
          <w:p w:rsidR="00DC1575" w:rsidRPr="001E42CA" w:rsidRDefault="00DC1575">
            <w:pPr>
              <w:pStyle w:val="Tabell"/>
              <w:spacing w:before="40" w:after="40"/>
              <w:jc w:val="center"/>
            </w:pPr>
            <w:r w:rsidRPr="001E42CA">
              <w:t xml:space="preserve">    4</w:t>
            </w:r>
          </w:p>
        </w:tc>
        <w:tc>
          <w:tcPr>
            <w:tcW w:w="907" w:type="dxa"/>
          </w:tcPr>
          <w:p w:rsidR="00DC1575" w:rsidRPr="001E42CA" w:rsidRDefault="00DC1575">
            <w:pPr>
              <w:pStyle w:val="Tabell"/>
              <w:spacing w:before="40" w:after="40"/>
              <w:jc w:val="center"/>
            </w:pPr>
            <w:r w:rsidRPr="001E42CA">
              <w:t xml:space="preserve">    3,7</w:t>
            </w:r>
          </w:p>
        </w:tc>
        <w:tc>
          <w:tcPr>
            <w:tcW w:w="907" w:type="dxa"/>
          </w:tcPr>
          <w:p w:rsidR="00DC1575" w:rsidRPr="001E42CA" w:rsidRDefault="00DC1575">
            <w:pPr>
              <w:pStyle w:val="Tabell"/>
              <w:spacing w:before="40" w:after="40"/>
              <w:jc w:val="center"/>
            </w:pPr>
            <w:r w:rsidRPr="001E42CA">
              <w:t>36,4</w:t>
            </w:r>
          </w:p>
        </w:tc>
        <w:tc>
          <w:tcPr>
            <w:tcW w:w="907" w:type="dxa"/>
          </w:tcPr>
          <w:p w:rsidR="00DC1575" w:rsidRPr="001E42CA" w:rsidRDefault="00DC1575">
            <w:pPr>
              <w:pStyle w:val="Tabell"/>
              <w:spacing w:before="40" w:after="40"/>
              <w:jc w:val="center"/>
            </w:pPr>
            <w:r w:rsidRPr="001E42CA">
              <w:t xml:space="preserve">    3,1</w:t>
            </w:r>
          </w:p>
        </w:tc>
        <w:tc>
          <w:tcPr>
            <w:tcW w:w="908" w:type="dxa"/>
          </w:tcPr>
          <w:p w:rsidR="00DC1575" w:rsidRPr="001E42CA" w:rsidRDefault="00DC1575">
            <w:pPr>
              <w:pStyle w:val="Tabell"/>
              <w:spacing w:before="40" w:after="40"/>
              <w:jc w:val="center"/>
            </w:pPr>
            <w:r w:rsidRPr="001E42CA">
              <w:t xml:space="preserve">  260</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Dalarna</w:t>
            </w:r>
          </w:p>
        </w:tc>
        <w:tc>
          <w:tcPr>
            <w:tcW w:w="907" w:type="dxa"/>
          </w:tcPr>
          <w:p w:rsidR="00DC1575" w:rsidRPr="001E42CA" w:rsidRDefault="00DC1575">
            <w:pPr>
              <w:pStyle w:val="Tabell"/>
              <w:spacing w:before="40" w:after="40"/>
              <w:jc w:val="center"/>
            </w:pPr>
            <w:r w:rsidRPr="001E42CA">
              <w:t xml:space="preserve">    8</w:t>
            </w:r>
          </w:p>
        </w:tc>
        <w:tc>
          <w:tcPr>
            <w:tcW w:w="907" w:type="dxa"/>
          </w:tcPr>
          <w:p w:rsidR="00DC1575" w:rsidRPr="001E42CA" w:rsidRDefault="00DC1575">
            <w:pPr>
              <w:pStyle w:val="Tabell"/>
              <w:spacing w:before="40" w:after="40"/>
              <w:jc w:val="center"/>
            </w:pPr>
            <w:r w:rsidRPr="001E42CA">
              <w:t xml:space="preserve">    7,5</w:t>
            </w:r>
          </w:p>
        </w:tc>
        <w:tc>
          <w:tcPr>
            <w:tcW w:w="907" w:type="dxa"/>
          </w:tcPr>
          <w:p w:rsidR="00DC1575" w:rsidRPr="001E42CA" w:rsidRDefault="00DC1575">
            <w:pPr>
              <w:pStyle w:val="Tabell"/>
              <w:spacing w:before="40" w:after="40"/>
              <w:jc w:val="center"/>
            </w:pPr>
            <w:r w:rsidRPr="001E42CA">
              <w:t>53,3</w:t>
            </w:r>
          </w:p>
        </w:tc>
        <w:tc>
          <w:tcPr>
            <w:tcW w:w="907" w:type="dxa"/>
          </w:tcPr>
          <w:p w:rsidR="00DC1575" w:rsidRPr="001E42CA" w:rsidRDefault="00DC1575">
            <w:pPr>
              <w:pStyle w:val="Tabell"/>
              <w:spacing w:before="40" w:after="40"/>
              <w:jc w:val="center"/>
            </w:pPr>
            <w:r w:rsidRPr="001E42CA">
              <w:t xml:space="preserve">    4,1</w:t>
            </w:r>
          </w:p>
        </w:tc>
        <w:tc>
          <w:tcPr>
            <w:tcW w:w="908" w:type="dxa"/>
          </w:tcPr>
          <w:p w:rsidR="00DC1575" w:rsidRPr="001E42CA" w:rsidRDefault="00DC1575">
            <w:pPr>
              <w:pStyle w:val="Tabell"/>
              <w:spacing w:before="40" w:after="40"/>
              <w:jc w:val="center"/>
            </w:pPr>
            <w:r w:rsidRPr="001E42CA">
              <w:t xml:space="preserve">  307</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Gävleborg</w:t>
            </w:r>
          </w:p>
        </w:tc>
        <w:tc>
          <w:tcPr>
            <w:tcW w:w="907" w:type="dxa"/>
          </w:tcPr>
          <w:p w:rsidR="00DC1575" w:rsidRPr="001E42CA" w:rsidRDefault="00DC1575">
            <w:pPr>
              <w:pStyle w:val="Tabell"/>
              <w:spacing w:before="40" w:after="40"/>
              <w:jc w:val="center"/>
            </w:pPr>
            <w:r w:rsidRPr="001E42CA">
              <w:t xml:space="preserve">    5</w:t>
            </w:r>
          </w:p>
        </w:tc>
        <w:tc>
          <w:tcPr>
            <w:tcW w:w="907" w:type="dxa"/>
          </w:tcPr>
          <w:p w:rsidR="00DC1575" w:rsidRPr="001E42CA" w:rsidRDefault="00DC1575">
            <w:pPr>
              <w:pStyle w:val="Tabell"/>
              <w:spacing w:before="40" w:after="40"/>
              <w:jc w:val="center"/>
            </w:pPr>
            <w:r w:rsidRPr="001E42CA">
              <w:t xml:space="preserve">    4,7</w:t>
            </w:r>
          </w:p>
        </w:tc>
        <w:tc>
          <w:tcPr>
            <w:tcW w:w="907" w:type="dxa"/>
          </w:tcPr>
          <w:p w:rsidR="00DC1575" w:rsidRPr="001E42CA" w:rsidRDefault="00DC1575">
            <w:pPr>
              <w:pStyle w:val="Tabell"/>
              <w:spacing w:before="40" w:after="40"/>
              <w:jc w:val="center"/>
            </w:pPr>
            <w:r w:rsidRPr="001E42CA">
              <w:t>50,0</w:t>
            </w:r>
          </w:p>
        </w:tc>
        <w:tc>
          <w:tcPr>
            <w:tcW w:w="907" w:type="dxa"/>
          </w:tcPr>
          <w:p w:rsidR="00DC1575" w:rsidRPr="001E42CA" w:rsidRDefault="00DC1575">
            <w:pPr>
              <w:pStyle w:val="Tabell"/>
              <w:spacing w:before="40" w:after="40"/>
              <w:jc w:val="center"/>
            </w:pPr>
            <w:r w:rsidRPr="001E42CA">
              <w:t xml:space="preserve">    6,0</w:t>
            </w:r>
          </w:p>
        </w:tc>
        <w:tc>
          <w:tcPr>
            <w:tcW w:w="908" w:type="dxa"/>
          </w:tcPr>
          <w:p w:rsidR="00DC1575" w:rsidRPr="001E42CA" w:rsidRDefault="00DC1575">
            <w:pPr>
              <w:pStyle w:val="Tabell"/>
              <w:spacing w:before="40" w:after="40"/>
              <w:jc w:val="center"/>
            </w:pPr>
            <w:r w:rsidRPr="001E42CA">
              <w:t xml:space="preserve">  456</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Västernorrland</w:t>
            </w:r>
          </w:p>
        </w:tc>
        <w:tc>
          <w:tcPr>
            <w:tcW w:w="907" w:type="dxa"/>
          </w:tcPr>
          <w:p w:rsidR="00DC1575" w:rsidRPr="001E42CA" w:rsidRDefault="00DC1575">
            <w:pPr>
              <w:pStyle w:val="Tabell"/>
              <w:spacing w:before="40" w:after="40"/>
              <w:jc w:val="center"/>
            </w:pPr>
            <w:r w:rsidRPr="001E42CA">
              <w:t xml:space="preserve">    6</w:t>
            </w:r>
          </w:p>
        </w:tc>
        <w:tc>
          <w:tcPr>
            <w:tcW w:w="907" w:type="dxa"/>
          </w:tcPr>
          <w:p w:rsidR="00DC1575" w:rsidRPr="001E42CA" w:rsidRDefault="00DC1575">
            <w:pPr>
              <w:pStyle w:val="Tabell"/>
              <w:spacing w:before="40" w:after="40"/>
              <w:jc w:val="center"/>
            </w:pPr>
            <w:r w:rsidRPr="001E42CA">
              <w:t xml:space="preserve">    5,6</w:t>
            </w:r>
          </w:p>
        </w:tc>
        <w:tc>
          <w:tcPr>
            <w:tcW w:w="907" w:type="dxa"/>
          </w:tcPr>
          <w:p w:rsidR="00DC1575" w:rsidRPr="001E42CA" w:rsidRDefault="00DC1575">
            <w:pPr>
              <w:pStyle w:val="Tabell"/>
              <w:spacing w:before="40" w:after="40"/>
              <w:jc w:val="center"/>
            </w:pPr>
            <w:r w:rsidRPr="001E42CA">
              <w:t>85,7</w:t>
            </w:r>
          </w:p>
        </w:tc>
        <w:tc>
          <w:tcPr>
            <w:tcW w:w="907" w:type="dxa"/>
          </w:tcPr>
          <w:p w:rsidR="00DC1575" w:rsidRPr="001E42CA" w:rsidRDefault="00DC1575">
            <w:pPr>
              <w:pStyle w:val="Tabell"/>
              <w:spacing w:before="40" w:after="40"/>
              <w:jc w:val="center"/>
            </w:pPr>
            <w:r w:rsidRPr="001E42CA">
              <w:t xml:space="preserve">  14,7</w:t>
            </w:r>
          </w:p>
        </w:tc>
        <w:tc>
          <w:tcPr>
            <w:tcW w:w="908" w:type="dxa"/>
          </w:tcPr>
          <w:p w:rsidR="00DC1575" w:rsidRPr="001E42CA" w:rsidRDefault="00DC1575">
            <w:pPr>
              <w:pStyle w:val="Tabell"/>
              <w:spacing w:before="40" w:after="40"/>
              <w:jc w:val="center"/>
            </w:pPr>
            <w:r w:rsidRPr="001E42CA">
              <w:t>1247</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Jämtland</w:t>
            </w:r>
          </w:p>
        </w:tc>
        <w:tc>
          <w:tcPr>
            <w:tcW w:w="907" w:type="dxa"/>
          </w:tcPr>
          <w:p w:rsidR="00DC1575" w:rsidRPr="001E42CA" w:rsidRDefault="00DC1575">
            <w:pPr>
              <w:pStyle w:val="Tabell"/>
              <w:spacing w:before="40" w:after="40"/>
              <w:jc w:val="center"/>
            </w:pPr>
            <w:r w:rsidRPr="001E42CA">
              <w:t xml:space="preserve">    2</w:t>
            </w:r>
          </w:p>
        </w:tc>
        <w:tc>
          <w:tcPr>
            <w:tcW w:w="907" w:type="dxa"/>
          </w:tcPr>
          <w:p w:rsidR="00DC1575" w:rsidRPr="001E42CA" w:rsidRDefault="00DC1575">
            <w:pPr>
              <w:pStyle w:val="Tabell"/>
              <w:spacing w:before="40" w:after="40"/>
              <w:jc w:val="center"/>
            </w:pPr>
            <w:r w:rsidRPr="001E42CA">
              <w:t xml:space="preserve">    1,9</w:t>
            </w:r>
          </w:p>
        </w:tc>
        <w:tc>
          <w:tcPr>
            <w:tcW w:w="907" w:type="dxa"/>
          </w:tcPr>
          <w:p w:rsidR="00DC1575" w:rsidRPr="001E42CA" w:rsidRDefault="00DC1575">
            <w:pPr>
              <w:pStyle w:val="Tabell"/>
              <w:spacing w:before="40" w:after="40"/>
              <w:jc w:val="center"/>
            </w:pPr>
            <w:r w:rsidRPr="001E42CA">
              <w:t>25,0</w:t>
            </w:r>
          </w:p>
        </w:tc>
        <w:tc>
          <w:tcPr>
            <w:tcW w:w="907" w:type="dxa"/>
          </w:tcPr>
          <w:p w:rsidR="00DC1575" w:rsidRPr="001E42CA" w:rsidRDefault="00DC1575">
            <w:pPr>
              <w:pStyle w:val="Tabell"/>
              <w:spacing w:before="40" w:after="40"/>
              <w:jc w:val="center"/>
            </w:pPr>
            <w:r w:rsidRPr="001E42CA">
              <w:t xml:space="preserve">    7,3</w:t>
            </w:r>
          </w:p>
        </w:tc>
        <w:tc>
          <w:tcPr>
            <w:tcW w:w="908" w:type="dxa"/>
          </w:tcPr>
          <w:p w:rsidR="00DC1575" w:rsidRPr="001E42CA" w:rsidRDefault="00DC1575">
            <w:pPr>
              <w:pStyle w:val="Tabell"/>
              <w:spacing w:before="40" w:after="40"/>
              <w:jc w:val="center"/>
            </w:pPr>
            <w:r w:rsidRPr="001E42CA">
              <w:t>1179</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Västerbotten</w:t>
            </w:r>
          </w:p>
        </w:tc>
        <w:tc>
          <w:tcPr>
            <w:tcW w:w="907" w:type="dxa"/>
          </w:tcPr>
          <w:p w:rsidR="00DC1575" w:rsidRPr="001E42CA" w:rsidRDefault="00DC1575">
            <w:pPr>
              <w:pStyle w:val="Tabell"/>
              <w:spacing w:before="40" w:after="40"/>
              <w:jc w:val="center"/>
            </w:pPr>
            <w:r w:rsidRPr="001E42CA">
              <w:t xml:space="preserve">    8</w:t>
            </w:r>
          </w:p>
        </w:tc>
        <w:tc>
          <w:tcPr>
            <w:tcW w:w="907" w:type="dxa"/>
          </w:tcPr>
          <w:p w:rsidR="00DC1575" w:rsidRPr="001E42CA" w:rsidRDefault="00DC1575">
            <w:pPr>
              <w:pStyle w:val="Tabell"/>
              <w:spacing w:before="40" w:after="40"/>
              <w:jc w:val="center"/>
            </w:pPr>
            <w:r w:rsidRPr="001E42CA">
              <w:t xml:space="preserve">    7,5</w:t>
            </w:r>
          </w:p>
        </w:tc>
        <w:tc>
          <w:tcPr>
            <w:tcW w:w="907" w:type="dxa"/>
          </w:tcPr>
          <w:p w:rsidR="00DC1575" w:rsidRPr="001E42CA" w:rsidRDefault="00DC1575">
            <w:pPr>
              <w:pStyle w:val="Tabell"/>
              <w:spacing w:before="40" w:after="40"/>
              <w:jc w:val="center"/>
            </w:pPr>
            <w:r w:rsidRPr="001E42CA">
              <w:t>53,3</w:t>
            </w:r>
          </w:p>
        </w:tc>
        <w:tc>
          <w:tcPr>
            <w:tcW w:w="907" w:type="dxa"/>
          </w:tcPr>
          <w:p w:rsidR="00DC1575" w:rsidRPr="001E42CA" w:rsidRDefault="00DC1575">
            <w:pPr>
              <w:pStyle w:val="Tabell"/>
              <w:spacing w:before="40" w:after="40"/>
              <w:jc w:val="center"/>
            </w:pPr>
            <w:r w:rsidRPr="001E42CA">
              <w:t xml:space="preserve">    3,9</w:t>
            </w:r>
          </w:p>
        </w:tc>
        <w:tc>
          <w:tcPr>
            <w:tcW w:w="908" w:type="dxa"/>
          </w:tcPr>
          <w:p w:rsidR="00DC1575" w:rsidRPr="001E42CA" w:rsidRDefault="00DC1575">
            <w:pPr>
              <w:pStyle w:val="Tabell"/>
              <w:spacing w:before="40" w:after="40"/>
              <w:jc w:val="center"/>
            </w:pPr>
            <w:r w:rsidRPr="001E42CA">
              <w:t xml:space="preserve">  322</w:t>
            </w:r>
          </w:p>
        </w:tc>
      </w:tr>
      <w:tr w:rsidR="00000000" w:rsidRPr="001E42CA">
        <w:tblPrEx>
          <w:tblCellMar>
            <w:top w:w="0" w:type="dxa"/>
            <w:bottom w:w="0" w:type="dxa"/>
          </w:tblCellMar>
        </w:tblPrEx>
        <w:tc>
          <w:tcPr>
            <w:tcW w:w="1488" w:type="dxa"/>
          </w:tcPr>
          <w:p w:rsidR="00DC1575" w:rsidRPr="001E42CA" w:rsidRDefault="00DC1575">
            <w:pPr>
              <w:pStyle w:val="Tabell"/>
              <w:spacing w:before="40" w:after="40"/>
              <w:jc w:val="left"/>
            </w:pPr>
            <w:r w:rsidRPr="001E42CA">
              <w:t>Norrbotten</w:t>
            </w:r>
          </w:p>
        </w:tc>
        <w:tc>
          <w:tcPr>
            <w:tcW w:w="907" w:type="dxa"/>
          </w:tcPr>
          <w:p w:rsidR="00DC1575" w:rsidRPr="001E42CA" w:rsidRDefault="00DC1575">
            <w:pPr>
              <w:pStyle w:val="Tabell"/>
              <w:spacing w:before="40" w:after="40"/>
              <w:jc w:val="center"/>
            </w:pPr>
            <w:r w:rsidRPr="001E42CA">
              <w:t xml:space="preserve">  10</w:t>
            </w:r>
          </w:p>
        </w:tc>
        <w:tc>
          <w:tcPr>
            <w:tcW w:w="907" w:type="dxa"/>
          </w:tcPr>
          <w:p w:rsidR="00DC1575" w:rsidRPr="001E42CA" w:rsidRDefault="00DC1575">
            <w:pPr>
              <w:pStyle w:val="Tabell"/>
              <w:spacing w:before="40" w:after="40"/>
              <w:jc w:val="center"/>
            </w:pPr>
            <w:r w:rsidRPr="001E42CA">
              <w:t xml:space="preserve">    9,3</w:t>
            </w:r>
          </w:p>
        </w:tc>
        <w:tc>
          <w:tcPr>
            <w:tcW w:w="907" w:type="dxa"/>
          </w:tcPr>
          <w:p w:rsidR="00DC1575" w:rsidRPr="001E42CA" w:rsidRDefault="00DC1575">
            <w:pPr>
              <w:pStyle w:val="Tabell"/>
              <w:spacing w:before="40" w:after="40"/>
              <w:jc w:val="center"/>
            </w:pPr>
            <w:r w:rsidRPr="001E42CA">
              <w:t>71,4</w:t>
            </w:r>
          </w:p>
        </w:tc>
        <w:tc>
          <w:tcPr>
            <w:tcW w:w="907" w:type="dxa"/>
          </w:tcPr>
          <w:p w:rsidR="00DC1575" w:rsidRPr="001E42CA" w:rsidRDefault="00DC1575">
            <w:pPr>
              <w:pStyle w:val="Tabell"/>
              <w:spacing w:before="40" w:after="40"/>
              <w:jc w:val="center"/>
            </w:pPr>
            <w:r w:rsidRPr="001E42CA">
              <w:t xml:space="preserve">  16,0</w:t>
            </w:r>
          </w:p>
        </w:tc>
        <w:tc>
          <w:tcPr>
            <w:tcW w:w="908" w:type="dxa"/>
          </w:tcPr>
          <w:p w:rsidR="00DC1575" w:rsidRPr="001E42CA" w:rsidRDefault="00DC1575">
            <w:pPr>
              <w:pStyle w:val="Tabell"/>
              <w:spacing w:before="40" w:after="40"/>
              <w:jc w:val="center"/>
            </w:pPr>
            <w:r w:rsidRPr="001E42CA">
              <w:t>1310</w:t>
            </w:r>
          </w:p>
        </w:tc>
      </w:tr>
      <w:tr w:rsidR="00000000" w:rsidRPr="001E42CA">
        <w:tblPrEx>
          <w:tblCellMar>
            <w:top w:w="0" w:type="dxa"/>
            <w:bottom w:w="0" w:type="dxa"/>
          </w:tblCellMar>
        </w:tblPrEx>
        <w:tc>
          <w:tcPr>
            <w:tcW w:w="1488" w:type="dxa"/>
            <w:tcBorders>
              <w:bottom w:val="single" w:sz="4" w:space="0" w:color="auto"/>
            </w:tcBorders>
          </w:tcPr>
          <w:p w:rsidR="00DC1575" w:rsidRPr="001E42CA" w:rsidRDefault="00DC1575">
            <w:pPr>
              <w:pStyle w:val="Tabell"/>
              <w:spacing w:before="40" w:after="40"/>
              <w:jc w:val="left"/>
            </w:pPr>
            <w:r w:rsidRPr="001E42CA">
              <w:t>Summa</w:t>
            </w:r>
          </w:p>
        </w:tc>
        <w:tc>
          <w:tcPr>
            <w:tcW w:w="907" w:type="dxa"/>
            <w:tcBorders>
              <w:bottom w:val="single" w:sz="4" w:space="0" w:color="auto"/>
            </w:tcBorders>
          </w:tcPr>
          <w:p w:rsidR="00DC1575" w:rsidRPr="001E42CA" w:rsidRDefault="00DC1575">
            <w:pPr>
              <w:pStyle w:val="Tabell"/>
              <w:spacing w:before="40" w:after="40"/>
              <w:jc w:val="center"/>
            </w:pPr>
            <w:r w:rsidRPr="001E42CA">
              <w:t>107</w:t>
            </w:r>
          </w:p>
        </w:tc>
        <w:tc>
          <w:tcPr>
            <w:tcW w:w="907" w:type="dxa"/>
            <w:tcBorders>
              <w:bottom w:val="single" w:sz="4" w:space="0" w:color="auto"/>
            </w:tcBorders>
          </w:tcPr>
          <w:p w:rsidR="00DC1575" w:rsidRPr="001E42CA" w:rsidRDefault="00DC1575">
            <w:pPr>
              <w:pStyle w:val="Tabell"/>
              <w:spacing w:before="40" w:after="40"/>
              <w:jc w:val="center"/>
            </w:pPr>
            <w:r w:rsidRPr="001E42CA">
              <w:t>100,0</w:t>
            </w:r>
          </w:p>
        </w:tc>
        <w:tc>
          <w:tcPr>
            <w:tcW w:w="907" w:type="dxa"/>
            <w:tcBorders>
              <w:bottom w:val="single" w:sz="4" w:space="0" w:color="auto"/>
            </w:tcBorders>
          </w:tcPr>
          <w:p w:rsidR="00DC1575" w:rsidRPr="001E42CA" w:rsidRDefault="00DC1575">
            <w:pPr>
              <w:pStyle w:val="Tabell"/>
              <w:spacing w:before="40" w:after="40"/>
              <w:jc w:val="center"/>
            </w:pPr>
            <w:r w:rsidRPr="001E42CA">
              <w:t>-</w:t>
            </w:r>
          </w:p>
        </w:tc>
        <w:tc>
          <w:tcPr>
            <w:tcW w:w="907" w:type="dxa"/>
            <w:tcBorders>
              <w:bottom w:val="single" w:sz="4" w:space="0" w:color="auto"/>
            </w:tcBorders>
          </w:tcPr>
          <w:p w:rsidR="00DC1575" w:rsidRPr="001E42CA" w:rsidRDefault="00DC1575">
            <w:pPr>
              <w:pStyle w:val="Tabell"/>
              <w:spacing w:before="40" w:after="40"/>
              <w:jc w:val="center"/>
            </w:pPr>
            <w:r w:rsidRPr="001E42CA">
              <w:t>100,0</w:t>
            </w:r>
          </w:p>
        </w:tc>
        <w:tc>
          <w:tcPr>
            <w:tcW w:w="908" w:type="dxa"/>
            <w:tcBorders>
              <w:bottom w:val="single" w:sz="4" w:space="0" w:color="auto"/>
            </w:tcBorders>
          </w:tcPr>
          <w:p w:rsidR="00DC1575" w:rsidRPr="001E42CA" w:rsidRDefault="00DC1575">
            <w:pPr>
              <w:pStyle w:val="Tabell"/>
              <w:spacing w:before="40" w:after="40"/>
              <w:jc w:val="center"/>
            </w:pPr>
            <w:r w:rsidRPr="001E42CA">
              <w:t>-</w:t>
            </w:r>
          </w:p>
        </w:tc>
      </w:tr>
    </w:tbl>
    <w:p w:rsidR="00DC1575" w:rsidRPr="001E42CA" w:rsidRDefault="00DC1575">
      <w:pPr>
        <w:pStyle w:val="Normaltindrag"/>
      </w:pPr>
    </w:p>
    <w:p w:rsidR="00DC1575" w:rsidRPr="001E42CA" w:rsidRDefault="00DC1575">
      <w:r w:rsidRPr="001E42CA">
        <w:t>Det är också möjligt att dela upp kommunerna efter kommungruppskod. Den baseras på folkmängd, läge, tätortsgrad, invånare per km och näringsstruktur. Som framgår av Tabell 4.4 avviker de sökande kommunerna även här från kommunsektorn som helhet. Den största gruppen är industrikommuner. Andra stora grupper är övriga mindre kommuner och glesbygdskommuner.</w:t>
      </w:r>
    </w:p>
    <w:p w:rsidR="00DC1575" w:rsidRPr="001E42CA" w:rsidRDefault="00DC1575">
      <w:pPr>
        <w:pStyle w:val="Normaltindrag"/>
      </w:pPr>
      <w:r w:rsidRPr="001E42CA">
        <w:t>Närmare 70 procent av stödet har gått till dessa tre kommungrupper. Även medelstora städer och övriga större kommuner har fått en förhållandevis stor del av stödet. Landsbygdskommuner</w:t>
      </w:r>
      <w:r w:rsidRPr="001E42CA">
        <w:rPr>
          <w:rStyle w:val="Fotnotsreferens"/>
        </w:rPr>
        <w:footnoteReference w:id="12"/>
      </w:r>
      <w:r w:rsidRPr="001E42CA">
        <w:t xml:space="preserve"> är däremot klart underrepresenterade. </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Tabellrubrik"/>
      </w:pPr>
      <w:r w:rsidRPr="001E42CA">
        <w:t>Tabell 4.4 Kommuner fördelade efter kommungruppskod</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12"/>
        <w:gridCol w:w="1337"/>
        <w:gridCol w:w="1337"/>
        <w:gridCol w:w="1338"/>
      </w:tblGrid>
      <w:tr w:rsidR="00000000" w:rsidRPr="001E42CA">
        <w:tblPrEx>
          <w:tblCellMar>
            <w:top w:w="0" w:type="dxa"/>
            <w:bottom w:w="0" w:type="dxa"/>
          </w:tblCellMar>
        </w:tblPrEx>
        <w:tc>
          <w:tcPr>
            <w:tcW w:w="2012" w:type="dxa"/>
            <w:tcBorders>
              <w:top w:val="single" w:sz="4" w:space="0" w:color="auto"/>
              <w:bottom w:val="single" w:sz="4" w:space="0" w:color="auto"/>
            </w:tcBorders>
          </w:tcPr>
          <w:p w:rsidR="00DC1575" w:rsidRPr="001E42CA" w:rsidRDefault="00DC1575">
            <w:pPr>
              <w:pStyle w:val="Tabell"/>
              <w:spacing w:before="40" w:after="40"/>
            </w:pPr>
          </w:p>
        </w:tc>
        <w:tc>
          <w:tcPr>
            <w:tcW w:w="1337" w:type="dxa"/>
            <w:tcBorders>
              <w:top w:val="single" w:sz="4" w:space="0" w:color="auto"/>
              <w:bottom w:val="single" w:sz="4" w:space="0" w:color="auto"/>
            </w:tcBorders>
          </w:tcPr>
          <w:p w:rsidR="00DC1575" w:rsidRPr="001E42CA" w:rsidRDefault="00DC1575">
            <w:pPr>
              <w:pStyle w:val="Tabell"/>
              <w:spacing w:before="40" w:after="40"/>
              <w:jc w:val="center"/>
            </w:pPr>
            <w:r w:rsidRPr="001E42CA">
              <w:t>Kommu</w:t>
            </w:r>
            <w:r w:rsidRPr="001E42CA">
              <w:t>n</w:t>
            </w:r>
            <w:r w:rsidRPr="001E42CA">
              <w:t>sektorn</w:t>
            </w:r>
          </w:p>
        </w:tc>
        <w:tc>
          <w:tcPr>
            <w:tcW w:w="1337" w:type="dxa"/>
            <w:tcBorders>
              <w:top w:val="single" w:sz="4" w:space="0" w:color="auto"/>
              <w:bottom w:val="single" w:sz="4" w:space="0" w:color="auto"/>
            </w:tcBorders>
          </w:tcPr>
          <w:p w:rsidR="00DC1575" w:rsidRPr="001E42CA" w:rsidRDefault="00DC1575">
            <w:pPr>
              <w:pStyle w:val="Tabell"/>
              <w:spacing w:before="40" w:after="40"/>
              <w:jc w:val="center"/>
            </w:pPr>
            <w:r w:rsidRPr="001E42CA">
              <w:t>Samtliga söka</w:t>
            </w:r>
            <w:r w:rsidRPr="001E42CA">
              <w:t>n</w:t>
            </w:r>
            <w:r w:rsidRPr="001E42CA">
              <w:t>de kommuner</w:t>
            </w:r>
          </w:p>
        </w:tc>
        <w:tc>
          <w:tcPr>
            <w:tcW w:w="1338" w:type="dxa"/>
            <w:tcBorders>
              <w:top w:val="single" w:sz="4" w:space="0" w:color="auto"/>
              <w:bottom w:val="single" w:sz="4" w:space="0" w:color="auto"/>
            </w:tcBorders>
          </w:tcPr>
          <w:p w:rsidR="00DC1575" w:rsidRPr="001E42CA" w:rsidRDefault="00DC1575">
            <w:pPr>
              <w:pStyle w:val="Tabell"/>
              <w:spacing w:before="40" w:after="40"/>
              <w:jc w:val="center"/>
            </w:pPr>
            <w:r w:rsidRPr="001E42CA">
              <w:t>Andel av stödet</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Storstad</w:t>
            </w:r>
          </w:p>
        </w:tc>
        <w:tc>
          <w:tcPr>
            <w:tcW w:w="1337" w:type="dxa"/>
          </w:tcPr>
          <w:p w:rsidR="00DC1575" w:rsidRPr="001E42CA" w:rsidRDefault="00DC1575">
            <w:pPr>
              <w:pStyle w:val="Tabell"/>
              <w:spacing w:before="40" w:after="40"/>
              <w:jc w:val="center"/>
            </w:pPr>
            <w:r w:rsidRPr="001E42CA">
              <w:t xml:space="preserve">    1,0</w:t>
            </w:r>
          </w:p>
        </w:tc>
        <w:tc>
          <w:tcPr>
            <w:tcW w:w="1337" w:type="dxa"/>
          </w:tcPr>
          <w:p w:rsidR="00DC1575" w:rsidRPr="001E42CA" w:rsidRDefault="00DC1575">
            <w:pPr>
              <w:pStyle w:val="Tabell"/>
              <w:spacing w:before="40" w:after="40"/>
              <w:jc w:val="center"/>
            </w:pPr>
            <w:r w:rsidRPr="001E42CA">
              <w:t xml:space="preserve">    0,0</w:t>
            </w:r>
          </w:p>
        </w:tc>
        <w:tc>
          <w:tcPr>
            <w:tcW w:w="1338" w:type="dxa"/>
          </w:tcPr>
          <w:p w:rsidR="00DC1575" w:rsidRPr="001E42CA" w:rsidRDefault="00DC1575">
            <w:pPr>
              <w:pStyle w:val="Tabell"/>
              <w:spacing w:before="40" w:after="40"/>
              <w:jc w:val="center"/>
            </w:pPr>
            <w:r w:rsidRPr="001E42CA">
              <w:t xml:space="preserve">    0,0</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Förortskommun</w:t>
            </w:r>
          </w:p>
        </w:tc>
        <w:tc>
          <w:tcPr>
            <w:tcW w:w="1337" w:type="dxa"/>
          </w:tcPr>
          <w:p w:rsidR="00DC1575" w:rsidRPr="001E42CA" w:rsidRDefault="00DC1575">
            <w:pPr>
              <w:pStyle w:val="Tabell"/>
              <w:spacing w:before="40" w:after="40"/>
              <w:jc w:val="center"/>
            </w:pPr>
            <w:r w:rsidRPr="001E42CA">
              <w:t xml:space="preserve">  12,6</w:t>
            </w:r>
          </w:p>
        </w:tc>
        <w:tc>
          <w:tcPr>
            <w:tcW w:w="1337" w:type="dxa"/>
          </w:tcPr>
          <w:p w:rsidR="00DC1575" w:rsidRPr="001E42CA" w:rsidRDefault="00DC1575">
            <w:pPr>
              <w:pStyle w:val="Tabell"/>
              <w:spacing w:before="40" w:after="40"/>
              <w:jc w:val="center"/>
            </w:pPr>
            <w:r w:rsidRPr="001E42CA">
              <w:t xml:space="preserve">    2,8</w:t>
            </w:r>
          </w:p>
        </w:tc>
        <w:tc>
          <w:tcPr>
            <w:tcW w:w="1338" w:type="dxa"/>
          </w:tcPr>
          <w:p w:rsidR="00DC1575" w:rsidRPr="001E42CA" w:rsidRDefault="00DC1575">
            <w:pPr>
              <w:pStyle w:val="Tabell"/>
              <w:spacing w:before="40" w:after="40"/>
              <w:jc w:val="center"/>
            </w:pPr>
            <w:r w:rsidRPr="001E42CA">
              <w:t xml:space="preserve">    0,4</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Större stad</w:t>
            </w:r>
          </w:p>
        </w:tc>
        <w:tc>
          <w:tcPr>
            <w:tcW w:w="1337" w:type="dxa"/>
          </w:tcPr>
          <w:p w:rsidR="00DC1575" w:rsidRPr="001E42CA" w:rsidRDefault="00DC1575">
            <w:pPr>
              <w:pStyle w:val="Tabell"/>
              <w:spacing w:before="40" w:after="40"/>
              <w:jc w:val="center"/>
            </w:pPr>
            <w:r w:rsidRPr="001E42CA">
              <w:t xml:space="preserve">    9,0</w:t>
            </w:r>
          </w:p>
        </w:tc>
        <w:tc>
          <w:tcPr>
            <w:tcW w:w="1337" w:type="dxa"/>
          </w:tcPr>
          <w:p w:rsidR="00DC1575" w:rsidRPr="001E42CA" w:rsidRDefault="00DC1575">
            <w:pPr>
              <w:pStyle w:val="Tabell"/>
              <w:spacing w:before="40" w:after="40"/>
              <w:jc w:val="center"/>
            </w:pPr>
            <w:r w:rsidRPr="001E42CA">
              <w:t xml:space="preserve">    1,9</w:t>
            </w:r>
          </w:p>
        </w:tc>
        <w:tc>
          <w:tcPr>
            <w:tcW w:w="1338" w:type="dxa"/>
          </w:tcPr>
          <w:p w:rsidR="00DC1575" w:rsidRPr="001E42CA" w:rsidRDefault="00DC1575">
            <w:pPr>
              <w:pStyle w:val="Tabell"/>
              <w:spacing w:before="40" w:after="40"/>
              <w:jc w:val="center"/>
            </w:pPr>
            <w:r w:rsidRPr="001E42CA">
              <w:t xml:space="preserve">    0,0</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Medelstor stad</w:t>
            </w:r>
          </w:p>
        </w:tc>
        <w:tc>
          <w:tcPr>
            <w:tcW w:w="1337" w:type="dxa"/>
          </w:tcPr>
          <w:p w:rsidR="00DC1575" w:rsidRPr="001E42CA" w:rsidRDefault="00DC1575">
            <w:pPr>
              <w:pStyle w:val="Tabell"/>
              <w:spacing w:before="40" w:after="40"/>
              <w:jc w:val="center"/>
            </w:pPr>
            <w:r w:rsidRPr="001E42CA">
              <w:t xml:space="preserve">  13,8</w:t>
            </w:r>
          </w:p>
        </w:tc>
        <w:tc>
          <w:tcPr>
            <w:tcW w:w="1337" w:type="dxa"/>
          </w:tcPr>
          <w:p w:rsidR="00DC1575" w:rsidRPr="001E42CA" w:rsidRDefault="00DC1575">
            <w:pPr>
              <w:pStyle w:val="Tabell"/>
              <w:spacing w:before="40" w:after="40"/>
              <w:jc w:val="center"/>
            </w:pPr>
            <w:r w:rsidRPr="001E42CA">
              <w:t xml:space="preserve">    9,3</w:t>
            </w:r>
          </w:p>
        </w:tc>
        <w:tc>
          <w:tcPr>
            <w:tcW w:w="1338" w:type="dxa"/>
          </w:tcPr>
          <w:p w:rsidR="00DC1575" w:rsidRPr="001E42CA" w:rsidRDefault="00DC1575">
            <w:pPr>
              <w:pStyle w:val="Tabell"/>
              <w:spacing w:before="40" w:after="40"/>
              <w:jc w:val="center"/>
            </w:pPr>
            <w:r w:rsidRPr="001E42CA">
              <w:t xml:space="preserve">  14,1</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Industrikommun</w:t>
            </w:r>
          </w:p>
        </w:tc>
        <w:tc>
          <w:tcPr>
            <w:tcW w:w="1337" w:type="dxa"/>
          </w:tcPr>
          <w:p w:rsidR="00DC1575" w:rsidRPr="001E42CA" w:rsidRDefault="00DC1575">
            <w:pPr>
              <w:pStyle w:val="Tabell"/>
              <w:spacing w:before="40" w:after="40"/>
              <w:jc w:val="center"/>
            </w:pPr>
            <w:r w:rsidRPr="001E42CA">
              <w:t xml:space="preserve">  18,3</w:t>
            </w:r>
          </w:p>
        </w:tc>
        <w:tc>
          <w:tcPr>
            <w:tcW w:w="1337" w:type="dxa"/>
          </w:tcPr>
          <w:p w:rsidR="00DC1575" w:rsidRPr="001E42CA" w:rsidRDefault="00DC1575">
            <w:pPr>
              <w:pStyle w:val="Tabell"/>
              <w:spacing w:before="40" w:after="40"/>
              <w:jc w:val="center"/>
            </w:pPr>
            <w:r w:rsidRPr="001E42CA">
              <w:t xml:space="preserve">  28,0</w:t>
            </w:r>
          </w:p>
        </w:tc>
        <w:tc>
          <w:tcPr>
            <w:tcW w:w="1338" w:type="dxa"/>
          </w:tcPr>
          <w:p w:rsidR="00DC1575" w:rsidRPr="001E42CA" w:rsidRDefault="00DC1575">
            <w:pPr>
              <w:pStyle w:val="Tabell"/>
              <w:spacing w:before="40" w:after="40"/>
              <w:jc w:val="center"/>
            </w:pPr>
            <w:r w:rsidRPr="001E42CA">
              <w:t xml:space="preserve">  31,2</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Landsbygdskommun</w:t>
            </w:r>
          </w:p>
        </w:tc>
        <w:tc>
          <w:tcPr>
            <w:tcW w:w="1337" w:type="dxa"/>
          </w:tcPr>
          <w:p w:rsidR="00DC1575" w:rsidRPr="001E42CA" w:rsidRDefault="00DC1575">
            <w:pPr>
              <w:pStyle w:val="Tabell"/>
              <w:spacing w:before="40" w:after="40"/>
              <w:jc w:val="center"/>
            </w:pPr>
            <w:r w:rsidRPr="001E42CA">
              <w:t xml:space="preserve">  10,4</w:t>
            </w:r>
          </w:p>
        </w:tc>
        <w:tc>
          <w:tcPr>
            <w:tcW w:w="1337" w:type="dxa"/>
          </w:tcPr>
          <w:p w:rsidR="00DC1575" w:rsidRPr="001E42CA" w:rsidRDefault="00DC1575">
            <w:pPr>
              <w:pStyle w:val="Tabell"/>
              <w:spacing w:before="40" w:after="40"/>
              <w:jc w:val="center"/>
            </w:pPr>
            <w:r w:rsidRPr="001E42CA">
              <w:t xml:space="preserve">  11,2</w:t>
            </w:r>
          </w:p>
        </w:tc>
        <w:tc>
          <w:tcPr>
            <w:tcW w:w="1338" w:type="dxa"/>
          </w:tcPr>
          <w:p w:rsidR="00DC1575" w:rsidRPr="001E42CA" w:rsidRDefault="00DC1575">
            <w:pPr>
              <w:pStyle w:val="Tabell"/>
              <w:spacing w:before="40" w:after="40"/>
              <w:jc w:val="center"/>
            </w:pPr>
            <w:r w:rsidRPr="001E42CA">
              <w:t xml:space="preserve">    1,4</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Glesbygdskommun</w:t>
            </w:r>
          </w:p>
        </w:tc>
        <w:tc>
          <w:tcPr>
            <w:tcW w:w="1337" w:type="dxa"/>
          </w:tcPr>
          <w:p w:rsidR="00DC1575" w:rsidRPr="001E42CA" w:rsidRDefault="00DC1575">
            <w:pPr>
              <w:pStyle w:val="Tabell"/>
              <w:spacing w:before="40" w:after="40"/>
              <w:jc w:val="center"/>
            </w:pPr>
            <w:r w:rsidRPr="001E42CA">
              <w:t xml:space="preserve">  10,0</w:t>
            </w:r>
          </w:p>
        </w:tc>
        <w:tc>
          <w:tcPr>
            <w:tcW w:w="1337" w:type="dxa"/>
          </w:tcPr>
          <w:p w:rsidR="00DC1575" w:rsidRPr="001E42CA" w:rsidRDefault="00DC1575">
            <w:pPr>
              <w:pStyle w:val="Tabell"/>
              <w:spacing w:before="40" w:after="40"/>
              <w:jc w:val="center"/>
            </w:pPr>
            <w:r w:rsidRPr="001E42CA">
              <w:t xml:space="preserve">  15,9</w:t>
            </w:r>
          </w:p>
        </w:tc>
        <w:tc>
          <w:tcPr>
            <w:tcW w:w="1338" w:type="dxa"/>
          </w:tcPr>
          <w:p w:rsidR="00DC1575" w:rsidRPr="001E42CA" w:rsidRDefault="00DC1575">
            <w:pPr>
              <w:pStyle w:val="Tabell"/>
              <w:spacing w:before="40" w:after="40"/>
              <w:jc w:val="center"/>
            </w:pPr>
            <w:r w:rsidRPr="001E42CA">
              <w:t xml:space="preserve">  16,5</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Övrig större kommun</w:t>
            </w:r>
          </w:p>
        </w:tc>
        <w:tc>
          <w:tcPr>
            <w:tcW w:w="1337" w:type="dxa"/>
          </w:tcPr>
          <w:p w:rsidR="00DC1575" w:rsidRPr="001E42CA" w:rsidRDefault="00DC1575">
            <w:pPr>
              <w:pStyle w:val="Tabell"/>
              <w:spacing w:before="40" w:after="40"/>
              <w:jc w:val="center"/>
            </w:pPr>
            <w:r w:rsidRPr="001E42CA">
              <w:t xml:space="preserve">  10,7</w:t>
            </w:r>
          </w:p>
        </w:tc>
        <w:tc>
          <w:tcPr>
            <w:tcW w:w="1337" w:type="dxa"/>
          </w:tcPr>
          <w:p w:rsidR="00DC1575" w:rsidRPr="001E42CA" w:rsidRDefault="00DC1575">
            <w:pPr>
              <w:pStyle w:val="Tabell"/>
              <w:spacing w:before="40" w:after="40"/>
              <w:jc w:val="center"/>
            </w:pPr>
            <w:r w:rsidRPr="001E42CA">
              <w:t xml:space="preserve">    7,5</w:t>
            </w:r>
          </w:p>
        </w:tc>
        <w:tc>
          <w:tcPr>
            <w:tcW w:w="1338" w:type="dxa"/>
          </w:tcPr>
          <w:p w:rsidR="00DC1575" w:rsidRPr="001E42CA" w:rsidRDefault="00DC1575">
            <w:pPr>
              <w:pStyle w:val="Tabell"/>
              <w:spacing w:before="40" w:after="40"/>
              <w:jc w:val="center"/>
            </w:pPr>
            <w:r w:rsidRPr="001E42CA">
              <w:t xml:space="preserve">  15,2</w:t>
            </w:r>
          </w:p>
        </w:tc>
      </w:tr>
      <w:tr w:rsidR="00000000" w:rsidRPr="001E42CA">
        <w:tblPrEx>
          <w:tblCellMar>
            <w:top w:w="0" w:type="dxa"/>
            <w:bottom w:w="0" w:type="dxa"/>
          </w:tblCellMar>
        </w:tblPrEx>
        <w:tc>
          <w:tcPr>
            <w:tcW w:w="2012" w:type="dxa"/>
          </w:tcPr>
          <w:p w:rsidR="00DC1575" w:rsidRPr="001E42CA" w:rsidRDefault="00DC1575">
            <w:pPr>
              <w:pStyle w:val="Tabell"/>
              <w:spacing w:before="40" w:after="40"/>
            </w:pPr>
            <w:r w:rsidRPr="001E42CA">
              <w:t>Övrig mindre kommun</w:t>
            </w:r>
          </w:p>
        </w:tc>
        <w:tc>
          <w:tcPr>
            <w:tcW w:w="1337" w:type="dxa"/>
          </w:tcPr>
          <w:p w:rsidR="00DC1575" w:rsidRPr="001E42CA" w:rsidRDefault="00DC1575">
            <w:pPr>
              <w:pStyle w:val="Tabell"/>
              <w:spacing w:before="40" w:after="40"/>
              <w:jc w:val="center"/>
            </w:pPr>
            <w:r w:rsidRPr="001E42CA">
              <w:t xml:space="preserve">  14,2</w:t>
            </w:r>
          </w:p>
        </w:tc>
        <w:tc>
          <w:tcPr>
            <w:tcW w:w="1337" w:type="dxa"/>
          </w:tcPr>
          <w:p w:rsidR="00DC1575" w:rsidRPr="001E42CA" w:rsidRDefault="00DC1575">
            <w:pPr>
              <w:pStyle w:val="Tabell"/>
              <w:spacing w:before="40" w:after="40"/>
              <w:jc w:val="center"/>
            </w:pPr>
            <w:r w:rsidRPr="001E42CA">
              <w:t xml:space="preserve">  23,4</w:t>
            </w:r>
          </w:p>
        </w:tc>
        <w:tc>
          <w:tcPr>
            <w:tcW w:w="1338" w:type="dxa"/>
          </w:tcPr>
          <w:p w:rsidR="00DC1575" w:rsidRPr="001E42CA" w:rsidRDefault="00DC1575">
            <w:pPr>
              <w:pStyle w:val="Tabell"/>
              <w:spacing w:before="40" w:after="40"/>
              <w:jc w:val="center"/>
            </w:pPr>
            <w:r w:rsidRPr="001E42CA">
              <w:t xml:space="preserve">  21,2</w:t>
            </w:r>
          </w:p>
        </w:tc>
      </w:tr>
      <w:tr w:rsidR="00000000" w:rsidRPr="001E42CA">
        <w:tblPrEx>
          <w:tblCellMar>
            <w:top w:w="0" w:type="dxa"/>
            <w:bottom w:w="0" w:type="dxa"/>
          </w:tblCellMar>
        </w:tblPrEx>
        <w:tc>
          <w:tcPr>
            <w:tcW w:w="2012" w:type="dxa"/>
            <w:tcBorders>
              <w:bottom w:val="single" w:sz="4" w:space="0" w:color="auto"/>
            </w:tcBorders>
          </w:tcPr>
          <w:p w:rsidR="00DC1575" w:rsidRPr="001E42CA" w:rsidRDefault="00DC1575">
            <w:pPr>
              <w:pStyle w:val="Tabell"/>
              <w:spacing w:before="40" w:after="40"/>
            </w:pPr>
            <w:r w:rsidRPr="001E42CA">
              <w:t>Summa</w:t>
            </w:r>
          </w:p>
        </w:tc>
        <w:tc>
          <w:tcPr>
            <w:tcW w:w="1337" w:type="dxa"/>
            <w:tcBorders>
              <w:bottom w:val="single" w:sz="4" w:space="0" w:color="auto"/>
            </w:tcBorders>
          </w:tcPr>
          <w:p w:rsidR="00DC1575" w:rsidRPr="001E42CA" w:rsidRDefault="00DC1575">
            <w:pPr>
              <w:pStyle w:val="Tabell"/>
              <w:spacing w:before="40" w:after="40"/>
              <w:jc w:val="center"/>
            </w:pPr>
            <w:r w:rsidRPr="001E42CA">
              <w:t>100,0</w:t>
            </w:r>
          </w:p>
        </w:tc>
        <w:tc>
          <w:tcPr>
            <w:tcW w:w="1337" w:type="dxa"/>
            <w:tcBorders>
              <w:bottom w:val="single" w:sz="4" w:space="0" w:color="auto"/>
            </w:tcBorders>
          </w:tcPr>
          <w:p w:rsidR="00DC1575" w:rsidRPr="001E42CA" w:rsidRDefault="00DC1575">
            <w:pPr>
              <w:pStyle w:val="Tabell"/>
              <w:spacing w:before="40" w:after="40"/>
              <w:jc w:val="center"/>
            </w:pPr>
            <w:r w:rsidRPr="001E42CA">
              <w:t>100,0</w:t>
            </w:r>
          </w:p>
        </w:tc>
        <w:tc>
          <w:tcPr>
            <w:tcW w:w="1338" w:type="dxa"/>
            <w:tcBorders>
              <w:bottom w:val="single" w:sz="4" w:space="0" w:color="auto"/>
            </w:tcBorders>
          </w:tcPr>
          <w:p w:rsidR="00DC1575" w:rsidRPr="001E42CA" w:rsidRDefault="00DC1575">
            <w:pPr>
              <w:pStyle w:val="Tabell"/>
              <w:spacing w:before="40" w:after="40"/>
              <w:jc w:val="center"/>
            </w:pPr>
            <w:r w:rsidRPr="001E42CA">
              <w:t>100,0</w:t>
            </w:r>
          </w:p>
        </w:tc>
      </w:tr>
    </w:tbl>
    <w:p w:rsidR="00DC1575" w:rsidRPr="001E42CA" w:rsidRDefault="00DC1575">
      <w:pPr>
        <w:pStyle w:val="R3"/>
      </w:pPr>
      <w:r w:rsidRPr="001E42CA">
        <w:t>Skatteunderlag, befolkningsförändringar m.m.</w:t>
      </w:r>
    </w:p>
    <w:p w:rsidR="00DC1575" w:rsidRPr="001E42CA" w:rsidRDefault="00DC1575">
      <w:r w:rsidRPr="001E42CA">
        <w:t>Kommuner som sökt stöd har i huvudsak lägre skatteunderlag, högre skatt</w:t>
      </w:r>
      <w:r w:rsidRPr="001E42CA">
        <w:t>e</w:t>
      </w:r>
      <w:r w:rsidRPr="001E42CA">
        <w:t>sats och högre arbetslöshet än genomsnittskommunen. Det finns dock bet</w:t>
      </w:r>
      <w:r w:rsidRPr="001E42CA">
        <w:t>y</w:t>
      </w:r>
      <w:r w:rsidRPr="001E42CA">
        <w:t xml:space="preserve">dande skillnader mellan kommuner som fått bifall och avslag. Kommuner som fått bifall av Bostadsdelegationen har ett lägre skatteunderlag än de som fått avslag, men samtidigt en högre skattesats. Bifallskommunerna har dock en högre arbetslöshet än avslagskommunerna. </w:t>
      </w:r>
    </w:p>
    <w:p w:rsidR="00DC1575" w:rsidRPr="001E42CA" w:rsidRDefault="00DC1575">
      <w:pPr>
        <w:pStyle w:val="Normaltindrag"/>
      </w:pPr>
      <w:r w:rsidRPr="001E42CA">
        <w:t>Regeringens beslut uppvisar i huvudsak samma mönster. De kommuner som fått avslag och inte överlämnats till någon delegation har dock högre skatteunderlag, lägre skattesats</w:t>
      </w:r>
      <w:r w:rsidRPr="001E42CA">
        <w:t xml:space="preserve"> och lägre arbetslöshet än övriga kommuner som fått bifall eller avslag.</w:t>
      </w:r>
    </w:p>
    <w:p w:rsidR="00DC1575" w:rsidRPr="001E42CA" w:rsidRDefault="00DC1575">
      <w:pPr>
        <w:pStyle w:val="Normaltindrag"/>
      </w:pPr>
      <w:r w:rsidRPr="001E42CA">
        <w:t>En viktig variabel är hur befolkningen utvecklats i de sökande kommune</w:t>
      </w:r>
      <w:r w:rsidRPr="001E42CA">
        <w:t>r</w:t>
      </w:r>
      <w:r w:rsidRPr="001E42CA">
        <w:t>na. Som framgår av Tabell 4.5 har befolkningen ökat svagt i riket mellan åren 1995 och 1999. Samtliga kommungrupper som ansökt om stöd uppvisar dock en negativ utveckling mellan 1995 och 1999 och kan därmed sägas uppfylla ett av de strukturella krav som regeringen ställt. Endast 5 kommuner uppv</w:t>
      </w:r>
      <w:r w:rsidRPr="001E42CA">
        <w:t>i</w:t>
      </w:r>
      <w:r w:rsidRPr="001E42CA">
        <w:t xml:space="preserve">sar en positiv befolkningsutveckling (varav en fått bifall). </w:t>
      </w:r>
    </w:p>
    <w:p w:rsidR="00DC1575" w:rsidRPr="001E42CA" w:rsidRDefault="00DC1575">
      <w:pPr>
        <w:pStyle w:val="Normaltindrag"/>
      </w:pPr>
      <w:r w:rsidRPr="001E42CA">
        <w:t>Det föreligger också relativt betydande skillnader mellan kommuner som fått bifall respektive avslag. Kommuner som fått bifall har en markant sämre befol</w:t>
      </w:r>
      <w:r w:rsidRPr="001E42CA">
        <w:t xml:space="preserve">kningsutveckling än de kommuner som fått avslag. Förhållandet gäller oberoende av vilket organ som handlagt ärendet. </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Tabellrubrik"/>
      </w:pPr>
      <w:r w:rsidRPr="001E42CA">
        <w:t>Tabell 4.5 Skatteunderlag, skattesats, arbetslöshet och befolkning</w:t>
      </w:r>
      <w:r w:rsidRPr="001E42CA">
        <w:t>s</w:t>
      </w:r>
      <w:r w:rsidRPr="001E42CA">
        <w:t>förändring</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956"/>
        <w:gridCol w:w="957"/>
        <w:gridCol w:w="957"/>
        <w:gridCol w:w="957"/>
      </w:tblGrid>
      <w:tr w:rsidR="00000000" w:rsidRPr="001E42CA">
        <w:tblPrEx>
          <w:tblCellMar>
            <w:top w:w="0" w:type="dxa"/>
            <w:bottom w:w="0" w:type="dxa"/>
          </w:tblCellMar>
        </w:tblPrEx>
        <w:tc>
          <w:tcPr>
            <w:tcW w:w="2197" w:type="dxa"/>
            <w:tcBorders>
              <w:top w:val="single" w:sz="4" w:space="0" w:color="auto"/>
              <w:bottom w:val="single" w:sz="4" w:space="0" w:color="auto"/>
            </w:tcBorders>
          </w:tcPr>
          <w:p w:rsidR="00DC1575" w:rsidRPr="001E42CA" w:rsidRDefault="00DC1575">
            <w:pPr>
              <w:pStyle w:val="Tabell"/>
              <w:spacing w:before="40" w:after="40"/>
              <w:jc w:val="left"/>
            </w:pPr>
          </w:p>
        </w:tc>
        <w:tc>
          <w:tcPr>
            <w:tcW w:w="956" w:type="dxa"/>
            <w:tcBorders>
              <w:top w:val="single" w:sz="4" w:space="0" w:color="auto"/>
              <w:bottom w:val="single" w:sz="4" w:space="0" w:color="auto"/>
            </w:tcBorders>
          </w:tcPr>
          <w:p w:rsidR="00DC1575" w:rsidRPr="001E42CA" w:rsidRDefault="00DC1575">
            <w:pPr>
              <w:pStyle w:val="Tabell"/>
              <w:spacing w:before="40" w:after="40"/>
              <w:jc w:val="center"/>
            </w:pPr>
            <w:r w:rsidRPr="001E42CA">
              <w:t>Skatteu</w:t>
            </w:r>
            <w:r w:rsidRPr="001E42CA">
              <w:t>n</w:t>
            </w:r>
            <w:r w:rsidRPr="001E42CA">
              <w:t>derlag (kronor per innevån</w:t>
            </w:r>
            <w:r w:rsidRPr="001E42CA">
              <w:t>a</w:t>
            </w:r>
            <w:r w:rsidRPr="001E42CA">
              <w:t>re)</w:t>
            </w:r>
          </w:p>
        </w:tc>
        <w:tc>
          <w:tcPr>
            <w:tcW w:w="957" w:type="dxa"/>
            <w:tcBorders>
              <w:top w:val="single" w:sz="4" w:space="0" w:color="auto"/>
              <w:bottom w:val="single" w:sz="4" w:space="0" w:color="auto"/>
            </w:tcBorders>
          </w:tcPr>
          <w:p w:rsidR="00DC1575" w:rsidRPr="001E42CA" w:rsidRDefault="00DC1575">
            <w:pPr>
              <w:pStyle w:val="Tabell"/>
              <w:spacing w:before="40" w:after="40"/>
              <w:jc w:val="center"/>
            </w:pPr>
            <w:r w:rsidRPr="001E42CA">
              <w:t>Skattesats (kronor)</w:t>
            </w:r>
          </w:p>
        </w:tc>
        <w:tc>
          <w:tcPr>
            <w:tcW w:w="957" w:type="dxa"/>
            <w:tcBorders>
              <w:top w:val="single" w:sz="4" w:space="0" w:color="auto"/>
              <w:bottom w:val="single" w:sz="4" w:space="0" w:color="auto"/>
            </w:tcBorders>
          </w:tcPr>
          <w:p w:rsidR="00DC1575" w:rsidRPr="001E42CA" w:rsidRDefault="00DC1575">
            <w:pPr>
              <w:pStyle w:val="Tabell"/>
              <w:spacing w:before="40" w:after="40"/>
              <w:jc w:val="center"/>
            </w:pPr>
            <w:r w:rsidRPr="001E42CA">
              <w:t>Arbetslö</w:t>
            </w:r>
            <w:r w:rsidRPr="001E42CA">
              <w:t>s</w:t>
            </w:r>
            <w:r w:rsidRPr="001E42CA">
              <w:t>het plus åtgärder (procent av befolkning 16-64 år)</w:t>
            </w:r>
          </w:p>
        </w:tc>
        <w:tc>
          <w:tcPr>
            <w:tcW w:w="957" w:type="dxa"/>
            <w:tcBorders>
              <w:top w:val="single" w:sz="4" w:space="0" w:color="auto"/>
              <w:bottom w:val="single" w:sz="4" w:space="0" w:color="auto"/>
            </w:tcBorders>
          </w:tcPr>
          <w:p w:rsidR="00DC1575" w:rsidRPr="001E42CA" w:rsidRDefault="00DC1575">
            <w:pPr>
              <w:pStyle w:val="Tabell"/>
              <w:spacing w:before="40" w:after="40"/>
              <w:jc w:val="center"/>
            </w:pPr>
            <w:r w:rsidRPr="001E42CA">
              <w:t>Befol</w:t>
            </w:r>
            <w:r w:rsidRPr="001E42CA">
              <w:t>k</w:t>
            </w:r>
            <w:r w:rsidRPr="001E42CA">
              <w:t>ning</w:t>
            </w:r>
            <w:r w:rsidRPr="001E42CA">
              <w:t>s</w:t>
            </w:r>
            <w:r w:rsidRPr="001E42CA">
              <w:t>minskning (mellan 1999 och 1995)</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Kommunsektorn</w:t>
            </w:r>
          </w:p>
        </w:tc>
        <w:tc>
          <w:tcPr>
            <w:tcW w:w="956" w:type="dxa"/>
          </w:tcPr>
          <w:p w:rsidR="00DC1575" w:rsidRPr="001E42CA" w:rsidRDefault="00DC1575">
            <w:pPr>
              <w:pStyle w:val="Tabell"/>
              <w:spacing w:before="40" w:after="40"/>
              <w:jc w:val="center"/>
            </w:pPr>
            <w:r w:rsidRPr="001E42CA">
              <w:t>1049</w:t>
            </w:r>
          </w:p>
        </w:tc>
        <w:tc>
          <w:tcPr>
            <w:tcW w:w="957" w:type="dxa"/>
          </w:tcPr>
          <w:p w:rsidR="00DC1575" w:rsidRPr="001E42CA" w:rsidRDefault="00DC1575">
            <w:pPr>
              <w:pStyle w:val="Tabell"/>
              <w:spacing w:before="40" w:after="40"/>
              <w:jc w:val="center"/>
            </w:pPr>
            <w:r w:rsidRPr="001E42CA">
              <w:t>20,6</w:t>
            </w:r>
          </w:p>
        </w:tc>
        <w:tc>
          <w:tcPr>
            <w:tcW w:w="957" w:type="dxa"/>
          </w:tcPr>
          <w:p w:rsidR="00DC1575" w:rsidRPr="001E42CA" w:rsidRDefault="00DC1575">
            <w:pPr>
              <w:pStyle w:val="Tabell"/>
              <w:spacing w:before="40" w:after="40"/>
              <w:jc w:val="center"/>
            </w:pPr>
            <w:r w:rsidRPr="001E42CA">
              <w:t xml:space="preserve">  7,5</w:t>
            </w:r>
          </w:p>
        </w:tc>
        <w:tc>
          <w:tcPr>
            <w:tcW w:w="957" w:type="dxa"/>
          </w:tcPr>
          <w:p w:rsidR="00DC1575" w:rsidRPr="001E42CA" w:rsidRDefault="00DC1575">
            <w:pPr>
              <w:pStyle w:val="Tabell"/>
              <w:spacing w:before="40" w:after="40"/>
              <w:jc w:val="center"/>
            </w:pPr>
            <w:r w:rsidRPr="001E42CA">
              <w:t xml:space="preserve"> 0,3</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Samtliga sökande kommuner</w:t>
            </w:r>
          </w:p>
        </w:tc>
        <w:tc>
          <w:tcPr>
            <w:tcW w:w="956" w:type="dxa"/>
          </w:tcPr>
          <w:p w:rsidR="00DC1575" w:rsidRPr="001E42CA" w:rsidRDefault="00DC1575">
            <w:pPr>
              <w:pStyle w:val="Tabell"/>
              <w:spacing w:before="40" w:after="40"/>
              <w:jc w:val="center"/>
            </w:pPr>
            <w:r w:rsidRPr="001E42CA">
              <w:t>1003</w:t>
            </w:r>
          </w:p>
        </w:tc>
        <w:tc>
          <w:tcPr>
            <w:tcW w:w="957" w:type="dxa"/>
          </w:tcPr>
          <w:p w:rsidR="00DC1575" w:rsidRPr="001E42CA" w:rsidRDefault="00DC1575">
            <w:pPr>
              <w:pStyle w:val="Tabell"/>
              <w:spacing w:before="40" w:after="40"/>
              <w:jc w:val="center"/>
            </w:pPr>
            <w:r w:rsidRPr="001E42CA">
              <w:t>21,2</w:t>
            </w:r>
          </w:p>
        </w:tc>
        <w:tc>
          <w:tcPr>
            <w:tcW w:w="957" w:type="dxa"/>
          </w:tcPr>
          <w:p w:rsidR="00DC1575" w:rsidRPr="001E42CA" w:rsidRDefault="00DC1575">
            <w:pPr>
              <w:pStyle w:val="Tabell"/>
              <w:spacing w:before="40" w:after="40"/>
              <w:jc w:val="center"/>
            </w:pPr>
            <w:r w:rsidRPr="001E42CA">
              <w:t xml:space="preserve">  8,4</w:t>
            </w:r>
          </w:p>
        </w:tc>
        <w:tc>
          <w:tcPr>
            <w:tcW w:w="957" w:type="dxa"/>
          </w:tcPr>
          <w:p w:rsidR="00DC1575" w:rsidRPr="001E42CA" w:rsidRDefault="00DC1575">
            <w:pPr>
              <w:pStyle w:val="Tabell"/>
              <w:spacing w:before="40" w:after="40"/>
              <w:jc w:val="center"/>
            </w:pPr>
            <w:r w:rsidRPr="001E42CA">
              <w:t>-3,1</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Bostadsdelegationen (BD)</w:t>
            </w:r>
          </w:p>
        </w:tc>
        <w:tc>
          <w:tcPr>
            <w:tcW w:w="956" w:type="dxa"/>
          </w:tcPr>
          <w:p w:rsidR="00DC1575" w:rsidRPr="001E42CA" w:rsidRDefault="00DC1575">
            <w:pPr>
              <w:pStyle w:val="Tabell"/>
              <w:spacing w:before="40" w:after="40"/>
              <w:jc w:val="center"/>
            </w:pPr>
            <w:r w:rsidRPr="001E42CA">
              <w:t xml:space="preserve">  970</w:t>
            </w:r>
          </w:p>
        </w:tc>
        <w:tc>
          <w:tcPr>
            <w:tcW w:w="957" w:type="dxa"/>
          </w:tcPr>
          <w:p w:rsidR="00DC1575" w:rsidRPr="001E42CA" w:rsidRDefault="00DC1575">
            <w:pPr>
              <w:pStyle w:val="Tabell"/>
              <w:spacing w:before="40" w:after="40"/>
              <w:jc w:val="center"/>
            </w:pPr>
            <w:r w:rsidRPr="001E42CA">
              <w:t>21,8</w:t>
            </w:r>
          </w:p>
        </w:tc>
        <w:tc>
          <w:tcPr>
            <w:tcW w:w="957" w:type="dxa"/>
          </w:tcPr>
          <w:p w:rsidR="00DC1575" w:rsidRPr="001E42CA" w:rsidRDefault="00DC1575">
            <w:pPr>
              <w:pStyle w:val="Tabell"/>
              <w:spacing w:before="40" w:after="40"/>
              <w:jc w:val="center"/>
            </w:pPr>
            <w:r w:rsidRPr="001E42CA">
              <w:t xml:space="preserve">  9,8</w:t>
            </w:r>
          </w:p>
        </w:tc>
        <w:tc>
          <w:tcPr>
            <w:tcW w:w="957" w:type="dxa"/>
          </w:tcPr>
          <w:p w:rsidR="00DC1575" w:rsidRPr="001E42CA" w:rsidRDefault="00DC1575">
            <w:pPr>
              <w:pStyle w:val="Tabell"/>
              <w:spacing w:before="40" w:after="40"/>
              <w:jc w:val="center"/>
            </w:pPr>
            <w:r w:rsidRPr="001E42CA">
              <w:t>-4,4</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av BD</w:t>
            </w:r>
          </w:p>
        </w:tc>
        <w:tc>
          <w:tcPr>
            <w:tcW w:w="956" w:type="dxa"/>
          </w:tcPr>
          <w:p w:rsidR="00DC1575" w:rsidRPr="001E42CA" w:rsidRDefault="00DC1575">
            <w:pPr>
              <w:pStyle w:val="Tabell"/>
              <w:spacing w:before="40" w:after="40"/>
              <w:jc w:val="center"/>
            </w:pPr>
            <w:r w:rsidRPr="001E42CA">
              <w:t xml:space="preserve">  983</w:t>
            </w:r>
          </w:p>
        </w:tc>
        <w:tc>
          <w:tcPr>
            <w:tcW w:w="957" w:type="dxa"/>
          </w:tcPr>
          <w:p w:rsidR="00DC1575" w:rsidRPr="001E42CA" w:rsidRDefault="00DC1575">
            <w:pPr>
              <w:pStyle w:val="Tabell"/>
              <w:spacing w:before="40" w:after="40"/>
              <w:jc w:val="center"/>
            </w:pPr>
            <w:r w:rsidRPr="001E42CA">
              <w:t>21,0</w:t>
            </w:r>
          </w:p>
        </w:tc>
        <w:tc>
          <w:tcPr>
            <w:tcW w:w="957" w:type="dxa"/>
          </w:tcPr>
          <w:p w:rsidR="00DC1575" w:rsidRPr="001E42CA" w:rsidRDefault="00DC1575">
            <w:pPr>
              <w:pStyle w:val="Tabell"/>
              <w:spacing w:before="40" w:after="40"/>
              <w:jc w:val="center"/>
            </w:pPr>
            <w:r w:rsidRPr="001E42CA">
              <w:t xml:space="preserve">  7,6</w:t>
            </w:r>
          </w:p>
        </w:tc>
        <w:tc>
          <w:tcPr>
            <w:tcW w:w="957" w:type="dxa"/>
          </w:tcPr>
          <w:p w:rsidR="00DC1575" w:rsidRPr="001E42CA" w:rsidRDefault="00DC1575">
            <w:pPr>
              <w:pStyle w:val="Tabell"/>
              <w:spacing w:before="40" w:after="40"/>
              <w:jc w:val="center"/>
            </w:pPr>
            <w:r w:rsidRPr="001E42CA">
              <w:t>-2,6</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Kommundeleg</w:t>
            </w:r>
            <w:r w:rsidRPr="001E42CA">
              <w:t>a</w:t>
            </w:r>
            <w:r w:rsidRPr="001E42CA">
              <w:t>tionen, KD)</w:t>
            </w:r>
          </w:p>
        </w:tc>
        <w:tc>
          <w:tcPr>
            <w:tcW w:w="956" w:type="dxa"/>
          </w:tcPr>
          <w:p w:rsidR="00DC1575" w:rsidRPr="001E42CA" w:rsidRDefault="00DC1575">
            <w:pPr>
              <w:pStyle w:val="Tabell"/>
              <w:spacing w:before="40" w:after="40"/>
              <w:jc w:val="center"/>
            </w:pPr>
            <w:r w:rsidRPr="001E42CA">
              <w:t xml:space="preserve">  963</w:t>
            </w:r>
          </w:p>
        </w:tc>
        <w:tc>
          <w:tcPr>
            <w:tcW w:w="957" w:type="dxa"/>
          </w:tcPr>
          <w:p w:rsidR="00DC1575" w:rsidRPr="001E42CA" w:rsidRDefault="00DC1575">
            <w:pPr>
              <w:pStyle w:val="Tabell"/>
              <w:spacing w:before="40" w:after="40"/>
              <w:jc w:val="center"/>
            </w:pPr>
            <w:r w:rsidRPr="001E42CA">
              <w:t>22,0</w:t>
            </w:r>
          </w:p>
        </w:tc>
        <w:tc>
          <w:tcPr>
            <w:tcW w:w="957" w:type="dxa"/>
          </w:tcPr>
          <w:p w:rsidR="00DC1575" w:rsidRPr="001E42CA" w:rsidRDefault="00DC1575">
            <w:pPr>
              <w:pStyle w:val="Tabell"/>
              <w:spacing w:before="40" w:after="40"/>
              <w:jc w:val="center"/>
            </w:pPr>
            <w:r w:rsidRPr="001E42CA">
              <w:t>10,1</w:t>
            </w:r>
          </w:p>
        </w:tc>
        <w:tc>
          <w:tcPr>
            <w:tcW w:w="957" w:type="dxa"/>
          </w:tcPr>
          <w:p w:rsidR="00DC1575" w:rsidRPr="001E42CA" w:rsidRDefault="00DC1575">
            <w:pPr>
              <w:pStyle w:val="Tabell"/>
              <w:spacing w:before="40" w:after="40"/>
              <w:jc w:val="center"/>
            </w:pPr>
            <w:r w:rsidRPr="001E42CA">
              <w:t>-5,0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från regeringen (efter fö</w:t>
            </w:r>
            <w:r w:rsidRPr="001E42CA">
              <w:t>r</w:t>
            </w:r>
            <w:r w:rsidRPr="001E42CA">
              <w:t>slag från KD)</w:t>
            </w:r>
          </w:p>
        </w:tc>
        <w:tc>
          <w:tcPr>
            <w:tcW w:w="956" w:type="dxa"/>
          </w:tcPr>
          <w:p w:rsidR="00DC1575" w:rsidRPr="001E42CA" w:rsidRDefault="00DC1575">
            <w:pPr>
              <w:pStyle w:val="Tabell"/>
              <w:spacing w:before="40" w:after="40"/>
              <w:jc w:val="center"/>
            </w:pPr>
            <w:r w:rsidRPr="001E42CA">
              <w:t>1010</w:t>
            </w:r>
          </w:p>
        </w:tc>
        <w:tc>
          <w:tcPr>
            <w:tcW w:w="957" w:type="dxa"/>
          </w:tcPr>
          <w:p w:rsidR="00DC1575" w:rsidRPr="001E42CA" w:rsidRDefault="00DC1575">
            <w:pPr>
              <w:pStyle w:val="Tabell"/>
              <w:spacing w:before="40" w:after="40"/>
              <w:jc w:val="center"/>
            </w:pPr>
            <w:r w:rsidRPr="001E42CA">
              <w:t>21,4</w:t>
            </w:r>
          </w:p>
        </w:tc>
        <w:tc>
          <w:tcPr>
            <w:tcW w:w="957" w:type="dxa"/>
          </w:tcPr>
          <w:p w:rsidR="00DC1575" w:rsidRPr="001E42CA" w:rsidRDefault="00DC1575">
            <w:pPr>
              <w:pStyle w:val="Tabell"/>
              <w:spacing w:before="40" w:after="40"/>
              <w:jc w:val="center"/>
            </w:pPr>
            <w:r w:rsidRPr="001E42CA">
              <w:t xml:space="preserve">  8,2</w:t>
            </w:r>
          </w:p>
        </w:tc>
        <w:tc>
          <w:tcPr>
            <w:tcW w:w="957" w:type="dxa"/>
          </w:tcPr>
          <w:p w:rsidR="00DC1575" w:rsidRPr="001E42CA" w:rsidRDefault="00DC1575">
            <w:pPr>
              <w:pStyle w:val="Tabell"/>
              <w:spacing w:before="40" w:after="40"/>
              <w:jc w:val="center"/>
            </w:pPr>
            <w:r w:rsidRPr="001E42CA">
              <w:t>-2,8</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BD och KD)</w:t>
            </w:r>
          </w:p>
        </w:tc>
        <w:tc>
          <w:tcPr>
            <w:tcW w:w="956" w:type="dxa"/>
          </w:tcPr>
          <w:p w:rsidR="00DC1575" w:rsidRPr="001E42CA" w:rsidRDefault="00DC1575">
            <w:pPr>
              <w:pStyle w:val="Tabell"/>
              <w:spacing w:before="40" w:after="40"/>
              <w:jc w:val="center"/>
            </w:pPr>
            <w:r w:rsidRPr="001E42CA">
              <w:t xml:space="preserve">  987</w:t>
            </w:r>
          </w:p>
        </w:tc>
        <w:tc>
          <w:tcPr>
            <w:tcW w:w="957" w:type="dxa"/>
          </w:tcPr>
          <w:p w:rsidR="00DC1575" w:rsidRPr="001E42CA" w:rsidRDefault="00DC1575">
            <w:pPr>
              <w:pStyle w:val="Tabell"/>
              <w:spacing w:before="40" w:after="40"/>
              <w:jc w:val="center"/>
            </w:pPr>
            <w:r w:rsidRPr="001E42CA">
              <w:t>22,0</w:t>
            </w:r>
          </w:p>
        </w:tc>
        <w:tc>
          <w:tcPr>
            <w:tcW w:w="957" w:type="dxa"/>
          </w:tcPr>
          <w:p w:rsidR="00DC1575" w:rsidRPr="001E42CA" w:rsidRDefault="00DC1575">
            <w:pPr>
              <w:pStyle w:val="Tabell"/>
              <w:spacing w:before="40" w:after="40"/>
              <w:jc w:val="center"/>
            </w:pPr>
            <w:r w:rsidRPr="001E42CA">
              <w:t xml:space="preserve">  9,8</w:t>
            </w:r>
          </w:p>
        </w:tc>
        <w:tc>
          <w:tcPr>
            <w:tcW w:w="957" w:type="dxa"/>
          </w:tcPr>
          <w:p w:rsidR="00DC1575" w:rsidRPr="001E42CA" w:rsidRDefault="00DC1575">
            <w:pPr>
              <w:pStyle w:val="Tabell"/>
              <w:spacing w:before="40" w:after="40"/>
              <w:jc w:val="center"/>
            </w:pPr>
            <w:r w:rsidRPr="001E42CA">
              <w:t>-4,8</w:t>
            </w:r>
          </w:p>
        </w:tc>
      </w:tr>
      <w:tr w:rsidR="00000000" w:rsidRPr="001E42CA">
        <w:tblPrEx>
          <w:tblCellMar>
            <w:top w:w="0" w:type="dxa"/>
            <w:bottom w:w="0" w:type="dxa"/>
          </w:tblCellMar>
        </w:tblPrEx>
        <w:tc>
          <w:tcPr>
            <w:tcW w:w="2197" w:type="dxa"/>
            <w:tcBorders>
              <w:bottom w:val="single" w:sz="4" w:space="0" w:color="auto"/>
            </w:tcBorders>
          </w:tcPr>
          <w:p w:rsidR="00DC1575" w:rsidRPr="001E42CA" w:rsidRDefault="00DC1575">
            <w:pPr>
              <w:pStyle w:val="Tabell"/>
              <w:spacing w:before="40" w:after="40"/>
              <w:jc w:val="left"/>
            </w:pPr>
            <w:r w:rsidRPr="001E42CA">
              <w:t>Avslag från regeringen (ej överlämnade till deleg</w:t>
            </w:r>
            <w:r w:rsidRPr="001E42CA">
              <w:t>a</w:t>
            </w:r>
            <w:r w:rsidRPr="001E42CA">
              <w:t>tion)</w:t>
            </w:r>
          </w:p>
        </w:tc>
        <w:tc>
          <w:tcPr>
            <w:tcW w:w="956" w:type="dxa"/>
            <w:tcBorders>
              <w:bottom w:val="single" w:sz="4" w:space="0" w:color="auto"/>
            </w:tcBorders>
          </w:tcPr>
          <w:p w:rsidR="00DC1575" w:rsidRPr="001E42CA" w:rsidRDefault="00DC1575">
            <w:pPr>
              <w:pStyle w:val="Tabell"/>
              <w:spacing w:before="40" w:after="40"/>
              <w:jc w:val="center"/>
            </w:pPr>
            <w:r w:rsidRPr="001E42CA">
              <w:t>1109</w:t>
            </w:r>
          </w:p>
        </w:tc>
        <w:tc>
          <w:tcPr>
            <w:tcW w:w="957" w:type="dxa"/>
            <w:tcBorders>
              <w:bottom w:val="single" w:sz="4" w:space="0" w:color="auto"/>
            </w:tcBorders>
          </w:tcPr>
          <w:p w:rsidR="00DC1575" w:rsidRPr="001E42CA" w:rsidRDefault="00DC1575">
            <w:pPr>
              <w:pStyle w:val="Tabell"/>
              <w:spacing w:before="40" w:after="40"/>
              <w:jc w:val="center"/>
            </w:pPr>
            <w:r w:rsidRPr="001E42CA">
              <w:t>20,4</w:t>
            </w:r>
          </w:p>
        </w:tc>
        <w:tc>
          <w:tcPr>
            <w:tcW w:w="957" w:type="dxa"/>
            <w:tcBorders>
              <w:bottom w:val="single" w:sz="4" w:space="0" w:color="auto"/>
            </w:tcBorders>
          </w:tcPr>
          <w:p w:rsidR="00DC1575" w:rsidRPr="001E42CA" w:rsidRDefault="00DC1575">
            <w:pPr>
              <w:pStyle w:val="Tabell"/>
              <w:spacing w:before="40" w:after="40"/>
              <w:jc w:val="center"/>
            </w:pPr>
            <w:r w:rsidRPr="001E42CA">
              <w:t xml:space="preserve">  7,7</w:t>
            </w:r>
          </w:p>
        </w:tc>
        <w:tc>
          <w:tcPr>
            <w:tcW w:w="957" w:type="dxa"/>
            <w:tcBorders>
              <w:bottom w:val="single" w:sz="4" w:space="0" w:color="auto"/>
            </w:tcBorders>
          </w:tcPr>
          <w:p w:rsidR="00DC1575" w:rsidRPr="001E42CA" w:rsidRDefault="00DC1575">
            <w:pPr>
              <w:pStyle w:val="Tabell"/>
              <w:spacing w:before="40" w:after="40"/>
              <w:jc w:val="center"/>
            </w:pPr>
            <w:r w:rsidRPr="001E42CA">
              <w:t>-2,7</w:t>
            </w:r>
          </w:p>
        </w:tc>
      </w:tr>
    </w:tbl>
    <w:p w:rsidR="00DC1575" w:rsidRPr="001E42CA" w:rsidRDefault="00DC1575">
      <w:pPr>
        <w:pStyle w:val="Rubrik2"/>
      </w:pPr>
      <w:bookmarkStart w:id="37" w:name="_Toc526302383"/>
      <w:r w:rsidRPr="001E42CA">
        <w:t>Finansiella nyckeltal</w:t>
      </w:r>
      <w:bookmarkEnd w:id="37"/>
    </w:p>
    <w:p w:rsidR="00DC1575" w:rsidRPr="001E42CA" w:rsidRDefault="00DC1575">
      <w:r w:rsidRPr="001E42CA">
        <w:t>I avsnittet presenteras ett antal vanligt förekommande finansiella nyckeltal som ger en uppfattning om kommunernas ekonomiska ställning. Dessa har hämtats från kommunernas resultaträkningar, finansieringsanalyser och balansräkningar. I huvudsak rör det sig om nettokostnader, självfinansi</w:t>
      </w:r>
      <w:r w:rsidRPr="001E42CA">
        <w:t>e</w:t>
      </w:r>
      <w:r w:rsidRPr="001E42CA">
        <w:t>ringsgrad, resultat, soliditet och försäljning av anläggningskostnader.</w:t>
      </w:r>
    </w:p>
    <w:p w:rsidR="00DC1575" w:rsidRPr="001E42CA" w:rsidRDefault="00DC1575">
      <w:pPr>
        <w:pStyle w:val="R3"/>
      </w:pPr>
      <w:r w:rsidRPr="001E42CA">
        <w:t>Nettokostnader och självfinansieringsgrad</w:t>
      </w:r>
    </w:p>
    <w:p w:rsidR="00DC1575" w:rsidRPr="001E42CA" w:rsidRDefault="00DC1575">
      <w:r w:rsidRPr="001E42CA">
        <w:t>I Tabell 4.6 redovisas verksamhetens nettokostnader som andel av summan av skatteintäkter, generella statsbidrag och utjämning. Måttet visar om ska</w:t>
      </w:r>
      <w:r w:rsidRPr="001E42CA">
        <w:t>t</w:t>
      </w:r>
      <w:r w:rsidRPr="001E42CA">
        <w:t xml:space="preserve">teintäkterna m.m. täcker in den löpande verksamheten. Tabell 4.6 visar att så inte är fallet för de sökande kommunerna och att läget är något sämre än för kommunsektorn som helhet. </w:t>
      </w:r>
    </w:p>
    <w:p w:rsidR="00DC1575" w:rsidRPr="001E42CA" w:rsidRDefault="00DC1575">
      <w:pPr>
        <w:pStyle w:val="Normaltindrag"/>
      </w:pPr>
      <w:r w:rsidRPr="001E42CA">
        <w:t>Det finns vissa, om än relativt små, skillnader mellan kommuner som fått bifall respektive fått avslag. Kommuner som fått bifall av Bostadsdelegati</w:t>
      </w:r>
      <w:r w:rsidRPr="001E42CA">
        <w:t>o</w:t>
      </w:r>
      <w:r w:rsidRPr="001E42CA">
        <w:t xml:space="preserve">nen har en något högre nettokostnadsandel än de kommuner som fått avslag. Skillnaderna är något större för de kommuner som hanterats av regeringen efter beredning av Kommundelegationen. De högsta nettokostnadsandelarna uppvisar kommuner som fått bifall av regeringen efter förslag från bägge delegationerna samt de kommuner som fått avslag av regeringen och inte överlämnats till någon delegation. Den höga nettokostnadsandelen i den senare gruppen är något förvånande. </w:t>
      </w:r>
    </w:p>
    <w:p w:rsidR="00DC1575" w:rsidRPr="001E42CA" w:rsidRDefault="00DC1575">
      <w:pPr>
        <w:pStyle w:val="Normaltindrag"/>
      </w:pPr>
    </w:p>
    <w:p w:rsidR="00DC1575" w:rsidRPr="001E42CA" w:rsidRDefault="00DC1575">
      <w:pPr>
        <w:pStyle w:val="Tabellrubrik"/>
      </w:pPr>
      <w:r w:rsidRPr="001E42CA">
        <w:br w:type="page"/>
        <w:t>Tabell 4.6 Nettokostnader och självfinansieringsgrad</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1849"/>
        <w:gridCol w:w="1849"/>
      </w:tblGrid>
      <w:tr w:rsidR="00000000" w:rsidRPr="001E42CA">
        <w:tblPrEx>
          <w:tblCellMar>
            <w:top w:w="0" w:type="dxa"/>
            <w:bottom w:w="0" w:type="dxa"/>
          </w:tblCellMar>
        </w:tblPrEx>
        <w:tc>
          <w:tcPr>
            <w:tcW w:w="2338" w:type="dxa"/>
            <w:tcBorders>
              <w:top w:val="single" w:sz="4" w:space="0" w:color="auto"/>
              <w:bottom w:val="single" w:sz="4" w:space="0" w:color="auto"/>
            </w:tcBorders>
          </w:tcPr>
          <w:p w:rsidR="00DC1575" w:rsidRPr="001E42CA" w:rsidRDefault="00DC1575">
            <w:pPr>
              <w:pStyle w:val="Tabell"/>
              <w:spacing w:before="40" w:after="40"/>
              <w:jc w:val="left"/>
            </w:pPr>
          </w:p>
        </w:tc>
        <w:tc>
          <w:tcPr>
            <w:tcW w:w="1849" w:type="dxa"/>
            <w:tcBorders>
              <w:top w:val="single" w:sz="4" w:space="0" w:color="auto"/>
              <w:bottom w:val="single" w:sz="4" w:space="0" w:color="auto"/>
            </w:tcBorders>
          </w:tcPr>
          <w:p w:rsidR="00DC1575" w:rsidRPr="001E42CA" w:rsidRDefault="00DC1575">
            <w:pPr>
              <w:pStyle w:val="Tabell"/>
              <w:spacing w:before="40" w:after="40"/>
              <w:jc w:val="left"/>
            </w:pPr>
            <w:r w:rsidRPr="001E42CA">
              <w:t>Verksamhetens nett</w:t>
            </w:r>
            <w:r w:rsidRPr="001E42CA">
              <w:t>o</w:t>
            </w:r>
            <w:r w:rsidRPr="001E42CA">
              <w:t>kostnader som andel av summan av skatteintä</w:t>
            </w:r>
            <w:r w:rsidRPr="001E42CA">
              <w:t>k</w:t>
            </w:r>
            <w:r w:rsidRPr="001E42CA">
              <w:t>ter och statsbidrag</w:t>
            </w:r>
          </w:p>
        </w:tc>
        <w:tc>
          <w:tcPr>
            <w:tcW w:w="1849" w:type="dxa"/>
            <w:tcBorders>
              <w:top w:val="single" w:sz="4" w:space="0" w:color="auto"/>
              <w:bottom w:val="single" w:sz="4" w:space="0" w:color="auto"/>
            </w:tcBorders>
          </w:tcPr>
          <w:p w:rsidR="00DC1575" w:rsidRPr="001E42CA" w:rsidRDefault="00DC1575">
            <w:pPr>
              <w:pStyle w:val="Tabell"/>
              <w:spacing w:before="40" w:after="40"/>
              <w:jc w:val="left"/>
            </w:pPr>
            <w:r w:rsidRPr="001E42CA">
              <w:t>Verksamhetens självf</w:t>
            </w:r>
            <w:r w:rsidRPr="001E42CA">
              <w:t>i</w:t>
            </w:r>
            <w:r w:rsidRPr="001E42CA">
              <w:t>na</w:t>
            </w:r>
            <w:r w:rsidRPr="001E42CA">
              <w:t>n</w:t>
            </w:r>
            <w:r w:rsidRPr="001E42CA">
              <w:t>sieringsgrad</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Kommunse</w:t>
            </w:r>
            <w:r w:rsidRPr="001E42CA">
              <w:t>k</w:t>
            </w:r>
            <w:r w:rsidRPr="001E42CA">
              <w:t>torn</w:t>
            </w:r>
          </w:p>
        </w:tc>
        <w:tc>
          <w:tcPr>
            <w:tcW w:w="1849" w:type="dxa"/>
          </w:tcPr>
          <w:p w:rsidR="00DC1575" w:rsidRPr="001E42CA" w:rsidRDefault="00DC1575">
            <w:pPr>
              <w:pStyle w:val="Tabell"/>
              <w:spacing w:before="40" w:after="40"/>
              <w:jc w:val="center"/>
            </w:pPr>
            <w:r w:rsidRPr="001E42CA">
              <w:t>101,0</w:t>
            </w:r>
          </w:p>
        </w:tc>
        <w:tc>
          <w:tcPr>
            <w:tcW w:w="1849" w:type="dxa"/>
          </w:tcPr>
          <w:p w:rsidR="00DC1575" w:rsidRPr="001E42CA" w:rsidRDefault="00DC1575">
            <w:pPr>
              <w:pStyle w:val="Tabell"/>
              <w:spacing w:before="40" w:after="40"/>
              <w:jc w:val="center"/>
            </w:pPr>
            <w:r w:rsidRPr="001E42CA">
              <w:t>23,0</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Samtliga sökande komm</w:t>
            </w:r>
            <w:r w:rsidRPr="001E42CA">
              <w:t>u</w:t>
            </w:r>
            <w:r w:rsidRPr="001E42CA">
              <w:t>ner</w:t>
            </w:r>
          </w:p>
        </w:tc>
        <w:tc>
          <w:tcPr>
            <w:tcW w:w="1849" w:type="dxa"/>
          </w:tcPr>
          <w:p w:rsidR="00DC1575" w:rsidRPr="001E42CA" w:rsidRDefault="00DC1575">
            <w:pPr>
              <w:pStyle w:val="Tabell"/>
              <w:spacing w:before="40" w:after="40"/>
              <w:jc w:val="center"/>
            </w:pPr>
            <w:r w:rsidRPr="001E42CA">
              <w:t>102,4</w:t>
            </w:r>
          </w:p>
        </w:tc>
        <w:tc>
          <w:tcPr>
            <w:tcW w:w="1849" w:type="dxa"/>
          </w:tcPr>
          <w:p w:rsidR="00DC1575" w:rsidRPr="001E42CA" w:rsidRDefault="00DC1575">
            <w:pPr>
              <w:pStyle w:val="Tabell"/>
              <w:spacing w:before="40" w:after="40"/>
              <w:jc w:val="center"/>
            </w:pPr>
            <w:r w:rsidRPr="001E42CA">
              <w:t>22,4</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Bifall av BD</w:t>
            </w:r>
          </w:p>
        </w:tc>
        <w:tc>
          <w:tcPr>
            <w:tcW w:w="1849" w:type="dxa"/>
          </w:tcPr>
          <w:p w:rsidR="00DC1575" w:rsidRPr="001E42CA" w:rsidRDefault="00DC1575">
            <w:pPr>
              <w:pStyle w:val="Tabell"/>
              <w:spacing w:before="40" w:after="40"/>
              <w:jc w:val="center"/>
            </w:pPr>
            <w:r w:rsidRPr="001E42CA">
              <w:t>102,0</w:t>
            </w:r>
          </w:p>
        </w:tc>
        <w:tc>
          <w:tcPr>
            <w:tcW w:w="1849" w:type="dxa"/>
          </w:tcPr>
          <w:p w:rsidR="00DC1575" w:rsidRPr="001E42CA" w:rsidRDefault="00DC1575">
            <w:pPr>
              <w:pStyle w:val="Tabell"/>
              <w:spacing w:before="40" w:after="40"/>
              <w:jc w:val="center"/>
            </w:pPr>
            <w:r w:rsidRPr="001E42CA">
              <w:t>22,3</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Avslag av BD</w:t>
            </w:r>
          </w:p>
        </w:tc>
        <w:tc>
          <w:tcPr>
            <w:tcW w:w="1849" w:type="dxa"/>
          </w:tcPr>
          <w:p w:rsidR="00DC1575" w:rsidRPr="001E42CA" w:rsidRDefault="00DC1575">
            <w:pPr>
              <w:pStyle w:val="Tabell"/>
              <w:spacing w:before="40" w:after="40"/>
              <w:jc w:val="center"/>
            </w:pPr>
            <w:r w:rsidRPr="001E42CA">
              <w:t>101,8</w:t>
            </w:r>
          </w:p>
        </w:tc>
        <w:tc>
          <w:tcPr>
            <w:tcW w:w="1849" w:type="dxa"/>
          </w:tcPr>
          <w:p w:rsidR="00DC1575" w:rsidRPr="001E42CA" w:rsidRDefault="00DC1575">
            <w:pPr>
              <w:pStyle w:val="Tabell"/>
              <w:spacing w:before="40" w:after="40"/>
              <w:jc w:val="center"/>
            </w:pPr>
            <w:r w:rsidRPr="001E42CA">
              <w:t>23,1</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Bifall av regeringen (efter förslag från KD)</w:t>
            </w:r>
          </w:p>
        </w:tc>
        <w:tc>
          <w:tcPr>
            <w:tcW w:w="1849" w:type="dxa"/>
          </w:tcPr>
          <w:p w:rsidR="00DC1575" w:rsidRPr="001E42CA" w:rsidRDefault="00DC1575">
            <w:pPr>
              <w:pStyle w:val="Tabell"/>
              <w:spacing w:before="40" w:after="40"/>
              <w:jc w:val="center"/>
            </w:pPr>
            <w:r w:rsidRPr="001E42CA">
              <w:t>103,3</w:t>
            </w:r>
          </w:p>
        </w:tc>
        <w:tc>
          <w:tcPr>
            <w:tcW w:w="1849" w:type="dxa"/>
          </w:tcPr>
          <w:p w:rsidR="00DC1575" w:rsidRPr="001E42CA" w:rsidRDefault="00DC1575">
            <w:pPr>
              <w:pStyle w:val="Tabell"/>
              <w:spacing w:before="40" w:after="40"/>
              <w:jc w:val="center"/>
            </w:pPr>
            <w:r w:rsidRPr="001E42CA">
              <w:t>20,3</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Avslag från regeringen (efter förslag från KD)</w:t>
            </w:r>
          </w:p>
        </w:tc>
        <w:tc>
          <w:tcPr>
            <w:tcW w:w="1849" w:type="dxa"/>
          </w:tcPr>
          <w:p w:rsidR="00DC1575" w:rsidRPr="001E42CA" w:rsidRDefault="00DC1575">
            <w:pPr>
              <w:pStyle w:val="Tabell"/>
              <w:spacing w:before="40" w:after="40"/>
              <w:jc w:val="center"/>
            </w:pPr>
            <w:r w:rsidRPr="001E42CA">
              <w:t>100,6</w:t>
            </w:r>
          </w:p>
        </w:tc>
        <w:tc>
          <w:tcPr>
            <w:tcW w:w="1849" w:type="dxa"/>
          </w:tcPr>
          <w:p w:rsidR="00DC1575" w:rsidRPr="001E42CA" w:rsidRDefault="00DC1575">
            <w:pPr>
              <w:pStyle w:val="Tabell"/>
              <w:spacing w:before="40" w:after="40"/>
              <w:jc w:val="center"/>
            </w:pPr>
            <w:r w:rsidRPr="001E42CA">
              <w:t>23,0</w:t>
            </w:r>
          </w:p>
        </w:tc>
      </w:tr>
      <w:tr w:rsidR="00000000" w:rsidRPr="001E42CA">
        <w:tblPrEx>
          <w:tblCellMar>
            <w:top w:w="0" w:type="dxa"/>
            <w:bottom w:w="0" w:type="dxa"/>
          </w:tblCellMar>
        </w:tblPrEx>
        <w:tc>
          <w:tcPr>
            <w:tcW w:w="2338" w:type="dxa"/>
          </w:tcPr>
          <w:p w:rsidR="00DC1575" w:rsidRPr="001E42CA" w:rsidRDefault="00DC1575">
            <w:pPr>
              <w:pStyle w:val="Tabell"/>
              <w:spacing w:before="40" w:after="40"/>
              <w:jc w:val="left"/>
            </w:pPr>
            <w:r w:rsidRPr="001E42CA">
              <w:t>Bifall av regeringen (efter förslag från BD och KD)</w:t>
            </w:r>
          </w:p>
        </w:tc>
        <w:tc>
          <w:tcPr>
            <w:tcW w:w="1849" w:type="dxa"/>
          </w:tcPr>
          <w:p w:rsidR="00DC1575" w:rsidRPr="001E42CA" w:rsidRDefault="00DC1575">
            <w:pPr>
              <w:pStyle w:val="Tabell"/>
              <w:spacing w:before="40" w:after="40"/>
              <w:jc w:val="center"/>
            </w:pPr>
            <w:r w:rsidRPr="001E42CA">
              <w:t>103,8</w:t>
            </w:r>
          </w:p>
        </w:tc>
        <w:tc>
          <w:tcPr>
            <w:tcW w:w="1849" w:type="dxa"/>
          </w:tcPr>
          <w:p w:rsidR="00DC1575" w:rsidRPr="001E42CA" w:rsidRDefault="00DC1575">
            <w:pPr>
              <w:pStyle w:val="Tabell"/>
              <w:spacing w:before="40" w:after="40"/>
              <w:jc w:val="center"/>
            </w:pPr>
            <w:r w:rsidRPr="001E42CA">
              <w:t>21,3</w:t>
            </w:r>
          </w:p>
        </w:tc>
      </w:tr>
      <w:tr w:rsidR="00000000" w:rsidRPr="001E42CA">
        <w:tblPrEx>
          <w:tblCellMar>
            <w:top w:w="0" w:type="dxa"/>
            <w:bottom w:w="0" w:type="dxa"/>
          </w:tblCellMar>
        </w:tblPrEx>
        <w:tc>
          <w:tcPr>
            <w:tcW w:w="2338" w:type="dxa"/>
            <w:tcBorders>
              <w:bottom w:val="single" w:sz="4" w:space="0" w:color="auto"/>
            </w:tcBorders>
          </w:tcPr>
          <w:p w:rsidR="00DC1575" w:rsidRPr="001E42CA" w:rsidRDefault="00DC1575">
            <w:pPr>
              <w:pStyle w:val="Tabell"/>
              <w:spacing w:before="40" w:after="40"/>
              <w:jc w:val="left"/>
            </w:pPr>
            <w:r w:rsidRPr="001E42CA">
              <w:t>Avslag från regeringen (ej överlämnade till deleg</w:t>
            </w:r>
            <w:r w:rsidRPr="001E42CA">
              <w:t>a</w:t>
            </w:r>
            <w:r w:rsidRPr="001E42CA">
              <w:t>tion)</w:t>
            </w:r>
          </w:p>
        </w:tc>
        <w:tc>
          <w:tcPr>
            <w:tcW w:w="1849" w:type="dxa"/>
            <w:tcBorders>
              <w:bottom w:val="single" w:sz="4" w:space="0" w:color="auto"/>
            </w:tcBorders>
          </w:tcPr>
          <w:p w:rsidR="00DC1575" w:rsidRPr="001E42CA" w:rsidRDefault="00DC1575">
            <w:pPr>
              <w:pStyle w:val="Tabell"/>
              <w:spacing w:before="40" w:after="40"/>
              <w:jc w:val="center"/>
            </w:pPr>
            <w:r w:rsidRPr="001E42CA">
              <w:t>104,1</w:t>
            </w:r>
          </w:p>
        </w:tc>
        <w:tc>
          <w:tcPr>
            <w:tcW w:w="1849" w:type="dxa"/>
            <w:tcBorders>
              <w:bottom w:val="single" w:sz="4" w:space="0" w:color="auto"/>
            </w:tcBorders>
          </w:tcPr>
          <w:p w:rsidR="00DC1575" w:rsidRPr="001E42CA" w:rsidRDefault="00DC1575">
            <w:pPr>
              <w:pStyle w:val="Tabell"/>
              <w:spacing w:before="40" w:after="40"/>
              <w:jc w:val="center"/>
            </w:pPr>
            <w:r w:rsidRPr="001E42CA">
              <w:t>21,9</w:t>
            </w:r>
          </w:p>
        </w:tc>
      </w:tr>
    </w:tbl>
    <w:p w:rsidR="00DC1575" w:rsidRPr="001E42CA" w:rsidRDefault="00DC1575">
      <w:pPr>
        <w:pStyle w:val="Normaltindrag"/>
      </w:pPr>
    </w:p>
    <w:p w:rsidR="00DC1575" w:rsidRPr="001E42CA" w:rsidRDefault="00DC1575">
      <w:pPr>
        <w:spacing w:before="0"/>
      </w:pPr>
      <w:r w:rsidRPr="001E42CA">
        <w:t>När det gäller självfinansieringsgraden, dvs. hur stor del av kostnaderna som finansieras med avgifter, hyror och specialdestinerade statsbidrag, föreko</w:t>
      </w:r>
      <w:r w:rsidRPr="001E42CA">
        <w:t>m</w:t>
      </w:r>
      <w:r w:rsidRPr="001E42CA">
        <w:t>mer inga stora skillnader. Kommuner som fått bifall av Bostadsdelegationen och efter förslag från Kommundelegationen har dock något lägre självfina</w:t>
      </w:r>
      <w:r w:rsidRPr="001E42CA">
        <w:t>n</w:t>
      </w:r>
      <w:r w:rsidRPr="001E42CA">
        <w:t xml:space="preserve">sieringsgrad än de kommuner som fått avslag. De kommuner som fått avslag av regeringen och inte överlämnats till någon delegation har en relativt sett låg självfinansieringsgrad. </w:t>
      </w:r>
    </w:p>
    <w:p w:rsidR="00DC1575" w:rsidRPr="001E42CA" w:rsidRDefault="00DC1575">
      <w:pPr>
        <w:pStyle w:val="R3"/>
      </w:pPr>
      <w:r w:rsidRPr="001E42CA">
        <w:t>Resultat och soliditet</w:t>
      </w:r>
    </w:p>
    <w:p w:rsidR="00DC1575" w:rsidRPr="001E42CA" w:rsidRDefault="00DC1575">
      <w:r w:rsidRPr="001E42CA">
        <w:t>I Tabell 4.7 redovisas två mått på kommunernas ekonomiska resultat. Det första är resultat exklusive extraordinära poster som andel av skatteintäkter och statsbidrag. Nyckeltalet beskriver resultat före extraordinära poster i förhållande till omsättningen och är en indikator på om kommunerna up</w:t>
      </w:r>
      <w:r w:rsidRPr="001E42CA">
        <w:t>p</w:t>
      </w:r>
      <w:r w:rsidRPr="001E42CA">
        <w:t>fyller balanskravet (dvs. ett år innan det trädde i kraft). Som framgår av Tabell 4.7 visar samtliga sex kommungrupper ett negativt resultat och resu</w:t>
      </w:r>
      <w:r w:rsidRPr="001E42CA">
        <w:t>l</w:t>
      </w:r>
      <w:r w:rsidRPr="001E42CA">
        <w:t>taten är sämre än för kommunsektorn som helhet. De kommuner som fått bifall uppvisar genomgående ett sämre resultat än de kommuner som fått avslag. Enda undantaget är lite förvånande kommuner som fått avslag av regeringen och inte överlämnats till någon delegation.</w:t>
      </w:r>
    </w:p>
    <w:p w:rsidR="00DC1575" w:rsidRPr="001E42CA" w:rsidRDefault="00DC1575">
      <w:pPr>
        <w:pStyle w:val="Normaltindrag"/>
      </w:pPr>
      <w:r w:rsidRPr="001E42CA">
        <w:t>Det andra resultatmåttet inkluderar extraordinära poster. De senare är kostnader eller intäkter</w:t>
      </w:r>
      <w:r w:rsidRPr="001E42CA">
        <w:t xml:space="preserve"> som härrör sig från verksamheter som klart saknar samband med kommunens ordinarie verksamhet och som inte inträffar ofta eller regelbundet. Som framgår av Tabell 4.7 försämras resultatet så gott som genomgående, medan det förbättras för kommunsektorn som helhet. De ovan redovisade skillnaderna mellan bifalls- och avslagskommuner består dock. Den grupp kommuner som fått avslag av regeringen och inte överlämnats till någon delegation förbättrar emellertid sitt resultat relativt kraftigt.</w:t>
      </w:r>
    </w:p>
    <w:p w:rsidR="00DC1575" w:rsidRPr="001E42CA" w:rsidRDefault="00DC1575">
      <w:pPr>
        <w:pStyle w:val="Normaltindrag"/>
      </w:pPr>
      <w:r w:rsidRPr="001E42CA">
        <w:t>De medelvärden för r</w:t>
      </w:r>
      <w:r w:rsidRPr="001E42CA">
        <w:t>esultatmåtten som redovisas i Tabell 4.7 rymmer dock vissa skillnader. Framför allt gäller det Bostadsdelegationen som har en relativt hög andel (ca 30 procent) bifallskommuner som uppvisar nollresultat eller ett positivt resultat före extraordinära poster. Andelen sjunker emellertid om hänsyn tas till extraordinära poster. Den är dock fortfarande högre än för regeringens bifall.</w:t>
      </w:r>
    </w:p>
    <w:p w:rsidR="00DC1575" w:rsidRPr="001E42CA" w:rsidRDefault="00DC1575">
      <w:pPr>
        <w:pStyle w:val="Normaltindrag"/>
      </w:pPr>
      <w:r w:rsidRPr="001E42CA">
        <w:t>Kommunernas ekonomiska ställning kan utläsas i balansräkningen. Det normala måttet är soliditet, som visar hur stor del av tillgå</w:t>
      </w:r>
      <w:r w:rsidRPr="001E42CA">
        <w:t>ngarna som fina</w:t>
      </w:r>
      <w:r w:rsidRPr="001E42CA">
        <w:t>n</w:t>
      </w:r>
      <w:r w:rsidRPr="001E42CA">
        <w:t>sierats med egna medel. De kommuner som ansökt om stöd har en betydligt lägre soliditet än kommunsektorn som helhet (Tabell 4.7). Det förekommer även stora skillnader mellan kommuner som fått bifall respektive avslag. Kommuner som fått bifall av Bostadsdelegationen och regeringen (efter förslag från Kommundelegationen) har en påtagligt lägre soliditet (och neg</w:t>
      </w:r>
      <w:r w:rsidRPr="001E42CA">
        <w:t>a</w:t>
      </w:r>
      <w:r w:rsidRPr="001E42CA">
        <w:t>tiv) än avslagskommunerna. Undantaget är kommuner som fått bifall av regeringen efter förslag från de bägge delegationerna. Den grupp</w:t>
      </w:r>
      <w:r w:rsidRPr="001E42CA">
        <w:t xml:space="preserve">en uppvisar den högsta soliditeten. </w:t>
      </w:r>
    </w:p>
    <w:p w:rsidR="00DC1575" w:rsidRPr="001E42CA" w:rsidRDefault="00DC1575">
      <w:pPr>
        <w:pStyle w:val="Normaltindrag"/>
      </w:pPr>
    </w:p>
    <w:p w:rsidR="00DC1575" w:rsidRPr="001E42CA" w:rsidRDefault="00DC1575">
      <w:pPr>
        <w:pStyle w:val="Tabellrubrik"/>
      </w:pPr>
      <w:r w:rsidRPr="001E42CA">
        <w:t>Tabell 4.7 Resultat och soliditet</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1E42CA">
        <w:tblPrEx>
          <w:tblCellMar>
            <w:top w:w="0" w:type="dxa"/>
            <w:bottom w:w="0" w:type="dxa"/>
          </w:tblCellMar>
        </w:tblPrEx>
        <w:tc>
          <w:tcPr>
            <w:tcW w:w="1509" w:type="dxa"/>
            <w:tcBorders>
              <w:top w:val="single" w:sz="4" w:space="0" w:color="auto"/>
              <w:bottom w:val="single" w:sz="4" w:space="0" w:color="auto"/>
            </w:tcBorders>
          </w:tcPr>
          <w:p w:rsidR="00DC1575" w:rsidRPr="001E42CA" w:rsidRDefault="00DC1575">
            <w:pPr>
              <w:pStyle w:val="Tabell"/>
              <w:spacing w:before="40" w:after="40"/>
              <w:jc w:val="left"/>
            </w:pPr>
          </w:p>
        </w:tc>
        <w:tc>
          <w:tcPr>
            <w:tcW w:w="1509" w:type="dxa"/>
            <w:tcBorders>
              <w:top w:val="single" w:sz="4" w:space="0" w:color="auto"/>
              <w:bottom w:val="single" w:sz="4" w:space="0" w:color="auto"/>
            </w:tcBorders>
          </w:tcPr>
          <w:p w:rsidR="00DC1575" w:rsidRPr="001E42CA" w:rsidRDefault="00DC1575">
            <w:pPr>
              <w:pStyle w:val="Tabell"/>
              <w:spacing w:before="40" w:after="40"/>
              <w:jc w:val="left"/>
            </w:pPr>
            <w:r w:rsidRPr="001E42CA">
              <w:t>Resultat före extr</w:t>
            </w:r>
            <w:r w:rsidRPr="001E42CA">
              <w:t>a</w:t>
            </w:r>
            <w:r w:rsidRPr="001E42CA">
              <w:t>ordinära poster som andel av summan av skatteintäkter och statsbidrag</w:t>
            </w:r>
          </w:p>
        </w:tc>
        <w:tc>
          <w:tcPr>
            <w:tcW w:w="1509" w:type="dxa"/>
            <w:tcBorders>
              <w:top w:val="single" w:sz="4" w:space="0" w:color="auto"/>
              <w:bottom w:val="single" w:sz="4" w:space="0" w:color="auto"/>
            </w:tcBorders>
          </w:tcPr>
          <w:p w:rsidR="00DC1575" w:rsidRPr="001E42CA" w:rsidRDefault="00DC1575">
            <w:pPr>
              <w:pStyle w:val="Tabell"/>
              <w:spacing w:before="40" w:after="40"/>
              <w:jc w:val="left"/>
            </w:pPr>
            <w:r w:rsidRPr="001E42CA">
              <w:t>Resultat efter extraordinära poster som andel av su</w:t>
            </w:r>
            <w:r w:rsidRPr="001E42CA">
              <w:t>m</w:t>
            </w:r>
            <w:r w:rsidRPr="001E42CA">
              <w:t>man av skattei</w:t>
            </w:r>
            <w:r w:rsidRPr="001E42CA">
              <w:t>n</w:t>
            </w:r>
            <w:r w:rsidRPr="001E42CA">
              <w:t>täkter och statsb</w:t>
            </w:r>
            <w:r w:rsidRPr="001E42CA">
              <w:t>i</w:t>
            </w:r>
            <w:r w:rsidRPr="001E42CA">
              <w:t>drag</w:t>
            </w:r>
          </w:p>
        </w:tc>
        <w:tc>
          <w:tcPr>
            <w:tcW w:w="1509" w:type="dxa"/>
            <w:tcBorders>
              <w:top w:val="single" w:sz="4" w:space="0" w:color="auto"/>
              <w:bottom w:val="single" w:sz="4" w:space="0" w:color="auto"/>
            </w:tcBorders>
          </w:tcPr>
          <w:p w:rsidR="00DC1575" w:rsidRPr="001E42CA" w:rsidRDefault="00DC1575">
            <w:pPr>
              <w:pStyle w:val="Tabell"/>
              <w:spacing w:before="40" w:after="40"/>
              <w:jc w:val="left"/>
            </w:pPr>
            <w:r w:rsidRPr="001E42CA">
              <w:t>Soliditet (inklusive alla pensionsåt</w:t>
            </w:r>
            <w:r w:rsidRPr="001E42CA">
              <w:t>a</w:t>
            </w:r>
            <w:r w:rsidRPr="001E42CA">
              <w:t>ganden)</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Kommunse</w:t>
            </w:r>
            <w:r w:rsidRPr="001E42CA">
              <w:t>k</w:t>
            </w:r>
            <w:r w:rsidRPr="001E42CA">
              <w:t>torn</w:t>
            </w:r>
          </w:p>
        </w:tc>
        <w:tc>
          <w:tcPr>
            <w:tcW w:w="1509" w:type="dxa"/>
          </w:tcPr>
          <w:p w:rsidR="00DC1575" w:rsidRPr="001E42CA" w:rsidRDefault="00DC1575">
            <w:pPr>
              <w:pStyle w:val="Tabell"/>
              <w:spacing w:before="40" w:after="40"/>
              <w:jc w:val="center"/>
            </w:pPr>
            <w:r w:rsidRPr="001E42CA">
              <w:t>-1,0</w:t>
            </w:r>
          </w:p>
        </w:tc>
        <w:tc>
          <w:tcPr>
            <w:tcW w:w="1509" w:type="dxa"/>
          </w:tcPr>
          <w:p w:rsidR="00DC1575" w:rsidRPr="001E42CA" w:rsidRDefault="00DC1575">
            <w:pPr>
              <w:pStyle w:val="Tabell"/>
              <w:spacing w:before="40" w:after="40"/>
              <w:jc w:val="center"/>
            </w:pPr>
            <w:r w:rsidRPr="001E42CA">
              <w:t>1,0</w:t>
            </w:r>
          </w:p>
        </w:tc>
        <w:tc>
          <w:tcPr>
            <w:tcW w:w="1509" w:type="dxa"/>
          </w:tcPr>
          <w:p w:rsidR="00DC1575" w:rsidRPr="001E42CA" w:rsidRDefault="00DC1575">
            <w:pPr>
              <w:pStyle w:val="Tabell"/>
              <w:spacing w:before="40" w:after="40"/>
              <w:jc w:val="center"/>
            </w:pPr>
            <w:r w:rsidRPr="001E42CA">
              <w:t>21,0</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Samtliga sökande kommuner</w:t>
            </w:r>
          </w:p>
        </w:tc>
        <w:tc>
          <w:tcPr>
            <w:tcW w:w="1509" w:type="dxa"/>
          </w:tcPr>
          <w:p w:rsidR="00DC1575" w:rsidRPr="001E42CA" w:rsidRDefault="00DC1575">
            <w:pPr>
              <w:pStyle w:val="Tabell"/>
              <w:spacing w:before="40" w:after="40"/>
              <w:jc w:val="center"/>
            </w:pPr>
            <w:r w:rsidRPr="001E42CA">
              <w:t>-3,3</w:t>
            </w:r>
          </w:p>
        </w:tc>
        <w:tc>
          <w:tcPr>
            <w:tcW w:w="1509" w:type="dxa"/>
          </w:tcPr>
          <w:p w:rsidR="00DC1575" w:rsidRPr="001E42CA" w:rsidRDefault="00DC1575">
            <w:pPr>
              <w:pStyle w:val="Tabell"/>
              <w:spacing w:before="40" w:after="40"/>
              <w:jc w:val="center"/>
            </w:pPr>
            <w:r w:rsidRPr="001E42CA">
              <w:t>-3,8</w:t>
            </w:r>
          </w:p>
        </w:tc>
        <w:tc>
          <w:tcPr>
            <w:tcW w:w="1509" w:type="dxa"/>
          </w:tcPr>
          <w:p w:rsidR="00DC1575" w:rsidRPr="001E42CA" w:rsidRDefault="00DC1575">
            <w:pPr>
              <w:pStyle w:val="Tabell"/>
              <w:spacing w:before="40" w:after="40"/>
              <w:jc w:val="center"/>
            </w:pPr>
            <w:r w:rsidRPr="001E42CA">
              <w:t xml:space="preserve">  3,2</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Bifall av BD</w:t>
            </w:r>
          </w:p>
        </w:tc>
        <w:tc>
          <w:tcPr>
            <w:tcW w:w="1509" w:type="dxa"/>
          </w:tcPr>
          <w:p w:rsidR="00DC1575" w:rsidRPr="001E42CA" w:rsidRDefault="00DC1575">
            <w:pPr>
              <w:pStyle w:val="Tabell"/>
              <w:spacing w:before="40" w:after="40"/>
              <w:jc w:val="center"/>
            </w:pPr>
            <w:r w:rsidRPr="001E42CA">
              <w:t>-3,4 (29)</w:t>
            </w:r>
          </w:p>
        </w:tc>
        <w:tc>
          <w:tcPr>
            <w:tcW w:w="1509" w:type="dxa"/>
          </w:tcPr>
          <w:p w:rsidR="00DC1575" w:rsidRPr="001E42CA" w:rsidRDefault="00DC1575">
            <w:pPr>
              <w:pStyle w:val="Tabell"/>
              <w:spacing w:before="40" w:after="40"/>
              <w:jc w:val="center"/>
            </w:pPr>
            <w:r w:rsidRPr="001E42CA">
              <w:t>-10,2 (12)</w:t>
            </w:r>
          </w:p>
        </w:tc>
        <w:tc>
          <w:tcPr>
            <w:tcW w:w="1509" w:type="dxa"/>
          </w:tcPr>
          <w:p w:rsidR="00DC1575" w:rsidRPr="001E42CA" w:rsidRDefault="00DC1575">
            <w:pPr>
              <w:pStyle w:val="Tabell"/>
              <w:spacing w:before="40" w:after="40"/>
              <w:jc w:val="center"/>
            </w:pPr>
            <w:r w:rsidRPr="001E42CA">
              <w:t xml:space="preserve"> -6,4</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Avslag av BD</w:t>
            </w:r>
          </w:p>
        </w:tc>
        <w:tc>
          <w:tcPr>
            <w:tcW w:w="1509" w:type="dxa"/>
          </w:tcPr>
          <w:p w:rsidR="00DC1575" w:rsidRPr="001E42CA" w:rsidRDefault="00DC1575">
            <w:pPr>
              <w:pStyle w:val="Tabell"/>
              <w:spacing w:before="40" w:after="40"/>
              <w:jc w:val="center"/>
            </w:pPr>
            <w:r w:rsidRPr="001E42CA">
              <w:t>-2,5 (24)</w:t>
            </w:r>
          </w:p>
        </w:tc>
        <w:tc>
          <w:tcPr>
            <w:tcW w:w="1509" w:type="dxa"/>
          </w:tcPr>
          <w:p w:rsidR="00DC1575" w:rsidRPr="001E42CA" w:rsidRDefault="00DC1575">
            <w:pPr>
              <w:pStyle w:val="Tabell"/>
              <w:spacing w:before="40" w:after="40"/>
              <w:jc w:val="center"/>
            </w:pPr>
            <w:r w:rsidRPr="001E42CA">
              <w:t>-3,0 (29)</w:t>
            </w:r>
          </w:p>
        </w:tc>
        <w:tc>
          <w:tcPr>
            <w:tcW w:w="1509" w:type="dxa"/>
          </w:tcPr>
          <w:p w:rsidR="00DC1575" w:rsidRPr="001E42CA" w:rsidRDefault="00DC1575">
            <w:pPr>
              <w:pStyle w:val="Tabell"/>
              <w:spacing w:before="40" w:after="40"/>
              <w:jc w:val="center"/>
            </w:pPr>
            <w:r w:rsidRPr="001E42CA">
              <w:t xml:space="preserve">  5,0</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Bifall av regeringen (efter förslag från KD)</w:t>
            </w:r>
          </w:p>
        </w:tc>
        <w:tc>
          <w:tcPr>
            <w:tcW w:w="1509" w:type="dxa"/>
          </w:tcPr>
          <w:p w:rsidR="00DC1575" w:rsidRPr="001E42CA" w:rsidRDefault="00DC1575">
            <w:pPr>
              <w:pStyle w:val="Tabell"/>
              <w:spacing w:before="40" w:after="40"/>
              <w:jc w:val="center"/>
            </w:pPr>
            <w:r w:rsidRPr="001E42CA">
              <w:t>-4,2 (9)</w:t>
            </w:r>
          </w:p>
        </w:tc>
        <w:tc>
          <w:tcPr>
            <w:tcW w:w="1509" w:type="dxa"/>
          </w:tcPr>
          <w:p w:rsidR="00DC1575" w:rsidRPr="001E42CA" w:rsidRDefault="00DC1575">
            <w:pPr>
              <w:pStyle w:val="Tabell"/>
              <w:spacing w:before="40" w:after="40"/>
              <w:jc w:val="center"/>
            </w:pPr>
            <w:r w:rsidRPr="001E42CA">
              <w:t>-9,0 (5)</w:t>
            </w:r>
          </w:p>
        </w:tc>
        <w:tc>
          <w:tcPr>
            <w:tcW w:w="1509" w:type="dxa"/>
          </w:tcPr>
          <w:p w:rsidR="00DC1575" w:rsidRPr="001E42CA" w:rsidRDefault="00DC1575">
            <w:pPr>
              <w:pStyle w:val="Tabell"/>
              <w:spacing w:before="40" w:after="40"/>
              <w:jc w:val="center"/>
            </w:pPr>
            <w:r w:rsidRPr="001E42CA">
              <w:t xml:space="preserve"> -8,8</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Avslag från reg</w:t>
            </w:r>
            <w:r w:rsidRPr="001E42CA">
              <w:t>e</w:t>
            </w:r>
            <w:r w:rsidRPr="001E42CA">
              <w:t>ringen (efter förslag från KD)</w:t>
            </w:r>
          </w:p>
        </w:tc>
        <w:tc>
          <w:tcPr>
            <w:tcW w:w="1509" w:type="dxa"/>
          </w:tcPr>
          <w:p w:rsidR="00DC1575" w:rsidRPr="001E42CA" w:rsidRDefault="00DC1575">
            <w:pPr>
              <w:pStyle w:val="Tabell"/>
              <w:spacing w:before="40" w:after="40"/>
              <w:jc w:val="center"/>
            </w:pPr>
            <w:r w:rsidRPr="001E42CA">
              <w:t>-1,6 (27)</w:t>
            </w:r>
          </w:p>
        </w:tc>
        <w:tc>
          <w:tcPr>
            <w:tcW w:w="1509" w:type="dxa"/>
          </w:tcPr>
          <w:p w:rsidR="00DC1575" w:rsidRPr="001E42CA" w:rsidRDefault="00DC1575">
            <w:pPr>
              <w:pStyle w:val="Tabell"/>
              <w:spacing w:before="40" w:after="40"/>
              <w:jc w:val="center"/>
            </w:pPr>
            <w:r w:rsidRPr="001E42CA">
              <w:t>-2,8 (32)</w:t>
            </w:r>
          </w:p>
        </w:tc>
        <w:tc>
          <w:tcPr>
            <w:tcW w:w="1509" w:type="dxa"/>
          </w:tcPr>
          <w:p w:rsidR="00DC1575" w:rsidRPr="001E42CA" w:rsidRDefault="00DC1575">
            <w:pPr>
              <w:pStyle w:val="Tabell"/>
              <w:spacing w:before="40" w:after="40"/>
              <w:jc w:val="center"/>
            </w:pPr>
            <w:r w:rsidRPr="001E42CA">
              <w:t xml:space="preserve">  8,0</w:t>
            </w:r>
          </w:p>
        </w:tc>
      </w:tr>
      <w:tr w:rsidR="00000000" w:rsidRPr="001E42CA">
        <w:tblPrEx>
          <w:tblCellMar>
            <w:top w:w="0" w:type="dxa"/>
            <w:bottom w:w="0" w:type="dxa"/>
          </w:tblCellMar>
        </w:tblPrEx>
        <w:tc>
          <w:tcPr>
            <w:tcW w:w="1509" w:type="dxa"/>
          </w:tcPr>
          <w:p w:rsidR="00DC1575" w:rsidRPr="001E42CA" w:rsidRDefault="00DC1575">
            <w:pPr>
              <w:pStyle w:val="Tabell"/>
              <w:spacing w:before="40" w:after="40"/>
              <w:jc w:val="left"/>
            </w:pPr>
            <w:r w:rsidRPr="001E42CA">
              <w:t>Bifall av regeringen (efter förslag från BD och KD)</w:t>
            </w:r>
          </w:p>
        </w:tc>
        <w:tc>
          <w:tcPr>
            <w:tcW w:w="1509" w:type="dxa"/>
          </w:tcPr>
          <w:p w:rsidR="00DC1575" w:rsidRPr="001E42CA" w:rsidRDefault="00DC1575">
            <w:pPr>
              <w:pStyle w:val="Tabell"/>
              <w:spacing w:before="40" w:after="40"/>
              <w:jc w:val="center"/>
            </w:pPr>
            <w:r w:rsidRPr="001E42CA">
              <w:t>-4,7 (8)</w:t>
            </w:r>
          </w:p>
        </w:tc>
        <w:tc>
          <w:tcPr>
            <w:tcW w:w="1509" w:type="dxa"/>
          </w:tcPr>
          <w:p w:rsidR="00DC1575" w:rsidRPr="001E42CA" w:rsidRDefault="00DC1575">
            <w:pPr>
              <w:pStyle w:val="Tabell"/>
              <w:spacing w:before="40" w:after="40"/>
              <w:jc w:val="center"/>
            </w:pPr>
            <w:r w:rsidRPr="001E42CA">
              <w:t>-4,5 (8)</w:t>
            </w:r>
          </w:p>
        </w:tc>
        <w:tc>
          <w:tcPr>
            <w:tcW w:w="1509" w:type="dxa"/>
          </w:tcPr>
          <w:p w:rsidR="00DC1575" w:rsidRPr="001E42CA" w:rsidRDefault="00DC1575">
            <w:pPr>
              <w:pStyle w:val="Tabell"/>
              <w:spacing w:before="40" w:after="40"/>
              <w:jc w:val="center"/>
            </w:pPr>
            <w:r w:rsidRPr="001E42CA">
              <w:t xml:space="preserve">  8,9</w:t>
            </w:r>
          </w:p>
        </w:tc>
      </w:tr>
      <w:tr w:rsidR="00000000" w:rsidRPr="001E42CA">
        <w:tblPrEx>
          <w:tblCellMar>
            <w:top w:w="0" w:type="dxa"/>
            <w:bottom w:w="0" w:type="dxa"/>
          </w:tblCellMar>
        </w:tblPrEx>
        <w:tc>
          <w:tcPr>
            <w:tcW w:w="1509" w:type="dxa"/>
            <w:tcBorders>
              <w:bottom w:val="single" w:sz="4" w:space="0" w:color="auto"/>
            </w:tcBorders>
          </w:tcPr>
          <w:p w:rsidR="00DC1575" w:rsidRPr="001E42CA" w:rsidRDefault="00DC1575">
            <w:pPr>
              <w:pStyle w:val="Tabell"/>
              <w:spacing w:before="40" w:after="40"/>
              <w:jc w:val="left"/>
            </w:pPr>
            <w:r w:rsidRPr="001E42CA">
              <w:t>Avslag från reg</w:t>
            </w:r>
            <w:r w:rsidRPr="001E42CA">
              <w:t>e</w:t>
            </w:r>
            <w:r w:rsidRPr="001E42CA">
              <w:t>ringen (ej överlä</w:t>
            </w:r>
            <w:r w:rsidRPr="001E42CA">
              <w:t>m</w:t>
            </w:r>
            <w:r w:rsidRPr="001E42CA">
              <w:t>nade till deleg</w:t>
            </w:r>
            <w:r w:rsidRPr="001E42CA">
              <w:t>a</w:t>
            </w:r>
            <w:r w:rsidRPr="001E42CA">
              <w:t>tion)</w:t>
            </w:r>
          </w:p>
        </w:tc>
        <w:tc>
          <w:tcPr>
            <w:tcW w:w="1509" w:type="dxa"/>
            <w:tcBorders>
              <w:bottom w:val="single" w:sz="4" w:space="0" w:color="auto"/>
            </w:tcBorders>
          </w:tcPr>
          <w:p w:rsidR="00DC1575" w:rsidRPr="001E42CA" w:rsidRDefault="00DC1575">
            <w:pPr>
              <w:pStyle w:val="Tabell"/>
              <w:spacing w:before="40" w:after="40"/>
              <w:jc w:val="center"/>
            </w:pPr>
            <w:r w:rsidRPr="001E42CA">
              <w:t>-4,4 (7)</w:t>
            </w:r>
          </w:p>
        </w:tc>
        <w:tc>
          <w:tcPr>
            <w:tcW w:w="1509" w:type="dxa"/>
            <w:tcBorders>
              <w:bottom w:val="single" w:sz="4" w:space="0" w:color="auto"/>
            </w:tcBorders>
          </w:tcPr>
          <w:p w:rsidR="00DC1575" w:rsidRPr="001E42CA" w:rsidRDefault="00DC1575">
            <w:pPr>
              <w:pStyle w:val="Tabell"/>
              <w:spacing w:before="40" w:after="40"/>
              <w:jc w:val="center"/>
            </w:pPr>
            <w:r w:rsidRPr="001E42CA">
              <w:t>0,1 (13)</w:t>
            </w:r>
          </w:p>
        </w:tc>
        <w:tc>
          <w:tcPr>
            <w:tcW w:w="1509" w:type="dxa"/>
            <w:tcBorders>
              <w:bottom w:val="single" w:sz="4" w:space="0" w:color="auto"/>
            </w:tcBorders>
          </w:tcPr>
          <w:p w:rsidR="00DC1575" w:rsidRPr="001E42CA" w:rsidRDefault="00DC1575">
            <w:pPr>
              <w:pStyle w:val="Tabell"/>
              <w:spacing w:before="40" w:after="40"/>
              <w:jc w:val="center"/>
            </w:pPr>
            <w:r w:rsidRPr="001E42CA">
              <w:t xml:space="preserve">  4,4</w:t>
            </w:r>
          </w:p>
        </w:tc>
      </w:tr>
    </w:tbl>
    <w:p w:rsidR="00DC1575" w:rsidRPr="001E42CA" w:rsidRDefault="00DC1575">
      <w:pPr>
        <w:pStyle w:val="Normaltindrag"/>
      </w:pPr>
    </w:p>
    <w:p w:rsidR="00DC1575" w:rsidRPr="001E42CA" w:rsidRDefault="00DC1575">
      <w:pPr>
        <w:spacing w:before="0"/>
      </w:pPr>
      <w:r w:rsidRPr="001E42CA">
        <w:t>När det gäller resultaten finns det skäl att närmare analysera de ärenden som beretts av Kommundelegationen. Delegationen har haft till uppgift att bereda ärenden om huruvida ett ekonomiskt stöd ska ges till vissa kommuner för åtgärder i syfte att nå ekonomisk balans. Ett viktigt mått är då naturligtvis vilket budgetunderskott som förväntas uppstå 2002.</w:t>
      </w:r>
      <w:r w:rsidRPr="001E42CA">
        <w:rPr>
          <w:rStyle w:val="Fotnotsreferens"/>
        </w:rPr>
        <w:footnoteReference w:id="13"/>
      </w:r>
      <w:r w:rsidRPr="001E42CA">
        <w:t xml:space="preserve"> Kommundelegationen har gjort en sammanställning över förväntade resultat 2002. Den avser dels kommune</w:t>
      </w:r>
      <w:r w:rsidRPr="001E42CA">
        <w:t>r</w:t>
      </w:r>
      <w:r w:rsidRPr="001E42CA">
        <w:t xml:space="preserve">nas egna bedömningar, dels delegationens bedömning. </w:t>
      </w:r>
    </w:p>
    <w:p w:rsidR="00DC1575" w:rsidRPr="001E42CA" w:rsidRDefault="00DC1575">
      <w:pPr>
        <w:pStyle w:val="Normaltindrag"/>
      </w:pPr>
      <w:r w:rsidRPr="001E42CA">
        <w:t>Det föreligger betydande skillnader mellan de bägge prognoserna eller uppskattningarna (Tabell 4.8). Enligt kommunernas egna bedömningar fö</w:t>
      </w:r>
      <w:r w:rsidRPr="001E42CA">
        <w:t>r</w:t>
      </w:r>
      <w:r w:rsidRPr="001E42CA">
        <w:t>väntas endast 43 procent av kommunerna uppvisa underskott 2002. Det genomsnittliga resultatet är dock negativt och uppgår till –12 kronor per innevånare. Kommundelegationens bedömning pekar dock på att 91 procent av kommunerna kommer att ha ett underskott 2002. Detta leder till ett fö</w:t>
      </w:r>
      <w:r w:rsidRPr="001E42CA">
        <w:t>r</w:t>
      </w:r>
      <w:r w:rsidRPr="001E42CA">
        <w:t>väntat underskott på –1377 kronor per innevånare. Kommundelegationen bedömer således att både budgetunderskott och antal kommuner med unde</w:t>
      </w:r>
      <w:r w:rsidRPr="001E42CA">
        <w:t>r</w:t>
      </w:r>
      <w:r w:rsidRPr="001E42CA">
        <w:t xml:space="preserve">skott kommer att vara betydligt större än vad kommunerna själva räknar med. </w:t>
      </w:r>
    </w:p>
    <w:p w:rsidR="00DC1575" w:rsidRPr="001E42CA" w:rsidRDefault="00DC1575">
      <w:pPr>
        <w:pStyle w:val="Normaltindrag"/>
      </w:pPr>
      <w:r w:rsidRPr="001E42CA">
        <w:t>Kommundel</w:t>
      </w:r>
      <w:r w:rsidRPr="001E42CA">
        <w:t>egationens mer negativa bedömning får framför allt geno</w:t>
      </w:r>
      <w:r w:rsidRPr="001E42CA">
        <w:t>m</w:t>
      </w:r>
      <w:r w:rsidRPr="001E42CA">
        <w:t>slag för de kommuner som fått bifall efter förslag från delegationen. I dessa kommuner kommer resultaten att kraftigt försämras jämfört med kommune</w:t>
      </w:r>
      <w:r w:rsidRPr="001E42CA">
        <w:t>r</w:t>
      </w:r>
      <w:r w:rsidRPr="001E42CA">
        <w:t>nas egna bedömningar. I de kommuner som fått avslag efter förslag från delegationen sker dock ingen nämnvärd resultatförsämring. Kommunernas egna bedömningar pekar inte på några större skillnader mellan de tre gru</w:t>
      </w:r>
      <w:r w:rsidRPr="001E42CA">
        <w:t>p</w:t>
      </w:r>
      <w:r w:rsidRPr="001E42CA">
        <w:t>perna i Tabell 4.8. Enligt Kommundelegationen (2000) är en rimlig orsak till diskrepansen mell</w:t>
      </w:r>
      <w:r w:rsidRPr="001E42CA">
        <w:t>an delegationens framskrivningar och kommunernas ek</w:t>
      </w:r>
      <w:r w:rsidRPr="001E42CA">
        <w:t>o</w:t>
      </w:r>
      <w:r w:rsidRPr="001E42CA">
        <w:t>nomiska planer att kommunerna ofta lagt in besparingskrav i planen utan att dessa konkretiserats genom politiska beslut. En annan orsak är att de sökande ofta har, enligt delegationens bedömning, gjort en alltför optimistisk befol</w:t>
      </w:r>
      <w:r w:rsidRPr="001E42CA">
        <w:t>k</w:t>
      </w:r>
      <w:r w:rsidRPr="001E42CA">
        <w:t>ningsprognos.</w:t>
      </w:r>
    </w:p>
    <w:p w:rsidR="00DC1575" w:rsidRPr="001E42CA" w:rsidRDefault="00DC1575">
      <w:pPr>
        <w:pStyle w:val="Normaltindrag"/>
      </w:pPr>
    </w:p>
    <w:p w:rsidR="00DC1575" w:rsidRPr="001E42CA" w:rsidRDefault="00DC1575">
      <w:pPr>
        <w:pStyle w:val="Tabellrubrik"/>
      </w:pPr>
      <w:r w:rsidRPr="001E42CA">
        <w:t>Tabell 4.8 Resultat år 2002 enligt kommunerna och enligt Kommundeleg</w:t>
      </w:r>
      <w:r w:rsidRPr="001E42CA">
        <w:t>a</w:t>
      </w:r>
      <w:r w:rsidRPr="001E42CA">
        <w:t>tionen</w:t>
      </w:r>
    </w:p>
    <w:p w:rsidR="00DC1575" w:rsidRPr="001E42CA" w:rsidRDefault="00DC1575">
      <w:pPr>
        <w:pStyle w:val="Fotnotstext"/>
        <w:spacing w:before="0" w:line="245" w:lineRule="exact"/>
      </w:pPr>
      <w:r w:rsidRPr="001E42CA">
        <w:t>Kronor per innevånare</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756"/>
        <w:gridCol w:w="1140"/>
        <w:gridCol w:w="1140"/>
      </w:tblGrid>
      <w:tr w:rsidR="00000000" w:rsidRPr="001E42CA">
        <w:tblPrEx>
          <w:tblCellMar>
            <w:top w:w="0" w:type="dxa"/>
            <w:bottom w:w="0" w:type="dxa"/>
          </w:tblCellMar>
        </w:tblPrEx>
        <w:tc>
          <w:tcPr>
            <w:tcW w:w="3756" w:type="dxa"/>
            <w:tcBorders>
              <w:top w:val="single" w:sz="4" w:space="0" w:color="auto"/>
              <w:bottom w:val="single" w:sz="4" w:space="0" w:color="auto"/>
            </w:tcBorders>
          </w:tcPr>
          <w:p w:rsidR="00DC1575" w:rsidRPr="001E42CA" w:rsidRDefault="00DC1575">
            <w:pPr>
              <w:pStyle w:val="Tabell"/>
              <w:spacing w:before="40" w:after="40"/>
              <w:jc w:val="left"/>
            </w:pPr>
          </w:p>
        </w:tc>
        <w:tc>
          <w:tcPr>
            <w:tcW w:w="1140" w:type="dxa"/>
            <w:tcBorders>
              <w:top w:val="single" w:sz="4" w:space="0" w:color="auto"/>
              <w:bottom w:val="single" w:sz="4" w:space="0" w:color="auto"/>
            </w:tcBorders>
          </w:tcPr>
          <w:p w:rsidR="00DC1575" w:rsidRPr="001E42CA" w:rsidRDefault="00DC1575">
            <w:pPr>
              <w:pStyle w:val="Tabell"/>
              <w:spacing w:before="40" w:after="40"/>
              <w:jc w:val="left"/>
            </w:pPr>
            <w:r w:rsidRPr="001E42CA">
              <w:t>Resultat år 2002 enligt ko</w:t>
            </w:r>
            <w:r w:rsidRPr="001E42CA">
              <w:t>m</w:t>
            </w:r>
            <w:r w:rsidRPr="001E42CA">
              <w:t>munen</w:t>
            </w:r>
          </w:p>
        </w:tc>
        <w:tc>
          <w:tcPr>
            <w:tcW w:w="1140" w:type="dxa"/>
            <w:tcBorders>
              <w:top w:val="single" w:sz="4" w:space="0" w:color="auto"/>
              <w:bottom w:val="single" w:sz="4" w:space="0" w:color="auto"/>
            </w:tcBorders>
          </w:tcPr>
          <w:p w:rsidR="00DC1575" w:rsidRPr="001E42CA" w:rsidRDefault="00DC1575">
            <w:pPr>
              <w:pStyle w:val="Tabell"/>
              <w:spacing w:before="40" w:after="40"/>
              <w:jc w:val="left"/>
            </w:pPr>
            <w:r w:rsidRPr="001E42CA">
              <w:t>Resultat år 2002 enligt Kommund</w:t>
            </w:r>
            <w:r w:rsidRPr="001E42CA">
              <w:t>e</w:t>
            </w:r>
            <w:r w:rsidRPr="001E42CA">
              <w:t>legationen</w:t>
            </w:r>
          </w:p>
        </w:tc>
      </w:tr>
      <w:tr w:rsidR="00000000" w:rsidRPr="001E42CA">
        <w:tblPrEx>
          <w:tblCellMar>
            <w:top w:w="0" w:type="dxa"/>
            <w:bottom w:w="0" w:type="dxa"/>
          </w:tblCellMar>
        </w:tblPrEx>
        <w:tc>
          <w:tcPr>
            <w:tcW w:w="3756" w:type="dxa"/>
          </w:tcPr>
          <w:p w:rsidR="00DC1575" w:rsidRPr="001E42CA" w:rsidRDefault="00DC1575">
            <w:pPr>
              <w:pStyle w:val="Tabell"/>
              <w:spacing w:before="40" w:after="40"/>
              <w:jc w:val="left"/>
            </w:pPr>
            <w:r w:rsidRPr="001E42CA">
              <w:t>Bifall av regeringen (efter förslag från KD)</w:t>
            </w:r>
          </w:p>
        </w:tc>
        <w:tc>
          <w:tcPr>
            <w:tcW w:w="1140" w:type="dxa"/>
          </w:tcPr>
          <w:p w:rsidR="00DC1575" w:rsidRPr="001E42CA" w:rsidRDefault="00DC1575">
            <w:pPr>
              <w:pStyle w:val="Tabell"/>
              <w:spacing w:before="40" w:after="40"/>
              <w:jc w:val="center"/>
            </w:pPr>
            <w:r w:rsidRPr="001E42CA">
              <w:t xml:space="preserve">  -12</w:t>
            </w:r>
          </w:p>
        </w:tc>
        <w:tc>
          <w:tcPr>
            <w:tcW w:w="1140" w:type="dxa"/>
          </w:tcPr>
          <w:p w:rsidR="00DC1575" w:rsidRPr="001E42CA" w:rsidRDefault="00DC1575">
            <w:pPr>
              <w:pStyle w:val="Tabell"/>
              <w:spacing w:before="40" w:after="40"/>
              <w:jc w:val="center"/>
            </w:pPr>
            <w:r w:rsidRPr="001E42CA">
              <w:t>-2229</w:t>
            </w:r>
          </w:p>
        </w:tc>
      </w:tr>
      <w:tr w:rsidR="00000000" w:rsidRPr="001E42CA">
        <w:tblPrEx>
          <w:tblCellMar>
            <w:top w:w="0" w:type="dxa"/>
            <w:bottom w:w="0" w:type="dxa"/>
          </w:tblCellMar>
        </w:tblPrEx>
        <w:tc>
          <w:tcPr>
            <w:tcW w:w="3756" w:type="dxa"/>
          </w:tcPr>
          <w:p w:rsidR="00DC1575" w:rsidRPr="001E42CA" w:rsidRDefault="00DC1575">
            <w:pPr>
              <w:pStyle w:val="Tabell"/>
              <w:spacing w:before="40" w:after="40"/>
              <w:jc w:val="left"/>
            </w:pPr>
            <w:r w:rsidRPr="001E42CA">
              <w:t>Avslag från regeringen (efter förslag från KD)</w:t>
            </w:r>
          </w:p>
        </w:tc>
        <w:tc>
          <w:tcPr>
            <w:tcW w:w="1140" w:type="dxa"/>
          </w:tcPr>
          <w:p w:rsidR="00DC1575" w:rsidRPr="001E42CA" w:rsidRDefault="00DC1575">
            <w:pPr>
              <w:pStyle w:val="Tabell"/>
              <w:spacing w:before="40" w:after="40"/>
              <w:jc w:val="center"/>
            </w:pPr>
            <w:r w:rsidRPr="001E42CA">
              <w:t xml:space="preserve"> 153</w:t>
            </w:r>
          </w:p>
        </w:tc>
        <w:tc>
          <w:tcPr>
            <w:tcW w:w="1140" w:type="dxa"/>
          </w:tcPr>
          <w:p w:rsidR="00DC1575" w:rsidRPr="001E42CA" w:rsidRDefault="00DC1575">
            <w:pPr>
              <w:pStyle w:val="Tabell"/>
              <w:spacing w:before="40" w:after="40"/>
              <w:jc w:val="center"/>
            </w:pPr>
            <w:r w:rsidRPr="001E42CA">
              <w:t xml:space="preserve">    -16</w:t>
            </w:r>
          </w:p>
        </w:tc>
      </w:tr>
      <w:tr w:rsidR="00000000" w:rsidRPr="001E42CA">
        <w:tblPrEx>
          <w:tblCellMar>
            <w:top w:w="0" w:type="dxa"/>
            <w:bottom w:w="0" w:type="dxa"/>
          </w:tblCellMar>
        </w:tblPrEx>
        <w:tc>
          <w:tcPr>
            <w:tcW w:w="3756" w:type="dxa"/>
          </w:tcPr>
          <w:p w:rsidR="00DC1575" w:rsidRPr="001E42CA" w:rsidRDefault="00DC1575">
            <w:pPr>
              <w:pStyle w:val="Tabell"/>
              <w:spacing w:before="40" w:after="40"/>
              <w:jc w:val="left"/>
            </w:pPr>
            <w:r w:rsidRPr="001E42CA">
              <w:t>Bifall av regeringen (efter förslag från BD och KD)</w:t>
            </w:r>
          </w:p>
        </w:tc>
        <w:tc>
          <w:tcPr>
            <w:tcW w:w="1140" w:type="dxa"/>
          </w:tcPr>
          <w:p w:rsidR="00DC1575" w:rsidRPr="001E42CA" w:rsidRDefault="00DC1575">
            <w:pPr>
              <w:pStyle w:val="Tabell"/>
              <w:spacing w:before="40" w:after="40"/>
              <w:jc w:val="center"/>
            </w:pPr>
            <w:r w:rsidRPr="001E42CA">
              <w:t>-297</w:t>
            </w:r>
          </w:p>
        </w:tc>
        <w:tc>
          <w:tcPr>
            <w:tcW w:w="1140" w:type="dxa"/>
          </w:tcPr>
          <w:p w:rsidR="00DC1575" w:rsidRPr="001E42CA" w:rsidRDefault="00DC1575">
            <w:pPr>
              <w:pStyle w:val="Tabell"/>
              <w:spacing w:before="40" w:after="40"/>
              <w:jc w:val="center"/>
            </w:pPr>
            <w:r w:rsidRPr="001E42CA">
              <w:t>-2470</w:t>
            </w:r>
          </w:p>
        </w:tc>
      </w:tr>
      <w:tr w:rsidR="00000000" w:rsidRPr="001E42CA">
        <w:tblPrEx>
          <w:tblCellMar>
            <w:top w:w="0" w:type="dxa"/>
            <w:bottom w:w="0" w:type="dxa"/>
          </w:tblCellMar>
        </w:tblPrEx>
        <w:tc>
          <w:tcPr>
            <w:tcW w:w="3756" w:type="dxa"/>
            <w:tcBorders>
              <w:bottom w:val="single" w:sz="4" w:space="0" w:color="auto"/>
            </w:tcBorders>
          </w:tcPr>
          <w:p w:rsidR="00DC1575" w:rsidRPr="001E42CA" w:rsidRDefault="00DC1575">
            <w:pPr>
              <w:pStyle w:val="Tabell"/>
              <w:spacing w:before="40" w:after="40"/>
              <w:jc w:val="left"/>
            </w:pPr>
            <w:r w:rsidRPr="001E42CA">
              <w:t>Samtliga</w:t>
            </w:r>
          </w:p>
        </w:tc>
        <w:tc>
          <w:tcPr>
            <w:tcW w:w="1140" w:type="dxa"/>
            <w:tcBorders>
              <w:bottom w:val="single" w:sz="4" w:space="0" w:color="auto"/>
            </w:tcBorders>
          </w:tcPr>
          <w:p w:rsidR="00DC1575" w:rsidRPr="001E42CA" w:rsidRDefault="00DC1575">
            <w:pPr>
              <w:pStyle w:val="Tabell"/>
              <w:spacing w:before="40" w:after="40"/>
              <w:jc w:val="center"/>
            </w:pPr>
            <w:r w:rsidRPr="001E42CA">
              <w:t xml:space="preserve">  -12</w:t>
            </w:r>
          </w:p>
        </w:tc>
        <w:tc>
          <w:tcPr>
            <w:tcW w:w="1140" w:type="dxa"/>
            <w:tcBorders>
              <w:bottom w:val="single" w:sz="4" w:space="0" w:color="auto"/>
            </w:tcBorders>
          </w:tcPr>
          <w:p w:rsidR="00DC1575" w:rsidRPr="001E42CA" w:rsidRDefault="00DC1575">
            <w:pPr>
              <w:pStyle w:val="Tabell"/>
              <w:spacing w:before="40" w:after="40"/>
              <w:jc w:val="center"/>
            </w:pPr>
            <w:r w:rsidRPr="001E42CA">
              <w:t>-1377</w:t>
            </w:r>
          </w:p>
        </w:tc>
      </w:tr>
    </w:tbl>
    <w:p w:rsidR="00DC1575" w:rsidRPr="001E42CA" w:rsidRDefault="00DC1575">
      <w:pPr>
        <w:pStyle w:val="Normaltindrag"/>
      </w:pPr>
    </w:p>
    <w:p w:rsidR="00DC1575" w:rsidRPr="001E42CA" w:rsidRDefault="00DC1575">
      <w:pPr>
        <w:spacing w:before="0"/>
      </w:pPr>
      <w:r w:rsidRPr="001E42CA">
        <w:t>Svenska kommunförbundet (2000a) har genomfört en enkät till kommunerna där de bedömer sina möjligheter att klara balanskraven 2000 och 2001. U</w:t>
      </w:r>
      <w:r w:rsidRPr="001E42CA">
        <w:t>n</w:t>
      </w:r>
      <w:r w:rsidRPr="001E42CA">
        <w:t>dersökningen genomfördes innan regeringen fattade beslut om bidrag. I 35 procent av kommunerna görs bedömningen att kraven på ekonomisk balans inte uppfylls 2000. Det är dock endast drygt 20 procent av kommunerna som definitivt anger att de ej klarar balanskravet (ca 15 procent anger att de trol</w:t>
      </w:r>
      <w:r w:rsidRPr="001E42CA">
        <w:t>i</w:t>
      </w:r>
      <w:r w:rsidRPr="001E42CA">
        <w:t>gen inte klarar balanskravet). För 2001 anger drygt 20 procent av komm</w:t>
      </w:r>
      <w:r w:rsidRPr="001E42CA">
        <w:t>u</w:t>
      </w:r>
      <w:r w:rsidRPr="001E42CA">
        <w:t>nerna att de inte kommer att klara balanskravet. Ungefär 5 procent bedömer att de definitivt inte kommer att uppfylla balanskravet (14 kommuner</w:t>
      </w:r>
      <w:r w:rsidRPr="001E42CA">
        <w:t>). Kommunförbundets enkätundersökning förefaller således ge en mer positiv bild än Kommundelegationens prognoser.</w:t>
      </w:r>
    </w:p>
    <w:p w:rsidR="00DC1575" w:rsidRPr="001E42CA" w:rsidRDefault="00DC1575">
      <w:pPr>
        <w:pStyle w:val="Normaltindrag"/>
      </w:pPr>
      <w:r w:rsidRPr="001E42CA">
        <w:t>En undersökning av KommunAktuellt (2000) visar på liknande resultat (undersökningen genomfördes efter Kommundelegationens förslag). Enligt denna undersökning räknar 25 kommuner med att inte klara balanskravet år 2001. År 2002 och 2003 är var femte kommun tveksam till om de klarar ekonomisk balans. För dessa år anger dock endast tre respektive två komm</w:t>
      </w:r>
      <w:r w:rsidRPr="001E42CA">
        <w:t>u</w:t>
      </w:r>
      <w:r w:rsidRPr="001E42CA">
        <w:t>ner att de definitivt inte kommer att klara bala</w:t>
      </w:r>
      <w:r w:rsidRPr="001E42CA">
        <w:t>n</w:t>
      </w:r>
      <w:r w:rsidRPr="001E42CA">
        <w:t>skravet.</w:t>
      </w:r>
    </w:p>
    <w:p w:rsidR="00DC1575" w:rsidRPr="001E42CA" w:rsidRDefault="00DC1575">
      <w:pPr>
        <w:pStyle w:val="R3"/>
      </w:pPr>
      <w:r w:rsidRPr="001E42CA">
        <w:t>Besparingar och försäljningar</w:t>
      </w:r>
    </w:p>
    <w:p w:rsidR="00DC1575" w:rsidRPr="001E42CA" w:rsidRDefault="00DC1575">
      <w:r w:rsidRPr="001E42CA">
        <w:t>Det är också möjligt att utifrån finansiella nyckeltal försöka att analysera om kommunerna vidtagit åtgärder för att rationalisera eller krympa verksamh</w:t>
      </w:r>
      <w:r w:rsidRPr="001E42CA">
        <w:t>e</w:t>
      </w:r>
      <w:r w:rsidRPr="001E42CA">
        <w:t>ten, åtminstone till den del sådana åtgärder är synliga i resultat- eller balan</w:t>
      </w:r>
      <w:r w:rsidRPr="001E42CA">
        <w:t>s</w:t>
      </w:r>
      <w:r w:rsidRPr="001E42CA">
        <w:t>rä</w:t>
      </w:r>
      <w:r w:rsidRPr="001E42CA">
        <w:t>k</w:t>
      </w:r>
      <w:r w:rsidRPr="001E42CA">
        <w:t>ningen.</w:t>
      </w:r>
    </w:p>
    <w:p w:rsidR="00DC1575" w:rsidRPr="001E42CA" w:rsidRDefault="00DC1575">
      <w:pPr>
        <w:pStyle w:val="Normaltindrag"/>
      </w:pPr>
      <w:r w:rsidRPr="001E42CA">
        <w:t>En väg är att analysera hur verksamhetens kostnader har utvecklats. Måttet innehåller huvuddelen av kommunernas löpande externa kostnader, t.ex. löner, hyror och inköp av varor och tjänster. Det kan ses som en indikator på om kommunerna vidtagit besparingar.</w:t>
      </w:r>
    </w:p>
    <w:p w:rsidR="00DC1575" w:rsidRPr="001E42CA" w:rsidRDefault="00DC1575">
      <w:pPr>
        <w:pStyle w:val="Normaltindrag"/>
      </w:pPr>
      <w:r w:rsidRPr="001E42CA">
        <w:t>Ett huvudintryck är att kostnadsutvecklingen i de kommuner som sökt stöd åtminstone inte varit högre än för kommunsektorn som helhet. Det är snarare en tendens att kostnaderna ökat i något lägre takt. Det är dock inte möjligt att spåra några påtagliga skillnader mellan kommuner som fått stöd och ko</w:t>
      </w:r>
      <w:r w:rsidRPr="001E42CA">
        <w:t>m</w:t>
      </w:r>
      <w:r w:rsidRPr="001E42CA">
        <w:t>muner som fått avslag. Kommuner som fått bifall har således inte i någon högre grad än avslagskommuner genomfört besparingar som fått synliga effekter i resultaträknin</w:t>
      </w:r>
      <w:r w:rsidRPr="001E42CA">
        <w:t>g</w:t>
      </w:r>
      <w:r w:rsidRPr="001E42CA">
        <w:t>en.</w:t>
      </w:r>
    </w:p>
    <w:p w:rsidR="00DC1575" w:rsidRPr="001E42CA" w:rsidRDefault="00DC1575">
      <w:pPr>
        <w:pStyle w:val="Normaltindrag"/>
      </w:pPr>
    </w:p>
    <w:p w:rsidR="00DC1575" w:rsidRPr="001E42CA" w:rsidRDefault="00DC1575">
      <w:pPr>
        <w:pStyle w:val="Tabellrubrik"/>
      </w:pPr>
      <w:r w:rsidRPr="001E42CA">
        <w:t>Tabell 4.9 Förändring av verksamhetens kostnader 1996, 1997, 1998 och 1999</w:t>
      </w:r>
    </w:p>
    <w:p w:rsidR="00DC1575" w:rsidRPr="001E42CA" w:rsidRDefault="00DC1575">
      <w:pPr>
        <w:pStyle w:val="Fotnotstext"/>
        <w:spacing w:before="0" w:line="245" w:lineRule="exact"/>
      </w:pPr>
      <w:r w:rsidRPr="001E42CA">
        <w:t>Årlig procentuell förändring</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959"/>
        <w:gridCol w:w="960"/>
        <w:gridCol w:w="959"/>
        <w:gridCol w:w="960"/>
      </w:tblGrid>
      <w:tr w:rsidR="00000000" w:rsidRPr="001E42CA">
        <w:tblPrEx>
          <w:tblCellMar>
            <w:top w:w="0" w:type="dxa"/>
            <w:bottom w:w="0" w:type="dxa"/>
          </w:tblCellMar>
        </w:tblPrEx>
        <w:trPr>
          <w:cantSplit/>
        </w:trPr>
        <w:tc>
          <w:tcPr>
            <w:tcW w:w="2197" w:type="dxa"/>
            <w:tcBorders>
              <w:top w:val="single" w:sz="4" w:space="0" w:color="auto"/>
            </w:tcBorders>
          </w:tcPr>
          <w:p w:rsidR="00DC1575" w:rsidRPr="001E42CA" w:rsidRDefault="00DC1575">
            <w:pPr>
              <w:pStyle w:val="Tabell"/>
              <w:spacing w:before="40" w:after="40"/>
            </w:pPr>
          </w:p>
        </w:tc>
        <w:tc>
          <w:tcPr>
            <w:tcW w:w="3838" w:type="dxa"/>
            <w:gridSpan w:val="4"/>
            <w:tcBorders>
              <w:top w:val="single" w:sz="4" w:space="0" w:color="auto"/>
              <w:bottom w:val="single" w:sz="4" w:space="0" w:color="auto"/>
            </w:tcBorders>
          </w:tcPr>
          <w:p w:rsidR="00DC1575" w:rsidRPr="001E42CA" w:rsidRDefault="00DC1575">
            <w:pPr>
              <w:pStyle w:val="Tabell"/>
              <w:spacing w:before="40" w:after="40"/>
              <w:jc w:val="center"/>
            </w:pPr>
            <w:r w:rsidRPr="001E42CA">
              <w:t>Verksamhetens kostnader</w:t>
            </w:r>
          </w:p>
        </w:tc>
      </w:tr>
      <w:tr w:rsidR="00000000" w:rsidRPr="001E42CA">
        <w:tblPrEx>
          <w:tblCellMar>
            <w:top w:w="0" w:type="dxa"/>
            <w:bottom w:w="0" w:type="dxa"/>
          </w:tblCellMar>
        </w:tblPrEx>
        <w:tc>
          <w:tcPr>
            <w:tcW w:w="2197" w:type="dxa"/>
            <w:tcBorders>
              <w:bottom w:val="single" w:sz="4" w:space="0" w:color="auto"/>
            </w:tcBorders>
          </w:tcPr>
          <w:p w:rsidR="00DC1575" w:rsidRPr="001E42CA" w:rsidRDefault="00DC1575">
            <w:pPr>
              <w:pStyle w:val="Tabell"/>
              <w:spacing w:before="40" w:after="40"/>
            </w:pPr>
          </w:p>
        </w:tc>
        <w:tc>
          <w:tcPr>
            <w:tcW w:w="959" w:type="dxa"/>
            <w:tcBorders>
              <w:bottom w:val="single" w:sz="4" w:space="0" w:color="auto"/>
            </w:tcBorders>
          </w:tcPr>
          <w:p w:rsidR="00DC1575" w:rsidRPr="001E42CA" w:rsidRDefault="00DC1575">
            <w:pPr>
              <w:pStyle w:val="Tabell"/>
              <w:spacing w:before="40" w:after="40"/>
              <w:jc w:val="center"/>
            </w:pPr>
            <w:r w:rsidRPr="001E42CA">
              <w:t>1996</w:t>
            </w:r>
          </w:p>
        </w:tc>
        <w:tc>
          <w:tcPr>
            <w:tcW w:w="960" w:type="dxa"/>
            <w:tcBorders>
              <w:bottom w:val="single" w:sz="4" w:space="0" w:color="auto"/>
            </w:tcBorders>
          </w:tcPr>
          <w:p w:rsidR="00DC1575" w:rsidRPr="001E42CA" w:rsidRDefault="00DC1575">
            <w:pPr>
              <w:pStyle w:val="Tabell"/>
              <w:spacing w:before="40" w:after="40"/>
              <w:jc w:val="center"/>
            </w:pPr>
            <w:r w:rsidRPr="001E42CA">
              <w:t>1997</w:t>
            </w:r>
          </w:p>
        </w:tc>
        <w:tc>
          <w:tcPr>
            <w:tcW w:w="959" w:type="dxa"/>
            <w:tcBorders>
              <w:bottom w:val="single" w:sz="4" w:space="0" w:color="auto"/>
            </w:tcBorders>
          </w:tcPr>
          <w:p w:rsidR="00DC1575" w:rsidRPr="001E42CA" w:rsidRDefault="00DC1575">
            <w:pPr>
              <w:pStyle w:val="Tabell"/>
              <w:spacing w:before="40" w:after="40"/>
              <w:jc w:val="center"/>
            </w:pPr>
            <w:r w:rsidRPr="001E42CA">
              <w:t>1998</w:t>
            </w:r>
            <w:r w:rsidRPr="001E42CA">
              <w:rPr>
                <w:vertAlign w:val="superscript"/>
              </w:rPr>
              <w:t>1</w:t>
            </w:r>
          </w:p>
        </w:tc>
        <w:tc>
          <w:tcPr>
            <w:tcW w:w="960" w:type="dxa"/>
            <w:tcBorders>
              <w:bottom w:val="single" w:sz="4" w:space="0" w:color="auto"/>
            </w:tcBorders>
          </w:tcPr>
          <w:p w:rsidR="00DC1575" w:rsidRPr="001E42CA" w:rsidRDefault="00DC1575">
            <w:pPr>
              <w:pStyle w:val="Tabell"/>
              <w:spacing w:before="40" w:after="40"/>
              <w:jc w:val="center"/>
            </w:pPr>
            <w:r w:rsidRPr="001E42CA">
              <w:t>1999</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Kommunse</w:t>
            </w:r>
            <w:r w:rsidRPr="001E42CA">
              <w:t>k</w:t>
            </w:r>
            <w:r w:rsidRPr="001E42CA">
              <w:t>torn</w:t>
            </w:r>
          </w:p>
        </w:tc>
        <w:tc>
          <w:tcPr>
            <w:tcW w:w="959" w:type="dxa"/>
          </w:tcPr>
          <w:p w:rsidR="00DC1575" w:rsidRPr="001E42CA" w:rsidRDefault="00DC1575">
            <w:pPr>
              <w:pStyle w:val="Tabell"/>
              <w:spacing w:before="40" w:after="40"/>
              <w:jc w:val="center"/>
            </w:pPr>
            <w:r w:rsidRPr="001E42CA">
              <w:t>7,6</w:t>
            </w:r>
          </w:p>
        </w:tc>
        <w:tc>
          <w:tcPr>
            <w:tcW w:w="960" w:type="dxa"/>
          </w:tcPr>
          <w:p w:rsidR="00DC1575" w:rsidRPr="001E42CA" w:rsidRDefault="00DC1575">
            <w:pPr>
              <w:pStyle w:val="Tabell"/>
              <w:spacing w:before="40" w:after="40"/>
              <w:jc w:val="center"/>
            </w:pPr>
            <w:r w:rsidRPr="001E42CA">
              <w:t>2,6</w:t>
            </w:r>
          </w:p>
        </w:tc>
        <w:tc>
          <w:tcPr>
            <w:tcW w:w="959" w:type="dxa"/>
          </w:tcPr>
          <w:p w:rsidR="00DC1575" w:rsidRPr="001E42CA" w:rsidRDefault="00DC1575">
            <w:pPr>
              <w:pStyle w:val="Tabell"/>
              <w:spacing w:before="40" w:after="40"/>
              <w:jc w:val="center"/>
            </w:pPr>
            <w:r w:rsidRPr="001E42CA">
              <w:t>13,3</w:t>
            </w:r>
          </w:p>
        </w:tc>
        <w:tc>
          <w:tcPr>
            <w:tcW w:w="960" w:type="dxa"/>
          </w:tcPr>
          <w:p w:rsidR="00DC1575" w:rsidRPr="001E42CA" w:rsidRDefault="00DC1575">
            <w:pPr>
              <w:pStyle w:val="Tabell"/>
              <w:spacing w:before="40" w:after="40"/>
              <w:jc w:val="center"/>
            </w:pPr>
            <w:r w:rsidRPr="001E42CA">
              <w:t>5,1</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Samtliga sökande kommuner</w:t>
            </w:r>
          </w:p>
        </w:tc>
        <w:tc>
          <w:tcPr>
            <w:tcW w:w="959" w:type="dxa"/>
          </w:tcPr>
          <w:p w:rsidR="00DC1575" w:rsidRPr="001E42CA" w:rsidRDefault="00DC1575">
            <w:pPr>
              <w:pStyle w:val="Tabell"/>
              <w:spacing w:before="40" w:after="40"/>
              <w:jc w:val="center"/>
            </w:pPr>
            <w:r w:rsidRPr="001E42CA">
              <w:t>6,8</w:t>
            </w:r>
          </w:p>
        </w:tc>
        <w:tc>
          <w:tcPr>
            <w:tcW w:w="960" w:type="dxa"/>
          </w:tcPr>
          <w:p w:rsidR="00DC1575" w:rsidRPr="001E42CA" w:rsidRDefault="00DC1575">
            <w:pPr>
              <w:pStyle w:val="Tabell"/>
              <w:spacing w:before="40" w:after="40"/>
              <w:jc w:val="center"/>
            </w:pPr>
            <w:r w:rsidRPr="001E42CA">
              <w:t>2,2</w:t>
            </w:r>
          </w:p>
        </w:tc>
        <w:tc>
          <w:tcPr>
            <w:tcW w:w="959" w:type="dxa"/>
          </w:tcPr>
          <w:p w:rsidR="00DC1575" w:rsidRPr="001E42CA" w:rsidRDefault="00DC1575">
            <w:pPr>
              <w:pStyle w:val="Tabell"/>
              <w:spacing w:before="40" w:after="40"/>
              <w:jc w:val="center"/>
            </w:pPr>
            <w:r w:rsidRPr="001E42CA">
              <w:t>10,4</w:t>
            </w:r>
          </w:p>
        </w:tc>
        <w:tc>
          <w:tcPr>
            <w:tcW w:w="960" w:type="dxa"/>
          </w:tcPr>
          <w:p w:rsidR="00DC1575" w:rsidRPr="001E42CA" w:rsidRDefault="00DC1575">
            <w:pPr>
              <w:pStyle w:val="Tabell"/>
              <w:spacing w:before="40" w:after="40"/>
              <w:jc w:val="center"/>
            </w:pPr>
            <w:r w:rsidRPr="001E42CA">
              <w:t>4,5</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BD</w:t>
            </w:r>
          </w:p>
        </w:tc>
        <w:tc>
          <w:tcPr>
            <w:tcW w:w="959" w:type="dxa"/>
          </w:tcPr>
          <w:p w:rsidR="00DC1575" w:rsidRPr="001E42CA" w:rsidRDefault="00DC1575">
            <w:pPr>
              <w:pStyle w:val="Tabell"/>
              <w:spacing w:before="40" w:after="40"/>
              <w:jc w:val="center"/>
            </w:pPr>
            <w:r w:rsidRPr="001E42CA">
              <w:t>7,2</w:t>
            </w:r>
          </w:p>
        </w:tc>
        <w:tc>
          <w:tcPr>
            <w:tcW w:w="960" w:type="dxa"/>
          </w:tcPr>
          <w:p w:rsidR="00DC1575" w:rsidRPr="001E42CA" w:rsidRDefault="00DC1575">
            <w:pPr>
              <w:pStyle w:val="Tabell"/>
              <w:spacing w:before="40" w:after="40"/>
              <w:jc w:val="center"/>
            </w:pPr>
            <w:r w:rsidRPr="001E42CA">
              <w:t>1,2</w:t>
            </w:r>
          </w:p>
        </w:tc>
        <w:tc>
          <w:tcPr>
            <w:tcW w:w="959" w:type="dxa"/>
          </w:tcPr>
          <w:p w:rsidR="00DC1575" w:rsidRPr="001E42CA" w:rsidRDefault="00DC1575">
            <w:pPr>
              <w:pStyle w:val="Tabell"/>
              <w:spacing w:before="40" w:after="40"/>
              <w:jc w:val="center"/>
            </w:pPr>
            <w:r w:rsidRPr="001E42CA">
              <w:t>11,6</w:t>
            </w:r>
          </w:p>
        </w:tc>
        <w:tc>
          <w:tcPr>
            <w:tcW w:w="960" w:type="dxa"/>
          </w:tcPr>
          <w:p w:rsidR="00DC1575" w:rsidRPr="001E42CA" w:rsidRDefault="00DC1575">
            <w:pPr>
              <w:pStyle w:val="Tabell"/>
              <w:spacing w:before="40" w:after="40"/>
              <w:jc w:val="center"/>
            </w:pPr>
            <w:r w:rsidRPr="001E42CA">
              <w:t>3,7</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av BD</w:t>
            </w:r>
          </w:p>
        </w:tc>
        <w:tc>
          <w:tcPr>
            <w:tcW w:w="959" w:type="dxa"/>
          </w:tcPr>
          <w:p w:rsidR="00DC1575" w:rsidRPr="001E42CA" w:rsidRDefault="00DC1575">
            <w:pPr>
              <w:pStyle w:val="Tabell"/>
              <w:spacing w:before="40" w:after="40"/>
              <w:jc w:val="center"/>
            </w:pPr>
            <w:r w:rsidRPr="001E42CA">
              <w:t>6,4</w:t>
            </w:r>
          </w:p>
        </w:tc>
        <w:tc>
          <w:tcPr>
            <w:tcW w:w="960" w:type="dxa"/>
          </w:tcPr>
          <w:p w:rsidR="00DC1575" w:rsidRPr="001E42CA" w:rsidRDefault="00DC1575">
            <w:pPr>
              <w:pStyle w:val="Tabell"/>
              <w:spacing w:before="40" w:after="40"/>
              <w:jc w:val="center"/>
            </w:pPr>
            <w:r w:rsidRPr="001E42CA">
              <w:t>2,4</w:t>
            </w:r>
          </w:p>
        </w:tc>
        <w:tc>
          <w:tcPr>
            <w:tcW w:w="959" w:type="dxa"/>
          </w:tcPr>
          <w:p w:rsidR="00DC1575" w:rsidRPr="001E42CA" w:rsidRDefault="00DC1575">
            <w:pPr>
              <w:pStyle w:val="Tabell"/>
              <w:spacing w:before="40" w:after="40"/>
              <w:jc w:val="center"/>
            </w:pPr>
            <w:r w:rsidRPr="001E42CA">
              <w:t xml:space="preserve">  9,2</w:t>
            </w:r>
          </w:p>
        </w:tc>
        <w:tc>
          <w:tcPr>
            <w:tcW w:w="960" w:type="dxa"/>
          </w:tcPr>
          <w:p w:rsidR="00DC1575" w:rsidRPr="001E42CA" w:rsidRDefault="00DC1575">
            <w:pPr>
              <w:pStyle w:val="Tabell"/>
              <w:spacing w:before="40" w:after="40"/>
              <w:jc w:val="center"/>
            </w:pPr>
            <w:r w:rsidRPr="001E42CA">
              <w:t>5,5</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KD)</w:t>
            </w:r>
          </w:p>
        </w:tc>
        <w:tc>
          <w:tcPr>
            <w:tcW w:w="959" w:type="dxa"/>
          </w:tcPr>
          <w:p w:rsidR="00DC1575" w:rsidRPr="001E42CA" w:rsidRDefault="00DC1575">
            <w:pPr>
              <w:pStyle w:val="Tabell"/>
              <w:spacing w:before="40" w:after="40"/>
              <w:jc w:val="center"/>
            </w:pPr>
            <w:r w:rsidRPr="001E42CA">
              <w:t>8,4</w:t>
            </w:r>
          </w:p>
        </w:tc>
        <w:tc>
          <w:tcPr>
            <w:tcW w:w="960" w:type="dxa"/>
          </w:tcPr>
          <w:p w:rsidR="00DC1575" w:rsidRPr="001E42CA" w:rsidRDefault="00DC1575">
            <w:pPr>
              <w:pStyle w:val="Tabell"/>
              <w:spacing w:before="40" w:after="40"/>
              <w:jc w:val="center"/>
            </w:pPr>
            <w:r w:rsidRPr="001E42CA">
              <w:t>1,3</w:t>
            </w:r>
          </w:p>
        </w:tc>
        <w:tc>
          <w:tcPr>
            <w:tcW w:w="959" w:type="dxa"/>
          </w:tcPr>
          <w:p w:rsidR="00DC1575" w:rsidRPr="001E42CA" w:rsidRDefault="00DC1575">
            <w:pPr>
              <w:pStyle w:val="Tabell"/>
              <w:spacing w:before="40" w:after="40"/>
              <w:jc w:val="center"/>
            </w:pPr>
            <w:r w:rsidRPr="001E42CA">
              <w:t xml:space="preserve">  9,3</w:t>
            </w:r>
          </w:p>
        </w:tc>
        <w:tc>
          <w:tcPr>
            <w:tcW w:w="960" w:type="dxa"/>
          </w:tcPr>
          <w:p w:rsidR="00DC1575" w:rsidRPr="001E42CA" w:rsidRDefault="00DC1575">
            <w:pPr>
              <w:pStyle w:val="Tabell"/>
              <w:spacing w:before="40" w:after="40"/>
              <w:jc w:val="center"/>
            </w:pPr>
            <w:r w:rsidRPr="001E42CA">
              <w:t>3,4</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från regeringen (efter förslag från KD)</w:t>
            </w:r>
          </w:p>
        </w:tc>
        <w:tc>
          <w:tcPr>
            <w:tcW w:w="959" w:type="dxa"/>
          </w:tcPr>
          <w:p w:rsidR="00DC1575" w:rsidRPr="001E42CA" w:rsidRDefault="00DC1575">
            <w:pPr>
              <w:pStyle w:val="Tabell"/>
              <w:spacing w:before="40" w:after="40"/>
              <w:jc w:val="center"/>
            </w:pPr>
            <w:r w:rsidRPr="001E42CA">
              <w:t>5,9</w:t>
            </w:r>
          </w:p>
        </w:tc>
        <w:tc>
          <w:tcPr>
            <w:tcW w:w="960" w:type="dxa"/>
          </w:tcPr>
          <w:p w:rsidR="00DC1575" w:rsidRPr="001E42CA" w:rsidRDefault="00DC1575">
            <w:pPr>
              <w:pStyle w:val="Tabell"/>
              <w:spacing w:before="40" w:after="40"/>
              <w:jc w:val="center"/>
            </w:pPr>
            <w:r w:rsidRPr="001E42CA">
              <w:t>4,0</w:t>
            </w:r>
          </w:p>
        </w:tc>
        <w:tc>
          <w:tcPr>
            <w:tcW w:w="959" w:type="dxa"/>
          </w:tcPr>
          <w:p w:rsidR="00DC1575" w:rsidRPr="001E42CA" w:rsidRDefault="00DC1575">
            <w:pPr>
              <w:pStyle w:val="Tabell"/>
              <w:spacing w:before="40" w:after="40"/>
              <w:jc w:val="center"/>
            </w:pPr>
            <w:r w:rsidRPr="001E42CA">
              <w:t>11,2</w:t>
            </w:r>
          </w:p>
        </w:tc>
        <w:tc>
          <w:tcPr>
            <w:tcW w:w="960" w:type="dxa"/>
          </w:tcPr>
          <w:p w:rsidR="00DC1575" w:rsidRPr="001E42CA" w:rsidRDefault="00DC1575">
            <w:pPr>
              <w:pStyle w:val="Tabell"/>
              <w:spacing w:before="40" w:after="40"/>
              <w:jc w:val="center"/>
            </w:pPr>
            <w:r w:rsidRPr="001E42CA">
              <w:t>4,8</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BD och KD)</w:t>
            </w:r>
          </w:p>
        </w:tc>
        <w:tc>
          <w:tcPr>
            <w:tcW w:w="959" w:type="dxa"/>
          </w:tcPr>
          <w:p w:rsidR="00DC1575" w:rsidRPr="001E42CA" w:rsidRDefault="00DC1575">
            <w:pPr>
              <w:pStyle w:val="Tabell"/>
              <w:spacing w:before="40" w:after="40"/>
              <w:jc w:val="center"/>
            </w:pPr>
            <w:r w:rsidRPr="001E42CA">
              <w:t>6,5</w:t>
            </w:r>
          </w:p>
        </w:tc>
        <w:tc>
          <w:tcPr>
            <w:tcW w:w="960" w:type="dxa"/>
          </w:tcPr>
          <w:p w:rsidR="00DC1575" w:rsidRPr="001E42CA" w:rsidRDefault="00DC1575">
            <w:pPr>
              <w:pStyle w:val="Tabell"/>
              <w:spacing w:before="40" w:after="40"/>
              <w:jc w:val="center"/>
            </w:pPr>
            <w:r w:rsidRPr="001E42CA">
              <w:t>0,1</w:t>
            </w:r>
          </w:p>
        </w:tc>
        <w:tc>
          <w:tcPr>
            <w:tcW w:w="959" w:type="dxa"/>
          </w:tcPr>
          <w:p w:rsidR="00DC1575" w:rsidRPr="001E42CA" w:rsidRDefault="00DC1575">
            <w:pPr>
              <w:pStyle w:val="Tabell"/>
              <w:spacing w:before="40" w:after="40"/>
              <w:jc w:val="center"/>
            </w:pPr>
            <w:r w:rsidRPr="001E42CA">
              <w:t>10,0</w:t>
            </w:r>
          </w:p>
        </w:tc>
        <w:tc>
          <w:tcPr>
            <w:tcW w:w="960" w:type="dxa"/>
          </w:tcPr>
          <w:p w:rsidR="00DC1575" w:rsidRPr="001E42CA" w:rsidRDefault="00DC1575">
            <w:pPr>
              <w:pStyle w:val="Tabell"/>
              <w:spacing w:before="40" w:after="40"/>
              <w:jc w:val="center"/>
            </w:pPr>
            <w:r w:rsidRPr="001E42CA">
              <w:t>4,3</w:t>
            </w:r>
          </w:p>
        </w:tc>
      </w:tr>
      <w:tr w:rsidR="00000000" w:rsidRPr="001E42CA">
        <w:tblPrEx>
          <w:tblCellMar>
            <w:top w:w="0" w:type="dxa"/>
            <w:bottom w:w="0" w:type="dxa"/>
          </w:tblCellMar>
        </w:tblPrEx>
        <w:tc>
          <w:tcPr>
            <w:tcW w:w="2197" w:type="dxa"/>
            <w:tcBorders>
              <w:bottom w:val="single" w:sz="4" w:space="0" w:color="auto"/>
            </w:tcBorders>
          </w:tcPr>
          <w:p w:rsidR="00DC1575" w:rsidRPr="001E42CA" w:rsidRDefault="00DC1575">
            <w:pPr>
              <w:pStyle w:val="Tabell"/>
              <w:spacing w:before="40" w:after="40"/>
              <w:jc w:val="left"/>
            </w:pPr>
            <w:r w:rsidRPr="001E42CA">
              <w:t>Avslag från regeringen (ej överlämnade till deleg</w:t>
            </w:r>
            <w:r w:rsidRPr="001E42CA">
              <w:t>a</w:t>
            </w:r>
            <w:r w:rsidRPr="001E42CA">
              <w:t>tion)</w:t>
            </w:r>
          </w:p>
        </w:tc>
        <w:tc>
          <w:tcPr>
            <w:tcW w:w="959" w:type="dxa"/>
            <w:tcBorders>
              <w:bottom w:val="single" w:sz="4" w:space="0" w:color="auto"/>
            </w:tcBorders>
          </w:tcPr>
          <w:p w:rsidR="00DC1575" w:rsidRPr="001E42CA" w:rsidRDefault="00DC1575">
            <w:pPr>
              <w:pStyle w:val="Tabell"/>
              <w:spacing w:before="40" w:after="40"/>
              <w:jc w:val="center"/>
            </w:pPr>
            <w:r w:rsidRPr="001E42CA">
              <w:t>5,7</w:t>
            </w:r>
          </w:p>
        </w:tc>
        <w:tc>
          <w:tcPr>
            <w:tcW w:w="960" w:type="dxa"/>
            <w:tcBorders>
              <w:bottom w:val="single" w:sz="4" w:space="0" w:color="auto"/>
            </w:tcBorders>
          </w:tcPr>
          <w:p w:rsidR="00DC1575" w:rsidRPr="001E42CA" w:rsidRDefault="00DC1575">
            <w:pPr>
              <w:pStyle w:val="Tabell"/>
              <w:spacing w:before="40" w:after="40"/>
              <w:jc w:val="center"/>
            </w:pPr>
            <w:r w:rsidRPr="001E42CA">
              <w:t>2,6</w:t>
            </w:r>
          </w:p>
        </w:tc>
        <w:tc>
          <w:tcPr>
            <w:tcW w:w="959" w:type="dxa"/>
            <w:tcBorders>
              <w:bottom w:val="single" w:sz="4" w:space="0" w:color="auto"/>
            </w:tcBorders>
          </w:tcPr>
          <w:p w:rsidR="00DC1575" w:rsidRPr="001E42CA" w:rsidRDefault="00DC1575">
            <w:pPr>
              <w:pStyle w:val="Tabell"/>
              <w:spacing w:before="40" w:after="40"/>
              <w:jc w:val="center"/>
            </w:pPr>
            <w:r w:rsidRPr="001E42CA">
              <w:t>10,5</w:t>
            </w:r>
          </w:p>
        </w:tc>
        <w:tc>
          <w:tcPr>
            <w:tcW w:w="960" w:type="dxa"/>
            <w:tcBorders>
              <w:bottom w:val="single" w:sz="4" w:space="0" w:color="auto"/>
            </w:tcBorders>
          </w:tcPr>
          <w:p w:rsidR="00DC1575" w:rsidRPr="001E42CA" w:rsidRDefault="00DC1575">
            <w:pPr>
              <w:pStyle w:val="Tabell"/>
              <w:spacing w:before="40" w:after="40"/>
              <w:jc w:val="center"/>
            </w:pPr>
            <w:r w:rsidRPr="001E42CA">
              <w:t>4,7</w:t>
            </w:r>
          </w:p>
        </w:tc>
      </w:tr>
    </w:tbl>
    <w:p w:rsidR="00DC1575" w:rsidRPr="001E42CA" w:rsidRDefault="00DC1575">
      <w:pPr>
        <w:spacing w:before="0"/>
        <w:rPr>
          <w:sz w:val="17"/>
        </w:rPr>
      </w:pPr>
      <w:r w:rsidRPr="001E42CA">
        <w:rPr>
          <w:sz w:val="17"/>
          <w:vertAlign w:val="superscript"/>
        </w:rPr>
        <w:t>1</w:t>
      </w:r>
      <w:r w:rsidRPr="001E42CA">
        <w:rPr>
          <w:sz w:val="17"/>
        </w:rPr>
        <w:t xml:space="preserve"> 1998 är ej jämförbart med övriga år eftersom redovisningen lades om detta år.</w:t>
      </w:r>
    </w:p>
    <w:p w:rsidR="00DC1575" w:rsidRPr="001E42CA" w:rsidRDefault="00DC1575">
      <w:pPr>
        <w:pStyle w:val="Normaltindrag"/>
      </w:pPr>
    </w:p>
    <w:p w:rsidR="00DC1575" w:rsidRPr="001E42CA" w:rsidRDefault="00DC1575">
      <w:pPr>
        <w:spacing w:before="0"/>
      </w:pPr>
      <w:r w:rsidRPr="001E42CA">
        <w:t>En annan väg är att analysera om det skett försäljningar av anläggningstil</w:t>
      </w:r>
      <w:r w:rsidRPr="001E42CA">
        <w:t>l</w:t>
      </w:r>
      <w:r w:rsidRPr="001E42CA">
        <w:t>gångar. Det skulle kunna vara en indikator på om kommunerna sett över balansräkningen och t.ex. sålt bolag för att amortera ned skuldbördan.</w:t>
      </w:r>
    </w:p>
    <w:p w:rsidR="00DC1575" w:rsidRPr="001E42CA" w:rsidRDefault="00DC1575">
      <w:pPr>
        <w:pStyle w:val="Normaltindrag"/>
      </w:pPr>
      <w:r w:rsidRPr="001E42CA">
        <w:t xml:space="preserve">Som framgår av Tabell 4.10 förefaller kommuner som ansökt om stöd att i lägre utsträckning ha sålt anläggningstillgångar än kommunsektorn som helhet. Vad gäller ärenden som handlagts av Bostadsdelegationen och beretts av Kommundelegationen föreligger inga större skillnader mellan kommuner som fått bifall respektive avslag. Kommuner som fått avslag av regeringen efter </w:t>
      </w:r>
      <w:r w:rsidRPr="001E42CA">
        <w:t>förslag från Kommundelegationen har dock i något högre utsträckning sålt anläggningstillgångar än de kommuner som fått bifall. Under åren 1998 och 1999 förefaller emellertid inte dessa kommuner ha genomfört några markanta utförsäljningar. Den låga aktiviteten kan också bero på att komm</w:t>
      </w:r>
      <w:r w:rsidRPr="001E42CA">
        <w:t>u</w:t>
      </w:r>
      <w:r w:rsidRPr="001E42CA">
        <w:t>nerna saknar tillgångar som går att omsätta på en marknad.</w:t>
      </w:r>
    </w:p>
    <w:p w:rsidR="00DC1575" w:rsidRPr="001E42CA" w:rsidRDefault="00DC1575">
      <w:pPr>
        <w:pStyle w:val="Normaltindrag"/>
      </w:pPr>
      <w:r w:rsidRPr="001E42CA">
        <w:t>Den största utförsäljningen har skett av kommuner som fått bifall efter fö</w:t>
      </w:r>
      <w:r w:rsidRPr="001E42CA">
        <w:t>r</w:t>
      </w:r>
      <w:r w:rsidRPr="001E42CA">
        <w:t>slag från bägge delegationerna. Även kommuner som fått avslag av regerin</w:t>
      </w:r>
      <w:r w:rsidRPr="001E42CA">
        <w:t>g</w:t>
      </w:r>
      <w:r w:rsidRPr="001E42CA">
        <w:t>en och inte överlämnats till någon delegation har relativt stora utförsäljnin</w:t>
      </w:r>
      <w:r w:rsidRPr="001E42CA">
        <w:t>g</w:t>
      </w:r>
      <w:r w:rsidRPr="001E42CA">
        <w:t>ar.</w:t>
      </w:r>
    </w:p>
    <w:p w:rsidR="00DC1575" w:rsidRPr="001E42CA" w:rsidRDefault="00DC1575">
      <w:pPr>
        <w:pStyle w:val="Normaltindrag"/>
      </w:pPr>
    </w:p>
    <w:p w:rsidR="00DC1575" w:rsidRPr="001E42CA" w:rsidRDefault="00DC1575">
      <w:pPr>
        <w:pStyle w:val="Tabellrubrik"/>
      </w:pPr>
      <w:r w:rsidRPr="001E42CA">
        <w:t>Tabell 4.10 Försäljning av anläggningstillgångar 1998 och 1999</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764"/>
        <w:gridCol w:w="1636"/>
        <w:gridCol w:w="1636"/>
      </w:tblGrid>
      <w:tr w:rsidR="00000000" w:rsidRPr="001E42CA">
        <w:tblPrEx>
          <w:tblCellMar>
            <w:top w:w="0" w:type="dxa"/>
            <w:bottom w:w="0" w:type="dxa"/>
          </w:tblCellMar>
        </w:tblPrEx>
        <w:trPr>
          <w:cantSplit/>
        </w:trPr>
        <w:tc>
          <w:tcPr>
            <w:tcW w:w="2764" w:type="dxa"/>
            <w:tcBorders>
              <w:top w:val="single" w:sz="4" w:space="0" w:color="auto"/>
            </w:tcBorders>
          </w:tcPr>
          <w:p w:rsidR="00DC1575" w:rsidRPr="001E42CA" w:rsidRDefault="00DC1575">
            <w:pPr>
              <w:pStyle w:val="Tabell"/>
              <w:spacing w:before="40" w:after="40"/>
            </w:pPr>
          </w:p>
        </w:tc>
        <w:tc>
          <w:tcPr>
            <w:tcW w:w="3272" w:type="dxa"/>
            <w:gridSpan w:val="2"/>
            <w:tcBorders>
              <w:top w:val="single" w:sz="4" w:space="0" w:color="auto"/>
              <w:bottom w:val="single" w:sz="4" w:space="0" w:color="auto"/>
            </w:tcBorders>
          </w:tcPr>
          <w:p w:rsidR="00DC1575" w:rsidRPr="001E42CA" w:rsidRDefault="00DC1575">
            <w:pPr>
              <w:pStyle w:val="Tabell"/>
              <w:spacing w:before="40" w:after="40"/>
              <w:jc w:val="left"/>
            </w:pPr>
            <w:r w:rsidRPr="001E42CA">
              <w:t>Försäljning av anläggningstillgångar i fö</w:t>
            </w:r>
            <w:r w:rsidRPr="001E42CA">
              <w:t>r</w:t>
            </w:r>
            <w:r w:rsidRPr="001E42CA">
              <w:t>hållande till skatteintäkter och statsbidrag</w:t>
            </w:r>
          </w:p>
        </w:tc>
      </w:tr>
      <w:tr w:rsidR="00000000" w:rsidRPr="001E42CA">
        <w:tblPrEx>
          <w:tblCellMar>
            <w:top w:w="0" w:type="dxa"/>
            <w:bottom w:w="0" w:type="dxa"/>
          </w:tblCellMar>
        </w:tblPrEx>
        <w:tc>
          <w:tcPr>
            <w:tcW w:w="2764" w:type="dxa"/>
            <w:tcBorders>
              <w:bottom w:val="single" w:sz="4" w:space="0" w:color="auto"/>
            </w:tcBorders>
          </w:tcPr>
          <w:p w:rsidR="00DC1575" w:rsidRPr="001E42CA" w:rsidRDefault="00DC1575">
            <w:pPr>
              <w:pStyle w:val="Tabell"/>
              <w:spacing w:before="40" w:after="40"/>
            </w:pPr>
          </w:p>
        </w:tc>
        <w:tc>
          <w:tcPr>
            <w:tcW w:w="1636" w:type="dxa"/>
            <w:tcBorders>
              <w:bottom w:val="single" w:sz="4" w:space="0" w:color="auto"/>
            </w:tcBorders>
          </w:tcPr>
          <w:p w:rsidR="00DC1575" w:rsidRPr="001E42CA" w:rsidRDefault="00DC1575">
            <w:pPr>
              <w:pStyle w:val="Tabell"/>
              <w:spacing w:before="40" w:after="40"/>
              <w:jc w:val="center"/>
            </w:pPr>
            <w:r w:rsidRPr="001E42CA">
              <w:t>1998</w:t>
            </w:r>
          </w:p>
        </w:tc>
        <w:tc>
          <w:tcPr>
            <w:tcW w:w="1636" w:type="dxa"/>
            <w:tcBorders>
              <w:bottom w:val="single" w:sz="4" w:space="0" w:color="auto"/>
            </w:tcBorders>
          </w:tcPr>
          <w:p w:rsidR="00DC1575" w:rsidRPr="001E42CA" w:rsidRDefault="00DC1575">
            <w:pPr>
              <w:pStyle w:val="Tabell"/>
              <w:spacing w:before="40" w:after="40"/>
              <w:jc w:val="center"/>
            </w:pPr>
            <w:r w:rsidRPr="001E42CA">
              <w:t>1999</w:t>
            </w:r>
          </w:p>
        </w:tc>
      </w:tr>
      <w:tr w:rsidR="00000000" w:rsidRPr="001E42CA">
        <w:tblPrEx>
          <w:tblCellMar>
            <w:top w:w="0" w:type="dxa"/>
            <w:bottom w:w="0" w:type="dxa"/>
          </w:tblCellMar>
        </w:tblPrEx>
        <w:tc>
          <w:tcPr>
            <w:tcW w:w="2764" w:type="dxa"/>
          </w:tcPr>
          <w:p w:rsidR="00DC1575" w:rsidRPr="001E42CA" w:rsidRDefault="00DC1575">
            <w:pPr>
              <w:pStyle w:val="Tabell"/>
              <w:spacing w:before="40" w:after="40"/>
              <w:jc w:val="left"/>
            </w:pPr>
            <w:r w:rsidRPr="001E42CA">
              <w:t>Kommunse</w:t>
            </w:r>
            <w:r w:rsidRPr="001E42CA">
              <w:t>k</w:t>
            </w:r>
            <w:r w:rsidRPr="001E42CA">
              <w:t>torn</w:t>
            </w:r>
          </w:p>
        </w:tc>
        <w:tc>
          <w:tcPr>
            <w:tcW w:w="1636" w:type="dxa"/>
          </w:tcPr>
          <w:p w:rsidR="00DC1575" w:rsidRPr="001E42CA" w:rsidRDefault="00DC1575">
            <w:pPr>
              <w:pStyle w:val="Tabell"/>
              <w:spacing w:before="40" w:after="40"/>
              <w:jc w:val="center"/>
            </w:pPr>
            <w:r w:rsidRPr="001E42CA">
              <w:t>2,0</w:t>
            </w:r>
          </w:p>
        </w:tc>
        <w:tc>
          <w:tcPr>
            <w:tcW w:w="1636" w:type="dxa"/>
          </w:tcPr>
          <w:p w:rsidR="00DC1575" w:rsidRPr="001E42CA" w:rsidRDefault="00DC1575">
            <w:pPr>
              <w:pStyle w:val="Tabell"/>
              <w:spacing w:before="40" w:after="40"/>
              <w:jc w:val="center"/>
            </w:pPr>
            <w:r w:rsidRPr="001E42CA">
              <w:t>7,0</w:t>
            </w:r>
          </w:p>
        </w:tc>
      </w:tr>
      <w:tr w:rsidR="00000000" w:rsidRPr="001E42CA">
        <w:tblPrEx>
          <w:tblCellMar>
            <w:top w:w="0" w:type="dxa"/>
            <w:bottom w:w="0" w:type="dxa"/>
          </w:tblCellMar>
        </w:tblPrEx>
        <w:tc>
          <w:tcPr>
            <w:tcW w:w="2764" w:type="dxa"/>
          </w:tcPr>
          <w:p w:rsidR="00DC1575" w:rsidRPr="001E42CA" w:rsidRDefault="00DC1575">
            <w:pPr>
              <w:pStyle w:val="Tabell"/>
              <w:spacing w:before="40" w:after="40"/>
              <w:jc w:val="left"/>
            </w:pPr>
            <w:r w:rsidRPr="001E42CA">
              <w:t>Bifall av BD</w:t>
            </w:r>
          </w:p>
        </w:tc>
        <w:tc>
          <w:tcPr>
            <w:tcW w:w="1636" w:type="dxa"/>
          </w:tcPr>
          <w:p w:rsidR="00DC1575" w:rsidRPr="001E42CA" w:rsidRDefault="00DC1575">
            <w:pPr>
              <w:pStyle w:val="Tabell"/>
              <w:spacing w:before="40" w:after="40"/>
              <w:jc w:val="center"/>
            </w:pPr>
            <w:r w:rsidRPr="001E42CA">
              <w:t>0,6</w:t>
            </w:r>
          </w:p>
        </w:tc>
        <w:tc>
          <w:tcPr>
            <w:tcW w:w="1636" w:type="dxa"/>
          </w:tcPr>
          <w:p w:rsidR="00DC1575" w:rsidRPr="001E42CA" w:rsidRDefault="00DC1575">
            <w:pPr>
              <w:pStyle w:val="Tabell"/>
              <w:spacing w:before="40" w:after="40"/>
              <w:jc w:val="center"/>
            </w:pPr>
            <w:r w:rsidRPr="001E42CA">
              <w:t>0,2</w:t>
            </w:r>
          </w:p>
        </w:tc>
      </w:tr>
      <w:tr w:rsidR="00000000" w:rsidRPr="001E42CA">
        <w:tblPrEx>
          <w:tblCellMar>
            <w:top w:w="0" w:type="dxa"/>
            <w:bottom w:w="0" w:type="dxa"/>
          </w:tblCellMar>
        </w:tblPrEx>
        <w:trPr>
          <w:trHeight w:val="102"/>
        </w:trPr>
        <w:tc>
          <w:tcPr>
            <w:tcW w:w="2764" w:type="dxa"/>
          </w:tcPr>
          <w:p w:rsidR="00DC1575" w:rsidRPr="001E42CA" w:rsidRDefault="00DC1575">
            <w:pPr>
              <w:pStyle w:val="Tabell"/>
              <w:spacing w:before="40" w:after="40"/>
              <w:jc w:val="left"/>
            </w:pPr>
            <w:r w:rsidRPr="001E42CA">
              <w:t>Avslag av BD</w:t>
            </w:r>
          </w:p>
        </w:tc>
        <w:tc>
          <w:tcPr>
            <w:tcW w:w="1636" w:type="dxa"/>
          </w:tcPr>
          <w:p w:rsidR="00DC1575" w:rsidRPr="001E42CA" w:rsidRDefault="00DC1575">
            <w:pPr>
              <w:pStyle w:val="Tabell"/>
              <w:spacing w:before="40" w:after="40"/>
              <w:jc w:val="center"/>
            </w:pPr>
            <w:r w:rsidRPr="001E42CA">
              <w:t>0,9</w:t>
            </w:r>
          </w:p>
        </w:tc>
        <w:tc>
          <w:tcPr>
            <w:tcW w:w="1636" w:type="dxa"/>
          </w:tcPr>
          <w:p w:rsidR="00DC1575" w:rsidRPr="001E42CA" w:rsidRDefault="00DC1575">
            <w:pPr>
              <w:pStyle w:val="Tabell"/>
              <w:spacing w:before="40" w:after="40"/>
              <w:jc w:val="center"/>
            </w:pPr>
            <w:r w:rsidRPr="001E42CA">
              <w:t>0,2</w:t>
            </w:r>
          </w:p>
        </w:tc>
      </w:tr>
      <w:tr w:rsidR="00000000" w:rsidRPr="001E42CA">
        <w:tblPrEx>
          <w:tblCellMar>
            <w:top w:w="0" w:type="dxa"/>
            <w:bottom w:w="0" w:type="dxa"/>
          </w:tblCellMar>
        </w:tblPrEx>
        <w:tc>
          <w:tcPr>
            <w:tcW w:w="2764" w:type="dxa"/>
          </w:tcPr>
          <w:p w:rsidR="00DC1575" w:rsidRPr="001E42CA" w:rsidRDefault="00DC1575">
            <w:pPr>
              <w:pStyle w:val="Tabell"/>
              <w:spacing w:before="40" w:after="40"/>
              <w:jc w:val="left"/>
            </w:pPr>
            <w:r w:rsidRPr="001E42CA">
              <w:t>Bifall av regeringen (efter förslag från KD)</w:t>
            </w:r>
          </w:p>
        </w:tc>
        <w:tc>
          <w:tcPr>
            <w:tcW w:w="1636" w:type="dxa"/>
          </w:tcPr>
          <w:p w:rsidR="00DC1575" w:rsidRPr="001E42CA" w:rsidRDefault="00DC1575">
            <w:pPr>
              <w:pStyle w:val="Tabell"/>
              <w:spacing w:before="40" w:after="40"/>
              <w:jc w:val="center"/>
            </w:pPr>
            <w:r w:rsidRPr="001E42CA">
              <w:t>0,4</w:t>
            </w:r>
          </w:p>
        </w:tc>
        <w:tc>
          <w:tcPr>
            <w:tcW w:w="1636" w:type="dxa"/>
          </w:tcPr>
          <w:p w:rsidR="00DC1575" w:rsidRPr="001E42CA" w:rsidRDefault="00DC1575">
            <w:pPr>
              <w:pStyle w:val="Tabell"/>
              <w:spacing w:before="40" w:after="40"/>
              <w:jc w:val="center"/>
            </w:pPr>
            <w:r w:rsidRPr="001E42CA">
              <w:t>0,1</w:t>
            </w:r>
          </w:p>
        </w:tc>
      </w:tr>
      <w:tr w:rsidR="00000000" w:rsidRPr="001E42CA">
        <w:tblPrEx>
          <w:tblCellMar>
            <w:top w:w="0" w:type="dxa"/>
            <w:bottom w:w="0" w:type="dxa"/>
          </w:tblCellMar>
        </w:tblPrEx>
        <w:tc>
          <w:tcPr>
            <w:tcW w:w="2764" w:type="dxa"/>
          </w:tcPr>
          <w:p w:rsidR="00DC1575" w:rsidRPr="001E42CA" w:rsidRDefault="00DC1575">
            <w:pPr>
              <w:pStyle w:val="Tabell"/>
              <w:spacing w:before="40" w:after="40"/>
              <w:jc w:val="left"/>
            </w:pPr>
            <w:r w:rsidRPr="001E42CA">
              <w:t>Avslag från regeringen (efter förslag från KD)</w:t>
            </w:r>
          </w:p>
        </w:tc>
        <w:tc>
          <w:tcPr>
            <w:tcW w:w="1636" w:type="dxa"/>
          </w:tcPr>
          <w:p w:rsidR="00DC1575" w:rsidRPr="001E42CA" w:rsidRDefault="00DC1575">
            <w:pPr>
              <w:pStyle w:val="Tabell"/>
              <w:spacing w:before="40" w:after="40"/>
              <w:jc w:val="center"/>
            </w:pPr>
            <w:r w:rsidRPr="001E42CA">
              <w:t>0,4</w:t>
            </w:r>
          </w:p>
        </w:tc>
        <w:tc>
          <w:tcPr>
            <w:tcW w:w="1636" w:type="dxa"/>
          </w:tcPr>
          <w:p w:rsidR="00DC1575" w:rsidRPr="001E42CA" w:rsidRDefault="00DC1575">
            <w:pPr>
              <w:pStyle w:val="Tabell"/>
              <w:spacing w:before="40" w:after="40"/>
              <w:jc w:val="center"/>
            </w:pPr>
            <w:r w:rsidRPr="001E42CA">
              <w:t>2,2</w:t>
            </w:r>
          </w:p>
        </w:tc>
      </w:tr>
      <w:tr w:rsidR="00000000" w:rsidRPr="001E42CA">
        <w:tblPrEx>
          <w:tblCellMar>
            <w:top w:w="0" w:type="dxa"/>
            <w:bottom w:w="0" w:type="dxa"/>
          </w:tblCellMar>
        </w:tblPrEx>
        <w:tc>
          <w:tcPr>
            <w:tcW w:w="2764" w:type="dxa"/>
          </w:tcPr>
          <w:p w:rsidR="00DC1575" w:rsidRPr="001E42CA" w:rsidRDefault="00DC1575">
            <w:pPr>
              <w:pStyle w:val="Tabell"/>
              <w:spacing w:before="40" w:after="40"/>
              <w:jc w:val="left"/>
            </w:pPr>
            <w:r w:rsidRPr="001E42CA">
              <w:t>Bifall av regeringen (efter förslag från BD och KD)</w:t>
            </w:r>
          </w:p>
        </w:tc>
        <w:tc>
          <w:tcPr>
            <w:tcW w:w="1636" w:type="dxa"/>
          </w:tcPr>
          <w:p w:rsidR="00DC1575" w:rsidRPr="001E42CA" w:rsidRDefault="00DC1575">
            <w:pPr>
              <w:pStyle w:val="Tabell"/>
              <w:spacing w:before="40" w:after="40"/>
              <w:jc w:val="center"/>
            </w:pPr>
            <w:r w:rsidRPr="001E42CA">
              <w:t>3,9</w:t>
            </w:r>
          </w:p>
        </w:tc>
        <w:tc>
          <w:tcPr>
            <w:tcW w:w="1636" w:type="dxa"/>
          </w:tcPr>
          <w:p w:rsidR="00DC1575" w:rsidRPr="001E42CA" w:rsidRDefault="00DC1575">
            <w:pPr>
              <w:pStyle w:val="Tabell"/>
              <w:spacing w:before="40" w:after="40"/>
              <w:jc w:val="center"/>
            </w:pPr>
            <w:r w:rsidRPr="001E42CA">
              <w:t>7,2</w:t>
            </w:r>
          </w:p>
        </w:tc>
      </w:tr>
      <w:tr w:rsidR="00000000" w:rsidRPr="001E42CA">
        <w:tblPrEx>
          <w:tblCellMar>
            <w:top w:w="0" w:type="dxa"/>
            <w:bottom w:w="0" w:type="dxa"/>
          </w:tblCellMar>
        </w:tblPrEx>
        <w:tc>
          <w:tcPr>
            <w:tcW w:w="2764" w:type="dxa"/>
            <w:tcBorders>
              <w:bottom w:val="single" w:sz="4" w:space="0" w:color="auto"/>
            </w:tcBorders>
          </w:tcPr>
          <w:p w:rsidR="00DC1575" w:rsidRPr="001E42CA" w:rsidRDefault="00DC1575">
            <w:pPr>
              <w:pStyle w:val="Tabell"/>
              <w:spacing w:before="40" w:after="40"/>
              <w:jc w:val="left"/>
            </w:pPr>
            <w:r w:rsidRPr="001E42CA">
              <w:t>Avslag från regeringen (ej överlä</w:t>
            </w:r>
            <w:r w:rsidRPr="001E42CA">
              <w:t>m</w:t>
            </w:r>
            <w:r w:rsidRPr="001E42CA">
              <w:t>nade till deleg</w:t>
            </w:r>
            <w:r w:rsidRPr="001E42CA">
              <w:t>a</w:t>
            </w:r>
            <w:r w:rsidRPr="001E42CA">
              <w:t>tion)</w:t>
            </w:r>
          </w:p>
        </w:tc>
        <w:tc>
          <w:tcPr>
            <w:tcW w:w="1636" w:type="dxa"/>
            <w:tcBorders>
              <w:bottom w:val="single" w:sz="4" w:space="0" w:color="auto"/>
            </w:tcBorders>
          </w:tcPr>
          <w:p w:rsidR="00DC1575" w:rsidRPr="001E42CA" w:rsidRDefault="00DC1575">
            <w:pPr>
              <w:pStyle w:val="Tabell"/>
              <w:spacing w:before="40" w:after="40"/>
              <w:jc w:val="center"/>
            </w:pPr>
            <w:r w:rsidRPr="001E42CA">
              <w:t>1,7</w:t>
            </w:r>
          </w:p>
        </w:tc>
        <w:tc>
          <w:tcPr>
            <w:tcW w:w="1636" w:type="dxa"/>
            <w:tcBorders>
              <w:bottom w:val="single" w:sz="4" w:space="0" w:color="auto"/>
            </w:tcBorders>
          </w:tcPr>
          <w:p w:rsidR="00DC1575" w:rsidRPr="001E42CA" w:rsidRDefault="00DC1575">
            <w:pPr>
              <w:pStyle w:val="Tabell"/>
              <w:spacing w:before="40" w:after="40"/>
              <w:jc w:val="center"/>
            </w:pPr>
            <w:r w:rsidRPr="001E42CA">
              <w:t>5,6</w:t>
            </w:r>
          </w:p>
        </w:tc>
      </w:tr>
    </w:tbl>
    <w:p w:rsidR="00DC1575" w:rsidRPr="001E42CA" w:rsidRDefault="00DC1575">
      <w:pPr>
        <w:pStyle w:val="Rubrik2"/>
      </w:pPr>
      <w:bookmarkStart w:id="38" w:name="_Toc526302384"/>
      <w:r w:rsidRPr="001E42CA">
        <w:t>Nyckeltal för verksamheten</w:t>
      </w:r>
      <w:bookmarkEnd w:id="38"/>
    </w:p>
    <w:p w:rsidR="00DC1575" w:rsidRPr="001E42CA" w:rsidRDefault="00DC1575">
      <w:r w:rsidRPr="001E42CA">
        <w:t>Det är också väsentligt att i detta sammanhang försöka analysera omfattnin</w:t>
      </w:r>
      <w:r w:rsidRPr="001E42CA">
        <w:t>g</w:t>
      </w:r>
      <w:r w:rsidRPr="001E42CA">
        <w:t>en av den verksamhet som bedrivs i de olika kommungrupperna. En sådan analys kan ge en indikation på ambitionsnivå, effektivitet och utrymme för besparingar. Det ger dessutom en möjlighet att t.ex. analysera om det finns något samband mellan en kommuns ekonomiska ställning och omfattningen av den verksamhet som bedrivs.</w:t>
      </w:r>
    </w:p>
    <w:p w:rsidR="00DC1575" w:rsidRPr="001E42CA" w:rsidRDefault="00DC1575">
      <w:pPr>
        <w:pStyle w:val="R3"/>
      </w:pPr>
      <w:r w:rsidRPr="001E42CA">
        <w:t>Utjämningssystemet</w:t>
      </w:r>
    </w:p>
    <w:p w:rsidR="00DC1575" w:rsidRPr="001E42CA" w:rsidRDefault="00DC1575">
      <w:r w:rsidRPr="001E42CA">
        <w:t>Inledningsvis kan det finnas anledning att analysera hur de sökande komm</w:t>
      </w:r>
      <w:r w:rsidRPr="001E42CA">
        <w:t>u</w:t>
      </w:r>
      <w:r w:rsidRPr="001E42CA">
        <w:t xml:space="preserve">nerna tar del av det statliga utjämningssystemet för kommuner. En sådan analys kan ge en indikation på om kommunerna redan kompenseras för en ogynnsam kostnadsstruktur. </w:t>
      </w:r>
    </w:p>
    <w:p w:rsidR="00DC1575" w:rsidRPr="001E42CA" w:rsidRDefault="00DC1575">
      <w:pPr>
        <w:pStyle w:val="Normaltindrag"/>
      </w:pPr>
      <w:r w:rsidRPr="001E42CA">
        <w:t>Utjämningssystemet består av inkomstutjämning och kostnadsutjämning. I inkomstutjämningen sker det en utjämning av skatteinkomster mellan ko</w:t>
      </w:r>
      <w:r w:rsidRPr="001E42CA">
        <w:t>m</w:t>
      </w:r>
      <w:r w:rsidRPr="001E42CA">
        <w:t>munerna. De som har en skattekraft som är lägre än genomsnittet för riket får ett bidrag från staten, medan de som har en skattekraft som är högre än rik</w:t>
      </w:r>
      <w:r w:rsidRPr="001E42CA">
        <w:t>s</w:t>
      </w:r>
      <w:r w:rsidRPr="001E42CA">
        <w:t>genomsnittet får betala en avgift till staten.</w:t>
      </w:r>
    </w:p>
    <w:p w:rsidR="00DC1575" w:rsidRPr="001E42CA" w:rsidRDefault="00DC1575">
      <w:pPr>
        <w:pStyle w:val="Normaltindrag"/>
      </w:pPr>
      <w:r w:rsidRPr="001E42CA">
        <w:t>Den andra delen i utjämningssystemet, kostnadsutjämningen, utjämnar för opåverkbara kostnader. I kostnadsutjämningen beräknas en standardkostnad för varje verksamhet (16 verksamheter och kostnadsslag) i kronor per inn</w:t>
      </w:r>
      <w:r w:rsidRPr="001E42CA">
        <w:t>e</w:t>
      </w:r>
      <w:r w:rsidRPr="001E42CA">
        <w:t>vånare. Kostnadsutjämningen tar inte hänsyn till kommunernas faktiska kostnader. Standardkostnaden är den kostnad som kommunen skulle ha om den bedrev verksamheten vid en genomsnittlig avgifts-, ambitions- och e</w:t>
      </w:r>
      <w:r w:rsidRPr="001E42CA">
        <w:t>f</w:t>
      </w:r>
      <w:r w:rsidRPr="001E42CA">
        <w:t>fektivitetsnivå och med hänsyn till de egna strukturella faktorerna enligt kostnadsutjämningen. Standardkostnaden kan sägas spegla strukturella kos</w:t>
      </w:r>
      <w:r w:rsidRPr="001E42CA">
        <w:t>t</w:t>
      </w:r>
      <w:r w:rsidRPr="001E42CA">
        <w:t>nadsskillnader, dvs. sådana kostnader som kommunerna inte själva kan p</w:t>
      </w:r>
      <w:r w:rsidRPr="001E42CA">
        <w:t>å</w:t>
      </w:r>
      <w:r w:rsidRPr="001E42CA">
        <w:t>verka. Summan av standardkostnaderna för alla delmodeller kallas för ko</w:t>
      </w:r>
      <w:r w:rsidRPr="001E42CA">
        <w:t>m</w:t>
      </w:r>
      <w:r w:rsidRPr="001E42CA">
        <w:t>munens s</w:t>
      </w:r>
      <w:r w:rsidRPr="001E42CA">
        <w:t>trukturkostnad. Om strukturkostnaden är högre än genomsnittet för riket får kommunen ett bidrag motsvarande skillnaden gentemot riksgeno</w:t>
      </w:r>
      <w:r w:rsidRPr="001E42CA">
        <w:t>m</w:t>
      </w:r>
      <w:r w:rsidRPr="001E42CA">
        <w:t>snittet och vice versa.</w:t>
      </w:r>
    </w:p>
    <w:p w:rsidR="00DC1575" w:rsidRPr="001E42CA" w:rsidRDefault="00DC1575">
      <w:pPr>
        <w:pStyle w:val="Normaltindrag"/>
      </w:pPr>
      <w:r w:rsidRPr="001E42CA">
        <w:t>Som framgår av Tabell 4.11 har de kommuner som sökt stöd en betydligt högre andel som får bidrag från kostnadsutjämningen än kommunsektorn som helhet. Det gäller, om än inte lika påtagligt, även inkomstutjä</w:t>
      </w:r>
      <w:r w:rsidRPr="001E42CA">
        <w:t>m</w:t>
      </w:r>
      <w:r w:rsidRPr="001E42CA">
        <w:t xml:space="preserve">ningen. </w:t>
      </w:r>
    </w:p>
    <w:p w:rsidR="00DC1575" w:rsidRPr="001E42CA" w:rsidRDefault="00DC1575">
      <w:pPr>
        <w:pStyle w:val="Normaltindrag"/>
      </w:pPr>
      <w:r w:rsidRPr="001E42CA">
        <w:t xml:space="preserve">Det förekommer också relativt stora skillnader mellan kommuner som fått bifall respektive avslag. Kommuner som fått bifall av Bostadsdelegationen har en betydligt större andel som uppbär bidrag i kostnadsutjämningen än avslagskommunerna. </w:t>
      </w:r>
    </w:p>
    <w:p w:rsidR="00DC1575" w:rsidRPr="001E42CA" w:rsidRDefault="00DC1575">
      <w:pPr>
        <w:pStyle w:val="Normaltindrag"/>
      </w:pPr>
      <w:r w:rsidRPr="001E42CA">
        <w:t>De kommuner som behandlats av regeringen efter förslag från Kommu</w:t>
      </w:r>
      <w:r w:rsidRPr="001E42CA">
        <w:t>n</w:t>
      </w:r>
      <w:r w:rsidRPr="001E42CA">
        <w:t>delegationen uppvisar ett liknande mönster. Kommuner som beretts av båda delegationerna uppvisar dock en mycket hög andel som får bidrag i kos</w:t>
      </w:r>
      <w:r w:rsidRPr="001E42CA">
        <w:t>t</w:t>
      </w:r>
      <w:r w:rsidRPr="001E42CA">
        <w:t xml:space="preserve">nadsutjämningen. Förvånande nog betalar också en hög andel av dessa kommuner avgift till inkomstutjämningen. Kommuner som fått avslag av regeringen och inte beretts av någon delegation har däremot en lägre andel som uppbär bidrag i bägge utjämningssystemen. </w:t>
      </w:r>
    </w:p>
    <w:p w:rsidR="00DC1575" w:rsidRPr="001E42CA" w:rsidRDefault="00DC1575">
      <w:pPr>
        <w:pStyle w:val="Normaltindrag"/>
      </w:pPr>
    </w:p>
    <w:p w:rsidR="00DC1575" w:rsidRPr="001E42CA" w:rsidRDefault="00DC1575">
      <w:pPr>
        <w:pStyle w:val="Tabellrubrik"/>
      </w:pPr>
      <w:r w:rsidRPr="001E42CA">
        <w:t>Tabell 4.11 Kommuner som betalar avgift till kostnadsutjämningen och inko</w:t>
      </w:r>
      <w:r w:rsidRPr="001E42CA">
        <w:t>m</w:t>
      </w:r>
      <w:r w:rsidRPr="001E42CA">
        <w:t>st-utjämningen</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62"/>
        <w:gridCol w:w="893"/>
        <w:gridCol w:w="893"/>
        <w:gridCol w:w="893"/>
        <w:gridCol w:w="894"/>
      </w:tblGrid>
      <w:tr w:rsidR="00000000" w:rsidRPr="001E42CA">
        <w:tblPrEx>
          <w:tblCellMar>
            <w:top w:w="0" w:type="dxa"/>
            <w:bottom w:w="0" w:type="dxa"/>
          </w:tblCellMar>
        </w:tblPrEx>
        <w:trPr>
          <w:cantSplit/>
        </w:trPr>
        <w:tc>
          <w:tcPr>
            <w:tcW w:w="2462" w:type="dxa"/>
            <w:tcBorders>
              <w:top w:val="single" w:sz="4" w:space="0" w:color="auto"/>
            </w:tcBorders>
          </w:tcPr>
          <w:p w:rsidR="00DC1575" w:rsidRPr="001E42CA" w:rsidRDefault="00DC1575">
            <w:pPr>
              <w:pStyle w:val="Tabell"/>
              <w:spacing w:before="40" w:after="40"/>
            </w:pPr>
          </w:p>
        </w:tc>
        <w:tc>
          <w:tcPr>
            <w:tcW w:w="1786" w:type="dxa"/>
            <w:gridSpan w:val="2"/>
            <w:tcBorders>
              <w:top w:val="single" w:sz="4" w:space="0" w:color="auto"/>
              <w:bottom w:val="single" w:sz="4" w:space="0" w:color="auto"/>
            </w:tcBorders>
          </w:tcPr>
          <w:p w:rsidR="00DC1575" w:rsidRPr="001E42CA" w:rsidRDefault="00DC1575">
            <w:pPr>
              <w:pStyle w:val="Tabell"/>
              <w:spacing w:before="40" w:after="40"/>
              <w:jc w:val="center"/>
            </w:pPr>
            <w:r w:rsidRPr="001E42CA">
              <w:t>Kostnadsu</w:t>
            </w:r>
            <w:r w:rsidRPr="001E42CA">
              <w:t>t</w:t>
            </w:r>
            <w:r w:rsidRPr="001E42CA">
              <w:t>jämningen</w:t>
            </w:r>
          </w:p>
        </w:tc>
        <w:tc>
          <w:tcPr>
            <w:tcW w:w="1787" w:type="dxa"/>
            <w:gridSpan w:val="2"/>
            <w:tcBorders>
              <w:top w:val="single" w:sz="4" w:space="0" w:color="auto"/>
              <w:bottom w:val="single" w:sz="4" w:space="0" w:color="auto"/>
            </w:tcBorders>
          </w:tcPr>
          <w:p w:rsidR="00DC1575" w:rsidRPr="001E42CA" w:rsidRDefault="00DC1575">
            <w:pPr>
              <w:pStyle w:val="Tabell"/>
              <w:spacing w:before="40" w:after="40"/>
              <w:jc w:val="center"/>
            </w:pPr>
            <w:r w:rsidRPr="001E42CA">
              <w:t>Inkomstu</w:t>
            </w:r>
            <w:r w:rsidRPr="001E42CA">
              <w:t>t</w:t>
            </w:r>
            <w:r w:rsidRPr="001E42CA">
              <w:t>jämningen</w:t>
            </w:r>
          </w:p>
        </w:tc>
      </w:tr>
      <w:tr w:rsidR="00000000" w:rsidRPr="001E42CA">
        <w:tblPrEx>
          <w:tblCellMar>
            <w:top w:w="0" w:type="dxa"/>
            <w:bottom w:w="0" w:type="dxa"/>
          </w:tblCellMar>
        </w:tblPrEx>
        <w:tc>
          <w:tcPr>
            <w:tcW w:w="2462" w:type="dxa"/>
            <w:tcBorders>
              <w:bottom w:val="single" w:sz="4" w:space="0" w:color="auto"/>
            </w:tcBorders>
          </w:tcPr>
          <w:p w:rsidR="00DC1575" w:rsidRPr="001E42CA" w:rsidRDefault="00DC1575">
            <w:pPr>
              <w:pStyle w:val="Tabell"/>
              <w:spacing w:before="40" w:after="40"/>
            </w:pPr>
          </w:p>
        </w:tc>
        <w:tc>
          <w:tcPr>
            <w:tcW w:w="893" w:type="dxa"/>
            <w:tcBorders>
              <w:bottom w:val="single" w:sz="4" w:space="0" w:color="auto"/>
            </w:tcBorders>
          </w:tcPr>
          <w:p w:rsidR="00DC1575" w:rsidRPr="001E42CA" w:rsidRDefault="00DC1575">
            <w:pPr>
              <w:pStyle w:val="Tabell"/>
              <w:spacing w:before="40" w:after="40"/>
              <w:jc w:val="center"/>
            </w:pPr>
            <w:r w:rsidRPr="001E42CA">
              <w:t>Avgift</w:t>
            </w:r>
          </w:p>
        </w:tc>
        <w:tc>
          <w:tcPr>
            <w:tcW w:w="893" w:type="dxa"/>
            <w:tcBorders>
              <w:bottom w:val="single" w:sz="4" w:space="0" w:color="auto"/>
            </w:tcBorders>
          </w:tcPr>
          <w:p w:rsidR="00DC1575" w:rsidRPr="001E42CA" w:rsidRDefault="00DC1575">
            <w:pPr>
              <w:pStyle w:val="Tabell"/>
              <w:spacing w:before="40" w:after="40"/>
              <w:jc w:val="center"/>
            </w:pPr>
            <w:r w:rsidRPr="001E42CA">
              <w:t>Bidrag</w:t>
            </w:r>
          </w:p>
        </w:tc>
        <w:tc>
          <w:tcPr>
            <w:tcW w:w="893" w:type="dxa"/>
            <w:tcBorders>
              <w:bottom w:val="single" w:sz="4" w:space="0" w:color="auto"/>
            </w:tcBorders>
          </w:tcPr>
          <w:p w:rsidR="00DC1575" w:rsidRPr="001E42CA" w:rsidRDefault="00DC1575">
            <w:pPr>
              <w:pStyle w:val="Tabell"/>
              <w:spacing w:before="40" w:after="40"/>
              <w:jc w:val="center"/>
            </w:pPr>
            <w:r w:rsidRPr="001E42CA">
              <w:t>Avgift</w:t>
            </w:r>
          </w:p>
        </w:tc>
        <w:tc>
          <w:tcPr>
            <w:tcW w:w="894" w:type="dxa"/>
            <w:tcBorders>
              <w:bottom w:val="single" w:sz="4" w:space="0" w:color="auto"/>
            </w:tcBorders>
          </w:tcPr>
          <w:p w:rsidR="00DC1575" w:rsidRPr="001E42CA" w:rsidRDefault="00DC1575">
            <w:pPr>
              <w:pStyle w:val="Tabell"/>
              <w:spacing w:before="40" w:after="40"/>
              <w:jc w:val="center"/>
            </w:pPr>
            <w:r w:rsidRPr="001E42CA">
              <w:t>Bidrag</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pPr>
            <w:r w:rsidRPr="001E42CA">
              <w:t>Kommunse</w:t>
            </w:r>
            <w:r w:rsidRPr="001E42CA">
              <w:t>k</w:t>
            </w:r>
            <w:r w:rsidRPr="001E42CA">
              <w:t>torn</w:t>
            </w:r>
          </w:p>
        </w:tc>
        <w:tc>
          <w:tcPr>
            <w:tcW w:w="893" w:type="dxa"/>
          </w:tcPr>
          <w:p w:rsidR="00DC1575" w:rsidRPr="001E42CA" w:rsidRDefault="00DC1575">
            <w:pPr>
              <w:pStyle w:val="Tabell"/>
              <w:spacing w:before="40" w:after="40"/>
              <w:jc w:val="center"/>
            </w:pPr>
            <w:r w:rsidRPr="001E42CA">
              <w:t>66,8</w:t>
            </w:r>
          </w:p>
        </w:tc>
        <w:tc>
          <w:tcPr>
            <w:tcW w:w="893" w:type="dxa"/>
          </w:tcPr>
          <w:p w:rsidR="00DC1575" w:rsidRPr="001E42CA" w:rsidRDefault="00DC1575">
            <w:pPr>
              <w:pStyle w:val="Tabell"/>
              <w:spacing w:before="40" w:after="40"/>
              <w:jc w:val="center"/>
            </w:pPr>
            <w:r w:rsidRPr="001E42CA">
              <w:t>33,2</w:t>
            </w:r>
          </w:p>
        </w:tc>
        <w:tc>
          <w:tcPr>
            <w:tcW w:w="893" w:type="dxa"/>
          </w:tcPr>
          <w:p w:rsidR="00DC1575" w:rsidRPr="001E42CA" w:rsidRDefault="00DC1575">
            <w:pPr>
              <w:pStyle w:val="Tabell"/>
              <w:spacing w:before="40" w:after="40"/>
              <w:jc w:val="center"/>
            </w:pPr>
            <w:r w:rsidRPr="001E42CA">
              <w:t>21,1</w:t>
            </w:r>
          </w:p>
        </w:tc>
        <w:tc>
          <w:tcPr>
            <w:tcW w:w="894" w:type="dxa"/>
          </w:tcPr>
          <w:p w:rsidR="00DC1575" w:rsidRPr="001E42CA" w:rsidRDefault="00DC1575">
            <w:pPr>
              <w:pStyle w:val="Tabell"/>
              <w:spacing w:before="40" w:after="40"/>
              <w:jc w:val="center"/>
            </w:pPr>
            <w:r w:rsidRPr="001E42CA">
              <w:t>78,9</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Samtliga sökande kommuner</w:t>
            </w:r>
          </w:p>
        </w:tc>
        <w:tc>
          <w:tcPr>
            <w:tcW w:w="893" w:type="dxa"/>
          </w:tcPr>
          <w:p w:rsidR="00DC1575" w:rsidRPr="001E42CA" w:rsidRDefault="00DC1575">
            <w:pPr>
              <w:pStyle w:val="Tabell"/>
              <w:spacing w:before="40" w:after="40"/>
              <w:jc w:val="center"/>
            </w:pPr>
            <w:r w:rsidRPr="001E42CA">
              <w:t>52,6</w:t>
            </w:r>
          </w:p>
        </w:tc>
        <w:tc>
          <w:tcPr>
            <w:tcW w:w="893" w:type="dxa"/>
          </w:tcPr>
          <w:p w:rsidR="00DC1575" w:rsidRPr="001E42CA" w:rsidRDefault="00DC1575">
            <w:pPr>
              <w:pStyle w:val="Tabell"/>
              <w:spacing w:before="40" w:after="40"/>
              <w:jc w:val="center"/>
            </w:pPr>
            <w:r w:rsidRPr="001E42CA">
              <w:t>47,4</w:t>
            </w:r>
          </w:p>
        </w:tc>
        <w:tc>
          <w:tcPr>
            <w:tcW w:w="893" w:type="dxa"/>
          </w:tcPr>
          <w:p w:rsidR="00DC1575" w:rsidRPr="001E42CA" w:rsidRDefault="00DC1575">
            <w:pPr>
              <w:pStyle w:val="Tabell"/>
              <w:spacing w:before="40" w:after="40"/>
              <w:jc w:val="center"/>
            </w:pPr>
            <w:r w:rsidRPr="001E42CA">
              <w:t>14,8</w:t>
            </w:r>
          </w:p>
        </w:tc>
        <w:tc>
          <w:tcPr>
            <w:tcW w:w="894" w:type="dxa"/>
          </w:tcPr>
          <w:p w:rsidR="00DC1575" w:rsidRPr="001E42CA" w:rsidRDefault="00DC1575">
            <w:pPr>
              <w:pStyle w:val="Tabell"/>
              <w:spacing w:before="40" w:after="40"/>
              <w:jc w:val="center"/>
            </w:pPr>
            <w:r w:rsidRPr="001E42CA">
              <w:t>85,2</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Bifall av BD</w:t>
            </w:r>
          </w:p>
        </w:tc>
        <w:tc>
          <w:tcPr>
            <w:tcW w:w="893" w:type="dxa"/>
          </w:tcPr>
          <w:p w:rsidR="00DC1575" w:rsidRPr="001E42CA" w:rsidRDefault="00DC1575">
            <w:pPr>
              <w:pStyle w:val="Tabell"/>
              <w:spacing w:before="40" w:after="40"/>
              <w:jc w:val="center"/>
            </w:pPr>
            <w:r w:rsidRPr="001E42CA">
              <w:t>50,0</w:t>
            </w:r>
          </w:p>
        </w:tc>
        <w:tc>
          <w:tcPr>
            <w:tcW w:w="893" w:type="dxa"/>
          </w:tcPr>
          <w:p w:rsidR="00DC1575" w:rsidRPr="001E42CA" w:rsidRDefault="00DC1575">
            <w:pPr>
              <w:pStyle w:val="Tabell"/>
              <w:spacing w:before="40" w:after="40"/>
              <w:jc w:val="center"/>
            </w:pPr>
            <w:r w:rsidRPr="001E42CA">
              <w:t>50,0</w:t>
            </w:r>
          </w:p>
        </w:tc>
        <w:tc>
          <w:tcPr>
            <w:tcW w:w="893" w:type="dxa"/>
          </w:tcPr>
          <w:p w:rsidR="00DC1575" w:rsidRPr="001E42CA" w:rsidRDefault="00DC1575">
            <w:pPr>
              <w:pStyle w:val="Tabell"/>
              <w:spacing w:before="40" w:after="40"/>
              <w:jc w:val="center"/>
            </w:pPr>
            <w:r w:rsidRPr="001E42CA">
              <w:t>12,5</w:t>
            </w:r>
          </w:p>
        </w:tc>
        <w:tc>
          <w:tcPr>
            <w:tcW w:w="894" w:type="dxa"/>
          </w:tcPr>
          <w:p w:rsidR="00DC1575" w:rsidRPr="001E42CA" w:rsidRDefault="00DC1575">
            <w:pPr>
              <w:pStyle w:val="Tabell"/>
              <w:spacing w:before="40" w:after="40"/>
              <w:jc w:val="center"/>
            </w:pPr>
            <w:r w:rsidRPr="001E42CA">
              <w:t>87,5</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Avslag av BD</w:t>
            </w:r>
          </w:p>
        </w:tc>
        <w:tc>
          <w:tcPr>
            <w:tcW w:w="893" w:type="dxa"/>
          </w:tcPr>
          <w:p w:rsidR="00DC1575" w:rsidRPr="001E42CA" w:rsidRDefault="00DC1575">
            <w:pPr>
              <w:pStyle w:val="Tabell"/>
              <w:spacing w:before="40" w:after="40"/>
              <w:jc w:val="center"/>
            </w:pPr>
            <w:r w:rsidRPr="001E42CA">
              <w:t>63,2</w:t>
            </w:r>
          </w:p>
        </w:tc>
        <w:tc>
          <w:tcPr>
            <w:tcW w:w="893" w:type="dxa"/>
          </w:tcPr>
          <w:p w:rsidR="00DC1575" w:rsidRPr="001E42CA" w:rsidRDefault="00DC1575">
            <w:pPr>
              <w:pStyle w:val="Tabell"/>
              <w:spacing w:before="40" w:after="40"/>
              <w:jc w:val="center"/>
            </w:pPr>
            <w:r w:rsidRPr="001E42CA">
              <w:t>36,8</w:t>
            </w:r>
          </w:p>
        </w:tc>
        <w:tc>
          <w:tcPr>
            <w:tcW w:w="893" w:type="dxa"/>
          </w:tcPr>
          <w:p w:rsidR="00DC1575" w:rsidRPr="001E42CA" w:rsidRDefault="00DC1575">
            <w:pPr>
              <w:pStyle w:val="Tabell"/>
              <w:spacing w:before="40" w:after="40"/>
              <w:jc w:val="center"/>
            </w:pPr>
            <w:r w:rsidRPr="001E42CA">
              <w:t>13,2</w:t>
            </w:r>
          </w:p>
        </w:tc>
        <w:tc>
          <w:tcPr>
            <w:tcW w:w="894" w:type="dxa"/>
          </w:tcPr>
          <w:p w:rsidR="00DC1575" w:rsidRPr="001E42CA" w:rsidRDefault="00DC1575">
            <w:pPr>
              <w:pStyle w:val="Tabell"/>
              <w:spacing w:before="40" w:after="40"/>
              <w:jc w:val="center"/>
            </w:pPr>
            <w:r w:rsidRPr="001E42CA">
              <w:t>86,8</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Bifall av regeringen (efter förslag från KD)</w:t>
            </w:r>
          </w:p>
        </w:tc>
        <w:tc>
          <w:tcPr>
            <w:tcW w:w="893" w:type="dxa"/>
          </w:tcPr>
          <w:p w:rsidR="00DC1575" w:rsidRPr="001E42CA" w:rsidRDefault="00DC1575">
            <w:pPr>
              <w:pStyle w:val="Tabell"/>
              <w:spacing w:before="40" w:after="40"/>
              <w:jc w:val="center"/>
            </w:pPr>
            <w:r w:rsidRPr="001E42CA">
              <w:t>45,5</w:t>
            </w:r>
          </w:p>
        </w:tc>
        <w:tc>
          <w:tcPr>
            <w:tcW w:w="893" w:type="dxa"/>
          </w:tcPr>
          <w:p w:rsidR="00DC1575" w:rsidRPr="001E42CA" w:rsidRDefault="00DC1575">
            <w:pPr>
              <w:pStyle w:val="Tabell"/>
              <w:spacing w:before="40" w:after="40"/>
              <w:jc w:val="center"/>
            </w:pPr>
            <w:r w:rsidRPr="001E42CA">
              <w:t>54,5</w:t>
            </w:r>
          </w:p>
        </w:tc>
        <w:tc>
          <w:tcPr>
            <w:tcW w:w="893" w:type="dxa"/>
          </w:tcPr>
          <w:p w:rsidR="00DC1575" w:rsidRPr="001E42CA" w:rsidRDefault="00DC1575">
            <w:pPr>
              <w:pStyle w:val="Tabell"/>
              <w:spacing w:before="40" w:after="40"/>
              <w:jc w:val="center"/>
            </w:pPr>
            <w:r w:rsidRPr="001E42CA">
              <w:t xml:space="preserve">  9,1</w:t>
            </w:r>
          </w:p>
        </w:tc>
        <w:tc>
          <w:tcPr>
            <w:tcW w:w="894" w:type="dxa"/>
          </w:tcPr>
          <w:p w:rsidR="00DC1575" w:rsidRPr="001E42CA" w:rsidRDefault="00DC1575">
            <w:pPr>
              <w:pStyle w:val="Tabell"/>
              <w:spacing w:before="40" w:after="40"/>
              <w:jc w:val="center"/>
            </w:pPr>
            <w:r w:rsidRPr="001E42CA">
              <w:t>90,9</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Avslag från regeringen (efter förslag från KD)</w:t>
            </w:r>
          </w:p>
        </w:tc>
        <w:tc>
          <w:tcPr>
            <w:tcW w:w="893" w:type="dxa"/>
          </w:tcPr>
          <w:p w:rsidR="00DC1575" w:rsidRPr="001E42CA" w:rsidRDefault="00DC1575">
            <w:pPr>
              <w:pStyle w:val="Tabell"/>
              <w:spacing w:before="40" w:after="40"/>
              <w:jc w:val="center"/>
            </w:pPr>
            <w:r w:rsidRPr="001E42CA">
              <w:t>59,1</w:t>
            </w:r>
          </w:p>
        </w:tc>
        <w:tc>
          <w:tcPr>
            <w:tcW w:w="893" w:type="dxa"/>
          </w:tcPr>
          <w:p w:rsidR="00DC1575" w:rsidRPr="001E42CA" w:rsidRDefault="00DC1575">
            <w:pPr>
              <w:pStyle w:val="Tabell"/>
              <w:spacing w:before="40" w:after="40"/>
              <w:jc w:val="center"/>
            </w:pPr>
            <w:r w:rsidRPr="001E42CA">
              <w:t>40,9</w:t>
            </w:r>
          </w:p>
        </w:tc>
        <w:tc>
          <w:tcPr>
            <w:tcW w:w="893" w:type="dxa"/>
          </w:tcPr>
          <w:p w:rsidR="00DC1575" w:rsidRPr="001E42CA" w:rsidRDefault="00DC1575">
            <w:pPr>
              <w:pStyle w:val="Tabell"/>
              <w:spacing w:before="40" w:after="40"/>
              <w:jc w:val="center"/>
            </w:pPr>
            <w:r w:rsidRPr="001E42CA">
              <w:t xml:space="preserve">  9,1</w:t>
            </w:r>
          </w:p>
        </w:tc>
        <w:tc>
          <w:tcPr>
            <w:tcW w:w="894" w:type="dxa"/>
          </w:tcPr>
          <w:p w:rsidR="00DC1575" w:rsidRPr="001E42CA" w:rsidRDefault="00DC1575">
            <w:pPr>
              <w:pStyle w:val="Tabell"/>
              <w:spacing w:before="40" w:after="40"/>
              <w:jc w:val="center"/>
            </w:pPr>
            <w:r w:rsidRPr="001E42CA">
              <w:t>90,9</w:t>
            </w:r>
          </w:p>
        </w:tc>
      </w:tr>
      <w:tr w:rsidR="00000000" w:rsidRPr="001E42CA">
        <w:tblPrEx>
          <w:tblCellMar>
            <w:top w:w="0" w:type="dxa"/>
            <w:bottom w:w="0" w:type="dxa"/>
          </w:tblCellMar>
        </w:tblPrEx>
        <w:tc>
          <w:tcPr>
            <w:tcW w:w="2462" w:type="dxa"/>
          </w:tcPr>
          <w:p w:rsidR="00DC1575" w:rsidRPr="001E42CA" w:rsidRDefault="00DC1575">
            <w:pPr>
              <w:pStyle w:val="Tabell"/>
              <w:spacing w:before="40" w:after="40"/>
              <w:jc w:val="left"/>
            </w:pPr>
            <w:r w:rsidRPr="001E42CA">
              <w:t>Bifall av regeringen (efter förslag från BD och KD)</w:t>
            </w:r>
          </w:p>
        </w:tc>
        <w:tc>
          <w:tcPr>
            <w:tcW w:w="893" w:type="dxa"/>
          </w:tcPr>
          <w:p w:rsidR="00DC1575" w:rsidRPr="001E42CA" w:rsidRDefault="00DC1575">
            <w:pPr>
              <w:pStyle w:val="Tabell"/>
              <w:spacing w:before="40" w:after="40"/>
              <w:jc w:val="center"/>
            </w:pPr>
            <w:r w:rsidRPr="001E42CA">
              <w:t>21,4</w:t>
            </w:r>
          </w:p>
        </w:tc>
        <w:tc>
          <w:tcPr>
            <w:tcW w:w="893" w:type="dxa"/>
          </w:tcPr>
          <w:p w:rsidR="00DC1575" w:rsidRPr="001E42CA" w:rsidRDefault="00DC1575">
            <w:pPr>
              <w:pStyle w:val="Tabell"/>
              <w:spacing w:before="40" w:after="40"/>
              <w:jc w:val="center"/>
            </w:pPr>
            <w:r w:rsidRPr="001E42CA">
              <w:t>78,6</w:t>
            </w:r>
          </w:p>
        </w:tc>
        <w:tc>
          <w:tcPr>
            <w:tcW w:w="893" w:type="dxa"/>
          </w:tcPr>
          <w:p w:rsidR="00DC1575" w:rsidRPr="001E42CA" w:rsidRDefault="00DC1575">
            <w:pPr>
              <w:pStyle w:val="Tabell"/>
              <w:spacing w:before="40" w:after="40"/>
              <w:jc w:val="center"/>
            </w:pPr>
            <w:r w:rsidRPr="001E42CA">
              <w:t>21,4</w:t>
            </w:r>
          </w:p>
        </w:tc>
        <w:tc>
          <w:tcPr>
            <w:tcW w:w="894" w:type="dxa"/>
          </w:tcPr>
          <w:p w:rsidR="00DC1575" w:rsidRPr="001E42CA" w:rsidRDefault="00DC1575">
            <w:pPr>
              <w:pStyle w:val="Tabell"/>
              <w:spacing w:before="40" w:after="40"/>
              <w:jc w:val="center"/>
            </w:pPr>
            <w:r w:rsidRPr="001E42CA">
              <w:t>78,6</w:t>
            </w:r>
          </w:p>
        </w:tc>
      </w:tr>
      <w:tr w:rsidR="00000000" w:rsidRPr="001E42CA">
        <w:tblPrEx>
          <w:tblCellMar>
            <w:top w:w="0" w:type="dxa"/>
            <w:bottom w:w="0" w:type="dxa"/>
          </w:tblCellMar>
        </w:tblPrEx>
        <w:tc>
          <w:tcPr>
            <w:tcW w:w="2462" w:type="dxa"/>
            <w:tcBorders>
              <w:bottom w:val="single" w:sz="4" w:space="0" w:color="auto"/>
            </w:tcBorders>
          </w:tcPr>
          <w:p w:rsidR="00DC1575" w:rsidRPr="001E42CA" w:rsidRDefault="00DC1575">
            <w:pPr>
              <w:pStyle w:val="Tabell"/>
              <w:spacing w:before="40" w:after="40"/>
              <w:jc w:val="left"/>
            </w:pPr>
            <w:r w:rsidRPr="001E42CA">
              <w:t>Avslag från regeringen (ej öve</w:t>
            </w:r>
            <w:r w:rsidRPr="001E42CA">
              <w:t>r</w:t>
            </w:r>
            <w:r w:rsidRPr="001E42CA">
              <w:t>lämnade till deleg</w:t>
            </w:r>
            <w:r w:rsidRPr="001E42CA">
              <w:t>a</w:t>
            </w:r>
            <w:r w:rsidRPr="001E42CA">
              <w:t>tion)</w:t>
            </w:r>
          </w:p>
        </w:tc>
        <w:tc>
          <w:tcPr>
            <w:tcW w:w="893" w:type="dxa"/>
            <w:tcBorders>
              <w:bottom w:val="single" w:sz="4" w:space="0" w:color="auto"/>
            </w:tcBorders>
          </w:tcPr>
          <w:p w:rsidR="00DC1575" w:rsidRPr="001E42CA" w:rsidRDefault="00DC1575">
            <w:pPr>
              <w:pStyle w:val="Tabell"/>
              <w:spacing w:before="40" w:after="40"/>
              <w:jc w:val="center"/>
            </w:pPr>
            <w:r w:rsidRPr="001E42CA">
              <w:t>60,0</w:t>
            </w:r>
          </w:p>
        </w:tc>
        <w:tc>
          <w:tcPr>
            <w:tcW w:w="893" w:type="dxa"/>
            <w:tcBorders>
              <w:bottom w:val="single" w:sz="4" w:space="0" w:color="auto"/>
            </w:tcBorders>
          </w:tcPr>
          <w:p w:rsidR="00DC1575" w:rsidRPr="001E42CA" w:rsidRDefault="00DC1575">
            <w:pPr>
              <w:pStyle w:val="Tabell"/>
              <w:spacing w:before="40" w:after="40"/>
              <w:jc w:val="center"/>
            </w:pPr>
            <w:r w:rsidRPr="001E42CA">
              <w:t>40,0</w:t>
            </w:r>
          </w:p>
        </w:tc>
        <w:tc>
          <w:tcPr>
            <w:tcW w:w="893" w:type="dxa"/>
            <w:tcBorders>
              <w:bottom w:val="single" w:sz="4" w:space="0" w:color="auto"/>
            </w:tcBorders>
          </w:tcPr>
          <w:p w:rsidR="00DC1575" w:rsidRPr="001E42CA" w:rsidRDefault="00DC1575">
            <w:pPr>
              <w:pStyle w:val="Tabell"/>
              <w:spacing w:before="40" w:after="40"/>
              <w:jc w:val="center"/>
            </w:pPr>
            <w:r w:rsidRPr="001E42CA">
              <w:t>33,3</w:t>
            </w:r>
          </w:p>
        </w:tc>
        <w:tc>
          <w:tcPr>
            <w:tcW w:w="894" w:type="dxa"/>
            <w:tcBorders>
              <w:bottom w:val="single" w:sz="4" w:space="0" w:color="auto"/>
            </w:tcBorders>
          </w:tcPr>
          <w:p w:rsidR="00DC1575" w:rsidRPr="001E42CA" w:rsidRDefault="00DC1575">
            <w:pPr>
              <w:pStyle w:val="Tabell"/>
              <w:spacing w:before="40" w:after="40"/>
              <w:jc w:val="center"/>
            </w:pPr>
            <w:r w:rsidRPr="001E42CA">
              <w:t>66,7</w:t>
            </w:r>
          </w:p>
        </w:tc>
      </w:tr>
    </w:tbl>
    <w:p w:rsidR="00DC1575" w:rsidRPr="001E42CA" w:rsidRDefault="00DC1575">
      <w:pPr>
        <w:pStyle w:val="Normaltindrag"/>
      </w:pPr>
    </w:p>
    <w:p w:rsidR="00DC1575" w:rsidRPr="001E42CA" w:rsidRDefault="00DC1575">
      <w:pPr>
        <w:spacing w:before="0"/>
      </w:pPr>
      <w:r w:rsidRPr="001E42CA">
        <w:t>Den ovan redovisade bilden blir än mer tydlig om vi betraktar vilka faktiska bidrag kommunerna får i de bägge utjämningssystemen. Som framgår av Tabell 4.12 har kommuner som fått bifall betydligt högre ersättningsnivå än avslagskommunerna. Exempelvis får kommuner som fått bifall av regeringen efter förslag från Kommundelegationen ett bidrag på 901 kronor per innev</w:t>
      </w:r>
      <w:r w:rsidRPr="001E42CA">
        <w:t>å</w:t>
      </w:r>
      <w:r w:rsidRPr="001E42CA">
        <w:t xml:space="preserve">nare från kostnadsutjämningen, medan kommuner som fått avslag får betala en avgift på 266 kronor per innevånare. </w:t>
      </w:r>
    </w:p>
    <w:p w:rsidR="00DC1575" w:rsidRPr="001E42CA" w:rsidRDefault="00DC1575">
      <w:pPr>
        <w:pStyle w:val="Normaltindrag"/>
      </w:pPr>
      <w:r w:rsidRPr="001E42CA">
        <w:t>Sammanfattningsvis förefaller det vara en hög andel kommuner som får bidrag från kostnadsutjämningen som både sökt och framför allt fått stöd, med andra ord i hög grad kommuner som redan kompenseras för en ogyn</w:t>
      </w:r>
      <w:r w:rsidRPr="001E42CA">
        <w:t>n</w:t>
      </w:r>
      <w:r w:rsidRPr="001E42CA">
        <w:t>sam kostnad</w:t>
      </w:r>
      <w:r w:rsidRPr="001E42CA">
        <w:t>s</w:t>
      </w:r>
      <w:r w:rsidRPr="001E42CA">
        <w:t xml:space="preserve">struktur. Speciellt tycks detta gälla bifall från regeringen. </w:t>
      </w:r>
    </w:p>
    <w:p w:rsidR="00DC1575" w:rsidRPr="001E42CA" w:rsidRDefault="00DC1575">
      <w:pPr>
        <w:pStyle w:val="Normaltindrag"/>
      </w:pPr>
    </w:p>
    <w:p w:rsidR="00DC1575" w:rsidRPr="001E42CA" w:rsidRDefault="00DC1575">
      <w:pPr>
        <w:pStyle w:val="Tabellrubrik"/>
      </w:pPr>
      <w:r w:rsidRPr="001E42CA">
        <w:t>Tabell 4.12 Faktiska bidrag eller avgifter i utjämningssystemen</w:t>
      </w:r>
    </w:p>
    <w:p w:rsidR="00DC1575" w:rsidRPr="001E42CA" w:rsidRDefault="00DC1575">
      <w:pPr>
        <w:pStyle w:val="Fotnotstext"/>
        <w:spacing w:before="0" w:line="245" w:lineRule="exact"/>
      </w:pPr>
      <w:r w:rsidRPr="001E42CA">
        <w:t>Kronor per innevånare</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185"/>
        <w:gridCol w:w="1185"/>
        <w:gridCol w:w="1186"/>
      </w:tblGrid>
      <w:tr w:rsidR="00000000" w:rsidRPr="001E42CA">
        <w:tblPrEx>
          <w:tblCellMar>
            <w:top w:w="0" w:type="dxa"/>
            <w:bottom w:w="0" w:type="dxa"/>
          </w:tblCellMar>
        </w:tblPrEx>
        <w:tc>
          <w:tcPr>
            <w:tcW w:w="2480" w:type="dxa"/>
            <w:tcBorders>
              <w:top w:val="single" w:sz="4" w:space="0" w:color="auto"/>
              <w:bottom w:val="single" w:sz="4" w:space="0" w:color="auto"/>
            </w:tcBorders>
          </w:tcPr>
          <w:p w:rsidR="00DC1575" w:rsidRPr="001E42CA" w:rsidRDefault="00DC1575">
            <w:pPr>
              <w:pStyle w:val="Tabell"/>
              <w:spacing w:before="40" w:after="40"/>
              <w:jc w:val="left"/>
            </w:pPr>
          </w:p>
        </w:tc>
        <w:tc>
          <w:tcPr>
            <w:tcW w:w="1185" w:type="dxa"/>
            <w:tcBorders>
              <w:top w:val="single" w:sz="4" w:space="0" w:color="auto"/>
              <w:bottom w:val="single" w:sz="4" w:space="0" w:color="auto"/>
            </w:tcBorders>
          </w:tcPr>
          <w:p w:rsidR="00DC1575" w:rsidRPr="001E42CA" w:rsidRDefault="00DC1575">
            <w:pPr>
              <w:pStyle w:val="Tabell"/>
              <w:spacing w:before="40" w:after="40"/>
              <w:jc w:val="left"/>
            </w:pPr>
            <w:r w:rsidRPr="001E42CA">
              <w:t>Bidrag från kostnadsu</w:t>
            </w:r>
            <w:r w:rsidRPr="001E42CA">
              <w:t>t</w:t>
            </w:r>
            <w:r w:rsidRPr="001E42CA">
              <w:t>jämnin</w:t>
            </w:r>
            <w:r w:rsidRPr="001E42CA">
              <w:t>g</w:t>
            </w:r>
            <w:r w:rsidRPr="001E42CA">
              <w:t>en</w:t>
            </w:r>
          </w:p>
        </w:tc>
        <w:tc>
          <w:tcPr>
            <w:tcW w:w="1185" w:type="dxa"/>
            <w:tcBorders>
              <w:top w:val="single" w:sz="4" w:space="0" w:color="auto"/>
              <w:bottom w:val="single" w:sz="4" w:space="0" w:color="auto"/>
            </w:tcBorders>
          </w:tcPr>
          <w:p w:rsidR="00DC1575" w:rsidRPr="001E42CA" w:rsidRDefault="00DC1575">
            <w:pPr>
              <w:pStyle w:val="Tabell"/>
              <w:spacing w:before="40" w:after="40"/>
              <w:jc w:val="left"/>
            </w:pPr>
            <w:r w:rsidRPr="001E42CA">
              <w:t>Bidrag från inkomstutjä</w:t>
            </w:r>
            <w:r w:rsidRPr="001E42CA">
              <w:t>m</w:t>
            </w:r>
            <w:r w:rsidRPr="001E42CA">
              <w:t>ningen</w:t>
            </w:r>
          </w:p>
        </w:tc>
        <w:tc>
          <w:tcPr>
            <w:tcW w:w="1186" w:type="dxa"/>
            <w:tcBorders>
              <w:top w:val="single" w:sz="4" w:space="0" w:color="auto"/>
              <w:bottom w:val="single" w:sz="4" w:space="0" w:color="auto"/>
            </w:tcBorders>
          </w:tcPr>
          <w:p w:rsidR="00DC1575" w:rsidRPr="001E42CA" w:rsidRDefault="00DC1575">
            <w:pPr>
              <w:pStyle w:val="Tabell"/>
              <w:spacing w:before="40" w:after="40"/>
              <w:jc w:val="left"/>
            </w:pPr>
            <w:r w:rsidRPr="001E42CA">
              <w:t>Netto i utjä</w:t>
            </w:r>
            <w:r w:rsidRPr="001E42CA">
              <w:t>m</w:t>
            </w:r>
            <w:r w:rsidRPr="001E42CA">
              <w:t>ningssystemet</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Kommunse</w:t>
            </w:r>
            <w:r w:rsidRPr="001E42CA">
              <w:t>k</w:t>
            </w:r>
            <w:r w:rsidRPr="001E42CA">
              <w:t>torn</w:t>
            </w:r>
          </w:p>
        </w:tc>
        <w:tc>
          <w:tcPr>
            <w:tcW w:w="1185" w:type="dxa"/>
          </w:tcPr>
          <w:p w:rsidR="00DC1575" w:rsidRPr="001E42CA" w:rsidRDefault="00DC1575">
            <w:pPr>
              <w:pStyle w:val="Tabell"/>
              <w:spacing w:before="40" w:after="40"/>
              <w:jc w:val="center"/>
            </w:pPr>
            <w:r w:rsidRPr="001E42CA">
              <w:t xml:space="preserve">  153</w:t>
            </w:r>
          </w:p>
        </w:tc>
        <w:tc>
          <w:tcPr>
            <w:tcW w:w="1185" w:type="dxa"/>
          </w:tcPr>
          <w:p w:rsidR="00DC1575" w:rsidRPr="001E42CA" w:rsidRDefault="00DC1575">
            <w:pPr>
              <w:pStyle w:val="Tabell"/>
              <w:spacing w:before="40" w:after="40"/>
              <w:jc w:val="center"/>
            </w:pPr>
            <w:r w:rsidRPr="001E42CA">
              <w:t xml:space="preserve">  1252</w:t>
            </w:r>
          </w:p>
        </w:tc>
        <w:tc>
          <w:tcPr>
            <w:tcW w:w="1186" w:type="dxa"/>
          </w:tcPr>
          <w:p w:rsidR="00DC1575" w:rsidRPr="001E42CA" w:rsidRDefault="00DC1575">
            <w:pPr>
              <w:pStyle w:val="Tabell"/>
              <w:spacing w:before="40" w:after="40"/>
              <w:jc w:val="center"/>
            </w:pPr>
            <w:r w:rsidRPr="001E42CA">
              <w:t>1457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Samtliga sökande kommuner</w:t>
            </w:r>
          </w:p>
        </w:tc>
        <w:tc>
          <w:tcPr>
            <w:tcW w:w="1185" w:type="dxa"/>
          </w:tcPr>
          <w:p w:rsidR="00DC1575" w:rsidRPr="001E42CA" w:rsidRDefault="00DC1575">
            <w:pPr>
              <w:pStyle w:val="Tabell"/>
              <w:spacing w:before="40" w:after="40"/>
              <w:jc w:val="center"/>
            </w:pPr>
            <w:r w:rsidRPr="001E42CA">
              <w:t xml:space="preserve">  122</w:t>
            </w:r>
          </w:p>
        </w:tc>
        <w:tc>
          <w:tcPr>
            <w:tcW w:w="1185" w:type="dxa"/>
          </w:tcPr>
          <w:p w:rsidR="00DC1575" w:rsidRPr="001E42CA" w:rsidRDefault="00DC1575">
            <w:pPr>
              <w:pStyle w:val="Tabell"/>
              <w:spacing w:before="40" w:after="40"/>
              <w:jc w:val="center"/>
            </w:pPr>
            <w:r w:rsidRPr="001E42CA">
              <w:t xml:space="preserve">    853</w:t>
            </w:r>
          </w:p>
        </w:tc>
        <w:tc>
          <w:tcPr>
            <w:tcW w:w="1186" w:type="dxa"/>
          </w:tcPr>
          <w:p w:rsidR="00DC1575" w:rsidRPr="001E42CA" w:rsidRDefault="00DC1575">
            <w:pPr>
              <w:pStyle w:val="Tabell"/>
              <w:spacing w:before="40" w:after="40"/>
              <w:jc w:val="center"/>
            </w:pPr>
            <w:r w:rsidRPr="001E42CA">
              <w:t>1246</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Bifall av BD</w:t>
            </w:r>
          </w:p>
        </w:tc>
        <w:tc>
          <w:tcPr>
            <w:tcW w:w="1185" w:type="dxa"/>
          </w:tcPr>
          <w:p w:rsidR="00DC1575" w:rsidRPr="001E42CA" w:rsidRDefault="00DC1575">
            <w:pPr>
              <w:pStyle w:val="Tabell"/>
              <w:spacing w:before="40" w:after="40"/>
              <w:jc w:val="center"/>
            </w:pPr>
            <w:r w:rsidRPr="001E42CA">
              <w:t xml:space="preserve">  247</w:t>
            </w:r>
          </w:p>
        </w:tc>
        <w:tc>
          <w:tcPr>
            <w:tcW w:w="1185" w:type="dxa"/>
          </w:tcPr>
          <w:p w:rsidR="00DC1575" w:rsidRPr="001E42CA" w:rsidRDefault="00DC1575">
            <w:pPr>
              <w:pStyle w:val="Tabell"/>
              <w:spacing w:before="40" w:after="40"/>
              <w:jc w:val="center"/>
            </w:pPr>
            <w:r w:rsidRPr="001E42CA">
              <w:t xml:space="preserve">  1442</w:t>
            </w:r>
          </w:p>
        </w:tc>
        <w:tc>
          <w:tcPr>
            <w:tcW w:w="1186" w:type="dxa"/>
          </w:tcPr>
          <w:p w:rsidR="00DC1575" w:rsidRPr="001E42CA" w:rsidRDefault="00DC1575">
            <w:pPr>
              <w:pStyle w:val="Tabell"/>
              <w:spacing w:before="40" w:after="40"/>
              <w:jc w:val="center"/>
            </w:pPr>
            <w:r w:rsidRPr="001E42CA">
              <w:t>2027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Avslag av BD</w:t>
            </w:r>
          </w:p>
        </w:tc>
        <w:tc>
          <w:tcPr>
            <w:tcW w:w="1185" w:type="dxa"/>
          </w:tcPr>
          <w:p w:rsidR="00DC1575" w:rsidRPr="001E42CA" w:rsidRDefault="00DC1575">
            <w:pPr>
              <w:pStyle w:val="Tabell"/>
              <w:spacing w:before="40" w:after="40"/>
              <w:jc w:val="center"/>
            </w:pPr>
            <w:r w:rsidRPr="001E42CA">
              <w:t xml:space="preserve">   -93</w:t>
            </w:r>
          </w:p>
        </w:tc>
        <w:tc>
          <w:tcPr>
            <w:tcW w:w="1185" w:type="dxa"/>
          </w:tcPr>
          <w:p w:rsidR="00DC1575" w:rsidRPr="001E42CA" w:rsidRDefault="00DC1575">
            <w:pPr>
              <w:pStyle w:val="Tabell"/>
              <w:spacing w:before="40" w:after="40"/>
              <w:jc w:val="center"/>
            </w:pPr>
            <w:r w:rsidRPr="001E42CA">
              <w:t xml:space="preserve">  1249</w:t>
            </w:r>
          </w:p>
        </w:tc>
        <w:tc>
          <w:tcPr>
            <w:tcW w:w="1186" w:type="dxa"/>
          </w:tcPr>
          <w:p w:rsidR="00DC1575" w:rsidRPr="001E42CA" w:rsidRDefault="00DC1575">
            <w:pPr>
              <w:pStyle w:val="Tabell"/>
              <w:spacing w:before="40" w:after="40"/>
              <w:jc w:val="center"/>
            </w:pPr>
            <w:r w:rsidRPr="001E42CA">
              <w:t>1212</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Bifall av regeringen (efter förslag från KD)</w:t>
            </w:r>
          </w:p>
        </w:tc>
        <w:tc>
          <w:tcPr>
            <w:tcW w:w="1185" w:type="dxa"/>
          </w:tcPr>
          <w:p w:rsidR="00DC1575" w:rsidRPr="001E42CA" w:rsidRDefault="00DC1575">
            <w:pPr>
              <w:pStyle w:val="Tabell"/>
              <w:spacing w:before="40" w:after="40"/>
              <w:jc w:val="center"/>
            </w:pPr>
            <w:r w:rsidRPr="001E42CA">
              <w:t xml:space="preserve">  901</w:t>
            </w:r>
          </w:p>
        </w:tc>
        <w:tc>
          <w:tcPr>
            <w:tcW w:w="1185" w:type="dxa"/>
          </w:tcPr>
          <w:p w:rsidR="00DC1575" w:rsidRPr="001E42CA" w:rsidRDefault="00DC1575">
            <w:pPr>
              <w:pStyle w:val="Tabell"/>
              <w:spacing w:before="40" w:after="40"/>
              <w:jc w:val="center"/>
            </w:pPr>
            <w:r w:rsidRPr="001E42CA">
              <w:t xml:space="preserve">  1607</w:t>
            </w:r>
          </w:p>
        </w:tc>
        <w:tc>
          <w:tcPr>
            <w:tcW w:w="1186" w:type="dxa"/>
          </w:tcPr>
          <w:p w:rsidR="00DC1575" w:rsidRPr="001E42CA" w:rsidRDefault="00DC1575">
            <w:pPr>
              <w:pStyle w:val="Tabell"/>
              <w:spacing w:before="40" w:after="40"/>
              <w:jc w:val="center"/>
            </w:pPr>
            <w:r w:rsidRPr="001E42CA">
              <w:t>2825</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Avslag från regeringen (efter förslag från KD)</w:t>
            </w:r>
          </w:p>
        </w:tc>
        <w:tc>
          <w:tcPr>
            <w:tcW w:w="1185" w:type="dxa"/>
          </w:tcPr>
          <w:p w:rsidR="00DC1575" w:rsidRPr="001E42CA" w:rsidRDefault="00DC1575">
            <w:pPr>
              <w:pStyle w:val="Tabell"/>
              <w:spacing w:before="40" w:after="40"/>
              <w:jc w:val="center"/>
            </w:pPr>
            <w:r w:rsidRPr="001E42CA">
              <w:t>-266</w:t>
            </w:r>
          </w:p>
        </w:tc>
        <w:tc>
          <w:tcPr>
            <w:tcW w:w="1185" w:type="dxa"/>
          </w:tcPr>
          <w:p w:rsidR="00DC1575" w:rsidRPr="001E42CA" w:rsidRDefault="00DC1575">
            <w:pPr>
              <w:pStyle w:val="Tabell"/>
              <w:spacing w:before="40" w:after="40"/>
              <w:jc w:val="center"/>
            </w:pPr>
            <w:r w:rsidRPr="001E42CA">
              <w:t xml:space="preserve">    718</w:t>
            </w:r>
          </w:p>
        </w:tc>
        <w:tc>
          <w:tcPr>
            <w:tcW w:w="1186" w:type="dxa"/>
          </w:tcPr>
          <w:p w:rsidR="00DC1575" w:rsidRPr="001E42CA" w:rsidRDefault="00DC1575">
            <w:pPr>
              <w:pStyle w:val="Tabell"/>
              <w:spacing w:before="40" w:after="40"/>
              <w:jc w:val="center"/>
            </w:pPr>
            <w:r w:rsidRPr="001E42CA">
              <w:t xml:space="preserve">  607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Bifall av regeringen (efter förslag från BD och KD)</w:t>
            </w:r>
          </w:p>
        </w:tc>
        <w:tc>
          <w:tcPr>
            <w:tcW w:w="1185" w:type="dxa"/>
          </w:tcPr>
          <w:p w:rsidR="00DC1575" w:rsidRPr="001E42CA" w:rsidRDefault="00DC1575">
            <w:pPr>
              <w:pStyle w:val="Tabell"/>
              <w:spacing w:before="40" w:after="40"/>
              <w:jc w:val="center"/>
            </w:pPr>
            <w:r w:rsidRPr="001E42CA">
              <w:t>1144</w:t>
            </w:r>
          </w:p>
        </w:tc>
        <w:tc>
          <w:tcPr>
            <w:tcW w:w="1185" w:type="dxa"/>
          </w:tcPr>
          <w:p w:rsidR="00DC1575" w:rsidRPr="001E42CA" w:rsidRDefault="00DC1575">
            <w:pPr>
              <w:pStyle w:val="Tabell"/>
              <w:spacing w:before="40" w:after="40"/>
              <w:jc w:val="center"/>
            </w:pPr>
            <w:r w:rsidRPr="001E42CA">
              <w:t xml:space="preserve">  1095</w:t>
            </w:r>
          </w:p>
        </w:tc>
        <w:tc>
          <w:tcPr>
            <w:tcW w:w="1186" w:type="dxa"/>
          </w:tcPr>
          <w:p w:rsidR="00DC1575" w:rsidRPr="001E42CA" w:rsidRDefault="00DC1575">
            <w:pPr>
              <w:pStyle w:val="Tabell"/>
              <w:spacing w:before="40" w:after="40"/>
              <w:jc w:val="center"/>
            </w:pPr>
            <w:r w:rsidRPr="001E42CA">
              <w:t>3096</w:t>
            </w:r>
          </w:p>
        </w:tc>
      </w:tr>
      <w:tr w:rsidR="00000000" w:rsidRPr="001E42CA">
        <w:tblPrEx>
          <w:tblCellMar>
            <w:top w:w="0" w:type="dxa"/>
            <w:bottom w:w="0" w:type="dxa"/>
          </w:tblCellMar>
        </w:tblPrEx>
        <w:tc>
          <w:tcPr>
            <w:tcW w:w="2480" w:type="dxa"/>
            <w:tcBorders>
              <w:bottom w:val="single" w:sz="4" w:space="0" w:color="auto"/>
            </w:tcBorders>
          </w:tcPr>
          <w:p w:rsidR="00DC1575" w:rsidRPr="001E42CA" w:rsidRDefault="00DC1575">
            <w:pPr>
              <w:pStyle w:val="Tabell"/>
              <w:spacing w:before="40" w:after="40"/>
              <w:jc w:val="left"/>
            </w:pPr>
            <w:r w:rsidRPr="001E42CA">
              <w:t>Avslag från regeringen (ej öve</w:t>
            </w:r>
            <w:r w:rsidRPr="001E42CA">
              <w:t>r</w:t>
            </w:r>
            <w:r w:rsidRPr="001E42CA">
              <w:t>lämnade till deleg</w:t>
            </w:r>
            <w:r w:rsidRPr="001E42CA">
              <w:t>a</w:t>
            </w:r>
            <w:r w:rsidRPr="001E42CA">
              <w:t>tion)</w:t>
            </w:r>
          </w:p>
        </w:tc>
        <w:tc>
          <w:tcPr>
            <w:tcW w:w="1185" w:type="dxa"/>
            <w:tcBorders>
              <w:bottom w:val="single" w:sz="4" w:space="0" w:color="auto"/>
            </w:tcBorders>
          </w:tcPr>
          <w:p w:rsidR="00DC1575" w:rsidRPr="001E42CA" w:rsidRDefault="00DC1575">
            <w:pPr>
              <w:pStyle w:val="Tabell"/>
              <w:spacing w:before="40" w:after="40"/>
              <w:jc w:val="center"/>
            </w:pPr>
            <w:r w:rsidRPr="001E42CA">
              <w:t>-120</w:t>
            </w:r>
          </w:p>
        </w:tc>
        <w:tc>
          <w:tcPr>
            <w:tcW w:w="1185" w:type="dxa"/>
            <w:tcBorders>
              <w:bottom w:val="single" w:sz="4" w:space="0" w:color="auto"/>
            </w:tcBorders>
          </w:tcPr>
          <w:p w:rsidR="00DC1575" w:rsidRPr="001E42CA" w:rsidRDefault="00DC1575">
            <w:pPr>
              <w:pStyle w:val="Tabell"/>
              <w:spacing w:before="40" w:after="40"/>
              <w:jc w:val="center"/>
            </w:pPr>
            <w:r w:rsidRPr="001E42CA">
              <w:t>-1267</w:t>
            </w:r>
          </w:p>
        </w:tc>
        <w:tc>
          <w:tcPr>
            <w:tcW w:w="1186" w:type="dxa"/>
            <w:tcBorders>
              <w:bottom w:val="single" w:sz="4" w:space="0" w:color="auto"/>
            </w:tcBorders>
          </w:tcPr>
          <w:p w:rsidR="00DC1575" w:rsidRPr="001E42CA" w:rsidRDefault="00DC1575">
            <w:pPr>
              <w:pStyle w:val="Tabell"/>
              <w:spacing w:before="40" w:after="40"/>
              <w:jc w:val="center"/>
            </w:pPr>
            <w:r w:rsidRPr="001E42CA">
              <w:t xml:space="preserve"> -751</w:t>
            </w:r>
          </w:p>
        </w:tc>
      </w:tr>
    </w:tbl>
    <w:p w:rsidR="00DC1575" w:rsidRPr="001E42CA" w:rsidRDefault="00DC1575">
      <w:pPr>
        <w:pStyle w:val="R3"/>
      </w:pPr>
      <w:r w:rsidRPr="001E42CA">
        <w:t>Strukturkostnader och utbudsnivå</w:t>
      </w:r>
    </w:p>
    <w:p w:rsidR="00DC1575" w:rsidRPr="001E42CA" w:rsidRDefault="00DC1575">
      <w:r w:rsidRPr="001E42CA">
        <w:t>Kommunernas kostnader per innevånare varierar som framgått ovan bland annat beroende på strukturella kostnadsskillnader som gör att behovet av, eller kostnaderna för, kommunala verksamheter är högre eller lägre än rik</w:t>
      </w:r>
      <w:r w:rsidRPr="001E42CA">
        <w:t>s</w:t>
      </w:r>
      <w:r w:rsidRPr="001E42CA">
        <w:t>genomsnittet. Strukturella kostnader är sådana kostnader som beror på fakt</w:t>
      </w:r>
      <w:r w:rsidRPr="001E42CA">
        <w:t>o</w:t>
      </w:r>
      <w:r w:rsidRPr="001E42CA">
        <w:t>rer som kommunerna själva inte kan påverka, t.ex. åldersstrukturen, innev</w:t>
      </w:r>
      <w:r w:rsidRPr="001E42CA">
        <w:t>å</w:t>
      </w:r>
      <w:r w:rsidRPr="001E42CA">
        <w:t xml:space="preserve">narnas sociala bakgrund och den geografiska strukturen. Att rakt av jämföra en kommuns kostnader med en annans utan att ta hänsyn till varje kommuns strukturella faktorer ger en begränsad indikation på om en kommun är ”dyr” eller inte. Ett bättre mått på om en kommun är ”dyr” eller inte är att jämföra kommunens faktiska nettokostnader i olika verksamheter med </w:t>
      </w:r>
      <w:r w:rsidRPr="001E42CA">
        <w:t>kommunens standardkostnad enligt skatteutjämningssystemet. Kostnadsutjämningen ska utjämna strukturella kostnadsskillnader. Systemet ska däremot inte utjämna för de kostnadsskillnader som beror på skillnader i ambitionsnivå, effektiv</w:t>
      </w:r>
      <w:r w:rsidRPr="001E42CA">
        <w:t>i</w:t>
      </w:r>
      <w:r w:rsidRPr="001E42CA">
        <w:t>tet eller avgifter.</w:t>
      </w:r>
    </w:p>
    <w:p w:rsidR="00DC1575" w:rsidRPr="001E42CA" w:rsidRDefault="00DC1575">
      <w:pPr>
        <w:pStyle w:val="Normaltindrag"/>
      </w:pPr>
      <w:r w:rsidRPr="001E42CA">
        <w:t>Svenska kommunförbundet har utvecklat ett index som ger en indikation på om en kommun har högre eller lägre kostnader än de som motiveras av den egna strukturen enligt det statliga utjämningssystemet. Om kommunen har ett index större än 100 innebär det att k</w:t>
      </w:r>
      <w:r w:rsidRPr="001E42CA">
        <w:t>ommunen har högre kostnader än vad som motiveras av kommunens strukturella förutsättningar. Skillnaden kan bero på att kommunen bedriver verksamheten till en annan ambitions- eller effektivitetsnivå än riksgenomsnittet. Det kan naturligtvis också bero på strukturella faktorer som inte beaktas eller fångas upp i utjämningssystemet.</w:t>
      </w:r>
    </w:p>
    <w:p w:rsidR="00DC1575" w:rsidRPr="001E42CA" w:rsidRDefault="00DC1575">
      <w:pPr>
        <w:pStyle w:val="Normaltindrag"/>
      </w:pPr>
      <w:r w:rsidRPr="001E42CA">
        <w:t>I Tabell 4.13 redovisas kostnader för barnomsorg, grundskola, gymnasi</w:t>
      </w:r>
      <w:r w:rsidRPr="001E42CA">
        <w:t>e</w:t>
      </w:r>
      <w:r w:rsidRPr="001E42CA">
        <w:t>skola och äldreomsorg. Rent allmänt tycks de sökande kommunerna ha högre kostnader än vad som motiveras av kommunernas strukturella förutsättnin</w:t>
      </w:r>
      <w:r w:rsidRPr="001E42CA">
        <w:t>g</w:t>
      </w:r>
      <w:r w:rsidRPr="001E42CA">
        <w:t>ar. Som framgår föreligger det relativt stora skillnader mellan kommuner som fått bifall respektive avslag. Kommuner som fått bifall av Bostadsdel</w:t>
      </w:r>
      <w:r w:rsidRPr="001E42CA">
        <w:t>e</w:t>
      </w:r>
      <w:r w:rsidRPr="001E42CA">
        <w:t>gationen förefaller bedriva verksamheten på en högre kostnadsnivå än de kommuner som fått avslag, åtminstone vad gäller gymnasieskola och äldr</w:t>
      </w:r>
      <w:r w:rsidRPr="001E42CA">
        <w:t>e</w:t>
      </w:r>
      <w:r w:rsidRPr="001E42CA">
        <w:t>omsorg. Kostnaderna för grundskola är likartade, medan de är något lägre för</w:t>
      </w:r>
      <w:r w:rsidRPr="001E42CA">
        <w:t xml:space="preserve"> barnomsorg. Sammantaget har dock bifallskommuner högre kostnader än avslagskomm</w:t>
      </w:r>
      <w:r w:rsidRPr="001E42CA">
        <w:t>u</w:t>
      </w:r>
      <w:r w:rsidRPr="001E42CA">
        <w:t>ner.</w:t>
      </w:r>
    </w:p>
    <w:p w:rsidR="00DC1575" w:rsidRPr="001E42CA" w:rsidRDefault="00DC1575">
      <w:pPr>
        <w:pStyle w:val="Normaltindrag"/>
      </w:pPr>
      <w:r w:rsidRPr="001E42CA">
        <w:t>Mönstret är, med ett undantag, ännu tydligare vad gäller de ärenden som beslutats av regeringen. Kommuner som fått bifall av regeringen efter förslag från Kommundelegationen uppvisar ett högre kostnadsläge än de som fått avslag på förslag från delegationen. Kommuner som fått bifall efter förslag från bägge delegationerna förefaller uppvisa den högsta kostnadsnivån. De kommuner som fått avslag och inte överlämnats till någo</w:t>
      </w:r>
      <w:r w:rsidRPr="001E42CA">
        <w:t>n delegation uppv</w:t>
      </w:r>
      <w:r w:rsidRPr="001E42CA">
        <w:t>i</w:t>
      </w:r>
      <w:r w:rsidRPr="001E42CA">
        <w:t xml:space="preserve">sar däremot den lägsta kostnadsnivån. </w:t>
      </w:r>
    </w:p>
    <w:p w:rsidR="00DC1575" w:rsidRPr="001E42CA" w:rsidRDefault="00DC1575">
      <w:pPr>
        <w:pStyle w:val="Normaltindrag"/>
      </w:pPr>
    </w:p>
    <w:p w:rsidR="00DC1575" w:rsidRPr="001E42CA" w:rsidRDefault="00DC1575">
      <w:pPr>
        <w:pStyle w:val="Tabellrubrik"/>
      </w:pPr>
      <w:r w:rsidRPr="001E42CA">
        <w:t>Tabell 4.13 Utbudsnivå och kostnader jämfört med strukturkostnader 1999</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767"/>
        <w:gridCol w:w="768"/>
        <w:gridCol w:w="768"/>
        <w:gridCol w:w="768"/>
        <w:gridCol w:w="768"/>
      </w:tblGrid>
      <w:tr w:rsidR="00000000" w:rsidRPr="001E42CA">
        <w:tblPrEx>
          <w:tblCellMar>
            <w:top w:w="0" w:type="dxa"/>
            <w:bottom w:w="0" w:type="dxa"/>
          </w:tblCellMar>
        </w:tblPrEx>
        <w:tc>
          <w:tcPr>
            <w:tcW w:w="2197" w:type="dxa"/>
            <w:tcBorders>
              <w:top w:val="single" w:sz="4" w:space="0" w:color="auto"/>
              <w:bottom w:val="single" w:sz="4" w:space="0" w:color="auto"/>
            </w:tcBorders>
          </w:tcPr>
          <w:p w:rsidR="00DC1575" w:rsidRPr="001E42CA" w:rsidRDefault="00DC1575">
            <w:pPr>
              <w:pStyle w:val="Tabell"/>
              <w:spacing w:before="40" w:after="40"/>
              <w:jc w:val="left"/>
            </w:pPr>
          </w:p>
        </w:tc>
        <w:tc>
          <w:tcPr>
            <w:tcW w:w="767" w:type="dxa"/>
            <w:tcBorders>
              <w:top w:val="single" w:sz="4" w:space="0" w:color="auto"/>
              <w:bottom w:val="single" w:sz="4" w:space="0" w:color="auto"/>
            </w:tcBorders>
          </w:tcPr>
          <w:p w:rsidR="00DC1575" w:rsidRPr="001E42CA" w:rsidRDefault="00DC1575">
            <w:pPr>
              <w:pStyle w:val="Tabell"/>
              <w:spacing w:before="40" w:after="40"/>
            </w:pPr>
            <w:r w:rsidRPr="001E42CA">
              <w:t>Barno</w:t>
            </w:r>
            <w:r w:rsidRPr="001E42CA">
              <w:t>m</w:t>
            </w:r>
            <w:r w:rsidRPr="001E42CA">
              <w:t>sorg</w:t>
            </w:r>
          </w:p>
        </w:tc>
        <w:tc>
          <w:tcPr>
            <w:tcW w:w="768" w:type="dxa"/>
            <w:tcBorders>
              <w:top w:val="single" w:sz="4" w:space="0" w:color="auto"/>
              <w:bottom w:val="single" w:sz="4" w:space="0" w:color="auto"/>
            </w:tcBorders>
          </w:tcPr>
          <w:p w:rsidR="00DC1575" w:rsidRPr="001E42CA" w:rsidRDefault="00DC1575">
            <w:pPr>
              <w:pStyle w:val="Tabell"/>
              <w:spacing w:before="40" w:after="40"/>
            </w:pPr>
            <w:r w:rsidRPr="001E42CA">
              <w:t>Grun</w:t>
            </w:r>
            <w:r w:rsidRPr="001E42CA">
              <w:t>d</w:t>
            </w:r>
            <w:r w:rsidRPr="001E42CA">
              <w:t>skola</w:t>
            </w:r>
          </w:p>
        </w:tc>
        <w:tc>
          <w:tcPr>
            <w:tcW w:w="768" w:type="dxa"/>
            <w:tcBorders>
              <w:top w:val="single" w:sz="4" w:space="0" w:color="auto"/>
              <w:bottom w:val="single" w:sz="4" w:space="0" w:color="auto"/>
            </w:tcBorders>
          </w:tcPr>
          <w:p w:rsidR="00DC1575" w:rsidRPr="001E42CA" w:rsidRDefault="00DC1575">
            <w:pPr>
              <w:pStyle w:val="Tabell"/>
              <w:spacing w:before="40" w:after="40"/>
            </w:pPr>
            <w:r w:rsidRPr="001E42CA">
              <w:t>Gymn</w:t>
            </w:r>
            <w:r w:rsidRPr="001E42CA">
              <w:t>a</w:t>
            </w:r>
            <w:r w:rsidRPr="001E42CA">
              <w:t>sieskola</w:t>
            </w:r>
          </w:p>
        </w:tc>
        <w:tc>
          <w:tcPr>
            <w:tcW w:w="768" w:type="dxa"/>
            <w:tcBorders>
              <w:top w:val="single" w:sz="4" w:space="0" w:color="auto"/>
              <w:bottom w:val="single" w:sz="4" w:space="0" w:color="auto"/>
            </w:tcBorders>
          </w:tcPr>
          <w:p w:rsidR="00DC1575" w:rsidRPr="001E42CA" w:rsidRDefault="00DC1575">
            <w:pPr>
              <w:pStyle w:val="Tabell"/>
              <w:spacing w:before="40" w:after="40"/>
            </w:pPr>
            <w:r w:rsidRPr="001E42CA">
              <w:t>Äldr</w:t>
            </w:r>
            <w:r w:rsidRPr="001E42CA">
              <w:t>e</w:t>
            </w:r>
            <w:r w:rsidRPr="001E42CA">
              <w:t>omsorg</w:t>
            </w:r>
          </w:p>
        </w:tc>
        <w:tc>
          <w:tcPr>
            <w:tcW w:w="768" w:type="dxa"/>
            <w:tcBorders>
              <w:top w:val="single" w:sz="4" w:space="0" w:color="auto"/>
              <w:bottom w:val="single" w:sz="4" w:space="0" w:color="auto"/>
            </w:tcBorders>
          </w:tcPr>
          <w:p w:rsidR="00DC1575" w:rsidRPr="001E42CA" w:rsidRDefault="00DC1575">
            <w:pPr>
              <w:pStyle w:val="Tabell"/>
              <w:spacing w:before="40" w:after="40"/>
            </w:pPr>
            <w:r w:rsidRPr="001E42CA">
              <w:t>Utbud</w:t>
            </w:r>
            <w:r w:rsidRPr="001E42CA">
              <w:t>s</w:t>
            </w:r>
            <w:r w:rsidRPr="001E42CA">
              <w:t>nivå</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Kommunsektorn</w:t>
            </w:r>
          </w:p>
        </w:tc>
        <w:tc>
          <w:tcPr>
            <w:tcW w:w="767"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Samtliga sökande kommuner</w:t>
            </w:r>
          </w:p>
        </w:tc>
        <w:tc>
          <w:tcPr>
            <w:tcW w:w="767" w:type="dxa"/>
          </w:tcPr>
          <w:p w:rsidR="00DC1575" w:rsidRPr="001E42CA" w:rsidRDefault="00DC1575">
            <w:pPr>
              <w:pStyle w:val="Tabell"/>
              <w:spacing w:before="40" w:after="40"/>
              <w:jc w:val="center"/>
            </w:pPr>
            <w:r w:rsidRPr="001E42CA">
              <w:t>103</w:t>
            </w:r>
          </w:p>
        </w:tc>
        <w:tc>
          <w:tcPr>
            <w:tcW w:w="768"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108</w:t>
            </w:r>
          </w:p>
        </w:tc>
        <w:tc>
          <w:tcPr>
            <w:tcW w:w="768" w:type="dxa"/>
          </w:tcPr>
          <w:p w:rsidR="00DC1575" w:rsidRPr="001E42CA" w:rsidRDefault="00DC1575">
            <w:pPr>
              <w:pStyle w:val="Tabell"/>
              <w:spacing w:before="40" w:after="40"/>
              <w:jc w:val="center"/>
            </w:pPr>
            <w:r w:rsidRPr="001E42CA">
              <w:t>103</w:t>
            </w:r>
          </w:p>
        </w:tc>
        <w:tc>
          <w:tcPr>
            <w:tcW w:w="768" w:type="dxa"/>
          </w:tcPr>
          <w:p w:rsidR="00DC1575" w:rsidRPr="001E42CA" w:rsidRDefault="00DC1575">
            <w:pPr>
              <w:pStyle w:val="Tabell"/>
              <w:spacing w:before="40" w:after="40"/>
              <w:jc w:val="center"/>
            </w:pPr>
            <w:r w:rsidRPr="001E42CA">
              <w:t>101</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BD</w:t>
            </w:r>
          </w:p>
        </w:tc>
        <w:tc>
          <w:tcPr>
            <w:tcW w:w="767" w:type="dxa"/>
          </w:tcPr>
          <w:p w:rsidR="00DC1575" w:rsidRPr="001E42CA" w:rsidRDefault="00DC1575">
            <w:pPr>
              <w:pStyle w:val="Tabell"/>
              <w:spacing w:before="40" w:after="40"/>
              <w:jc w:val="center"/>
            </w:pPr>
            <w:r w:rsidRPr="001E42CA">
              <w:t>102</w:t>
            </w:r>
          </w:p>
        </w:tc>
        <w:tc>
          <w:tcPr>
            <w:tcW w:w="768" w:type="dxa"/>
          </w:tcPr>
          <w:p w:rsidR="00DC1575" w:rsidRPr="001E42CA" w:rsidRDefault="00DC1575">
            <w:pPr>
              <w:pStyle w:val="Tabell"/>
              <w:spacing w:before="40" w:after="40"/>
              <w:jc w:val="center"/>
            </w:pPr>
            <w:r w:rsidRPr="001E42CA">
              <w:t xml:space="preserve">  98</w:t>
            </w:r>
          </w:p>
        </w:tc>
        <w:tc>
          <w:tcPr>
            <w:tcW w:w="768" w:type="dxa"/>
          </w:tcPr>
          <w:p w:rsidR="00DC1575" w:rsidRPr="001E42CA" w:rsidRDefault="00DC1575">
            <w:pPr>
              <w:pStyle w:val="Tabell"/>
              <w:spacing w:before="40" w:after="40"/>
              <w:jc w:val="center"/>
            </w:pPr>
            <w:r w:rsidRPr="001E42CA">
              <w:t>111</w:t>
            </w:r>
          </w:p>
        </w:tc>
        <w:tc>
          <w:tcPr>
            <w:tcW w:w="768" w:type="dxa"/>
          </w:tcPr>
          <w:p w:rsidR="00DC1575" w:rsidRPr="001E42CA" w:rsidRDefault="00DC1575">
            <w:pPr>
              <w:pStyle w:val="Tabell"/>
              <w:spacing w:before="40" w:after="40"/>
              <w:jc w:val="center"/>
            </w:pPr>
            <w:r w:rsidRPr="001E42CA">
              <w:t>109</w:t>
            </w:r>
          </w:p>
        </w:tc>
        <w:tc>
          <w:tcPr>
            <w:tcW w:w="768" w:type="dxa"/>
          </w:tcPr>
          <w:p w:rsidR="00DC1575" w:rsidRPr="001E42CA" w:rsidRDefault="00DC1575">
            <w:pPr>
              <w:pStyle w:val="Tabell"/>
              <w:spacing w:before="40" w:after="40"/>
              <w:jc w:val="center"/>
            </w:pPr>
            <w:r w:rsidRPr="001E42CA">
              <w:t>101</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av BD</w:t>
            </w:r>
          </w:p>
        </w:tc>
        <w:tc>
          <w:tcPr>
            <w:tcW w:w="767" w:type="dxa"/>
          </w:tcPr>
          <w:p w:rsidR="00DC1575" w:rsidRPr="001E42CA" w:rsidRDefault="00DC1575">
            <w:pPr>
              <w:pStyle w:val="Tabell"/>
              <w:spacing w:before="40" w:after="40"/>
              <w:jc w:val="center"/>
            </w:pPr>
            <w:r w:rsidRPr="001E42CA">
              <w:t>105</w:t>
            </w:r>
          </w:p>
        </w:tc>
        <w:tc>
          <w:tcPr>
            <w:tcW w:w="768" w:type="dxa"/>
          </w:tcPr>
          <w:p w:rsidR="00DC1575" w:rsidRPr="001E42CA" w:rsidRDefault="00DC1575">
            <w:pPr>
              <w:pStyle w:val="Tabell"/>
              <w:spacing w:before="40" w:after="40"/>
              <w:jc w:val="center"/>
            </w:pPr>
            <w:r w:rsidRPr="001E42CA">
              <w:t xml:space="preserve">  99</w:t>
            </w:r>
          </w:p>
        </w:tc>
        <w:tc>
          <w:tcPr>
            <w:tcW w:w="768" w:type="dxa"/>
          </w:tcPr>
          <w:p w:rsidR="00DC1575" w:rsidRPr="001E42CA" w:rsidRDefault="00DC1575">
            <w:pPr>
              <w:pStyle w:val="Tabell"/>
              <w:spacing w:before="40" w:after="40"/>
              <w:jc w:val="center"/>
            </w:pPr>
            <w:r w:rsidRPr="001E42CA">
              <w:t>105</w:t>
            </w:r>
          </w:p>
        </w:tc>
        <w:tc>
          <w:tcPr>
            <w:tcW w:w="768" w:type="dxa"/>
          </w:tcPr>
          <w:p w:rsidR="00DC1575" w:rsidRPr="001E42CA" w:rsidRDefault="00DC1575">
            <w:pPr>
              <w:pStyle w:val="Tabell"/>
              <w:spacing w:before="40" w:after="40"/>
              <w:jc w:val="center"/>
            </w:pPr>
            <w:r w:rsidRPr="001E42CA">
              <w:t xml:space="preserve">  99</w:t>
            </w:r>
          </w:p>
        </w:tc>
        <w:tc>
          <w:tcPr>
            <w:tcW w:w="768" w:type="dxa"/>
          </w:tcPr>
          <w:p w:rsidR="00DC1575" w:rsidRPr="001E42CA" w:rsidRDefault="00DC1575">
            <w:pPr>
              <w:pStyle w:val="Tabell"/>
              <w:spacing w:before="40" w:after="40"/>
              <w:jc w:val="center"/>
            </w:pPr>
            <w:r w:rsidRPr="001E42CA">
              <w:t xml:space="preserve">  98</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KD)</w:t>
            </w:r>
          </w:p>
        </w:tc>
        <w:tc>
          <w:tcPr>
            <w:tcW w:w="767" w:type="dxa"/>
          </w:tcPr>
          <w:p w:rsidR="00DC1575" w:rsidRPr="001E42CA" w:rsidRDefault="00DC1575">
            <w:pPr>
              <w:pStyle w:val="Tabell"/>
              <w:spacing w:before="40" w:after="40"/>
              <w:jc w:val="center"/>
            </w:pPr>
            <w:r w:rsidRPr="001E42CA">
              <w:t>103</w:t>
            </w:r>
          </w:p>
        </w:tc>
        <w:tc>
          <w:tcPr>
            <w:tcW w:w="768" w:type="dxa"/>
          </w:tcPr>
          <w:p w:rsidR="00DC1575" w:rsidRPr="001E42CA" w:rsidRDefault="00DC1575">
            <w:pPr>
              <w:pStyle w:val="Tabell"/>
              <w:spacing w:before="40" w:after="40"/>
              <w:jc w:val="center"/>
            </w:pPr>
            <w:r w:rsidRPr="001E42CA">
              <w:t>100</w:t>
            </w:r>
          </w:p>
        </w:tc>
        <w:tc>
          <w:tcPr>
            <w:tcW w:w="768" w:type="dxa"/>
          </w:tcPr>
          <w:p w:rsidR="00DC1575" w:rsidRPr="001E42CA" w:rsidRDefault="00DC1575">
            <w:pPr>
              <w:pStyle w:val="Tabell"/>
              <w:spacing w:before="40" w:after="40"/>
              <w:jc w:val="center"/>
            </w:pPr>
            <w:r w:rsidRPr="001E42CA">
              <w:t>109</w:t>
            </w:r>
          </w:p>
        </w:tc>
        <w:tc>
          <w:tcPr>
            <w:tcW w:w="768" w:type="dxa"/>
          </w:tcPr>
          <w:p w:rsidR="00DC1575" w:rsidRPr="001E42CA" w:rsidRDefault="00DC1575">
            <w:pPr>
              <w:pStyle w:val="Tabell"/>
              <w:spacing w:before="40" w:after="40"/>
              <w:jc w:val="center"/>
            </w:pPr>
            <w:r w:rsidRPr="001E42CA">
              <w:t>113</w:t>
            </w:r>
          </w:p>
        </w:tc>
        <w:tc>
          <w:tcPr>
            <w:tcW w:w="768" w:type="dxa"/>
          </w:tcPr>
          <w:p w:rsidR="00DC1575" w:rsidRPr="001E42CA" w:rsidRDefault="00DC1575">
            <w:pPr>
              <w:pStyle w:val="Tabell"/>
              <w:spacing w:before="40" w:after="40"/>
              <w:jc w:val="center"/>
            </w:pPr>
            <w:r w:rsidRPr="001E42CA">
              <w:t>103</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från regeringen (efter fö</w:t>
            </w:r>
            <w:r w:rsidRPr="001E42CA">
              <w:t>r</w:t>
            </w:r>
            <w:r w:rsidRPr="001E42CA">
              <w:t>slag från KD)</w:t>
            </w:r>
          </w:p>
        </w:tc>
        <w:tc>
          <w:tcPr>
            <w:tcW w:w="767" w:type="dxa"/>
          </w:tcPr>
          <w:p w:rsidR="00DC1575" w:rsidRPr="001E42CA" w:rsidRDefault="00DC1575">
            <w:pPr>
              <w:pStyle w:val="Tabell"/>
              <w:spacing w:before="40" w:after="40"/>
              <w:jc w:val="center"/>
            </w:pPr>
            <w:r w:rsidRPr="001E42CA">
              <w:t xml:space="preserve">  98</w:t>
            </w:r>
          </w:p>
        </w:tc>
        <w:tc>
          <w:tcPr>
            <w:tcW w:w="768" w:type="dxa"/>
          </w:tcPr>
          <w:p w:rsidR="00DC1575" w:rsidRPr="001E42CA" w:rsidRDefault="00DC1575">
            <w:pPr>
              <w:pStyle w:val="Tabell"/>
              <w:spacing w:before="40" w:after="40"/>
              <w:jc w:val="center"/>
            </w:pPr>
            <w:r w:rsidRPr="001E42CA">
              <w:t>102</w:t>
            </w:r>
          </w:p>
        </w:tc>
        <w:tc>
          <w:tcPr>
            <w:tcW w:w="768" w:type="dxa"/>
          </w:tcPr>
          <w:p w:rsidR="00DC1575" w:rsidRPr="001E42CA" w:rsidRDefault="00DC1575">
            <w:pPr>
              <w:pStyle w:val="Tabell"/>
              <w:spacing w:before="40" w:after="40"/>
              <w:jc w:val="center"/>
            </w:pPr>
            <w:r w:rsidRPr="001E42CA">
              <w:t>108</w:t>
            </w:r>
          </w:p>
        </w:tc>
        <w:tc>
          <w:tcPr>
            <w:tcW w:w="768" w:type="dxa"/>
          </w:tcPr>
          <w:p w:rsidR="00DC1575" w:rsidRPr="001E42CA" w:rsidRDefault="00DC1575">
            <w:pPr>
              <w:pStyle w:val="Tabell"/>
              <w:spacing w:before="40" w:after="40"/>
              <w:jc w:val="center"/>
            </w:pPr>
            <w:r w:rsidRPr="001E42CA">
              <w:t>106</w:t>
            </w:r>
          </w:p>
        </w:tc>
        <w:tc>
          <w:tcPr>
            <w:tcW w:w="768" w:type="dxa"/>
          </w:tcPr>
          <w:p w:rsidR="00DC1575" w:rsidRPr="001E42CA" w:rsidRDefault="00DC1575">
            <w:pPr>
              <w:pStyle w:val="Tabell"/>
              <w:spacing w:before="40" w:after="40"/>
              <w:jc w:val="center"/>
            </w:pPr>
            <w:r w:rsidRPr="001E42CA">
              <w:t>102</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BD och KD)</w:t>
            </w:r>
          </w:p>
        </w:tc>
        <w:tc>
          <w:tcPr>
            <w:tcW w:w="767" w:type="dxa"/>
          </w:tcPr>
          <w:p w:rsidR="00DC1575" w:rsidRPr="001E42CA" w:rsidRDefault="00DC1575">
            <w:pPr>
              <w:pStyle w:val="Tabell"/>
              <w:spacing w:before="40" w:after="40"/>
              <w:jc w:val="center"/>
            </w:pPr>
            <w:r w:rsidRPr="001E42CA">
              <w:t>112</w:t>
            </w:r>
          </w:p>
        </w:tc>
        <w:tc>
          <w:tcPr>
            <w:tcW w:w="768" w:type="dxa"/>
          </w:tcPr>
          <w:p w:rsidR="00DC1575" w:rsidRPr="001E42CA" w:rsidRDefault="00DC1575">
            <w:pPr>
              <w:pStyle w:val="Tabell"/>
              <w:spacing w:before="40" w:after="40"/>
              <w:jc w:val="center"/>
            </w:pPr>
            <w:r w:rsidRPr="001E42CA">
              <w:t>103</w:t>
            </w:r>
          </w:p>
        </w:tc>
        <w:tc>
          <w:tcPr>
            <w:tcW w:w="768" w:type="dxa"/>
          </w:tcPr>
          <w:p w:rsidR="00DC1575" w:rsidRPr="001E42CA" w:rsidRDefault="00DC1575">
            <w:pPr>
              <w:pStyle w:val="Tabell"/>
              <w:spacing w:before="40" w:after="40"/>
              <w:jc w:val="center"/>
            </w:pPr>
            <w:r w:rsidRPr="001E42CA">
              <w:t>111</w:t>
            </w:r>
          </w:p>
        </w:tc>
        <w:tc>
          <w:tcPr>
            <w:tcW w:w="768" w:type="dxa"/>
          </w:tcPr>
          <w:p w:rsidR="00DC1575" w:rsidRPr="001E42CA" w:rsidRDefault="00DC1575">
            <w:pPr>
              <w:pStyle w:val="Tabell"/>
              <w:spacing w:before="40" w:after="40"/>
              <w:jc w:val="center"/>
            </w:pPr>
            <w:r w:rsidRPr="001E42CA">
              <w:t>107</w:t>
            </w:r>
          </w:p>
        </w:tc>
        <w:tc>
          <w:tcPr>
            <w:tcW w:w="768" w:type="dxa"/>
          </w:tcPr>
          <w:p w:rsidR="00DC1575" w:rsidRPr="001E42CA" w:rsidRDefault="00DC1575">
            <w:pPr>
              <w:pStyle w:val="Tabell"/>
              <w:spacing w:before="40" w:after="40"/>
              <w:jc w:val="center"/>
            </w:pPr>
            <w:r w:rsidRPr="001E42CA">
              <w:t>104</w:t>
            </w:r>
          </w:p>
        </w:tc>
      </w:tr>
      <w:tr w:rsidR="00000000" w:rsidRPr="001E42CA">
        <w:tblPrEx>
          <w:tblCellMar>
            <w:top w:w="0" w:type="dxa"/>
            <w:bottom w:w="0" w:type="dxa"/>
          </w:tblCellMar>
        </w:tblPrEx>
        <w:tc>
          <w:tcPr>
            <w:tcW w:w="2197" w:type="dxa"/>
            <w:tcBorders>
              <w:bottom w:val="single" w:sz="4" w:space="0" w:color="auto"/>
            </w:tcBorders>
          </w:tcPr>
          <w:p w:rsidR="00DC1575" w:rsidRPr="001E42CA" w:rsidRDefault="00DC1575">
            <w:pPr>
              <w:pStyle w:val="Tabell"/>
              <w:spacing w:before="40" w:after="40"/>
              <w:jc w:val="left"/>
            </w:pPr>
            <w:r w:rsidRPr="001E42CA">
              <w:t>Avslag från regeringen (ej överlämnade till deleg</w:t>
            </w:r>
            <w:r w:rsidRPr="001E42CA">
              <w:t>a</w:t>
            </w:r>
            <w:r w:rsidRPr="001E42CA">
              <w:t>tion)</w:t>
            </w:r>
          </w:p>
        </w:tc>
        <w:tc>
          <w:tcPr>
            <w:tcW w:w="767" w:type="dxa"/>
            <w:tcBorders>
              <w:bottom w:val="single" w:sz="4" w:space="0" w:color="auto"/>
            </w:tcBorders>
          </w:tcPr>
          <w:p w:rsidR="00DC1575" w:rsidRPr="001E42CA" w:rsidRDefault="00DC1575">
            <w:pPr>
              <w:pStyle w:val="Tabell"/>
              <w:spacing w:before="40" w:after="40"/>
              <w:jc w:val="center"/>
            </w:pPr>
            <w:r w:rsidRPr="001E42CA">
              <w:t xml:space="preserve">  97</w:t>
            </w:r>
          </w:p>
        </w:tc>
        <w:tc>
          <w:tcPr>
            <w:tcW w:w="768" w:type="dxa"/>
            <w:tcBorders>
              <w:bottom w:val="single" w:sz="4" w:space="0" w:color="auto"/>
            </w:tcBorders>
          </w:tcPr>
          <w:p w:rsidR="00DC1575" w:rsidRPr="001E42CA" w:rsidRDefault="00DC1575">
            <w:pPr>
              <w:pStyle w:val="Tabell"/>
              <w:spacing w:before="40" w:after="40"/>
              <w:jc w:val="center"/>
            </w:pPr>
            <w:r w:rsidRPr="001E42CA">
              <w:t>101</w:t>
            </w:r>
          </w:p>
        </w:tc>
        <w:tc>
          <w:tcPr>
            <w:tcW w:w="768" w:type="dxa"/>
            <w:tcBorders>
              <w:bottom w:val="single" w:sz="4" w:space="0" w:color="auto"/>
            </w:tcBorders>
          </w:tcPr>
          <w:p w:rsidR="00DC1575" w:rsidRPr="001E42CA" w:rsidRDefault="00DC1575">
            <w:pPr>
              <w:pStyle w:val="Tabell"/>
              <w:spacing w:before="40" w:after="40"/>
              <w:jc w:val="center"/>
            </w:pPr>
            <w:r w:rsidRPr="001E42CA">
              <w:t>105</w:t>
            </w:r>
          </w:p>
        </w:tc>
        <w:tc>
          <w:tcPr>
            <w:tcW w:w="768" w:type="dxa"/>
            <w:tcBorders>
              <w:bottom w:val="single" w:sz="4" w:space="0" w:color="auto"/>
            </w:tcBorders>
          </w:tcPr>
          <w:p w:rsidR="00DC1575" w:rsidRPr="001E42CA" w:rsidRDefault="00DC1575">
            <w:pPr>
              <w:pStyle w:val="Tabell"/>
              <w:spacing w:before="40" w:after="40"/>
              <w:jc w:val="center"/>
            </w:pPr>
            <w:r w:rsidRPr="001E42CA">
              <w:t xml:space="preserve">  95</w:t>
            </w:r>
          </w:p>
        </w:tc>
        <w:tc>
          <w:tcPr>
            <w:tcW w:w="768" w:type="dxa"/>
            <w:tcBorders>
              <w:bottom w:val="single" w:sz="4" w:space="0" w:color="auto"/>
            </w:tcBorders>
          </w:tcPr>
          <w:p w:rsidR="00DC1575" w:rsidRPr="001E42CA" w:rsidRDefault="00DC1575">
            <w:pPr>
              <w:pStyle w:val="Tabell"/>
              <w:spacing w:before="40" w:after="40"/>
              <w:jc w:val="center"/>
            </w:pPr>
            <w:r w:rsidRPr="001E42CA">
              <w:t>100</w:t>
            </w:r>
          </w:p>
        </w:tc>
      </w:tr>
    </w:tbl>
    <w:p w:rsidR="00DC1575" w:rsidRPr="001E42CA" w:rsidRDefault="00DC1575">
      <w:pPr>
        <w:pStyle w:val="Normaltindrag"/>
      </w:pPr>
    </w:p>
    <w:p w:rsidR="00DC1575" w:rsidRPr="001E42CA" w:rsidRDefault="00DC1575">
      <w:pPr>
        <w:spacing w:before="0"/>
      </w:pPr>
      <w:r w:rsidRPr="001E42CA">
        <w:t>Det är också möjligt att redovisa ett mått eller index på kommunernas u</w:t>
      </w:r>
      <w:r w:rsidRPr="001E42CA">
        <w:t>t</w:t>
      </w:r>
      <w:r w:rsidRPr="001E42CA">
        <w:t>budsnivå, eller den kommunala servicen. Måttet anger i huvudsak hur stor del av målgrupperna som utnyttjar servicen inom olika verksamhetsområden (t.ex. andel innevånare 65–79 år i särskilt boende). Alla kommunala ver</w:t>
      </w:r>
      <w:r w:rsidRPr="001E42CA">
        <w:t>k</w:t>
      </w:r>
      <w:r w:rsidRPr="001E42CA">
        <w:t xml:space="preserve">samheter ingår inte i modellen. Det gäller sådana verksamheter där höga kostnader per innevånare sannolikt beror mer på strukturella förhållanden än på servicenivån. Modellen tar inte hänsyn till att behoven varierar och inte heller till kvaliteten på verksamheten. Det finns dock ett samband </w:t>
      </w:r>
      <w:r w:rsidRPr="001E42CA">
        <w:t>mellan kostnader för skattefinansierad verksamhet och utbudsnivå. Med ökat utbud stiger den genomsnittliga kostnaderna. En del av variationerna kan således återspegla skillnader i ambitions- och servicenivå.</w:t>
      </w:r>
    </w:p>
    <w:p w:rsidR="00DC1575" w:rsidRPr="001E42CA" w:rsidRDefault="00DC1575">
      <w:pPr>
        <w:pStyle w:val="Normaltindrag"/>
      </w:pPr>
      <w:r w:rsidRPr="001E42CA">
        <w:t>Som framgår av Tabell 4.13 har de kommuner som ansökt om stöd i h</w:t>
      </w:r>
      <w:r w:rsidRPr="001E42CA">
        <w:t>u</w:t>
      </w:r>
      <w:r w:rsidRPr="001E42CA">
        <w:t xml:space="preserve">vudsak en högre utbudsnivå än genomsnittskommunen. Det föreligger också relativt klara skillnader mellan kommuner som fått bifall och kommuner som fått avslag. Kommuner som fått bifall av Bostadsdelegationen har en högre utbudsnivå än de kommuner som fått avslag. Regeringens handläggning uppvisar samma mönster. Undantaget är de regeringsbeslut som inte beretts av någon delegation. </w:t>
      </w:r>
    </w:p>
    <w:p w:rsidR="00DC1575" w:rsidRPr="001E42CA" w:rsidRDefault="00DC1575">
      <w:pPr>
        <w:pStyle w:val="R3"/>
      </w:pPr>
      <w:r w:rsidRPr="001E42CA">
        <w:t>Kommunalt anställda och lediga lägenheter</w:t>
      </w:r>
    </w:p>
    <w:p w:rsidR="00DC1575" w:rsidRPr="001E42CA" w:rsidRDefault="00DC1575">
      <w:r w:rsidRPr="001E42CA">
        <w:t>Ett mått på omfattningen av den kommunala verksamheten är också antalet anställda i kommunerna. Kommuner som ansökt om stöd har ett betydligt högre antal årsarbetare i kommunal tjänst än kommunsektorn som helhet. Det föreligger också skillnader mellan kommuner som fått bifall och ko</w:t>
      </w:r>
      <w:r w:rsidRPr="001E42CA">
        <w:t>m</w:t>
      </w:r>
      <w:r w:rsidRPr="001E42CA">
        <w:t>muner som fått avslag. De kommuner som fått bifall har genomgående ett högre antal anställda än avslagskommunerna. Det kan antyda en mer omfa</w:t>
      </w:r>
      <w:r w:rsidRPr="001E42CA">
        <w:t>t</w:t>
      </w:r>
      <w:r w:rsidRPr="001E42CA">
        <w:t>tande ko</w:t>
      </w:r>
      <w:r w:rsidRPr="001E42CA">
        <w:t>m</w:t>
      </w:r>
      <w:r w:rsidRPr="001E42CA">
        <w:t>munal verksamhet i dessa kommuner.</w:t>
      </w:r>
    </w:p>
    <w:p w:rsidR="00DC1575" w:rsidRPr="001E42CA" w:rsidRDefault="00DC1575">
      <w:pPr>
        <w:pStyle w:val="Normaltindrag"/>
      </w:pPr>
    </w:p>
    <w:p w:rsidR="00DC1575" w:rsidRPr="001E42CA" w:rsidRDefault="00DC1575">
      <w:pPr>
        <w:pStyle w:val="Tabellrubrik"/>
      </w:pPr>
      <w:r w:rsidRPr="001E42CA">
        <w:t>Tabell 4.14 Årsarbetare i kommunal tjänst och lediga lägenheter i allmännyttan (1998-12-31)</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039"/>
        <w:gridCol w:w="992"/>
        <w:gridCol w:w="993"/>
      </w:tblGrid>
      <w:tr w:rsidR="00000000" w:rsidRPr="001E42CA">
        <w:tblPrEx>
          <w:tblCellMar>
            <w:top w:w="0" w:type="dxa"/>
            <w:bottom w:w="0" w:type="dxa"/>
          </w:tblCellMar>
        </w:tblPrEx>
        <w:tc>
          <w:tcPr>
            <w:tcW w:w="4039" w:type="dxa"/>
            <w:tcBorders>
              <w:top w:val="single" w:sz="4" w:space="0" w:color="auto"/>
              <w:bottom w:val="single" w:sz="4" w:space="0" w:color="auto"/>
            </w:tcBorders>
          </w:tcPr>
          <w:p w:rsidR="00DC1575" w:rsidRPr="001E42CA" w:rsidRDefault="00DC1575">
            <w:pPr>
              <w:pStyle w:val="Tabell"/>
              <w:spacing w:before="40" w:after="40"/>
              <w:jc w:val="left"/>
            </w:pPr>
          </w:p>
        </w:tc>
        <w:tc>
          <w:tcPr>
            <w:tcW w:w="992" w:type="dxa"/>
            <w:tcBorders>
              <w:top w:val="single" w:sz="4" w:space="0" w:color="auto"/>
              <w:bottom w:val="single" w:sz="4" w:space="0" w:color="auto"/>
            </w:tcBorders>
          </w:tcPr>
          <w:p w:rsidR="00DC1575" w:rsidRPr="001E42CA" w:rsidRDefault="00DC1575">
            <w:pPr>
              <w:pStyle w:val="Tabell"/>
              <w:spacing w:before="40" w:after="40"/>
              <w:jc w:val="left"/>
            </w:pPr>
            <w:r w:rsidRPr="001E42CA">
              <w:t>Antal årsa</w:t>
            </w:r>
            <w:r w:rsidRPr="001E42CA">
              <w:t>r</w:t>
            </w:r>
            <w:r w:rsidRPr="001E42CA">
              <w:t>betare i kommunens tjänst per 1000 inn</w:t>
            </w:r>
            <w:r w:rsidRPr="001E42CA">
              <w:t>e</w:t>
            </w:r>
            <w:r w:rsidRPr="001E42CA">
              <w:t>vån</w:t>
            </w:r>
            <w:r w:rsidRPr="001E42CA">
              <w:t>a</w:t>
            </w:r>
            <w:r w:rsidRPr="001E42CA">
              <w:t>re</w:t>
            </w:r>
          </w:p>
        </w:tc>
        <w:tc>
          <w:tcPr>
            <w:tcW w:w="993" w:type="dxa"/>
            <w:tcBorders>
              <w:top w:val="single" w:sz="4" w:space="0" w:color="auto"/>
              <w:bottom w:val="single" w:sz="4" w:space="0" w:color="auto"/>
            </w:tcBorders>
          </w:tcPr>
          <w:p w:rsidR="00DC1575" w:rsidRPr="001E42CA" w:rsidRDefault="00DC1575">
            <w:pPr>
              <w:pStyle w:val="Tabell"/>
              <w:spacing w:before="40" w:after="40"/>
              <w:jc w:val="left"/>
            </w:pPr>
            <w:r w:rsidRPr="001E42CA">
              <w:t>Lediga lägenheter i allmänny</w:t>
            </w:r>
            <w:r w:rsidRPr="001E42CA">
              <w:t>t</w:t>
            </w:r>
            <w:r w:rsidRPr="001E42CA">
              <w:t>tan per 1000 lägenheter i allmänny</w:t>
            </w:r>
            <w:r w:rsidRPr="001E42CA">
              <w:t>t</w:t>
            </w:r>
            <w:r w:rsidRPr="001E42CA">
              <w:t>tan</w:t>
            </w:r>
          </w:p>
        </w:tc>
      </w:tr>
      <w:tr w:rsidR="00000000" w:rsidRPr="001E42CA">
        <w:tblPrEx>
          <w:tblCellMar>
            <w:top w:w="0" w:type="dxa"/>
            <w:bottom w:w="0" w:type="dxa"/>
          </w:tblCellMar>
        </w:tblPrEx>
        <w:trPr>
          <w:trHeight w:val="249"/>
        </w:trPr>
        <w:tc>
          <w:tcPr>
            <w:tcW w:w="4039" w:type="dxa"/>
          </w:tcPr>
          <w:p w:rsidR="00DC1575" w:rsidRPr="001E42CA" w:rsidRDefault="00DC1575">
            <w:pPr>
              <w:pStyle w:val="Tabell"/>
              <w:spacing w:before="40" w:after="40"/>
              <w:jc w:val="left"/>
            </w:pPr>
            <w:r w:rsidRPr="001E42CA">
              <w:t>Kommunsektorn</w:t>
            </w:r>
          </w:p>
        </w:tc>
        <w:tc>
          <w:tcPr>
            <w:tcW w:w="992" w:type="dxa"/>
          </w:tcPr>
          <w:p w:rsidR="00DC1575" w:rsidRPr="001E42CA" w:rsidRDefault="00DC1575">
            <w:pPr>
              <w:pStyle w:val="Tabell"/>
              <w:spacing w:before="40" w:after="40"/>
              <w:jc w:val="center"/>
            </w:pPr>
            <w:r w:rsidRPr="001E42CA">
              <w:t>66</w:t>
            </w:r>
          </w:p>
        </w:tc>
        <w:tc>
          <w:tcPr>
            <w:tcW w:w="993" w:type="dxa"/>
          </w:tcPr>
          <w:p w:rsidR="00DC1575" w:rsidRPr="001E42CA" w:rsidRDefault="00DC1575">
            <w:pPr>
              <w:pStyle w:val="Tabell"/>
              <w:spacing w:before="40" w:after="40"/>
              <w:jc w:val="center"/>
            </w:pPr>
            <w:r w:rsidRPr="001E42CA">
              <w:t>-</w:t>
            </w:r>
          </w:p>
        </w:tc>
      </w:tr>
      <w:tr w:rsidR="00000000" w:rsidRPr="001E42CA">
        <w:tblPrEx>
          <w:tblCellMar>
            <w:top w:w="0" w:type="dxa"/>
            <w:bottom w:w="0" w:type="dxa"/>
          </w:tblCellMar>
        </w:tblPrEx>
        <w:trPr>
          <w:trHeight w:val="249"/>
        </w:trPr>
        <w:tc>
          <w:tcPr>
            <w:tcW w:w="4039" w:type="dxa"/>
          </w:tcPr>
          <w:p w:rsidR="00DC1575" w:rsidRPr="001E42CA" w:rsidRDefault="00DC1575">
            <w:pPr>
              <w:pStyle w:val="Tabell"/>
              <w:spacing w:before="40" w:after="40"/>
              <w:jc w:val="left"/>
            </w:pPr>
            <w:r w:rsidRPr="001E42CA">
              <w:t>Samtliga sökande kommuner</w:t>
            </w:r>
          </w:p>
        </w:tc>
        <w:tc>
          <w:tcPr>
            <w:tcW w:w="992" w:type="dxa"/>
          </w:tcPr>
          <w:p w:rsidR="00DC1575" w:rsidRPr="001E42CA" w:rsidRDefault="00DC1575">
            <w:pPr>
              <w:pStyle w:val="Tabell"/>
              <w:spacing w:before="40" w:after="40"/>
              <w:jc w:val="center"/>
            </w:pPr>
            <w:r w:rsidRPr="001E42CA">
              <w:t>73</w:t>
            </w:r>
          </w:p>
        </w:tc>
        <w:tc>
          <w:tcPr>
            <w:tcW w:w="993" w:type="dxa"/>
          </w:tcPr>
          <w:p w:rsidR="00DC1575" w:rsidRPr="001E42CA" w:rsidRDefault="00DC1575">
            <w:pPr>
              <w:pStyle w:val="Tabell"/>
              <w:spacing w:before="40" w:after="40"/>
              <w:jc w:val="center"/>
            </w:pPr>
            <w:r w:rsidRPr="001E42CA">
              <w:t>106</w:t>
            </w:r>
          </w:p>
        </w:tc>
      </w:tr>
      <w:tr w:rsidR="00000000" w:rsidRPr="001E42CA">
        <w:tblPrEx>
          <w:tblCellMar>
            <w:top w:w="0" w:type="dxa"/>
            <w:bottom w:w="0" w:type="dxa"/>
          </w:tblCellMar>
        </w:tblPrEx>
        <w:trPr>
          <w:trHeight w:val="249"/>
        </w:trPr>
        <w:tc>
          <w:tcPr>
            <w:tcW w:w="4039" w:type="dxa"/>
          </w:tcPr>
          <w:p w:rsidR="00DC1575" w:rsidRPr="001E42CA" w:rsidRDefault="00DC1575">
            <w:pPr>
              <w:pStyle w:val="Tabell"/>
              <w:spacing w:before="40" w:after="40"/>
              <w:jc w:val="left"/>
            </w:pPr>
            <w:r w:rsidRPr="001E42CA">
              <w:t>Bifall av BD</w:t>
            </w:r>
          </w:p>
        </w:tc>
        <w:tc>
          <w:tcPr>
            <w:tcW w:w="992" w:type="dxa"/>
          </w:tcPr>
          <w:p w:rsidR="00DC1575" w:rsidRPr="001E42CA" w:rsidRDefault="00DC1575">
            <w:pPr>
              <w:pStyle w:val="Tabell"/>
              <w:spacing w:before="40" w:after="40"/>
              <w:jc w:val="center"/>
            </w:pPr>
            <w:r w:rsidRPr="001E42CA">
              <w:t>74</w:t>
            </w:r>
          </w:p>
        </w:tc>
        <w:tc>
          <w:tcPr>
            <w:tcW w:w="993" w:type="dxa"/>
          </w:tcPr>
          <w:p w:rsidR="00DC1575" w:rsidRPr="001E42CA" w:rsidRDefault="00DC1575">
            <w:pPr>
              <w:pStyle w:val="Tabell"/>
              <w:spacing w:before="40" w:after="40"/>
              <w:jc w:val="center"/>
            </w:pPr>
            <w:r w:rsidRPr="001E42CA">
              <w:t>138</w:t>
            </w:r>
          </w:p>
        </w:tc>
      </w:tr>
      <w:tr w:rsidR="00000000" w:rsidRPr="001E42CA">
        <w:tblPrEx>
          <w:tblCellMar>
            <w:top w:w="0" w:type="dxa"/>
            <w:bottom w:w="0" w:type="dxa"/>
          </w:tblCellMar>
        </w:tblPrEx>
        <w:tc>
          <w:tcPr>
            <w:tcW w:w="4039" w:type="dxa"/>
          </w:tcPr>
          <w:p w:rsidR="00DC1575" w:rsidRPr="001E42CA" w:rsidRDefault="00DC1575">
            <w:pPr>
              <w:pStyle w:val="Tabell"/>
              <w:spacing w:before="40" w:after="40"/>
              <w:jc w:val="left"/>
            </w:pPr>
            <w:r w:rsidRPr="001E42CA">
              <w:t>Avslag av BD</w:t>
            </w:r>
          </w:p>
        </w:tc>
        <w:tc>
          <w:tcPr>
            <w:tcW w:w="992" w:type="dxa"/>
          </w:tcPr>
          <w:p w:rsidR="00DC1575" w:rsidRPr="001E42CA" w:rsidRDefault="00DC1575">
            <w:pPr>
              <w:pStyle w:val="Tabell"/>
              <w:spacing w:before="40" w:after="40"/>
              <w:jc w:val="center"/>
            </w:pPr>
            <w:r w:rsidRPr="001E42CA">
              <w:t>71</w:t>
            </w:r>
          </w:p>
        </w:tc>
        <w:tc>
          <w:tcPr>
            <w:tcW w:w="993" w:type="dxa"/>
          </w:tcPr>
          <w:p w:rsidR="00DC1575" w:rsidRPr="001E42CA" w:rsidRDefault="00DC1575">
            <w:pPr>
              <w:pStyle w:val="Tabell"/>
              <w:spacing w:before="40" w:after="40"/>
              <w:jc w:val="center"/>
            </w:pPr>
            <w:r w:rsidRPr="001E42CA">
              <w:t>106</w:t>
            </w:r>
          </w:p>
        </w:tc>
      </w:tr>
      <w:tr w:rsidR="00000000" w:rsidRPr="001E42CA">
        <w:tblPrEx>
          <w:tblCellMar>
            <w:top w:w="0" w:type="dxa"/>
            <w:bottom w:w="0" w:type="dxa"/>
          </w:tblCellMar>
        </w:tblPrEx>
        <w:tc>
          <w:tcPr>
            <w:tcW w:w="4039" w:type="dxa"/>
          </w:tcPr>
          <w:p w:rsidR="00DC1575" w:rsidRPr="001E42CA" w:rsidRDefault="00DC1575">
            <w:pPr>
              <w:pStyle w:val="Tabell"/>
              <w:spacing w:before="40" w:after="40"/>
              <w:jc w:val="left"/>
            </w:pPr>
            <w:r w:rsidRPr="001E42CA">
              <w:t>Bifall av regeringen (efter förslag från KD)</w:t>
            </w:r>
          </w:p>
        </w:tc>
        <w:tc>
          <w:tcPr>
            <w:tcW w:w="992" w:type="dxa"/>
          </w:tcPr>
          <w:p w:rsidR="00DC1575" w:rsidRPr="001E42CA" w:rsidRDefault="00DC1575">
            <w:pPr>
              <w:pStyle w:val="Tabell"/>
              <w:spacing w:before="40" w:after="40"/>
              <w:jc w:val="center"/>
            </w:pPr>
            <w:r w:rsidRPr="001E42CA">
              <w:t>77</w:t>
            </w:r>
          </w:p>
        </w:tc>
        <w:tc>
          <w:tcPr>
            <w:tcW w:w="993" w:type="dxa"/>
          </w:tcPr>
          <w:p w:rsidR="00DC1575" w:rsidRPr="001E42CA" w:rsidRDefault="00DC1575">
            <w:pPr>
              <w:pStyle w:val="Tabell"/>
              <w:spacing w:before="40" w:after="40"/>
              <w:jc w:val="center"/>
            </w:pPr>
            <w:r w:rsidRPr="001E42CA">
              <w:t>121</w:t>
            </w:r>
          </w:p>
        </w:tc>
      </w:tr>
      <w:tr w:rsidR="00000000" w:rsidRPr="001E42CA">
        <w:tblPrEx>
          <w:tblCellMar>
            <w:top w:w="0" w:type="dxa"/>
            <w:bottom w:w="0" w:type="dxa"/>
          </w:tblCellMar>
        </w:tblPrEx>
        <w:tc>
          <w:tcPr>
            <w:tcW w:w="4039" w:type="dxa"/>
          </w:tcPr>
          <w:p w:rsidR="00DC1575" w:rsidRPr="001E42CA" w:rsidRDefault="00DC1575">
            <w:pPr>
              <w:pStyle w:val="Tabell"/>
              <w:spacing w:before="40" w:after="40"/>
              <w:jc w:val="left"/>
            </w:pPr>
            <w:r w:rsidRPr="001E42CA">
              <w:t>Avslag från regeringen (efter förslag från KD)</w:t>
            </w:r>
          </w:p>
        </w:tc>
        <w:tc>
          <w:tcPr>
            <w:tcW w:w="992" w:type="dxa"/>
          </w:tcPr>
          <w:p w:rsidR="00DC1575" w:rsidRPr="001E42CA" w:rsidRDefault="00DC1575">
            <w:pPr>
              <w:pStyle w:val="Tabell"/>
              <w:spacing w:before="40" w:after="40"/>
              <w:jc w:val="center"/>
            </w:pPr>
            <w:r w:rsidRPr="001E42CA">
              <w:t>73</w:t>
            </w:r>
          </w:p>
        </w:tc>
        <w:tc>
          <w:tcPr>
            <w:tcW w:w="993" w:type="dxa"/>
          </w:tcPr>
          <w:p w:rsidR="00DC1575" w:rsidRPr="001E42CA" w:rsidRDefault="00DC1575">
            <w:pPr>
              <w:pStyle w:val="Tabell"/>
              <w:spacing w:before="40" w:after="40"/>
              <w:jc w:val="center"/>
            </w:pPr>
            <w:r w:rsidRPr="001E42CA">
              <w:t xml:space="preserve">  89</w:t>
            </w:r>
          </w:p>
        </w:tc>
      </w:tr>
      <w:tr w:rsidR="00000000" w:rsidRPr="001E42CA">
        <w:tblPrEx>
          <w:tblCellMar>
            <w:top w:w="0" w:type="dxa"/>
            <w:bottom w:w="0" w:type="dxa"/>
          </w:tblCellMar>
        </w:tblPrEx>
        <w:tc>
          <w:tcPr>
            <w:tcW w:w="4039" w:type="dxa"/>
          </w:tcPr>
          <w:p w:rsidR="00DC1575" w:rsidRPr="001E42CA" w:rsidRDefault="00DC1575">
            <w:pPr>
              <w:pStyle w:val="Tabell"/>
              <w:spacing w:before="40" w:after="40"/>
              <w:jc w:val="left"/>
            </w:pPr>
            <w:r w:rsidRPr="001E42CA">
              <w:t>Bifall av regeringen (efter förslag från BD och KD)</w:t>
            </w:r>
          </w:p>
        </w:tc>
        <w:tc>
          <w:tcPr>
            <w:tcW w:w="992" w:type="dxa"/>
          </w:tcPr>
          <w:p w:rsidR="00DC1575" w:rsidRPr="001E42CA" w:rsidRDefault="00DC1575">
            <w:pPr>
              <w:pStyle w:val="Tabell"/>
              <w:spacing w:before="40" w:after="40"/>
              <w:jc w:val="center"/>
            </w:pPr>
            <w:r w:rsidRPr="001E42CA">
              <w:t>80</w:t>
            </w:r>
          </w:p>
        </w:tc>
        <w:tc>
          <w:tcPr>
            <w:tcW w:w="993" w:type="dxa"/>
          </w:tcPr>
          <w:p w:rsidR="00DC1575" w:rsidRPr="001E42CA" w:rsidRDefault="00DC1575">
            <w:pPr>
              <w:pStyle w:val="Tabell"/>
              <w:spacing w:before="40" w:after="40"/>
              <w:jc w:val="center"/>
            </w:pPr>
            <w:r w:rsidRPr="001E42CA">
              <w:t>139</w:t>
            </w:r>
          </w:p>
        </w:tc>
      </w:tr>
      <w:tr w:rsidR="00000000" w:rsidRPr="001E42CA">
        <w:tblPrEx>
          <w:tblCellMar>
            <w:top w:w="0" w:type="dxa"/>
            <w:bottom w:w="0" w:type="dxa"/>
          </w:tblCellMar>
        </w:tblPrEx>
        <w:tc>
          <w:tcPr>
            <w:tcW w:w="4039" w:type="dxa"/>
            <w:tcBorders>
              <w:bottom w:val="single" w:sz="4" w:space="0" w:color="auto"/>
            </w:tcBorders>
          </w:tcPr>
          <w:p w:rsidR="00DC1575" w:rsidRPr="001E42CA" w:rsidRDefault="00DC1575">
            <w:pPr>
              <w:pStyle w:val="Tabell"/>
              <w:spacing w:before="40" w:after="40"/>
              <w:jc w:val="left"/>
            </w:pPr>
            <w:r w:rsidRPr="001E42CA">
              <w:t>Avslag från regeringen (ej överlämnade till del</w:t>
            </w:r>
            <w:r w:rsidRPr="001E42CA">
              <w:t>e</w:t>
            </w:r>
            <w:r w:rsidRPr="001E42CA">
              <w:t>gation)</w:t>
            </w:r>
          </w:p>
        </w:tc>
        <w:tc>
          <w:tcPr>
            <w:tcW w:w="992" w:type="dxa"/>
            <w:tcBorders>
              <w:bottom w:val="single" w:sz="4" w:space="0" w:color="auto"/>
            </w:tcBorders>
          </w:tcPr>
          <w:p w:rsidR="00DC1575" w:rsidRPr="001E42CA" w:rsidRDefault="00DC1575">
            <w:pPr>
              <w:pStyle w:val="Tabell"/>
              <w:spacing w:before="40" w:after="40"/>
              <w:jc w:val="center"/>
            </w:pPr>
            <w:r w:rsidRPr="001E42CA">
              <w:t>66</w:t>
            </w:r>
          </w:p>
        </w:tc>
        <w:tc>
          <w:tcPr>
            <w:tcW w:w="993" w:type="dxa"/>
            <w:tcBorders>
              <w:bottom w:val="single" w:sz="4" w:space="0" w:color="auto"/>
            </w:tcBorders>
          </w:tcPr>
          <w:p w:rsidR="00DC1575" w:rsidRPr="001E42CA" w:rsidRDefault="00DC1575">
            <w:pPr>
              <w:pStyle w:val="Tabell"/>
              <w:spacing w:before="40" w:after="40"/>
              <w:jc w:val="center"/>
            </w:pPr>
            <w:r w:rsidRPr="001E42CA">
              <w:t xml:space="preserve">  91</w:t>
            </w:r>
          </w:p>
        </w:tc>
      </w:tr>
    </w:tbl>
    <w:p w:rsidR="00DC1575" w:rsidRPr="001E42CA" w:rsidRDefault="00DC1575">
      <w:pPr>
        <w:pStyle w:val="Normaltindrag"/>
      </w:pPr>
    </w:p>
    <w:p w:rsidR="00DC1575" w:rsidRPr="001E42CA" w:rsidRDefault="00DC1575">
      <w:pPr>
        <w:spacing w:before="0"/>
      </w:pPr>
      <w:r w:rsidRPr="001E42CA">
        <w:t xml:space="preserve">Ett annat mått på åtaganden kan vara lediga lägenheter i allmännyttan. Det gäller framför allt Bostadsdelegationens verksamhet. Som framgår av Tabell 4.14 har kommuner som fått bifall av delegationen ett betydligt högre antal lediga lägenheter än avslagskommunerna. Regeringens handläggning visar ett liknande mönster. </w:t>
      </w:r>
    </w:p>
    <w:p w:rsidR="00DC1575" w:rsidRPr="001E42CA" w:rsidRDefault="00DC1575">
      <w:pPr>
        <w:pStyle w:val="R3"/>
      </w:pPr>
      <w:r w:rsidRPr="001E42CA">
        <w:t>Kostnader, resultat och utbudsnivå</w:t>
      </w:r>
    </w:p>
    <w:p w:rsidR="00DC1575" w:rsidRPr="001E42CA" w:rsidRDefault="00DC1575">
      <w:r w:rsidRPr="001E42CA">
        <w:t>Analysen i de tidigare avsnitten antyder att det finns vissa skillnader mellan kommuner som fått avslag och kommuner som fått bifall. De kommuner som fått bifall förefaller bl.a. ha större befolkningsminskningar, högre arbetslö</w:t>
      </w:r>
      <w:r w:rsidRPr="001E42CA">
        <w:t>s</w:t>
      </w:r>
      <w:r w:rsidRPr="001E42CA">
        <w:t>het och sämre ekonomi än avslagskommunerna. Samtidigt tycks de ha en mer omfattande verksamhet, åtminstone i den meningen att de uppvisar en högre utbudsnivå än avslagskommunerna. Det kan mot bakgrund av detta vara av intresse att mer i detalj analysera om det finns något samband mellan storleken på den kommunala verksamheten och några av de nyckeltal som presenterats tidigare. I huvudsak visar anal</w:t>
      </w:r>
      <w:r w:rsidRPr="001E42CA">
        <w:t>y</w:t>
      </w:r>
      <w:r w:rsidRPr="001E42CA">
        <w:t>sen följande.</w:t>
      </w:r>
    </w:p>
    <w:p w:rsidR="00DC1575" w:rsidRPr="001E42CA" w:rsidRDefault="00DC1575">
      <w:pPr>
        <w:numPr>
          <w:ilvl w:val="0"/>
          <w:numId w:val="52"/>
        </w:numPr>
      </w:pPr>
      <w:r w:rsidRPr="001E42CA">
        <w:t>Utbudsnivån, dvs. omfattningen av den kommunala verksamheten, ökar med stigande nett</w:t>
      </w:r>
      <w:r w:rsidRPr="001E42CA">
        <w:t>o</w:t>
      </w:r>
      <w:r w:rsidRPr="001E42CA">
        <w:t>kostnader.</w:t>
      </w:r>
    </w:p>
    <w:p w:rsidR="00DC1575" w:rsidRPr="001E42CA" w:rsidRDefault="00DC1575">
      <w:pPr>
        <w:numPr>
          <w:ilvl w:val="0"/>
          <w:numId w:val="52"/>
        </w:numPr>
      </w:pPr>
      <w:r w:rsidRPr="001E42CA">
        <w:t>Utbudsnivån ökar med ett stigande antal årsarb</w:t>
      </w:r>
      <w:r w:rsidRPr="001E42CA">
        <w:t>e</w:t>
      </w:r>
      <w:r w:rsidRPr="001E42CA">
        <w:t xml:space="preserve">tare i kommunens tjänst. </w:t>
      </w:r>
    </w:p>
    <w:p w:rsidR="00DC1575" w:rsidRPr="001E42CA" w:rsidRDefault="00DC1575">
      <w:pPr>
        <w:numPr>
          <w:ilvl w:val="0"/>
          <w:numId w:val="52"/>
        </w:numPr>
      </w:pPr>
      <w:r w:rsidRPr="001E42CA">
        <w:t>Utbudsnivån minskar med stigande resultat eller överskott.</w:t>
      </w:r>
    </w:p>
    <w:p w:rsidR="00DC1575" w:rsidRPr="001E42CA" w:rsidRDefault="00DC1575">
      <w:pPr>
        <w:numPr>
          <w:ilvl w:val="0"/>
          <w:numId w:val="52"/>
        </w:numPr>
      </w:pPr>
      <w:r w:rsidRPr="001E42CA">
        <w:t>Utbudsnivån ökar med stigande bidrag från kostnadsutjämningen.</w:t>
      </w:r>
    </w:p>
    <w:p w:rsidR="00DC1575" w:rsidRPr="001E42CA" w:rsidRDefault="00DC1575">
      <w:pPr>
        <w:numPr>
          <w:ilvl w:val="0"/>
          <w:numId w:val="53"/>
        </w:numPr>
      </w:pPr>
      <w:r w:rsidRPr="001E42CA">
        <w:t>Kommuner med låg befolkningsminskning eller positiv befolkningsu</w:t>
      </w:r>
      <w:r w:rsidRPr="001E42CA">
        <w:t>t</w:t>
      </w:r>
      <w:r w:rsidRPr="001E42CA">
        <w:t>veckling har en lägre utbudsnivå än kommuner med starkt minskande befolkning.</w:t>
      </w:r>
    </w:p>
    <w:p w:rsidR="00DC1575" w:rsidRPr="001E42CA" w:rsidRDefault="00DC1575">
      <w:pPr>
        <w:pStyle w:val="Normaltindrag"/>
      </w:pPr>
    </w:p>
    <w:p w:rsidR="00DC1575" w:rsidRPr="001E42CA" w:rsidRDefault="00DC1575">
      <w:pPr>
        <w:spacing w:before="0"/>
      </w:pPr>
      <w:r w:rsidRPr="001E42CA">
        <w:t>De tre första resultaten är mer eller mindre naturliga. Det förefaller rimligt att kommuner med höga nettokostnader och ett stort antal anställda har en hög utbudsnivå, vilket också indikerar att utbudsnivå är ett relativt bra mått att mäta volymen på den kommunala verksamheten. Det är vidare rimligt att kommuner med överskott har en relativt sett lägre utbudsnivå.</w:t>
      </w:r>
    </w:p>
    <w:p w:rsidR="00DC1575" w:rsidRPr="001E42CA" w:rsidRDefault="00DC1575">
      <w:pPr>
        <w:pStyle w:val="Normaltindrag"/>
      </w:pPr>
      <w:r w:rsidRPr="001E42CA">
        <w:t>Utbudsnivåns samband med bidragen från kostnadsutjämningen är svårare att förklara. Sambandet är i och för sig svagt, men det är tänkbart att en högre bidragsnivå också stimulerar fram en högre nivå på verksamheten.</w:t>
      </w:r>
    </w:p>
    <w:p w:rsidR="00DC1575" w:rsidRPr="001E42CA" w:rsidRDefault="00DC1575">
      <w:pPr>
        <w:pStyle w:val="Normaltindrag"/>
      </w:pPr>
      <w:r w:rsidRPr="001E42CA">
        <w:t>Det är vidare svårt att förklara varför kommuner med starkt minskande b</w:t>
      </w:r>
      <w:r w:rsidRPr="001E42CA">
        <w:t>e</w:t>
      </w:r>
      <w:r w:rsidRPr="001E42CA">
        <w:t>folkning har en högre utbudsnivå än övriga kommuner. Även om sambandet är relativt svagt kan en möjlig hypotes vara att kommunerna dröjt med att ställa om verksamheten. De kompenseras också via kostnadsutjämningen. Det kan vidare vara så att kommuner med bättre befolkningsutveckling inte hunnit bygga ut verksamheten (se avsnitt 7.1).</w:t>
      </w:r>
    </w:p>
    <w:p w:rsidR="00DC1575" w:rsidRPr="001E42CA" w:rsidRDefault="00DC1575">
      <w:pPr>
        <w:pStyle w:val="Rubrik2"/>
      </w:pPr>
      <w:bookmarkStart w:id="39" w:name="_Toc526302385"/>
      <w:r w:rsidRPr="001E42CA">
        <w:t>Politiska majoritetsförhållanden</w:t>
      </w:r>
      <w:bookmarkEnd w:id="39"/>
    </w:p>
    <w:p w:rsidR="00DC1575" w:rsidRPr="001E42CA" w:rsidRDefault="00DC1575">
      <w:r w:rsidRPr="001E42CA">
        <w:t>Det kan vara av intresse att analysera om det finns några samband mellan politiska majoritetsförhållanden i kommunerna och stödgivningen. Komm</w:t>
      </w:r>
      <w:r w:rsidRPr="001E42CA">
        <w:t>u</w:t>
      </w:r>
      <w:r w:rsidRPr="001E42CA">
        <w:t>nerna har grupperats i fyra olika majoritetsförhållanden enligt en samma</w:t>
      </w:r>
      <w:r w:rsidRPr="001E42CA">
        <w:t>n</w:t>
      </w:r>
      <w:r w:rsidRPr="001E42CA">
        <w:t>ställning av Svenska kommunförbundet. Grupperna är kommuner med soc</w:t>
      </w:r>
      <w:r w:rsidRPr="001E42CA">
        <w:t>i</w:t>
      </w:r>
      <w:r w:rsidRPr="001E42CA">
        <w:t>alistisk majoritet, kommuner med borgerlig majoritet, kommuner med vå</w:t>
      </w:r>
      <w:r w:rsidRPr="001E42CA">
        <w:t>g</w:t>
      </w:r>
      <w:r w:rsidRPr="001E42CA">
        <w:t>mästare (Miljöpartiet som vågmästare) och kommuner med oklar majoritet.</w:t>
      </w:r>
    </w:p>
    <w:p w:rsidR="00DC1575" w:rsidRPr="001E42CA" w:rsidRDefault="00DC1575">
      <w:pPr>
        <w:pStyle w:val="R3"/>
      </w:pPr>
      <w:r w:rsidRPr="001E42CA">
        <w:t>Allmänt</w:t>
      </w:r>
    </w:p>
    <w:p w:rsidR="00DC1575" w:rsidRPr="001E42CA" w:rsidRDefault="00DC1575">
      <w:r w:rsidRPr="001E42CA">
        <w:t>En majoritet av de kommuner som sökt stöd har socialistisk majoritet. Jä</w:t>
      </w:r>
      <w:r w:rsidRPr="001E42CA">
        <w:t>m</w:t>
      </w:r>
      <w:r w:rsidRPr="001E42CA">
        <w:t>fört med riket är kommuner med socialistisk majoritet kraftigt överreprese</w:t>
      </w:r>
      <w:r w:rsidRPr="001E42CA">
        <w:t>n</w:t>
      </w:r>
      <w:r w:rsidRPr="001E42CA">
        <w:t>terade. Kommuner med vågmästarförhållande och oklar majoritet är också överrepresenterade, medan kommuner med borgerlig majoritet är underr</w:t>
      </w:r>
      <w:r w:rsidRPr="001E42CA">
        <w:t>e</w:t>
      </w:r>
      <w:r w:rsidRPr="001E42CA">
        <w:t xml:space="preserve">presenterade. </w:t>
      </w:r>
    </w:p>
    <w:p w:rsidR="00DC1575" w:rsidRPr="001E42CA" w:rsidRDefault="00DC1575">
      <w:pPr>
        <w:pStyle w:val="Normaltindrag"/>
      </w:pPr>
      <w:r w:rsidRPr="001E42CA">
        <w:t>Det föreligger betydande skillnader mellan kommuner som fått bifall och avslag, framför allt vad gäller Bostadsdelegationens beslut (Tabell 4.15). Kommuner med socialistisk majoritet har i högre grad fått bifall, medan kommuner med bo</w:t>
      </w:r>
      <w:r w:rsidRPr="001E42CA">
        <w:t>r</w:t>
      </w:r>
      <w:r w:rsidRPr="001E42CA">
        <w:t xml:space="preserve">gerlig majoritet i högre grad fått avslag. </w:t>
      </w:r>
    </w:p>
    <w:p w:rsidR="00DC1575" w:rsidRPr="001E42CA" w:rsidRDefault="00DC1575">
      <w:pPr>
        <w:pStyle w:val="Normaltindrag"/>
      </w:pPr>
      <w:r w:rsidRPr="001E42CA">
        <w:t xml:space="preserve">Regeringens beslut förefaller i högre utsträckning avspegla de politiska majoritetsförhållandena hos de sökande kommunerna. Undantaget är ärenden som beretts gemensamt av Kommundelegationen och Bostadsdelegationen. Dessa ärenden har i huvudsak avsett kommuner med socialistisk majoritet. </w:t>
      </w:r>
    </w:p>
    <w:p w:rsidR="00DC1575" w:rsidRPr="001E42CA" w:rsidRDefault="00DC1575">
      <w:pPr>
        <w:pStyle w:val="Normaltindrag"/>
      </w:pPr>
    </w:p>
    <w:p w:rsidR="00DC1575" w:rsidRPr="001E42CA" w:rsidRDefault="00DC1575">
      <w:pPr>
        <w:pStyle w:val="Tabellrubrik"/>
      </w:pPr>
      <w:r w:rsidRPr="001E42CA">
        <w:t>Tabell 4.15 Politiska majoritetsförhållanden</w:t>
      </w:r>
    </w:p>
    <w:p w:rsidR="00DC1575" w:rsidRPr="001E42CA" w:rsidRDefault="00DC1575">
      <w:pPr>
        <w:pStyle w:val="Fotnotstext"/>
        <w:spacing w:before="0" w:line="245" w:lineRule="exact"/>
      </w:pPr>
      <w:r w:rsidRPr="001E42CA">
        <w:t>Procent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765"/>
        <w:gridCol w:w="765"/>
        <w:gridCol w:w="766"/>
        <w:gridCol w:w="765"/>
        <w:gridCol w:w="766"/>
      </w:tblGrid>
      <w:tr w:rsidR="00000000" w:rsidRPr="001E42CA">
        <w:tblPrEx>
          <w:tblCellMar>
            <w:top w:w="0" w:type="dxa"/>
            <w:bottom w:w="0" w:type="dxa"/>
          </w:tblCellMar>
        </w:tblPrEx>
        <w:tc>
          <w:tcPr>
            <w:tcW w:w="2197" w:type="dxa"/>
            <w:tcBorders>
              <w:top w:val="single" w:sz="4" w:space="0" w:color="auto"/>
              <w:bottom w:val="single" w:sz="4" w:space="0" w:color="auto"/>
            </w:tcBorders>
          </w:tcPr>
          <w:p w:rsidR="00DC1575" w:rsidRPr="001E42CA" w:rsidRDefault="00DC1575">
            <w:pPr>
              <w:pStyle w:val="Tabell"/>
              <w:spacing w:before="40" w:after="40"/>
            </w:pPr>
          </w:p>
        </w:tc>
        <w:tc>
          <w:tcPr>
            <w:tcW w:w="765" w:type="dxa"/>
            <w:tcBorders>
              <w:top w:val="single" w:sz="4" w:space="0" w:color="auto"/>
              <w:bottom w:val="single" w:sz="4" w:space="0" w:color="auto"/>
            </w:tcBorders>
          </w:tcPr>
          <w:p w:rsidR="00DC1575" w:rsidRPr="001E42CA" w:rsidRDefault="00DC1575">
            <w:pPr>
              <w:pStyle w:val="Tabell"/>
              <w:spacing w:before="40" w:after="40"/>
            </w:pPr>
            <w:r w:rsidRPr="001E42CA">
              <w:t>Soci</w:t>
            </w:r>
            <w:r w:rsidRPr="001E42CA">
              <w:t>a</w:t>
            </w:r>
            <w:r w:rsidRPr="001E42CA">
              <w:t>listisk majoritet</w:t>
            </w:r>
          </w:p>
        </w:tc>
        <w:tc>
          <w:tcPr>
            <w:tcW w:w="765" w:type="dxa"/>
            <w:tcBorders>
              <w:top w:val="single" w:sz="4" w:space="0" w:color="auto"/>
              <w:bottom w:val="single" w:sz="4" w:space="0" w:color="auto"/>
            </w:tcBorders>
          </w:tcPr>
          <w:p w:rsidR="00DC1575" w:rsidRPr="001E42CA" w:rsidRDefault="00DC1575">
            <w:pPr>
              <w:pStyle w:val="Tabell"/>
              <w:spacing w:before="40" w:after="40"/>
            </w:pPr>
            <w:r w:rsidRPr="001E42CA">
              <w:t>Borge</w:t>
            </w:r>
            <w:r w:rsidRPr="001E42CA">
              <w:t>r</w:t>
            </w:r>
            <w:r w:rsidRPr="001E42CA">
              <w:t>lig majoritet</w:t>
            </w:r>
          </w:p>
        </w:tc>
        <w:tc>
          <w:tcPr>
            <w:tcW w:w="766" w:type="dxa"/>
            <w:tcBorders>
              <w:top w:val="single" w:sz="4" w:space="0" w:color="auto"/>
              <w:bottom w:val="single" w:sz="4" w:space="0" w:color="auto"/>
            </w:tcBorders>
          </w:tcPr>
          <w:p w:rsidR="00DC1575" w:rsidRPr="001E42CA" w:rsidRDefault="00DC1575">
            <w:pPr>
              <w:pStyle w:val="Tabell"/>
              <w:spacing w:before="40" w:after="40"/>
            </w:pPr>
            <w:r w:rsidRPr="001E42CA">
              <w:t>Vå</w:t>
            </w:r>
            <w:r w:rsidRPr="001E42CA">
              <w:t>g</w:t>
            </w:r>
            <w:r w:rsidRPr="001E42CA">
              <w:t>mästare</w:t>
            </w:r>
          </w:p>
        </w:tc>
        <w:tc>
          <w:tcPr>
            <w:tcW w:w="765" w:type="dxa"/>
            <w:tcBorders>
              <w:top w:val="single" w:sz="4" w:space="0" w:color="auto"/>
              <w:bottom w:val="single" w:sz="4" w:space="0" w:color="auto"/>
            </w:tcBorders>
          </w:tcPr>
          <w:p w:rsidR="00DC1575" w:rsidRPr="001E42CA" w:rsidRDefault="00DC1575">
            <w:pPr>
              <w:pStyle w:val="Tabell"/>
              <w:spacing w:before="40" w:after="40"/>
            </w:pPr>
            <w:r w:rsidRPr="001E42CA">
              <w:t>Oklar majoritet</w:t>
            </w:r>
          </w:p>
        </w:tc>
        <w:tc>
          <w:tcPr>
            <w:tcW w:w="766" w:type="dxa"/>
            <w:tcBorders>
              <w:top w:val="single" w:sz="4" w:space="0" w:color="auto"/>
              <w:bottom w:val="single" w:sz="4" w:space="0" w:color="auto"/>
            </w:tcBorders>
          </w:tcPr>
          <w:p w:rsidR="00DC1575" w:rsidRPr="001E42CA" w:rsidRDefault="00DC1575">
            <w:pPr>
              <w:pStyle w:val="Tabell"/>
              <w:spacing w:before="40" w:after="40"/>
            </w:pPr>
            <w:r w:rsidRPr="001E42CA">
              <w:t>Summa</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Kommunse</w:t>
            </w:r>
            <w:r w:rsidRPr="001E42CA">
              <w:t>k</w:t>
            </w:r>
            <w:r w:rsidRPr="001E42CA">
              <w:t>torn</w:t>
            </w:r>
          </w:p>
        </w:tc>
        <w:tc>
          <w:tcPr>
            <w:tcW w:w="765" w:type="dxa"/>
          </w:tcPr>
          <w:p w:rsidR="00DC1575" w:rsidRPr="001E42CA" w:rsidRDefault="00DC1575">
            <w:pPr>
              <w:pStyle w:val="Tabell"/>
              <w:spacing w:before="40" w:after="40"/>
              <w:jc w:val="center"/>
            </w:pPr>
            <w:r w:rsidRPr="001E42CA">
              <w:t>38,8</w:t>
            </w:r>
          </w:p>
        </w:tc>
        <w:tc>
          <w:tcPr>
            <w:tcW w:w="765" w:type="dxa"/>
          </w:tcPr>
          <w:p w:rsidR="00DC1575" w:rsidRPr="001E42CA" w:rsidRDefault="00DC1575">
            <w:pPr>
              <w:pStyle w:val="Tabell"/>
              <w:spacing w:before="40" w:after="40"/>
              <w:jc w:val="center"/>
            </w:pPr>
            <w:r w:rsidRPr="001E42CA">
              <w:t>31,5</w:t>
            </w:r>
          </w:p>
        </w:tc>
        <w:tc>
          <w:tcPr>
            <w:tcW w:w="766" w:type="dxa"/>
          </w:tcPr>
          <w:p w:rsidR="00DC1575" w:rsidRPr="001E42CA" w:rsidRDefault="00DC1575">
            <w:pPr>
              <w:pStyle w:val="Tabell"/>
              <w:spacing w:before="40" w:after="40"/>
              <w:jc w:val="center"/>
            </w:pPr>
            <w:r w:rsidRPr="001E42CA">
              <w:t>7,6</w:t>
            </w:r>
          </w:p>
        </w:tc>
        <w:tc>
          <w:tcPr>
            <w:tcW w:w="765" w:type="dxa"/>
          </w:tcPr>
          <w:p w:rsidR="00DC1575" w:rsidRPr="001E42CA" w:rsidRDefault="00DC1575">
            <w:pPr>
              <w:pStyle w:val="Tabell"/>
              <w:spacing w:before="40" w:after="40"/>
              <w:jc w:val="center"/>
            </w:pPr>
            <w:r w:rsidRPr="001E42CA">
              <w:t>22,1</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Samtliga sökande kommuner</w:t>
            </w:r>
          </w:p>
        </w:tc>
        <w:tc>
          <w:tcPr>
            <w:tcW w:w="765" w:type="dxa"/>
          </w:tcPr>
          <w:p w:rsidR="00DC1575" w:rsidRPr="001E42CA" w:rsidRDefault="00DC1575">
            <w:pPr>
              <w:pStyle w:val="Tabell"/>
              <w:spacing w:before="40" w:after="40"/>
              <w:jc w:val="center"/>
            </w:pPr>
            <w:r w:rsidRPr="001E42CA">
              <w:t>57,0</w:t>
            </w:r>
          </w:p>
        </w:tc>
        <w:tc>
          <w:tcPr>
            <w:tcW w:w="765" w:type="dxa"/>
          </w:tcPr>
          <w:p w:rsidR="00DC1575" w:rsidRPr="001E42CA" w:rsidRDefault="00DC1575">
            <w:pPr>
              <w:pStyle w:val="Tabell"/>
              <w:spacing w:before="40" w:after="40"/>
              <w:jc w:val="center"/>
            </w:pPr>
            <w:r w:rsidRPr="001E42CA">
              <w:t>24,4</w:t>
            </w:r>
          </w:p>
        </w:tc>
        <w:tc>
          <w:tcPr>
            <w:tcW w:w="766" w:type="dxa"/>
          </w:tcPr>
          <w:p w:rsidR="00DC1575" w:rsidRPr="001E42CA" w:rsidRDefault="00DC1575">
            <w:pPr>
              <w:pStyle w:val="Tabell"/>
              <w:spacing w:before="40" w:after="40"/>
              <w:jc w:val="center"/>
            </w:pPr>
            <w:r w:rsidRPr="001E42CA">
              <w:t>3,0</w:t>
            </w:r>
          </w:p>
        </w:tc>
        <w:tc>
          <w:tcPr>
            <w:tcW w:w="765" w:type="dxa"/>
          </w:tcPr>
          <w:p w:rsidR="00DC1575" w:rsidRPr="001E42CA" w:rsidRDefault="00DC1575">
            <w:pPr>
              <w:pStyle w:val="Tabell"/>
              <w:spacing w:before="40" w:after="40"/>
              <w:jc w:val="center"/>
            </w:pPr>
            <w:r w:rsidRPr="001E42CA">
              <w:t>15,6</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BD</w:t>
            </w:r>
          </w:p>
        </w:tc>
        <w:tc>
          <w:tcPr>
            <w:tcW w:w="765" w:type="dxa"/>
          </w:tcPr>
          <w:p w:rsidR="00DC1575" w:rsidRPr="001E42CA" w:rsidRDefault="00DC1575">
            <w:pPr>
              <w:pStyle w:val="Tabell"/>
              <w:spacing w:before="40" w:after="40"/>
              <w:jc w:val="center"/>
            </w:pPr>
            <w:r w:rsidRPr="001E42CA">
              <w:t>62,5</w:t>
            </w:r>
          </w:p>
        </w:tc>
        <w:tc>
          <w:tcPr>
            <w:tcW w:w="765" w:type="dxa"/>
          </w:tcPr>
          <w:p w:rsidR="00DC1575" w:rsidRPr="001E42CA" w:rsidRDefault="00DC1575">
            <w:pPr>
              <w:pStyle w:val="Tabell"/>
              <w:spacing w:before="40" w:after="40"/>
              <w:jc w:val="center"/>
            </w:pPr>
            <w:r w:rsidRPr="001E42CA">
              <w:t xml:space="preserve">  8,3</w:t>
            </w:r>
          </w:p>
        </w:tc>
        <w:tc>
          <w:tcPr>
            <w:tcW w:w="766" w:type="dxa"/>
          </w:tcPr>
          <w:p w:rsidR="00DC1575" w:rsidRPr="001E42CA" w:rsidRDefault="00DC1575">
            <w:pPr>
              <w:pStyle w:val="Tabell"/>
              <w:spacing w:before="40" w:after="40"/>
              <w:jc w:val="center"/>
            </w:pPr>
            <w:r w:rsidRPr="001E42CA">
              <w:t>8,3</w:t>
            </w:r>
          </w:p>
        </w:tc>
        <w:tc>
          <w:tcPr>
            <w:tcW w:w="765" w:type="dxa"/>
          </w:tcPr>
          <w:p w:rsidR="00DC1575" w:rsidRPr="001E42CA" w:rsidRDefault="00DC1575">
            <w:pPr>
              <w:pStyle w:val="Tabell"/>
              <w:spacing w:before="40" w:after="40"/>
              <w:jc w:val="center"/>
            </w:pPr>
            <w:r w:rsidRPr="001E42CA">
              <w:t>20,8</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av BD</w:t>
            </w:r>
          </w:p>
        </w:tc>
        <w:tc>
          <w:tcPr>
            <w:tcW w:w="765" w:type="dxa"/>
          </w:tcPr>
          <w:p w:rsidR="00DC1575" w:rsidRPr="001E42CA" w:rsidRDefault="00DC1575">
            <w:pPr>
              <w:pStyle w:val="Tabell"/>
              <w:spacing w:before="40" w:after="40"/>
              <w:jc w:val="center"/>
            </w:pPr>
            <w:r w:rsidRPr="001E42CA">
              <w:t>47,4</w:t>
            </w:r>
          </w:p>
        </w:tc>
        <w:tc>
          <w:tcPr>
            <w:tcW w:w="765" w:type="dxa"/>
          </w:tcPr>
          <w:p w:rsidR="00DC1575" w:rsidRPr="001E42CA" w:rsidRDefault="00DC1575">
            <w:pPr>
              <w:pStyle w:val="Tabell"/>
              <w:spacing w:before="40" w:after="40"/>
              <w:jc w:val="center"/>
            </w:pPr>
            <w:r w:rsidRPr="001E42CA">
              <w:t>34,2</w:t>
            </w:r>
          </w:p>
        </w:tc>
        <w:tc>
          <w:tcPr>
            <w:tcW w:w="766" w:type="dxa"/>
          </w:tcPr>
          <w:p w:rsidR="00DC1575" w:rsidRPr="001E42CA" w:rsidRDefault="00DC1575">
            <w:pPr>
              <w:pStyle w:val="Tabell"/>
              <w:spacing w:before="40" w:after="40"/>
              <w:jc w:val="center"/>
            </w:pPr>
            <w:r w:rsidRPr="001E42CA">
              <w:t>0,0</w:t>
            </w:r>
          </w:p>
        </w:tc>
        <w:tc>
          <w:tcPr>
            <w:tcW w:w="765" w:type="dxa"/>
          </w:tcPr>
          <w:p w:rsidR="00DC1575" w:rsidRPr="001E42CA" w:rsidRDefault="00DC1575">
            <w:pPr>
              <w:pStyle w:val="Tabell"/>
              <w:spacing w:before="40" w:after="40"/>
              <w:jc w:val="center"/>
            </w:pPr>
            <w:r w:rsidRPr="001E42CA">
              <w:t>18,4</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KD)</w:t>
            </w:r>
          </w:p>
        </w:tc>
        <w:tc>
          <w:tcPr>
            <w:tcW w:w="765" w:type="dxa"/>
          </w:tcPr>
          <w:p w:rsidR="00DC1575" w:rsidRPr="001E42CA" w:rsidRDefault="00DC1575">
            <w:pPr>
              <w:pStyle w:val="Tabell"/>
              <w:spacing w:before="40" w:after="40"/>
              <w:jc w:val="center"/>
            </w:pPr>
            <w:r w:rsidRPr="001E42CA">
              <w:t>54,6</w:t>
            </w:r>
          </w:p>
        </w:tc>
        <w:tc>
          <w:tcPr>
            <w:tcW w:w="765" w:type="dxa"/>
          </w:tcPr>
          <w:p w:rsidR="00DC1575" w:rsidRPr="001E42CA" w:rsidRDefault="00DC1575">
            <w:pPr>
              <w:pStyle w:val="Tabell"/>
              <w:spacing w:before="40" w:after="40"/>
              <w:jc w:val="center"/>
            </w:pPr>
            <w:r w:rsidRPr="001E42CA">
              <w:t>27,3</w:t>
            </w:r>
          </w:p>
        </w:tc>
        <w:tc>
          <w:tcPr>
            <w:tcW w:w="766" w:type="dxa"/>
          </w:tcPr>
          <w:p w:rsidR="00DC1575" w:rsidRPr="001E42CA" w:rsidRDefault="00DC1575">
            <w:pPr>
              <w:pStyle w:val="Tabell"/>
              <w:spacing w:before="40" w:after="40"/>
              <w:jc w:val="center"/>
            </w:pPr>
            <w:r w:rsidRPr="001E42CA">
              <w:t>4,6</w:t>
            </w:r>
          </w:p>
        </w:tc>
        <w:tc>
          <w:tcPr>
            <w:tcW w:w="765" w:type="dxa"/>
          </w:tcPr>
          <w:p w:rsidR="00DC1575" w:rsidRPr="001E42CA" w:rsidRDefault="00DC1575">
            <w:pPr>
              <w:pStyle w:val="Tabell"/>
              <w:spacing w:before="40" w:after="40"/>
              <w:jc w:val="center"/>
            </w:pPr>
            <w:r w:rsidRPr="001E42CA">
              <w:t>13,5</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Avslag från regeringen (efter förslag från KD)</w:t>
            </w:r>
          </w:p>
        </w:tc>
        <w:tc>
          <w:tcPr>
            <w:tcW w:w="765" w:type="dxa"/>
          </w:tcPr>
          <w:p w:rsidR="00DC1575" w:rsidRPr="001E42CA" w:rsidRDefault="00DC1575">
            <w:pPr>
              <w:pStyle w:val="Tabell"/>
              <w:spacing w:before="40" w:after="40"/>
              <w:jc w:val="center"/>
            </w:pPr>
            <w:r w:rsidRPr="001E42CA">
              <w:t>54,6</w:t>
            </w:r>
          </w:p>
        </w:tc>
        <w:tc>
          <w:tcPr>
            <w:tcW w:w="765" w:type="dxa"/>
          </w:tcPr>
          <w:p w:rsidR="00DC1575" w:rsidRPr="001E42CA" w:rsidRDefault="00DC1575">
            <w:pPr>
              <w:pStyle w:val="Tabell"/>
              <w:spacing w:before="40" w:after="40"/>
              <w:jc w:val="center"/>
            </w:pPr>
            <w:r w:rsidRPr="001E42CA">
              <w:t>27,3</w:t>
            </w:r>
          </w:p>
        </w:tc>
        <w:tc>
          <w:tcPr>
            <w:tcW w:w="766" w:type="dxa"/>
          </w:tcPr>
          <w:p w:rsidR="00DC1575" w:rsidRPr="001E42CA" w:rsidRDefault="00DC1575">
            <w:pPr>
              <w:pStyle w:val="Tabell"/>
              <w:spacing w:before="40" w:after="40"/>
              <w:jc w:val="center"/>
            </w:pPr>
            <w:r w:rsidRPr="001E42CA">
              <w:t>0,0</w:t>
            </w:r>
          </w:p>
        </w:tc>
        <w:tc>
          <w:tcPr>
            <w:tcW w:w="765" w:type="dxa"/>
          </w:tcPr>
          <w:p w:rsidR="00DC1575" w:rsidRPr="001E42CA" w:rsidRDefault="00DC1575">
            <w:pPr>
              <w:pStyle w:val="Tabell"/>
              <w:spacing w:before="40" w:after="40"/>
              <w:jc w:val="center"/>
            </w:pPr>
            <w:r w:rsidRPr="001E42CA">
              <w:t>18,2</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Pr>
          <w:p w:rsidR="00DC1575" w:rsidRPr="001E42CA" w:rsidRDefault="00DC1575">
            <w:pPr>
              <w:pStyle w:val="Tabell"/>
              <w:spacing w:before="40" w:after="40"/>
              <w:jc w:val="left"/>
            </w:pPr>
            <w:r w:rsidRPr="001E42CA">
              <w:t>Bifall av regeringen (efter förslag från BD och KD)</w:t>
            </w:r>
          </w:p>
        </w:tc>
        <w:tc>
          <w:tcPr>
            <w:tcW w:w="765" w:type="dxa"/>
          </w:tcPr>
          <w:p w:rsidR="00DC1575" w:rsidRPr="001E42CA" w:rsidRDefault="00DC1575">
            <w:pPr>
              <w:pStyle w:val="Tabell"/>
              <w:spacing w:before="40" w:after="40"/>
              <w:jc w:val="center"/>
            </w:pPr>
            <w:r w:rsidRPr="001E42CA">
              <w:t>85,7</w:t>
            </w:r>
          </w:p>
        </w:tc>
        <w:tc>
          <w:tcPr>
            <w:tcW w:w="765" w:type="dxa"/>
          </w:tcPr>
          <w:p w:rsidR="00DC1575" w:rsidRPr="001E42CA" w:rsidRDefault="00DC1575">
            <w:pPr>
              <w:pStyle w:val="Tabell"/>
              <w:spacing w:before="40" w:after="40"/>
              <w:jc w:val="center"/>
            </w:pPr>
            <w:r w:rsidRPr="001E42CA">
              <w:t xml:space="preserve">  0,0</w:t>
            </w:r>
          </w:p>
        </w:tc>
        <w:tc>
          <w:tcPr>
            <w:tcW w:w="766" w:type="dxa"/>
          </w:tcPr>
          <w:p w:rsidR="00DC1575" w:rsidRPr="001E42CA" w:rsidRDefault="00DC1575">
            <w:pPr>
              <w:pStyle w:val="Tabell"/>
              <w:spacing w:before="40" w:after="40"/>
              <w:jc w:val="center"/>
            </w:pPr>
            <w:r w:rsidRPr="001E42CA">
              <w:t>0,0</w:t>
            </w:r>
          </w:p>
        </w:tc>
        <w:tc>
          <w:tcPr>
            <w:tcW w:w="765" w:type="dxa"/>
          </w:tcPr>
          <w:p w:rsidR="00DC1575" w:rsidRPr="001E42CA" w:rsidRDefault="00DC1575">
            <w:pPr>
              <w:pStyle w:val="Tabell"/>
              <w:spacing w:before="40" w:after="40"/>
              <w:jc w:val="center"/>
            </w:pPr>
            <w:r w:rsidRPr="001E42CA">
              <w:t>14,3</w:t>
            </w:r>
          </w:p>
        </w:tc>
        <w:tc>
          <w:tcPr>
            <w:tcW w:w="766" w:type="dxa"/>
          </w:tcPr>
          <w:p w:rsidR="00DC1575" w:rsidRPr="001E42CA" w:rsidRDefault="00DC1575">
            <w:pPr>
              <w:pStyle w:val="Tabell"/>
              <w:spacing w:before="40" w:after="40"/>
              <w:jc w:val="center"/>
            </w:pPr>
            <w:r w:rsidRPr="001E42CA">
              <w:t>100,0</w:t>
            </w:r>
          </w:p>
        </w:tc>
      </w:tr>
      <w:tr w:rsidR="00000000" w:rsidRPr="001E42CA">
        <w:tblPrEx>
          <w:tblCellMar>
            <w:top w:w="0" w:type="dxa"/>
            <w:bottom w:w="0" w:type="dxa"/>
          </w:tblCellMar>
        </w:tblPrEx>
        <w:tc>
          <w:tcPr>
            <w:tcW w:w="2197" w:type="dxa"/>
            <w:tcBorders>
              <w:bottom w:val="single" w:sz="4" w:space="0" w:color="auto"/>
            </w:tcBorders>
          </w:tcPr>
          <w:p w:rsidR="00DC1575" w:rsidRPr="001E42CA" w:rsidRDefault="00DC1575">
            <w:pPr>
              <w:pStyle w:val="Tabell"/>
              <w:spacing w:before="40" w:after="40"/>
              <w:jc w:val="left"/>
            </w:pPr>
            <w:r w:rsidRPr="001E42CA">
              <w:t>Avslag från regeringen (ej överlämnade till deleg</w:t>
            </w:r>
            <w:r w:rsidRPr="001E42CA">
              <w:t>a</w:t>
            </w:r>
            <w:r w:rsidRPr="001E42CA">
              <w:t>tion)</w:t>
            </w:r>
          </w:p>
        </w:tc>
        <w:tc>
          <w:tcPr>
            <w:tcW w:w="765" w:type="dxa"/>
            <w:tcBorders>
              <w:bottom w:val="single" w:sz="4" w:space="0" w:color="auto"/>
            </w:tcBorders>
          </w:tcPr>
          <w:p w:rsidR="00DC1575" w:rsidRPr="001E42CA" w:rsidRDefault="00DC1575">
            <w:pPr>
              <w:pStyle w:val="Tabell"/>
              <w:spacing w:before="40" w:after="40"/>
              <w:jc w:val="center"/>
            </w:pPr>
            <w:r w:rsidRPr="001E42CA">
              <w:t>53,3</w:t>
            </w:r>
          </w:p>
        </w:tc>
        <w:tc>
          <w:tcPr>
            <w:tcW w:w="765" w:type="dxa"/>
            <w:tcBorders>
              <w:bottom w:val="single" w:sz="4" w:space="0" w:color="auto"/>
            </w:tcBorders>
          </w:tcPr>
          <w:p w:rsidR="00DC1575" w:rsidRPr="001E42CA" w:rsidRDefault="00DC1575">
            <w:pPr>
              <w:pStyle w:val="Tabell"/>
              <w:spacing w:before="40" w:after="40"/>
              <w:jc w:val="center"/>
            </w:pPr>
            <w:r w:rsidRPr="001E42CA">
              <w:t>40,0</w:t>
            </w:r>
          </w:p>
        </w:tc>
        <w:tc>
          <w:tcPr>
            <w:tcW w:w="766" w:type="dxa"/>
            <w:tcBorders>
              <w:bottom w:val="single" w:sz="4" w:space="0" w:color="auto"/>
            </w:tcBorders>
          </w:tcPr>
          <w:p w:rsidR="00DC1575" w:rsidRPr="001E42CA" w:rsidRDefault="00DC1575">
            <w:pPr>
              <w:pStyle w:val="Tabell"/>
              <w:spacing w:before="40" w:after="40"/>
              <w:jc w:val="center"/>
            </w:pPr>
            <w:r w:rsidRPr="001E42CA">
              <w:t>6,7</w:t>
            </w:r>
          </w:p>
        </w:tc>
        <w:tc>
          <w:tcPr>
            <w:tcW w:w="765" w:type="dxa"/>
            <w:tcBorders>
              <w:bottom w:val="single" w:sz="4" w:space="0" w:color="auto"/>
            </w:tcBorders>
          </w:tcPr>
          <w:p w:rsidR="00DC1575" w:rsidRPr="001E42CA" w:rsidRDefault="00DC1575">
            <w:pPr>
              <w:pStyle w:val="Tabell"/>
              <w:spacing w:before="40" w:after="40"/>
              <w:jc w:val="center"/>
            </w:pPr>
            <w:r w:rsidRPr="001E42CA">
              <w:t xml:space="preserve">  0,0</w:t>
            </w:r>
          </w:p>
        </w:tc>
        <w:tc>
          <w:tcPr>
            <w:tcW w:w="766" w:type="dxa"/>
            <w:tcBorders>
              <w:bottom w:val="single" w:sz="4" w:space="0" w:color="auto"/>
            </w:tcBorders>
          </w:tcPr>
          <w:p w:rsidR="00DC1575" w:rsidRPr="001E42CA" w:rsidRDefault="00DC1575">
            <w:pPr>
              <w:pStyle w:val="Tabell"/>
              <w:spacing w:before="40" w:after="40"/>
              <w:jc w:val="center"/>
            </w:pPr>
            <w:r w:rsidRPr="001E42CA">
              <w:t>100,0</w:t>
            </w:r>
          </w:p>
        </w:tc>
      </w:tr>
    </w:tbl>
    <w:p w:rsidR="00DC1575" w:rsidRPr="001E42CA" w:rsidRDefault="00DC1575">
      <w:pPr>
        <w:pStyle w:val="R3"/>
      </w:pPr>
      <w:r w:rsidRPr="001E42CA">
        <w:t>Politiska majoritetsförhållanden, resultat och verksamhet</w:t>
      </w:r>
    </w:p>
    <w:p w:rsidR="00DC1575" w:rsidRPr="001E42CA" w:rsidRDefault="00DC1575">
      <w:r w:rsidRPr="001E42CA">
        <w:t>Som framgått ovan har en klar majoritet av de kommuner som sökt och fått stöd en socialistisk majoritet. Det kan dock orsakas av att dessa kommuner t.ex. har en sämre ekonomi än andra kommuner. Det kan därför vara av intresse att analysera om det finns något samband mellan politiska major</w:t>
      </w:r>
      <w:r w:rsidRPr="001E42CA">
        <w:t>i</w:t>
      </w:r>
      <w:r w:rsidRPr="001E42CA">
        <w:t>tetsförhå</w:t>
      </w:r>
      <w:r w:rsidRPr="001E42CA">
        <w:t>l</w:t>
      </w:r>
      <w:r w:rsidRPr="001E42CA">
        <w:t>landen och t.ex. resultatnivå.</w:t>
      </w:r>
    </w:p>
    <w:p w:rsidR="00DC1575" w:rsidRPr="001E42CA" w:rsidRDefault="00DC1575">
      <w:pPr>
        <w:pStyle w:val="Normaltindrag"/>
      </w:pPr>
      <w:r w:rsidRPr="001E42CA">
        <w:t>Jämförelsen avgränsas till kommuner med socialistisk majoritet och ko</w:t>
      </w:r>
      <w:r w:rsidRPr="001E42CA">
        <w:t>m</w:t>
      </w:r>
      <w:r w:rsidRPr="001E42CA">
        <w:t>muner med borgerlig majoritet. Orsaken är bl.a. att dessa kommuner står för drygt 80 procent av ansökningarna. Det är också mellan dessa kommuner som det föreligger mer substantiella skillnader.</w:t>
      </w:r>
    </w:p>
    <w:p w:rsidR="00DC1575" w:rsidRPr="001E42CA" w:rsidRDefault="00DC1575">
      <w:pPr>
        <w:pStyle w:val="Normaltindrag"/>
      </w:pPr>
      <w:r w:rsidRPr="001E42CA">
        <w:t>Resultaten presenteras i Tabell 4.16. Kommuner med socialistisk majoritet har i jämförelse med borgerligt sty</w:t>
      </w:r>
      <w:r w:rsidRPr="001E42CA">
        <w:t>r</w:t>
      </w:r>
      <w:r w:rsidRPr="001E42CA">
        <w:t>da kommuner:</w:t>
      </w:r>
    </w:p>
    <w:p w:rsidR="00DC1575" w:rsidRPr="001E42CA" w:rsidRDefault="00DC1575">
      <w:pPr>
        <w:pStyle w:val="Normaltindrag"/>
      </w:pPr>
    </w:p>
    <w:p w:rsidR="00DC1575" w:rsidRPr="001E42CA" w:rsidRDefault="00DC1575">
      <w:pPr>
        <w:numPr>
          <w:ilvl w:val="0"/>
          <w:numId w:val="51"/>
        </w:numPr>
        <w:spacing w:before="0"/>
        <w:ind w:left="357" w:hanging="357"/>
      </w:pPr>
      <w:r w:rsidRPr="001E42CA">
        <w:t>Relativt lågt skatteunderlag, men hög skattesats.</w:t>
      </w:r>
    </w:p>
    <w:p w:rsidR="00DC1575" w:rsidRPr="001E42CA" w:rsidRDefault="00DC1575">
      <w:pPr>
        <w:numPr>
          <w:ilvl w:val="0"/>
          <w:numId w:val="51"/>
        </w:numPr>
      </w:pPr>
      <w:r w:rsidRPr="001E42CA">
        <w:t>Hög arbetslöshet och hög utflyttning.</w:t>
      </w:r>
    </w:p>
    <w:p w:rsidR="00DC1575" w:rsidRPr="001E42CA" w:rsidRDefault="00DC1575">
      <w:pPr>
        <w:numPr>
          <w:ilvl w:val="0"/>
          <w:numId w:val="51"/>
        </w:numPr>
      </w:pPr>
      <w:r w:rsidRPr="001E42CA">
        <w:t>Något lägre nettokostnader, men samtidigt sämre resultat och soliditet.</w:t>
      </w:r>
    </w:p>
    <w:p w:rsidR="00DC1575" w:rsidRPr="001E42CA" w:rsidRDefault="00DC1575">
      <w:pPr>
        <w:numPr>
          <w:ilvl w:val="0"/>
          <w:numId w:val="51"/>
        </w:numPr>
      </w:pPr>
      <w:r w:rsidRPr="001E42CA">
        <w:t>Större volym på verksamheten. Det gäller högre utbudsnivå, högre kostnader jämfört med strukturkostnader och ett större antal anställda.</w:t>
      </w:r>
    </w:p>
    <w:p w:rsidR="00DC1575" w:rsidRPr="001E42CA" w:rsidRDefault="00DC1575">
      <w:pPr>
        <w:numPr>
          <w:ilvl w:val="0"/>
          <w:numId w:val="51"/>
        </w:numPr>
      </w:pPr>
      <w:r w:rsidRPr="001E42CA">
        <w:t>Högre bidrag från kostnadsutjämning och inkomstutjämning.</w:t>
      </w:r>
    </w:p>
    <w:p w:rsidR="00DC1575" w:rsidRPr="001E42CA" w:rsidRDefault="00DC1575">
      <w:pPr>
        <w:pStyle w:val="Normaltindrag"/>
      </w:pPr>
    </w:p>
    <w:p w:rsidR="00DC1575" w:rsidRPr="001E42CA" w:rsidRDefault="00DC1575">
      <w:r w:rsidRPr="001E42CA">
        <w:t>Partipolitiska faktorer, eller styrkeförhållanden, förefaller förklara en del av skillnaderna i utgifter mellan kommuner. En svensk studie som baseras på data från den senaste tjugoårsperioden visar att en vänstermajoritet i ko</w:t>
      </w:r>
      <w:r w:rsidRPr="001E42CA">
        <w:t>m</w:t>
      </w:r>
      <w:r w:rsidRPr="001E42CA">
        <w:t>munerna leder till högre utgifter och skatt än vid en borgerlig majoritet (Pe</w:t>
      </w:r>
      <w:r w:rsidRPr="001E42CA">
        <w:t>t</w:t>
      </w:r>
      <w:r w:rsidRPr="001E42CA">
        <w:t>tersson Lidbom, 2000). Långsiktigt har kommuner som styrs av en vänste</w:t>
      </w:r>
      <w:r w:rsidRPr="001E42CA">
        <w:t>r</w:t>
      </w:r>
      <w:r w:rsidRPr="001E42CA">
        <w:t>majoritet i genomsnitt ca 13 procent högre utgifter och 7 procent högre i</w:t>
      </w:r>
      <w:r w:rsidRPr="001E42CA">
        <w:t>n</w:t>
      </w:r>
      <w:r w:rsidRPr="001E42CA">
        <w:t xml:space="preserve">komstskatt än borgerligt styrda kommuner. </w:t>
      </w:r>
    </w:p>
    <w:p w:rsidR="00DC1575" w:rsidRPr="001E42CA" w:rsidRDefault="00DC1575">
      <w:pPr>
        <w:pStyle w:val="Normaltindrag"/>
      </w:pPr>
    </w:p>
    <w:p w:rsidR="00DC1575" w:rsidRPr="001E42CA" w:rsidRDefault="00DC1575">
      <w:pPr>
        <w:pStyle w:val="Tabellrubrik"/>
      </w:pPr>
      <w:r w:rsidRPr="001E42CA">
        <w:t>Tabell 4.16 Nyckeltal och politiska majoritetsförhållanden</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898"/>
        <w:gridCol w:w="992"/>
        <w:gridCol w:w="992"/>
      </w:tblGrid>
      <w:tr w:rsidR="00000000" w:rsidRPr="001E42CA">
        <w:tblPrEx>
          <w:tblCellMar>
            <w:top w:w="0" w:type="dxa"/>
            <w:bottom w:w="0" w:type="dxa"/>
          </w:tblCellMar>
        </w:tblPrEx>
        <w:tc>
          <w:tcPr>
            <w:tcW w:w="3898" w:type="dxa"/>
            <w:tcBorders>
              <w:top w:val="single" w:sz="4" w:space="0" w:color="auto"/>
              <w:bottom w:val="single" w:sz="4" w:space="0" w:color="auto"/>
            </w:tcBorders>
          </w:tcPr>
          <w:p w:rsidR="00DC1575" w:rsidRPr="001E42CA" w:rsidRDefault="00DC1575">
            <w:pPr>
              <w:pStyle w:val="Tabell"/>
              <w:spacing w:before="40" w:after="40"/>
              <w:jc w:val="left"/>
            </w:pPr>
          </w:p>
        </w:tc>
        <w:tc>
          <w:tcPr>
            <w:tcW w:w="992" w:type="dxa"/>
            <w:tcBorders>
              <w:top w:val="single" w:sz="4" w:space="0" w:color="auto"/>
              <w:bottom w:val="single" w:sz="4" w:space="0" w:color="auto"/>
            </w:tcBorders>
          </w:tcPr>
          <w:p w:rsidR="00DC1575" w:rsidRPr="001E42CA" w:rsidRDefault="00DC1575">
            <w:pPr>
              <w:pStyle w:val="Tabell"/>
              <w:spacing w:before="40" w:after="40"/>
              <w:jc w:val="center"/>
            </w:pPr>
            <w:r w:rsidRPr="001E42CA">
              <w:t>Socialistisk major</w:t>
            </w:r>
            <w:r w:rsidRPr="001E42CA">
              <w:t>i</w:t>
            </w:r>
            <w:r w:rsidRPr="001E42CA">
              <w:t>tet</w:t>
            </w:r>
          </w:p>
        </w:tc>
        <w:tc>
          <w:tcPr>
            <w:tcW w:w="992" w:type="dxa"/>
            <w:tcBorders>
              <w:top w:val="single" w:sz="4" w:space="0" w:color="auto"/>
              <w:bottom w:val="single" w:sz="4" w:space="0" w:color="auto"/>
            </w:tcBorders>
          </w:tcPr>
          <w:p w:rsidR="00DC1575" w:rsidRPr="001E42CA" w:rsidRDefault="00DC1575">
            <w:pPr>
              <w:pStyle w:val="Tabell"/>
              <w:spacing w:before="40" w:after="40"/>
              <w:jc w:val="center"/>
            </w:pPr>
            <w:r w:rsidRPr="001E42CA">
              <w:t>Borgerlig major</w:t>
            </w:r>
            <w:r w:rsidRPr="001E42CA">
              <w:t>i</w:t>
            </w:r>
            <w:r w:rsidRPr="001E42CA">
              <w:t>tet</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Skatteunderlag (kronor)</w:t>
            </w:r>
          </w:p>
        </w:tc>
        <w:tc>
          <w:tcPr>
            <w:tcW w:w="992" w:type="dxa"/>
          </w:tcPr>
          <w:p w:rsidR="00DC1575" w:rsidRPr="001E42CA" w:rsidRDefault="00DC1575">
            <w:pPr>
              <w:pStyle w:val="Tabell"/>
              <w:spacing w:before="40" w:after="40"/>
              <w:jc w:val="center"/>
            </w:pPr>
            <w:r w:rsidRPr="001E42CA">
              <w:t>995</w:t>
            </w:r>
          </w:p>
        </w:tc>
        <w:tc>
          <w:tcPr>
            <w:tcW w:w="992" w:type="dxa"/>
          </w:tcPr>
          <w:p w:rsidR="00DC1575" w:rsidRPr="001E42CA" w:rsidRDefault="00DC1575">
            <w:pPr>
              <w:pStyle w:val="Tabell"/>
              <w:spacing w:before="40" w:after="40"/>
              <w:jc w:val="center"/>
            </w:pPr>
            <w:r w:rsidRPr="001E42CA">
              <w:t>1022</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Skattesats (kronor)</w:t>
            </w:r>
          </w:p>
        </w:tc>
        <w:tc>
          <w:tcPr>
            <w:tcW w:w="992" w:type="dxa"/>
          </w:tcPr>
          <w:p w:rsidR="00DC1575" w:rsidRPr="001E42CA" w:rsidRDefault="00DC1575">
            <w:pPr>
              <w:pStyle w:val="Tabell"/>
              <w:spacing w:before="40" w:after="40"/>
              <w:jc w:val="center"/>
            </w:pPr>
            <w:r w:rsidRPr="001E42CA">
              <w:t>21,8</w:t>
            </w:r>
          </w:p>
        </w:tc>
        <w:tc>
          <w:tcPr>
            <w:tcW w:w="992" w:type="dxa"/>
          </w:tcPr>
          <w:p w:rsidR="00DC1575" w:rsidRPr="001E42CA" w:rsidRDefault="00DC1575">
            <w:pPr>
              <w:pStyle w:val="Tabell"/>
              <w:spacing w:before="40" w:after="40"/>
              <w:jc w:val="center"/>
            </w:pPr>
            <w:r w:rsidRPr="001E42CA">
              <w:t>20,3</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Arbetslöshet (%)</w:t>
            </w:r>
          </w:p>
        </w:tc>
        <w:tc>
          <w:tcPr>
            <w:tcW w:w="992" w:type="dxa"/>
          </w:tcPr>
          <w:p w:rsidR="00DC1575" w:rsidRPr="001E42CA" w:rsidRDefault="00DC1575">
            <w:pPr>
              <w:pStyle w:val="Tabell"/>
              <w:spacing w:before="40" w:after="40"/>
              <w:jc w:val="center"/>
            </w:pPr>
            <w:r w:rsidRPr="001E42CA">
              <w:t>9,8</w:t>
            </w:r>
          </w:p>
        </w:tc>
        <w:tc>
          <w:tcPr>
            <w:tcW w:w="992" w:type="dxa"/>
          </w:tcPr>
          <w:p w:rsidR="00DC1575" w:rsidRPr="001E42CA" w:rsidRDefault="00DC1575">
            <w:pPr>
              <w:pStyle w:val="Tabell"/>
              <w:spacing w:before="40" w:after="40"/>
              <w:jc w:val="center"/>
            </w:pPr>
            <w:r w:rsidRPr="001E42CA">
              <w:t>6,5</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Befolkningsförändring (%)</w:t>
            </w:r>
          </w:p>
        </w:tc>
        <w:tc>
          <w:tcPr>
            <w:tcW w:w="992" w:type="dxa"/>
          </w:tcPr>
          <w:p w:rsidR="00DC1575" w:rsidRPr="001E42CA" w:rsidRDefault="00DC1575">
            <w:pPr>
              <w:pStyle w:val="Tabell"/>
              <w:spacing w:before="40" w:after="40"/>
              <w:jc w:val="center"/>
            </w:pPr>
            <w:r w:rsidRPr="001E42CA">
              <w:t>-4,7</w:t>
            </w:r>
          </w:p>
        </w:tc>
        <w:tc>
          <w:tcPr>
            <w:tcW w:w="992" w:type="dxa"/>
          </w:tcPr>
          <w:p w:rsidR="00DC1575" w:rsidRPr="001E42CA" w:rsidRDefault="00DC1575">
            <w:pPr>
              <w:pStyle w:val="Tabell"/>
              <w:spacing w:before="40" w:after="40"/>
              <w:jc w:val="center"/>
            </w:pPr>
            <w:r w:rsidRPr="001E42CA">
              <w:t>-0,1</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Nettokostnader (% av skatter och statsbidarg)</w:t>
            </w:r>
          </w:p>
        </w:tc>
        <w:tc>
          <w:tcPr>
            <w:tcW w:w="992" w:type="dxa"/>
          </w:tcPr>
          <w:p w:rsidR="00DC1575" w:rsidRPr="001E42CA" w:rsidRDefault="00DC1575">
            <w:pPr>
              <w:pStyle w:val="Tabell"/>
              <w:spacing w:before="40" w:after="40"/>
              <w:jc w:val="center"/>
            </w:pPr>
            <w:r w:rsidRPr="001E42CA">
              <w:t>102,0</w:t>
            </w:r>
          </w:p>
        </w:tc>
        <w:tc>
          <w:tcPr>
            <w:tcW w:w="992" w:type="dxa"/>
          </w:tcPr>
          <w:p w:rsidR="00DC1575" w:rsidRPr="001E42CA" w:rsidRDefault="00DC1575">
            <w:pPr>
              <w:pStyle w:val="Tabell"/>
              <w:spacing w:before="40" w:after="40"/>
              <w:jc w:val="center"/>
            </w:pPr>
            <w:r w:rsidRPr="001E42CA">
              <w:t>102,6</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Resultat före extraordinära poster (% av skatter och statsbidrag)</w:t>
            </w:r>
          </w:p>
        </w:tc>
        <w:tc>
          <w:tcPr>
            <w:tcW w:w="992" w:type="dxa"/>
          </w:tcPr>
          <w:p w:rsidR="00DC1575" w:rsidRPr="001E42CA" w:rsidRDefault="00DC1575">
            <w:pPr>
              <w:pStyle w:val="Tabell"/>
              <w:spacing w:before="40" w:after="40"/>
              <w:jc w:val="center"/>
            </w:pPr>
            <w:r w:rsidRPr="001E42CA">
              <w:t>-2,8</w:t>
            </w:r>
          </w:p>
        </w:tc>
        <w:tc>
          <w:tcPr>
            <w:tcW w:w="992" w:type="dxa"/>
          </w:tcPr>
          <w:p w:rsidR="00DC1575" w:rsidRPr="001E42CA" w:rsidRDefault="00DC1575">
            <w:pPr>
              <w:pStyle w:val="Tabell"/>
              <w:spacing w:before="40" w:after="40"/>
              <w:jc w:val="center"/>
            </w:pPr>
            <w:r w:rsidRPr="001E42CA">
              <w:t>-3,4</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Resultat efter extraordinära poster (% av skatter och statsbidrag)</w:t>
            </w:r>
          </w:p>
        </w:tc>
        <w:tc>
          <w:tcPr>
            <w:tcW w:w="992" w:type="dxa"/>
          </w:tcPr>
          <w:p w:rsidR="00DC1575" w:rsidRPr="001E42CA" w:rsidRDefault="00DC1575">
            <w:pPr>
              <w:pStyle w:val="Tabell"/>
              <w:spacing w:before="40" w:after="40"/>
              <w:jc w:val="center"/>
            </w:pPr>
            <w:r w:rsidRPr="001E42CA">
              <w:t>-4,9</w:t>
            </w:r>
          </w:p>
        </w:tc>
        <w:tc>
          <w:tcPr>
            <w:tcW w:w="992" w:type="dxa"/>
          </w:tcPr>
          <w:p w:rsidR="00DC1575" w:rsidRPr="001E42CA" w:rsidRDefault="00DC1575">
            <w:pPr>
              <w:pStyle w:val="Tabell"/>
              <w:spacing w:before="40" w:after="40"/>
              <w:jc w:val="center"/>
            </w:pPr>
            <w:r w:rsidRPr="001E42CA">
              <w:t>-0,3</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Soliditet (% eget kapital)</w:t>
            </w:r>
          </w:p>
        </w:tc>
        <w:tc>
          <w:tcPr>
            <w:tcW w:w="992" w:type="dxa"/>
          </w:tcPr>
          <w:p w:rsidR="00DC1575" w:rsidRPr="001E42CA" w:rsidRDefault="00DC1575">
            <w:pPr>
              <w:pStyle w:val="Tabell"/>
              <w:spacing w:before="40" w:after="40"/>
              <w:jc w:val="center"/>
            </w:pPr>
            <w:r w:rsidRPr="001E42CA">
              <w:t>1,6</w:t>
            </w:r>
          </w:p>
        </w:tc>
        <w:tc>
          <w:tcPr>
            <w:tcW w:w="992" w:type="dxa"/>
          </w:tcPr>
          <w:p w:rsidR="00DC1575" w:rsidRPr="001E42CA" w:rsidRDefault="00DC1575">
            <w:pPr>
              <w:pStyle w:val="Tabell"/>
              <w:spacing w:before="40" w:after="40"/>
              <w:jc w:val="center"/>
            </w:pPr>
            <w:r w:rsidRPr="001E42CA">
              <w:t>8,6</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Bidrag från kostnadsutjä</w:t>
            </w:r>
            <w:r w:rsidRPr="001E42CA">
              <w:t>m</w:t>
            </w:r>
            <w:r w:rsidRPr="001E42CA">
              <w:t>ning  (kronor)</w:t>
            </w:r>
          </w:p>
        </w:tc>
        <w:tc>
          <w:tcPr>
            <w:tcW w:w="992" w:type="dxa"/>
          </w:tcPr>
          <w:p w:rsidR="00DC1575" w:rsidRPr="001E42CA" w:rsidRDefault="00DC1575">
            <w:pPr>
              <w:pStyle w:val="Tabell"/>
              <w:spacing w:before="40" w:after="40"/>
              <w:jc w:val="center"/>
            </w:pPr>
            <w:r w:rsidRPr="001E42CA">
              <w:t>462</w:t>
            </w:r>
          </w:p>
        </w:tc>
        <w:tc>
          <w:tcPr>
            <w:tcW w:w="992" w:type="dxa"/>
          </w:tcPr>
          <w:p w:rsidR="00DC1575" w:rsidRPr="001E42CA" w:rsidRDefault="00DC1575">
            <w:pPr>
              <w:pStyle w:val="Tabell"/>
              <w:spacing w:before="40" w:after="40"/>
              <w:jc w:val="center"/>
            </w:pPr>
            <w:r w:rsidRPr="001E42CA">
              <w:t>-470</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Bidrag från inkomstutjä</w:t>
            </w:r>
            <w:r w:rsidRPr="001E42CA">
              <w:t>m</w:t>
            </w:r>
            <w:r w:rsidRPr="001E42CA">
              <w:t>ning (kronor)</w:t>
            </w:r>
          </w:p>
        </w:tc>
        <w:tc>
          <w:tcPr>
            <w:tcW w:w="992" w:type="dxa"/>
          </w:tcPr>
          <w:p w:rsidR="00DC1575" w:rsidRPr="001E42CA" w:rsidRDefault="00DC1575">
            <w:pPr>
              <w:pStyle w:val="Tabell"/>
              <w:spacing w:before="40" w:after="40"/>
              <w:jc w:val="center"/>
            </w:pPr>
            <w:r w:rsidRPr="001E42CA">
              <w:t>912</w:t>
            </w:r>
          </w:p>
        </w:tc>
        <w:tc>
          <w:tcPr>
            <w:tcW w:w="992" w:type="dxa"/>
          </w:tcPr>
          <w:p w:rsidR="00DC1575" w:rsidRPr="001E42CA" w:rsidRDefault="00DC1575">
            <w:pPr>
              <w:pStyle w:val="Tabell"/>
              <w:spacing w:before="40" w:after="40"/>
              <w:jc w:val="center"/>
            </w:pPr>
            <w:r w:rsidRPr="001E42CA">
              <w:t>619</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Kostnader jämfört med strukturkostn</w:t>
            </w:r>
            <w:r w:rsidRPr="001E42CA">
              <w:t>a</w:t>
            </w:r>
            <w:r w:rsidRPr="001E42CA">
              <w:t>der</w:t>
            </w:r>
          </w:p>
        </w:tc>
        <w:tc>
          <w:tcPr>
            <w:tcW w:w="992" w:type="dxa"/>
          </w:tcPr>
          <w:p w:rsidR="00DC1575" w:rsidRPr="001E42CA" w:rsidRDefault="00DC1575">
            <w:pPr>
              <w:pStyle w:val="Tabell"/>
              <w:spacing w:before="40" w:after="40"/>
              <w:jc w:val="center"/>
            </w:pPr>
            <w:r w:rsidRPr="001E42CA">
              <w:t>106</w:t>
            </w:r>
          </w:p>
        </w:tc>
        <w:tc>
          <w:tcPr>
            <w:tcW w:w="992" w:type="dxa"/>
          </w:tcPr>
          <w:p w:rsidR="00DC1575" w:rsidRPr="001E42CA" w:rsidRDefault="00DC1575">
            <w:pPr>
              <w:pStyle w:val="Tabell"/>
              <w:spacing w:before="40" w:after="40"/>
              <w:jc w:val="center"/>
            </w:pPr>
            <w:r w:rsidRPr="001E42CA">
              <w:t>102</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Utbudsnivå</w:t>
            </w:r>
          </w:p>
        </w:tc>
        <w:tc>
          <w:tcPr>
            <w:tcW w:w="992" w:type="dxa"/>
          </w:tcPr>
          <w:p w:rsidR="00DC1575" w:rsidRPr="001E42CA" w:rsidRDefault="00DC1575">
            <w:pPr>
              <w:pStyle w:val="Tabell"/>
              <w:spacing w:before="40" w:after="40"/>
              <w:jc w:val="center"/>
            </w:pPr>
            <w:r w:rsidRPr="001E42CA">
              <w:t>102</w:t>
            </w:r>
          </w:p>
        </w:tc>
        <w:tc>
          <w:tcPr>
            <w:tcW w:w="992" w:type="dxa"/>
          </w:tcPr>
          <w:p w:rsidR="00DC1575" w:rsidRPr="001E42CA" w:rsidRDefault="00DC1575">
            <w:pPr>
              <w:pStyle w:val="Tabell"/>
              <w:spacing w:before="40" w:after="40"/>
              <w:jc w:val="center"/>
            </w:pPr>
            <w:r w:rsidRPr="001E42CA">
              <w:t>98</w:t>
            </w:r>
          </w:p>
        </w:tc>
      </w:tr>
      <w:tr w:rsidR="00000000" w:rsidRPr="001E42CA">
        <w:tblPrEx>
          <w:tblCellMar>
            <w:top w:w="0" w:type="dxa"/>
            <w:bottom w:w="0" w:type="dxa"/>
          </w:tblCellMar>
        </w:tblPrEx>
        <w:tc>
          <w:tcPr>
            <w:tcW w:w="3898" w:type="dxa"/>
          </w:tcPr>
          <w:p w:rsidR="00DC1575" w:rsidRPr="001E42CA" w:rsidRDefault="00DC1575">
            <w:pPr>
              <w:pStyle w:val="Tabell"/>
              <w:spacing w:before="40" w:after="40"/>
              <w:jc w:val="left"/>
            </w:pPr>
            <w:r w:rsidRPr="001E42CA">
              <w:t>Lediga lägenheter (per 1000 lägenheter i allmännyttan)</w:t>
            </w:r>
          </w:p>
        </w:tc>
        <w:tc>
          <w:tcPr>
            <w:tcW w:w="992" w:type="dxa"/>
          </w:tcPr>
          <w:p w:rsidR="00DC1575" w:rsidRPr="001E42CA" w:rsidRDefault="00DC1575">
            <w:pPr>
              <w:pStyle w:val="Tabell"/>
              <w:spacing w:before="40" w:after="40"/>
              <w:jc w:val="center"/>
            </w:pPr>
            <w:r w:rsidRPr="001E42CA">
              <w:t>121</w:t>
            </w:r>
          </w:p>
        </w:tc>
        <w:tc>
          <w:tcPr>
            <w:tcW w:w="992" w:type="dxa"/>
          </w:tcPr>
          <w:p w:rsidR="00DC1575" w:rsidRPr="001E42CA" w:rsidRDefault="00DC1575">
            <w:pPr>
              <w:pStyle w:val="Tabell"/>
              <w:spacing w:before="40" w:after="40"/>
              <w:jc w:val="center"/>
            </w:pPr>
            <w:r w:rsidRPr="001E42CA">
              <w:t>83</w:t>
            </w:r>
          </w:p>
        </w:tc>
      </w:tr>
      <w:tr w:rsidR="00000000" w:rsidRPr="001E42CA">
        <w:tblPrEx>
          <w:tblCellMar>
            <w:top w:w="0" w:type="dxa"/>
            <w:bottom w:w="0" w:type="dxa"/>
          </w:tblCellMar>
        </w:tblPrEx>
        <w:tc>
          <w:tcPr>
            <w:tcW w:w="3898" w:type="dxa"/>
            <w:tcBorders>
              <w:bottom w:val="single" w:sz="4" w:space="0" w:color="auto"/>
            </w:tcBorders>
          </w:tcPr>
          <w:p w:rsidR="00DC1575" w:rsidRPr="001E42CA" w:rsidRDefault="00DC1575">
            <w:pPr>
              <w:pStyle w:val="Tabell"/>
              <w:spacing w:before="40" w:after="40"/>
              <w:jc w:val="left"/>
            </w:pPr>
            <w:r w:rsidRPr="001E42CA">
              <w:t>Antal årsarbetare (per 1000 innevånare)</w:t>
            </w:r>
          </w:p>
        </w:tc>
        <w:tc>
          <w:tcPr>
            <w:tcW w:w="992" w:type="dxa"/>
            <w:tcBorders>
              <w:bottom w:val="single" w:sz="4" w:space="0" w:color="auto"/>
            </w:tcBorders>
          </w:tcPr>
          <w:p w:rsidR="00DC1575" w:rsidRPr="001E42CA" w:rsidRDefault="00DC1575">
            <w:pPr>
              <w:pStyle w:val="Tabell"/>
              <w:spacing w:before="40" w:after="40"/>
              <w:jc w:val="center"/>
            </w:pPr>
            <w:r w:rsidRPr="001E42CA">
              <w:t>76</w:t>
            </w:r>
          </w:p>
        </w:tc>
        <w:tc>
          <w:tcPr>
            <w:tcW w:w="992" w:type="dxa"/>
            <w:tcBorders>
              <w:bottom w:val="single" w:sz="4" w:space="0" w:color="auto"/>
            </w:tcBorders>
          </w:tcPr>
          <w:p w:rsidR="00DC1575" w:rsidRPr="001E42CA" w:rsidRDefault="00DC1575">
            <w:pPr>
              <w:pStyle w:val="Tabell"/>
              <w:spacing w:before="40" w:after="40"/>
              <w:jc w:val="center"/>
            </w:pPr>
            <w:r w:rsidRPr="001E42CA">
              <w:t>68</w:t>
            </w:r>
          </w:p>
        </w:tc>
      </w:tr>
    </w:tbl>
    <w:p w:rsidR="00DC1575" w:rsidRPr="001E42CA" w:rsidRDefault="00DC1575">
      <w:pPr>
        <w:pStyle w:val="Rubrik2"/>
      </w:pPr>
      <w:bookmarkStart w:id="40" w:name="_Toc526302386"/>
      <w:r w:rsidRPr="001E42CA">
        <w:t>Sammanfattande slutsatser</w:t>
      </w:r>
      <w:bookmarkEnd w:id="40"/>
    </w:p>
    <w:p w:rsidR="00DC1575" w:rsidRPr="001E42CA" w:rsidRDefault="00DC1575">
      <w:pPr>
        <w:pStyle w:val="R3"/>
        <w:spacing w:before="123"/>
      </w:pPr>
      <w:r w:rsidRPr="001E42CA">
        <w:t>Allmänt</w:t>
      </w:r>
    </w:p>
    <w:p w:rsidR="00DC1575" w:rsidRPr="001E42CA" w:rsidRDefault="00DC1575">
      <w:r w:rsidRPr="001E42CA">
        <w:t xml:space="preserve">Kommuner som ansökt om stöd från regeringen och Bostadsdelegationen förefaller på en rad områden ha sämre förutsättningar än kommunsektorn som helhet. De har t.ex. lägre skatteunderlag, högre arbetslöshet, sämre befolkningsutveckling och sämre ekonomi. </w:t>
      </w:r>
    </w:p>
    <w:p w:rsidR="00DC1575" w:rsidRPr="001E42CA" w:rsidRDefault="00DC1575">
      <w:pPr>
        <w:pStyle w:val="Normaltindrag"/>
      </w:pPr>
      <w:r w:rsidRPr="001E42CA">
        <w:t>När det gäller verksamhetens omfattning är dock bilden något annorlunda. De nyckeltal som presenteras pekar på att de kommuner som ansökt om stöd har en mer omfattande verksamhet än kommunsektorn som helhet. Komm</w:t>
      </w:r>
      <w:r w:rsidRPr="001E42CA">
        <w:t>u</w:t>
      </w:r>
      <w:r w:rsidRPr="001E42CA">
        <w:t xml:space="preserve">nerna har t.ex. en högre utbudsnivå, högre kostnader än vad som motiveras av de strukturella förutsättningarna, högre nettokostnader och fler anställda. Dessa kommuner har också en relativt hög skattesats. </w:t>
      </w:r>
    </w:p>
    <w:p w:rsidR="00DC1575" w:rsidRPr="001E42CA" w:rsidRDefault="00DC1575">
      <w:pPr>
        <w:pStyle w:val="Normaltindrag"/>
      </w:pPr>
      <w:r w:rsidRPr="001E42CA">
        <w:t>På motsvarande sätt föreligger det skillnader mellan kommuner som fått bifall och kommuner som fått avslag. De kommuner som fått bifall har t.ex. lägre skatteunderlag, högre arbetslöshet, sämre befolkningsutveckling och sämre ekonomi än avslagskommunerna. I dessa avseenden har således bi-fallsko</w:t>
      </w:r>
      <w:r w:rsidRPr="001E42CA">
        <w:t>m</w:t>
      </w:r>
      <w:r w:rsidRPr="001E42CA">
        <w:t>munerna sämre förutsättningar än avslagskommunerna.</w:t>
      </w:r>
    </w:p>
    <w:p w:rsidR="00DC1575" w:rsidRPr="001E42CA" w:rsidRDefault="00DC1575">
      <w:pPr>
        <w:pStyle w:val="Normaltindrag"/>
      </w:pPr>
      <w:r w:rsidRPr="001E42CA">
        <w:t>Samtidigt har dock de kommuner som fått bifall en mer omfattande ver</w:t>
      </w:r>
      <w:r w:rsidRPr="001E42CA">
        <w:t>k</w:t>
      </w:r>
      <w:r w:rsidRPr="001E42CA">
        <w:t>samhet än avslagskommunerna. De har t.ex. högre nettokostnader, högre utbudsnivå, högre kostnader än vad som motiveras av de strukturella föru</w:t>
      </w:r>
      <w:r w:rsidRPr="001E42CA">
        <w:t>t</w:t>
      </w:r>
      <w:r w:rsidRPr="001E42CA">
        <w:t>sättningarna och fler anställda. Skattesatsen är också högre i bifallskomm</w:t>
      </w:r>
      <w:r w:rsidRPr="001E42CA">
        <w:t>u</w:t>
      </w:r>
      <w:r w:rsidRPr="001E42CA">
        <w:t>nerna än i avslagskommunerna. De kommuner som fått bifall har vidare en betydligt högre ersättning från kostnadsutjämningen. De kompenseras sål</w:t>
      </w:r>
      <w:r w:rsidRPr="001E42CA">
        <w:t>e</w:t>
      </w:r>
      <w:r w:rsidRPr="001E42CA">
        <w:t>des redan i hög grad för en ogynnsam kostnadsstruktur. Dessa kommuner har också högre ersättning från inkomstutjämningen. Det går dock inte att påvis</w:t>
      </w:r>
      <w:r w:rsidRPr="001E42CA">
        <w:t>a några påtagliga skillnader vad gäller besparingar eller utförsäljningar mellan bifalls- och avslagskommunerna.</w:t>
      </w:r>
    </w:p>
    <w:p w:rsidR="00DC1575" w:rsidRPr="001E42CA" w:rsidRDefault="00DC1575">
      <w:pPr>
        <w:pStyle w:val="Normaltindrag"/>
      </w:pPr>
      <w:r w:rsidRPr="001E42CA">
        <w:t>Sammanfattningsvis förefaller de kommuner som fått bifall att ha en sämre ekonomisk situation och en mer negativ befolkningsutveckling än avslag</w:t>
      </w:r>
      <w:r w:rsidRPr="001E42CA">
        <w:t>s</w:t>
      </w:r>
      <w:r w:rsidRPr="001E42CA">
        <w:t>kommunerna. De tycks dock i högre grad haft svårt att anpassa verksamheten till dessa förändrade förutsättnin</w:t>
      </w:r>
      <w:r w:rsidRPr="001E42CA">
        <w:t>g</w:t>
      </w:r>
      <w:r w:rsidRPr="001E42CA">
        <w:t xml:space="preserve">ar. </w:t>
      </w:r>
    </w:p>
    <w:p w:rsidR="00DC1575" w:rsidRPr="001E42CA" w:rsidRDefault="00DC1575">
      <w:pPr>
        <w:pStyle w:val="R3"/>
      </w:pPr>
      <w:r w:rsidRPr="001E42CA">
        <w:t>Några jämförelser mellan regeringen och Bostadsdelegationen</w:t>
      </w:r>
    </w:p>
    <w:p w:rsidR="00DC1575" w:rsidRPr="001E42CA" w:rsidRDefault="00DC1575">
      <w:r w:rsidRPr="001E42CA">
        <w:t>Det är svårt att påvisa några påtagliga skillnader mellan de kommuner som handlagts av regeringen och Bostadsdelegationen. I huvudsak är variabler som skatteunderlag, skattesats, arbetslöshet, befolkningsförändring och ek</w:t>
      </w:r>
      <w:r w:rsidRPr="001E42CA">
        <w:t>o</w:t>
      </w:r>
      <w:r w:rsidRPr="001E42CA">
        <w:t>nomisk ställning likartade (Tabell 4.17). När det gäller verksamhetens o</w:t>
      </w:r>
      <w:r w:rsidRPr="001E42CA">
        <w:t>m</w:t>
      </w:r>
      <w:r w:rsidRPr="001E42CA">
        <w:t>fattning förekommer emellertid vissa skillnader. Kommuner som fått bifall av regeringen har i regel en mer omfattande verksamhet än de kommuner som fått bifall av Bostadsdelegationen. De har högre nettokostnader, fler årsarbetare, högre kostnader än vad som motiveras av de strukturella föru</w:t>
      </w:r>
      <w:r w:rsidRPr="001E42CA">
        <w:t>t</w:t>
      </w:r>
      <w:r w:rsidRPr="001E42CA">
        <w:t>sättningarna och högre utbudsnivå. Dessa kommuner har dessutom betydligt högre bidrag från kostnadsutjämningen.</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Tabellrubrik"/>
      </w:pPr>
    </w:p>
    <w:p w:rsidR="00DC1575" w:rsidRPr="001E42CA" w:rsidRDefault="00DC1575">
      <w:pPr>
        <w:pStyle w:val="Tabellrubrik"/>
      </w:pPr>
      <w:r w:rsidRPr="001E42CA">
        <w:t>Tabell 4.17 Nyckeltal för regeringens verksamhet</w:t>
      </w:r>
    </w:p>
    <w:p w:rsidR="00DC1575" w:rsidRPr="001E42CA" w:rsidRDefault="00DC15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567"/>
        <w:gridCol w:w="851"/>
        <w:gridCol w:w="850"/>
        <w:gridCol w:w="851"/>
        <w:gridCol w:w="850"/>
        <w:gridCol w:w="851"/>
      </w:tblGrid>
      <w:tr w:rsidR="00000000" w:rsidRPr="001E42CA">
        <w:tblPrEx>
          <w:tblCellMar>
            <w:top w:w="0" w:type="dxa"/>
            <w:bottom w:w="0" w:type="dxa"/>
          </w:tblCellMar>
        </w:tblPrEx>
        <w:trPr>
          <w:cantSplit/>
        </w:trPr>
        <w:tc>
          <w:tcPr>
            <w:tcW w:w="2480" w:type="dxa"/>
            <w:tcBorders>
              <w:top w:val="single" w:sz="4" w:space="0" w:color="auto"/>
            </w:tcBorders>
          </w:tcPr>
          <w:p w:rsidR="00DC1575" w:rsidRPr="001E42CA" w:rsidRDefault="00DC1575">
            <w:pPr>
              <w:pStyle w:val="Tabell"/>
              <w:spacing w:before="40" w:after="40"/>
              <w:jc w:val="left"/>
            </w:pPr>
          </w:p>
        </w:tc>
        <w:tc>
          <w:tcPr>
            <w:tcW w:w="1418" w:type="dxa"/>
            <w:gridSpan w:val="2"/>
            <w:tcBorders>
              <w:top w:val="single" w:sz="4" w:space="0" w:color="auto"/>
              <w:bottom w:val="single" w:sz="4" w:space="0" w:color="auto"/>
            </w:tcBorders>
          </w:tcPr>
          <w:p w:rsidR="00DC1575" w:rsidRPr="001E42CA" w:rsidRDefault="00DC1575">
            <w:pPr>
              <w:pStyle w:val="Tabell"/>
              <w:spacing w:before="40" w:after="40"/>
            </w:pPr>
            <w:r w:rsidRPr="001E42CA">
              <w:t>Bostadsdelegati</w:t>
            </w:r>
            <w:r w:rsidRPr="001E42CA">
              <w:t>o</w:t>
            </w:r>
            <w:r w:rsidRPr="001E42CA">
              <w:t>nen</w:t>
            </w:r>
          </w:p>
        </w:tc>
        <w:tc>
          <w:tcPr>
            <w:tcW w:w="3402" w:type="dxa"/>
            <w:gridSpan w:val="4"/>
            <w:tcBorders>
              <w:top w:val="single" w:sz="4" w:space="0" w:color="auto"/>
              <w:left w:val="single" w:sz="4" w:space="0" w:color="auto"/>
              <w:bottom w:val="single" w:sz="4" w:space="0" w:color="auto"/>
            </w:tcBorders>
          </w:tcPr>
          <w:p w:rsidR="00DC1575" w:rsidRPr="001E42CA" w:rsidRDefault="00DC1575">
            <w:pPr>
              <w:pStyle w:val="Tabell"/>
              <w:spacing w:before="40" w:after="40"/>
              <w:jc w:val="center"/>
            </w:pPr>
            <w:r w:rsidRPr="001E42CA">
              <w:t>Regerin</w:t>
            </w:r>
            <w:r w:rsidRPr="001E42CA">
              <w:t>g</w:t>
            </w:r>
            <w:r w:rsidRPr="001E42CA">
              <w:t>en</w:t>
            </w:r>
          </w:p>
        </w:tc>
      </w:tr>
      <w:tr w:rsidR="00000000" w:rsidRPr="001E42CA">
        <w:tblPrEx>
          <w:tblCellMar>
            <w:top w:w="0" w:type="dxa"/>
            <w:bottom w:w="0" w:type="dxa"/>
          </w:tblCellMar>
        </w:tblPrEx>
        <w:tc>
          <w:tcPr>
            <w:tcW w:w="2480" w:type="dxa"/>
            <w:tcBorders>
              <w:bottom w:val="single" w:sz="4" w:space="0" w:color="auto"/>
            </w:tcBorders>
          </w:tcPr>
          <w:p w:rsidR="00DC1575" w:rsidRPr="001E42CA" w:rsidRDefault="00DC1575">
            <w:pPr>
              <w:pStyle w:val="Tabell"/>
              <w:spacing w:before="40" w:after="40"/>
              <w:jc w:val="left"/>
            </w:pPr>
          </w:p>
        </w:tc>
        <w:tc>
          <w:tcPr>
            <w:tcW w:w="567" w:type="dxa"/>
            <w:tcBorders>
              <w:bottom w:val="single" w:sz="4" w:space="0" w:color="auto"/>
            </w:tcBorders>
          </w:tcPr>
          <w:p w:rsidR="00DC1575" w:rsidRPr="001E42CA" w:rsidRDefault="00DC1575">
            <w:pPr>
              <w:pStyle w:val="Tabell"/>
              <w:spacing w:before="40" w:after="40"/>
            </w:pPr>
            <w:r w:rsidRPr="001E42CA">
              <w:t>Bifall</w:t>
            </w:r>
          </w:p>
        </w:tc>
        <w:tc>
          <w:tcPr>
            <w:tcW w:w="851" w:type="dxa"/>
            <w:tcBorders>
              <w:bottom w:val="single" w:sz="4" w:space="0" w:color="auto"/>
            </w:tcBorders>
          </w:tcPr>
          <w:p w:rsidR="00DC1575" w:rsidRPr="001E42CA" w:rsidRDefault="00DC1575">
            <w:pPr>
              <w:pStyle w:val="Tabell"/>
              <w:spacing w:before="40" w:after="40"/>
            </w:pPr>
            <w:r w:rsidRPr="001E42CA">
              <w:t>Avslag</w:t>
            </w:r>
          </w:p>
        </w:tc>
        <w:tc>
          <w:tcPr>
            <w:tcW w:w="850" w:type="dxa"/>
            <w:tcBorders>
              <w:left w:val="single" w:sz="4" w:space="0" w:color="auto"/>
              <w:bottom w:val="single" w:sz="4" w:space="0" w:color="auto"/>
            </w:tcBorders>
          </w:tcPr>
          <w:p w:rsidR="00DC1575" w:rsidRPr="001E42CA" w:rsidRDefault="00DC1575">
            <w:pPr>
              <w:pStyle w:val="Tabell"/>
              <w:spacing w:before="40" w:after="40"/>
            </w:pPr>
            <w:r w:rsidRPr="001E42CA">
              <w:t>Bifall (KD)</w:t>
            </w:r>
          </w:p>
        </w:tc>
        <w:tc>
          <w:tcPr>
            <w:tcW w:w="851" w:type="dxa"/>
            <w:tcBorders>
              <w:bottom w:val="single" w:sz="4" w:space="0" w:color="auto"/>
            </w:tcBorders>
          </w:tcPr>
          <w:p w:rsidR="00DC1575" w:rsidRPr="001E42CA" w:rsidRDefault="00DC1575">
            <w:pPr>
              <w:pStyle w:val="Tabell"/>
              <w:spacing w:before="40" w:after="40"/>
            </w:pPr>
            <w:r w:rsidRPr="001E42CA">
              <w:t>Avslag (KD)</w:t>
            </w:r>
          </w:p>
        </w:tc>
        <w:tc>
          <w:tcPr>
            <w:tcW w:w="850" w:type="dxa"/>
            <w:tcBorders>
              <w:bottom w:val="single" w:sz="4" w:space="0" w:color="auto"/>
            </w:tcBorders>
          </w:tcPr>
          <w:p w:rsidR="00DC1575" w:rsidRPr="001E42CA" w:rsidRDefault="00DC1575">
            <w:pPr>
              <w:pStyle w:val="Tabell"/>
              <w:spacing w:before="40" w:after="40"/>
              <w:jc w:val="left"/>
            </w:pPr>
            <w:r w:rsidRPr="001E42CA">
              <w:t>Bifall (KD och BD)</w:t>
            </w:r>
          </w:p>
        </w:tc>
        <w:tc>
          <w:tcPr>
            <w:tcW w:w="851" w:type="dxa"/>
            <w:tcBorders>
              <w:bottom w:val="single" w:sz="4" w:space="0" w:color="auto"/>
            </w:tcBorders>
          </w:tcPr>
          <w:p w:rsidR="00DC1575" w:rsidRPr="001E42CA" w:rsidRDefault="00DC1575">
            <w:pPr>
              <w:pStyle w:val="Tabell"/>
              <w:spacing w:before="40" w:after="40"/>
            </w:pPr>
            <w:r w:rsidRPr="001E42CA">
              <w:t>Avslag (ingen deleg</w:t>
            </w:r>
            <w:r w:rsidRPr="001E42CA">
              <w:t>a</w:t>
            </w:r>
            <w:r w:rsidRPr="001E42CA">
              <w:t>tion)</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Skatteunderlag (kronor)</w:t>
            </w:r>
          </w:p>
        </w:tc>
        <w:tc>
          <w:tcPr>
            <w:tcW w:w="567" w:type="dxa"/>
          </w:tcPr>
          <w:p w:rsidR="00DC1575" w:rsidRPr="001E42CA" w:rsidRDefault="00DC1575">
            <w:pPr>
              <w:pStyle w:val="Tabell"/>
              <w:spacing w:before="40" w:after="40"/>
              <w:jc w:val="center"/>
            </w:pPr>
            <w:r w:rsidRPr="001E42CA">
              <w:t>970</w:t>
            </w:r>
          </w:p>
        </w:tc>
        <w:tc>
          <w:tcPr>
            <w:tcW w:w="851" w:type="dxa"/>
          </w:tcPr>
          <w:p w:rsidR="00DC1575" w:rsidRPr="001E42CA" w:rsidRDefault="00DC1575">
            <w:pPr>
              <w:pStyle w:val="Tabell"/>
              <w:spacing w:before="40" w:after="40"/>
              <w:jc w:val="center"/>
            </w:pPr>
            <w:r w:rsidRPr="001E42CA">
              <w:t>983</w:t>
            </w:r>
          </w:p>
        </w:tc>
        <w:tc>
          <w:tcPr>
            <w:tcW w:w="850" w:type="dxa"/>
            <w:tcBorders>
              <w:left w:val="single" w:sz="4" w:space="0" w:color="auto"/>
            </w:tcBorders>
          </w:tcPr>
          <w:p w:rsidR="00DC1575" w:rsidRPr="001E42CA" w:rsidRDefault="00DC1575">
            <w:pPr>
              <w:pStyle w:val="Tabell"/>
              <w:spacing w:before="40" w:after="40"/>
              <w:jc w:val="center"/>
            </w:pPr>
            <w:r w:rsidRPr="001E42CA">
              <w:t>963</w:t>
            </w:r>
          </w:p>
        </w:tc>
        <w:tc>
          <w:tcPr>
            <w:tcW w:w="851" w:type="dxa"/>
          </w:tcPr>
          <w:p w:rsidR="00DC1575" w:rsidRPr="001E42CA" w:rsidRDefault="00DC1575">
            <w:pPr>
              <w:pStyle w:val="Tabell"/>
              <w:spacing w:before="40" w:after="40"/>
              <w:jc w:val="center"/>
            </w:pPr>
            <w:r w:rsidRPr="001E42CA">
              <w:t>1010</w:t>
            </w:r>
          </w:p>
        </w:tc>
        <w:tc>
          <w:tcPr>
            <w:tcW w:w="850" w:type="dxa"/>
          </w:tcPr>
          <w:p w:rsidR="00DC1575" w:rsidRPr="001E42CA" w:rsidRDefault="00DC1575">
            <w:pPr>
              <w:pStyle w:val="Tabell"/>
              <w:spacing w:before="40" w:after="40"/>
              <w:jc w:val="center"/>
            </w:pPr>
            <w:r w:rsidRPr="001E42CA">
              <w:t>987</w:t>
            </w:r>
          </w:p>
        </w:tc>
        <w:tc>
          <w:tcPr>
            <w:tcW w:w="851" w:type="dxa"/>
          </w:tcPr>
          <w:p w:rsidR="00DC1575" w:rsidRPr="001E42CA" w:rsidRDefault="00DC1575">
            <w:pPr>
              <w:pStyle w:val="Tabell"/>
              <w:spacing w:before="40" w:after="40"/>
              <w:jc w:val="center"/>
            </w:pPr>
            <w:r w:rsidRPr="001E42CA">
              <w:t>1109</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Skattesats (kronor)</w:t>
            </w:r>
          </w:p>
        </w:tc>
        <w:tc>
          <w:tcPr>
            <w:tcW w:w="567" w:type="dxa"/>
          </w:tcPr>
          <w:p w:rsidR="00DC1575" w:rsidRPr="001E42CA" w:rsidRDefault="00DC1575">
            <w:pPr>
              <w:pStyle w:val="Tabell"/>
              <w:spacing w:before="40" w:after="40"/>
              <w:jc w:val="center"/>
            </w:pPr>
            <w:r w:rsidRPr="001E42CA">
              <w:t>21,8</w:t>
            </w:r>
          </w:p>
        </w:tc>
        <w:tc>
          <w:tcPr>
            <w:tcW w:w="851" w:type="dxa"/>
          </w:tcPr>
          <w:p w:rsidR="00DC1575" w:rsidRPr="001E42CA" w:rsidRDefault="00DC1575">
            <w:pPr>
              <w:pStyle w:val="Tabell"/>
              <w:spacing w:before="40" w:after="40"/>
              <w:jc w:val="center"/>
            </w:pPr>
            <w:r w:rsidRPr="001E42CA">
              <w:t>21,0</w:t>
            </w:r>
          </w:p>
        </w:tc>
        <w:tc>
          <w:tcPr>
            <w:tcW w:w="850" w:type="dxa"/>
            <w:tcBorders>
              <w:left w:val="single" w:sz="4" w:space="0" w:color="auto"/>
            </w:tcBorders>
          </w:tcPr>
          <w:p w:rsidR="00DC1575" w:rsidRPr="001E42CA" w:rsidRDefault="00DC1575">
            <w:pPr>
              <w:pStyle w:val="Tabell"/>
              <w:spacing w:before="40" w:after="40"/>
              <w:jc w:val="center"/>
            </w:pPr>
            <w:r w:rsidRPr="001E42CA">
              <w:t>22,0</w:t>
            </w:r>
          </w:p>
        </w:tc>
        <w:tc>
          <w:tcPr>
            <w:tcW w:w="851" w:type="dxa"/>
          </w:tcPr>
          <w:p w:rsidR="00DC1575" w:rsidRPr="001E42CA" w:rsidRDefault="00DC1575">
            <w:pPr>
              <w:pStyle w:val="Tabell"/>
              <w:spacing w:before="40" w:after="40"/>
              <w:jc w:val="center"/>
            </w:pPr>
            <w:r w:rsidRPr="001E42CA">
              <w:t>21,4</w:t>
            </w:r>
          </w:p>
        </w:tc>
        <w:tc>
          <w:tcPr>
            <w:tcW w:w="850" w:type="dxa"/>
          </w:tcPr>
          <w:p w:rsidR="00DC1575" w:rsidRPr="001E42CA" w:rsidRDefault="00DC1575">
            <w:pPr>
              <w:pStyle w:val="Tabell"/>
              <w:spacing w:before="40" w:after="40"/>
              <w:jc w:val="center"/>
            </w:pPr>
            <w:r w:rsidRPr="001E42CA">
              <w:t>22,0</w:t>
            </w:r>
          </w:p>
        </w:tc>
        <w:tc>
          <w:tcPr>
            <w:tcW w:w="851" w:type="dxa"/>
          </w:tcPr>
          <w:p w:rsidR="00DC1575" w:rsidRPr="001E42CA" w:rsidRDefault="00DC1575">
            <w:pPr>
              <w:pStyle w:val="Tabell"/>
              <w:spacing w:before="40" w:after="40"/>
              <w:jc w:val="center"/>
            </w:pPr>
            <w:r w:rsidRPr="001E42CA">
              <w:t>20,4</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Antal årsarbetare (per 1000 inn</w:t>
            </w:r>
            <w:r w:rsidRPr="001E42CA">
              <w:t>e</w:t>
            </w:r>
            <w:r w:rsidRPr="001E42CA">
              <w:t>vånare)</w:t>
            </w:r>
          </w:p>
        </w:tc>
        <w:tc>
          <w:tcPr>
            <w:tcW w:w="567" w:type="dxa"/>
          </w:tcPr>
          <w:p w:rsidR="00DC1575" w:rsidRPr="001E42CA" w:rsidRDefault="00DC1575">
            <w:pPr>
              <w:pStyle w:val="Tabell"/>
              <w:spacing w:before="40" w:after="40"/>
              <w:jc w:val="center"/>
            </w:pPr>
            <w:r w:rsidRPr="001E42CA">
              <w:t>74</w:t>
            </w:r>
          </w:p>
        </w:tc>
        <w:tc>
          <w:tcPr>
            <w:tcW w:w="851" w:type="dxa"/>
          </w:tcPr>
          <w:p w:rsidR="00DC1575" w:rsidRPr="001E42CA" w:rsidRDefault="00DC1575">
            <w:pPr>
              <w:pStyle w:val="Tabell"/>
              <w:spacing w:before="40" w:after="40"/>
              <w:jc w:val="center"/>
            </w:pPr>
            <w:r w:rsidRPr="001E42CA">
              <w:t>71</w:t>
            </w:r>
          </w:p>
        </w:tc>
        <w:tc>
          <w:tcPr>
            <w:tcW w:w="850" w:type="dxa"/>
            <w:tcBorders>
              <w:left w:val="single" w:sz="4" w:space="0" w:color="auto"/>
            </w:tcBorders>
          </w:tcPr>
          <w:p w:rsidR="00DC1575" w:rsidRPr="001E42CA" w:rsidRDefault="00DC1575">
            <w:pPr>
              <w:pStyle w:val="Tabell"/>
              <w:spacing w:before="40" w:after="40"/>
              <w:jc w:val="center"/>
            </w:pPr>
            <w:r w:rsidRPr="001E42CA">
              <w:t>77</w:t>
            </w:r>
          </w:p>
        </w:tc>
        <w:tc>
          <w:tcPr>
            <w:tcW w:w="851" w:type="dxa"/>
          </w:tcPr>
          <w:p w:rsidR="00DC1575" w:rsidRPr="001E42CA" w:rsidRDefault="00DC1575">
            <w:pPr>
              <w:pStyle w:val="Tabell"/>
              <w:spacing w:before="40" w:after="40"/>
              <w:jc w:val="center"/>
            </w:pPr>
            <w:r w:rsidRPr="001E42CA">
              <w:t>73</w:t>
            </w:r>
          </w:p>
        </w:tc>
        <w:tc>
          <w:tcPr>
            <w:tcW w:w="850" w:type="dxa"/>
          </w:tcPr>
          <w:p w:rsidR="00DC1575" w:rsidRPr="001E42CA" w:rsidRDefault="00DC1575">
            <w:pPr>
              <w:pStyle w:val="Tabell"/>
              <w:spacing w:before="40" w:after="40"/>
              <w:jc w:val="center"/>
            </w:pPr>
            <w:r w:rsidRPr="001E42CA">
              <w:t>80</w:t>
            </w:r>
          </w:p>
        </w:tc>
        <w:tc>
          <w:tcPr>
            <w:tcW w:w="851" w:type="dxa"/>
          </w:tcPr>
          <w:p w:rsidR="00DC1575" w:rsidRPr="001E42CA" w:rsidRDefault="00DC1575">
            <w:pPr>
              <w:pStyle w:val="Tabell"/>
              <w:spacing w:before="40" w:after="40"/>
              <w:jc w:val="center"/>
            </w:pPr>
            <w:r w:rsidRPr="001E42CA">
              <w:t>66</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Arbetslöshet (%)</w:t>
            </w:r>
          </w:p>
        </w:tc>
        <w:tc>
          <w:tcPr>
            <w:tcW w:w="567" w:type="dxa"/>
          </w:tcPr>
          <w:p w:rsidR="00DC1575" w:rsidRPr="001E42CA" w:rsidRDefault="00DC1575">
            <w:pPr>
              <w:pStyle w:val="Tabell"/>
              <w:spacing w:before="40" w:after="40"/>
              <w:jc w:val="center"/>
            </w:pPr>
            <w:r w:rsidRPr="001E42CA">
              <w:t>9,8</w:t>
            </w:r>
          </w:p>
        </w:tc>
        <w:tc>
          <w:tcPr>
            <w:tcW w:w="851" w:type="dxa"/>
          </w:tcPr>
          <w:p w:rsidR="00DC1575" w:rsidRPr="001E42CA" w:rsidRDefault="00DC1575">
            <w:pPr>
              <w:pStyle w:val="Tabell"/>
              <w:spacing w:before="40" w:after="40"/>
              <w:jc w:val="center"/>
            </w:pPr>
            <w:r w:rsidRPr="001E42CA">
              <w:t>7,6</w:t>
            </w:r>
          </w:p>
        </w:tc>
        <w:tc>
          <w:tcPr>
            <w:tcW w:w="850" w:type="dxa"/>
            <w:tcBorders>
              <w:left w:val="single" w:sz="4" w:space="0" w:color="auto"/>
            </w:tcBorders>
          </w:tcPr>
          <w:p w:rsidR="00DC1575" w:rsidRPr="001E42CA" w:rsidRDefault="00DC1575">
            <w:pPr>
              <w:pStyle w:val="Tabell"/>
              <w:spacing w:before="40" w:after="40"/>
              <w:jc w:val="center"/>
            </w:pPr>
            <w:r w:rsidRPr="001E42CA">
              <w:t>10,1</w:t>
            </w:r>
          </w:p>
        </w:tc>
        <w:tc>
          <w:tcPr>
            <w:tcW w:w="851" w:type="dxa"/>
          </w:tcPr>
          <w:p w:rsidR="00DC1575" w:rsidRPr="001E42CA" w:rsidRDefault="00DC1575">
            <w:pPr>
              <w:pStyle w:val="Tabell"/>
              <w:spacing w:before="40" w:after="40"/>
              <w:jc w:val="center"/>
            </w:pPr>
            <w:r w:rsidRPr="001E42CA">
              <w:t>8,2</w:t>
            </w:r>
          </w:p>
        </w:tc>
        <w:tc>
          <w:tcPr>
            <w:tcW w:w="850" w:type="dxa"/>
          </w:tcPr>
          <w:p w:rsidR="00DC1575" w:rsidRPr="001E42CA" w:rsidRDefault="00DC1575">
            <w:pPr>
              <w:pStyle w:val="Tabell"/>
              <w:spacing w:before="40" w:after="40"/>
              <w:jc w:val="center"/>
            </w:pPr>
            <w:r w:rsidRPr="001E42CA">
              <w:t>9,8</w:t>
            </w:r>
          </w:p>
        </w:tc>
        <w:tc>
          <w:tcPr>
            <w:tcW w:w="851" w:type="dxa"/>
          </w:tcPr>
          <w:p w:rsidR="00DC1575" w:rsidRPr="001E42CA" w:rsidRDefault="00DC1575">
            <w:pPr>
              <w:pStyle w:val="Tabell"/>
              <w:spacing w:before="40" w:after="40"/>
              <w:jc w:val="center"/>
            </w:pPr>
            <w:r w:rsidRPr="001E42CA">
              <w:t>7,7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Befolkningsförändring (%)</w:t>
            </w:r>
          </w:p>
        </w:tc>
        <w:tc>
          <w:tcPr>
            <w:tcW w:w="567" w:type="dxa"/>
          </w:tcPr>
          <w:p w:rsidR="00DC1575" w:rsidRPr="001E42CA" w:rsidRDefault="00DC1575">
            <w:pPr>
              <w:pStyle w:val="Tabell"/>
              <w:spacing w:before="40" w:after="40"/>
              <w:jc w:val="center"/>
            </w:pPr>
            <w:r w:rsidRPr="001E42CA">
              <w:t>-4,4</w:t>
            </w:r>
          </w:p>
        </w:tc>
        <w:tc>
          <w:tcPr>
            <w:tcW w:w="851" w:type="dxa"/>
          </w:tcPr>
          <w:p w:rsidR="00DC1575" w:rsidRPr="001E42CA" w:rsidRDefault="00DC1575">
            <w:pPr>
              <w:pStyle w:val="Tabell"/>
              <w:spacing w:before="40" w:after="40"/>
              <w:jc w:val="center"/>
            </w:pPr>
            <w:r w:rsidRPr="001E42CA">
              <w:t>-2,6</w:t>
            </w:r>
          </w:p>
        </w:tc>
        <w:tc>
          <w:tcPr>
            <w:tcW w:w="850" w:type="dxa"/>
            <w:tcBorders>
              <w:left w:val="single" w:sz="4" w:space="0" w:color="auto"/>
            </w:tcBorders>
          </w:tcPr>
          <w:p w:rsidR="00DC1575" w:rsidRPr="001E42CA" w:rsidRDefault="00DC1575">
            <w:pPr>
              <w:pStyle w:val="Tabell"/>
              <w:spacing w:before="40" w:after="40"/>
              <w:jc w:val="center"/>
            </w:pPr>
            <w:r w:rsidRPr="001E42CA">
              <w:t>-5,0</w:t>
            </w:r>
          </w:p>
        </w:tc>
        <w:tc>
          <w:tcPr>
            <w:tcW w:w="851" w:type="dxa"/>
          </w:tcPr>
          <w:p w:rsidR="00DC1575" w:rsidRPr="001E42CA" w:rsidRDefault="00DC1575">
            <w:pPr>
              <w:pStyle w:val="Tabell"/>
              <w:spacing w:before="40" w:after="40"/>
              <w:jc w:val="center"/>
            </w:pPr>
            <w:r w:rsidRPr="001E42CA">
              <w:t>-2,8</w:t>
            </w:r>
          </w:p>
        </w:tc>
        <w:tc>
          <w:tcPr>
            <w:tcW w:w="850" w:type="dxa"/>
          </w:tcPr>
          <w:p w:rsidR="00DC1575" w:rsidRPr="001E42CA" w:rsidRDefault="00DC1575">
            <w:pPr>
              <w:pStyle w:val="Tabell"/>
              <w:spacing w:before="40" w:after="40"/>
              <w:jc w:val="center"/>
            </w:pPr>
            <w:r w:rsidRPr="001E42CA">
              <w:t>-4,8</w:t>
            </w:r>
          </w:p>
        </w:tc>
        <w:tc>
          <w:tcPr>
            <w:tcW w:w="851" w:type="dxa"/>
          </w:tcPr>
          <w:p w:rsidR="00DC1575" w:rsidRPr="001E42CA" w:rsidRDefault="00DC1575">
            <w:pPr>
              <w:pStyle w:val="Tabell"/>
              <w:spacing w:before="40" w:after="40"/>
              <w:jc w:val="center"/>
            </w:pPr>
            <w:r w:rsidRPr="001E42CA">
              <w:t>-2,7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Verksamhetens nettokostnader (% av skatter och statsb</w:t>
            </w:r>
            <w:r w:rsidRPr="001E42CA">
              <w:t>i</w:t>
            </w:r>
            <w:r w:rsidRPr="001E42CA">
              <w:t>drag)</w:t>
            </w:r>
          </w:p>
        </w:tc>
        <w:tc>
          <w:tcPr>
            <w:tcW w:w="567" w:type="dxa"/>
          </w:tcPr>
          <w:p w:rsidR="00DC1575" w:rsidRPr="001E42CA" w:rsidRDefault="00DC1575">
            <w:pPr>
              <w:pStyle w:val="Tabell"/>
              <w:spacing w:before="40" w:after="40"/>
              <w:jc w:val="center"/>
            </w:pPr>
            <w:r w:rsidRPr="001E42CA">
              <w:t>102,0</w:t>
            </w:r>
          </w:p>
        </w:tc>
        <w:tc>
          <w:tcPr>
            <w:tcW w:w="851" w:type="dxa"/>
          </w:tcPr>
          <w:p w:rsidR="00DC1575" w:rsidRPr="001E42CA" w:rsidRDefault="00DC1575">
            <w:pPr>
              <w:pStyle w:val="Tabell"/>
              <w:spacing w:before="40" w:after="40"/>
              <w:jc w:val="center"/>
            </w:pPr>
            <w:r w:rsidRPr="001E42CA">
              <w:t>101,8</w:t>
            </w:r>
          </w:p>
        </w:tc>
        <w:tc>
          <w:tcPr>
            <w:tcW w:w="850" w:type="dxa"/>
            <w:tcBorders>
              <w:left w:val="single" w:sz="4" w:space="0" w:color="auto"/>
            </w:tcBorders>
          </w:tcPr>
          <w:p w:rsidR="00DC1575" w:rsidRPr="001E42CA" w:rsidRDefault="00DC1575">
            <w:pPr>
              <w:pStyle w:val="Tabell"/>
              <w:spacing w:before="40" w:after="40"/>
              <w:jc w:val="center"/>
            </w:pPr>
            <w:r w:rsidRPr="001E42CA">
              <w:t>103,3</w:t>
            </w:r>
          </w:p>
        </w:tc>
        <w:tc>
          <w:tcPr>
            <w:tcW w:w="851" w:type="dxa"/>
          </w:tcPr>
          <w:p w:rsidR="00DC1575" w:rsidRPr="001E42CA" w:rsidRDefault="00DC1575">
            <w:pPr>
              <w:pStyle w:val="Tabell"/>
              <w:spacing w:before="40" w:after="40"/>
              <w:jc w:val="center"/>
            </w:pPr>
            <w:r w:rsidRPr="001E42CA">
              <w:t>100,6</w:t>
            </w:r>
          </w:p>
        </w:tc>
        <w:tc>
          <w:tcPr>
            <w:tcW w:w="850" w:type="dxa"/>
          </w:tcPr>
          <w:p w:rsidR="00DC1575" w:rsidRPr="001E42CA" w:rsidRDefault="00DC1575">
            <w:pPr>
              <w:pStyle w:val="Tabell"/>
              <w:spacing w:before="40" w:after="40"/>
              <w:jc w:val="center"/>
            </w:pPr>
            <w:r w:rsidRPr="001E42CA">
              <w:t>103,8</w:t>
            </w:r>
          </w:p>
        </w:tc>
        <w:tc>
          <w:tcPr>
            <w:tcW w:w="851" w:type="dxa"/>
          </w:tcPr>
          <w:p w:rsidR="00DC1575" w:rsidRPr="001E42CA" w:rsidRDefault="00DC1575">
            <w:pPr>
              <w:pStyle w:val="Tabell"/>
              <w:spacing w:before="40" w:after="40"/>
              <w:jc w:val="center"/>
            </w:pPr>
            <w:r w:rsidRPr="001E42CA">
              <w:t>104,1</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Resultat (% av skatter och stat</w:t>
            </w:r>
            <w:r w:rsidRPr="001E42CA">
              <w:t>s</w:t>
            </w:r>
            <w:r w:rsidRPr="001E42CA">
              <w:t>bidrag)</w:t>
            </w:r>
          </w:p>
        </w:tc>
        <w:tc>
          <w:tcPr>
            <w:tcW w:w="567" w:type="dxa"/>
          </w:tcPr>
          <w:p w:rsidR="00DC1575" w:rsidRPr="001E42CA" w:rsidRDefault="00DC1575">
            <w:pPr>
              <w:pStyle w:val="Tabell"/>
              <w:spacing w:before="40" w:after="40"/>
              <w:jc w:val="center"/>
            </w:pPr>
            <w:r w:rsidRPr="001E42CA">
              <w:t>-3,4</w:t>
            </w:r>
          </w:p>
        </w:tc>
        <w:tc>
          <w:tcPr>
            <w:tcW w:w="851" w:type="dxa"/>
          </w:tcPr>
          <w:p w:rsidR="00DC1575" w:rsidRPr="001E42CA" w:rsidRDefault="00DC1575">
            <w:pPr>
              <w:pStyle w:val="Tabell"/>
              <w:spacing w:before="40" w:after="40"/>
              <w:jc w:val="center"/>
            </w:pPr>
            <w:r w:rsidRPr="001E42CA">
              <w:t>-2,5</w:t>
            </w:r>
          </w:p>
        </w:tc>
        <w:tc>
          <w:tcPr>
            <w:tcW w:w="850" w:type="dxa"/>
            <w:tcBorders>
              <w:left w:val="single" w:sz="4" w:space="0" w:color="auto"/>
            </w:tcBorders>
          </w:tcPr>
          <w:p w:rsidR="00DC1575" w:rsidRPr="001E42CA" w:rsidRDefault="00DC1575">
            <w:pPr>
              <w:pStyle w:val="Tabell"/>
              <w:spacing w:before="40" w:after="40"/>
              <w:jc w:val="center"/>
            </w:pPr>
            <w:r w:rsidRPr="001E42CA">
              <w:t>-4,2</w:t>
            </w:r>
          </w:p>
        </w:tc>
        <w:tc>
          <w:tcPr>
            <w:tcW w:w="851" w:type="dxa"/>
          </w:tcPr>
          <w:p w:rsidR="00DC1575" w:rsidRPr="001E42CA" w:rsidRDefault="00DC1575">
            <w:pPr>
              <w:pStyle w:val="Tabell"/>
              <w:spacing w:before="40" w:after="40"/>
              <w:jc w:val="center"/>
            </w:pPr>
            <w:r w:rsidRPr="001E42CA">
              <w:t>-1,6</w:t>
            </w:r>
          </w:p>
        </w:tc>
        <w:tc>
          <w:tcPr>
            <w:tcW w:w="850" w:type="dxa"/>
          </w:tcPr>
          <w:p w:rsidR="00DC1575" w:rsidRPr="001E42CA" w:rsidRDefault="00DC1575">
            <w:pPr>
              <w:pStyle w:val="Tabell"/>
              <w:spacing w:before="40" w:after="40"/>
              <w:jc w:val="center"/>
            </w:pPr>
            <w:r w:rsidRPr="001E42CA">
              <w:t>-4,7</w:t>
            </w:r>
          </w:p>
        </w:tc>
        <w:tc>
          <w:tcPr>
            <w:tcW w:w="851" w:type="dxa"/>
          </w:tcPr>
          <w:p w:rsidR="00DC1575" w:rsidRPr="001E42CA" w:rsidRDefault="00DC1575">
            <w:pPr>
              <w:pStyle w:val="Tabell"/>
              <w:spacing w:before="40" w:after="40"/>
              <w:jc w:val="center"/>
            </w:pPr>
            <w:r w:rsidRPr="001E42CA">
              <w:t>-4,4</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Soliditet (% eget kapital)</w:t>
            </w:r>
          </w:p>
        </w:tc>
        <w:tc>
          <w:tcPr>
            <w:tcW w:w="567" w:type="dxa"/>
          </w:tcPr>
          <w:p w:rsidR="00DC1575" w:rsidRPr="001E42CA" w:rsidRDefault="00DC1575">
            <w:pPr>
              <w:pStyle w:val="Tabell"/>
              <w:spacing w:before="40" w:after="40"/>
              <w:jc w:val="center"/>
            </w:pPr>
            <w:r w:rsidRPr="001E42CA">
              <w:t>-6,4</w:t>
            </w:r>
          </w:p>
        </w:tc>
        <w:tc>
          <w:tcPr>
            <w:tcW w:w="851" w:type="dxa"/>
          </w:tcPr>
          <w:p w:rsidR="00DC1575" w:rsidRPr="001E42CA" w:rsidRDefault="00DC1575">
            <w:pPr>
              <w:pStyle w:val="Tabell"/>
              <w:spacing w:before="40" w:after="40"/>
              <w:jc w:val="center"/>
            </w:pPr>
            <w:r w:rsidRPr="001E42CA">
              <w:t>5,0</w:t>
            </w:r>
          </w:p>
        </w:tc>
        <w:tc>
          <w:tcPr>
            <w:tcW w:w="850" w:type="dxa"/>
            <w:tcBorders>
              <w:left w:val="single" w:sz="4" w:space="0" w:color="auto"/>
            </w:tcBorders>
          </w:tcPr>
          <w:p w:rsidR="00DC1575" w:rsidRPr="001E42CA" w:rsidRDefault="00DC1575">
            <w:pPr>
              <w:pStyle w:val="Tabell"/>
              <w:spacing w:before="40" w:after="40"/>
              <w:jc w:val="center"/>
            </w:pPr>
            <w:r w:rsidRPr="001E42CA">
              <w:t>-8,8</w:t>
            </w:r>
          </w:p>
        </w:tc>
        <w:tc>
          <w:tcPr>
            <w:tcW w:w="851" w:type="dxa"/>
          </w:tcPr>
          <w:p w:rsidR="00DC1575" w:rsidRPr="001E42CA" w:rsidRDefault="00DC1575">
            <w:pPr>
              <w:pStyle w:val="Tabell"/>
              <w:spacing w:before="40" w:after="40"/>
              <w:jc w:val="center"/>
            </w:pPr>
            <w:r w:rsidRPr="001E42CA">
              <w:t>8,0</w:t>
            </w:r>
          </w:p>
        </w:tc>
        <w:tc>
          <w:tcPr>
            <w:tcW w:w="850" w:type="dxa"/>
          </w:tcPr>
          <w:p w:rsidR="00DC1575" w:rsidRPr="001E42CA" w:rsidRDefault="00DC1575">
            <w:pPr>
              <w:pStyle w:val="Tabell"/>
              <w:spacing w:before="40" w:after="40"/>
              <w:jc w:val="center"/>
            </w:pPr>
            <w:r w:rsidRPr="001E42CA">
              <w:t>8,9</w:t>
            </w:r>
          </w:p>
        </w:tc>
        <w:tc>
          <w:tcPr>
            <w:tcW w:w="851" w:type="dxa"/>
          </w:tcPr>
          <w:p w:rsidR="00DC1575" w:rsidRPr="001E42CA" w:rsidRDefault="00DC1575">
            <w:pPr>
              <w:pStyle w:val="Tabell"/>
              <w:spacing w:before="40" w:after="40"/>
              <w:jc w:val="center"/>
            </w:pPr>
            <w:r w:rsidRPr="001E42CA">
              <w:t>4,4</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Försäljning av anläggningstil</w:t>
            </w:r>
            <w:r w:rsidRPr="001E42CA">
              <w:t>l</w:t>
            </w:r>
            <w:r w:rsidRPr="001E42CA">
              <w:t>gångar (% av skatter och statsb</w:t>
            </w:r>
            <w:r w:rsidRPr="001E42CA">
              <w:t>i</w:t>
            </w:r>
            <w:r w:rsidRPr="001E42CA">
              <w:t>drag)</w:t>
            </w:r>
          </w:p>
        </w:tc>
        <w:tc>
          <w:tcPr>
            <w:tcW w:w="567" w:type="dxa"/>
          </w:tcPr>
          <w:p w:rsidR="00DC1575" w:rsidRPr="001E42CA" w:rsidRDefault="00DC1575">
            <w:pPr>
              <w:pStyle w:val="Tabell"/>
              <w:spacing w:before="40" w:after="40"/>
              <w:jc w:val="center"/>
            </w:pPr>
            <w:r w:rsidRPr="001E42CA">
              <w:t>0,2</w:t>
            </w:r>
          </w:p>
        </w:tc>
        <w:tc>
          <w:tcPr>
            <w:tcW w:w="851" w:type="dxa"/>
          </w:tcPr>
          <w:p w:rsidR="00DC1575" w:rsidRPr="001E42CA" w:rsidRDefault="00DC1575">
            <w:pPr>
              <w:pStyle w:val="Tabell"/>
              <w:spacing w:before="40" w:after="40"/>
              <w:jc w:val="center"/>
            </w:pPr>
            <w:r w:rsidRPr="001E42CA">
              <w:t>0,2</w:t>
            </w:r>
          </w:p>
        </w:tc>
        <w:tc>
          <w:tcPr>
            <w:tcW w:w="850" w:type="dxa"/>
            <w:tcBorders>
              <w:left w:val="single" w:sz="4" w:space="0" w:color="auto"/>
            </w:tcBorders>
          </w:tcPr>
          <w:p w:rsidR="00DC1575" w:rsidRPr="001E42CA" w:rsidRDefault="00DC1575">
            <w:pPr>
              <w:pStyle w:val="Tabell"/>
              <w:spacing w:before="40" w:after="40"/>
              <w:jc w:val="center"/>
            </w:pPr>
            <w:r w:rsidRPr="001E42CA">
              <w:t>0,1</w:t>
            </w:r>
          </w:p>
        </w:tc>
        <w:tc>
          <w:tcPr>
            <w:tcW w:w="851" w:type="dxa"/>
          </w:tcPr>
          <w:p w:rsidR="00DC1575" w:rsidRPr="001E42CA" w:rsidRDefault="00DC1575">
            <w:pPr>
              <w:pStyle w:val="Tabell"/>
              <w:spacing w:before="40" w:after="40"/>
              <w:jc w:val="center"/>
            </w:pPr>
            <w:r w:rsidRPr="001E42CA">
              <w:t>2,2</w:t>
            </w:r>
          </w:p>
        </w:tc>
        <w:tc>
          <w:tcPr>
            <w:tcW w:w="850" w:type="dxa"/>
          </w:tcPr>
          <w:p w:rsidR="00DC1575" w:rsidRPr="001E42CA" w:rsidRDefault="00DC1575">
            <w:pPr>
              <w:pStyle w:val="Tabell"/>
              <w:spacing w:before="40" w:after="40"/>
              <w:jc w:val="center"/>
            </w:pPr>
            <w:r w:rsidRPr="001E42CA">
              <w:t>7,2</w:t>
            </w:r>
          </w:p>
        </w:tc>
        <w:tc>
          <w:tcPr>
            <w:tcW w:w="851" w:type="dxa"/>
          </w:tcPr>
          <w:p w:rsidR="00DC1575" w:rsidRPr="001E42CA" w:rsidRDefault="00DC1575">
            <w:pPr>
              <w:pStyle w:val="Tabell"/>
              <w:spacing w:before="40" w:after="40"/>
              <w:jc w:val="center"/>
            </w:pPr>
            <w:r w:rsidRPr="001E42CA">
              <w:t>5,6</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Bidrag från kostnadsutjämning (kronor)</w:t>
            </w:r>
          </w:p>
        </w:tc>
        <w:tc>
          <w:tcPr>
            <w:tcW w:w="567" w:type="dxa"/>
          </w:tcPr>
          <w:p w:rsidR="00DC1575" w:rsidRPr="001E42CA" w:rsidRDefault="00DC1575">
            <w:pPr>
              <w:pStyle w:val="Tabell"/>
              <w:spacing w:before="40" w:after="40"/>
              <w:jc w:val="center"/>
            </w:pPr>
            <w:r w:rsidRPr="001E42CA">
              <w:t>247</w:t>
            </w:r>
          </w:p>
        </w:tc>
        <w:tc>
          <w:tcPr>
            <w:tcW w:w="851" w:type="dxa"/>
          </w:tcPr>
          <w:p w:rsidR="00DC1575" w:rsidRPr="001E42CA" w:rsidRDefault="00DC1575">
            <w:pPr>
              <w:pStyle w:val="Tabell"/>
              <w:spacing w:before="40" w:after="40"/>
              <w:jc w:val="center"/>
            </w:pPr>
            <w:r w:rsidRPr="001E42CA">
              <w:t>-93</w:t>
            </w:r>
          </w:p>
        </w:tc>
        <w:tc>
          <w:tcPr>
            <w:tcW w:w="850" w:type="dxa"/>
            <w:tcBorders>
              <w:left w:val="single" w:sz="4" w:space="0" w:color="auto"/>
            </w:tcBorders>
          </w:tcPr>
          <w:p w:rsidR="00DC1575" w:rsidRPr="001E42CA" w:rsidRDefault="00DC1575">
            <w:pPr>
              <w:pStyle w:val="Tabell"/>
              <w:spacing w:before="40" w:after="40"/>
              <w:jc w:val="center"/>
            </w:pPr>
            <w:r w:rsidRPr="001E42CA">
              <w:t>901</w:t>
            </w:r>
          </w:p>
        </w:tc>
        <w:tc>
          <w:tcPr>
            <w:tcW w:w="851" w:type="dxa"/>
          </w:tcPr>
          <w:p w:rsidR="00DC1575" w:rsidRPr="001E42CA" w:rsidRDefault="00DC1575">
            <w:pPr>
              <w:pStyle w:val="Tabell"/>
              <w:spacing w:before="40" w:after="40"/>
              <w:jc w:val="center"/>
            </w:pPr>
            <w:r w:rsidRPr="001E42CA">
              <w:t>-266</w:t>
            </w:r>
          </w:p>
        </w:tc>
        <w:tc>
          <w:tcPr>
            <w:tcW w:w="850" w:type="dxa"/>
          </w:tcPr>
          <w:p w:rsidR="00DC1575" w:rsidRPr="001E42CA" w:rsidRDefault="00DC1575">
            <w:pPr>
              <w:pStyle w:val="Tabell"/>
              <w:spacing w:before="40" w:after="40"/>
              <w:jc w:val="center"/>
            </w:pPr>
            <w:r w:rsidRPr="001E42CA">
              <w:t>1144</w:t>
            </w:r>
          </w:p>
        </w:tc>
        <w:tc>
          <w:tcPr>
            <w:tcW w:w="851" w:type="dxa"/>
          </w:tcPr>
          <w:p w:rsidR="00DC1575" w:rsidRPr="001E42CA" w:rsidRDefault="00DC1575">
            <w:pPr>
              <w:pStyle w:val="Tabell"/>
              <w:spacing w:before="40" w:after="40"/>
              <w:jc w:val="center"/>
            </w:pPr>
            <w:r w:rsidRPr="001E42CA">
              <w:t>-120</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Bidrag från inkomstutjämning (kronor)</w:t>
            </w:r>
          </w:p>
        </w:tc>
        <w:tc>
          <w:tcPr>
            <w:tcW w:w="567" w:type="dxa"/>
          </w:tcPr>
          <w:p w:rsidR="00DC1575" w:rsidRPr="001E42CA" w:rsidRDefault="00DC1575">
            <w:pPr>
              <w:pStyle w:val="Tabell"/>
              <w:spacing w:before="40" w:after="40"/>
              <w:jc w:val="center"/>
            </w:pPr>
            <w:r w:rsidRPr="001E42CA">
              <w:t>1442</w:t>
            </w:r>
          </w:p>
        </w:tc>
        <w:tc>
          <w:tcPr>
            <w:tcW w:w="851" w:type="dxa"/>
          </w:tcPr>
          <w:p w:rsidR="00DC1575" w:rsidRPr="001E42CA" w:rsidRDefault="00DC1575">
            <w:pPr>
              <w:pStyle w:val="Tabell"/>
              <w:spacing w:before="40" w:after="40"/>
              <w:jc w:val="center"/>
            </w:pPr>
            <w:r w:rsidRPr="001E42CA">
              <w:t>1249</w:t>
            </w:r>
          </w:p>
        </w:tc>
        <w:tc>
          <w:tcPr>
            <w:tcW w:w="850" w:type="dxa"/>
            <w:tcBorders>
              <w:left w:val="single" w:sz="4" w:space="0" w:color="auto"/>
            </w:tcBorders>
          </w:tcPr>
          <w:p w:rsidR="00DC1575" w:rsidRPr="001E42CA" w:rsidRDefault="00DC1575">
            <w:pPr>
              <w:pStyle w:val="Tabell"/>
              <w:spacing w:before="40" w:after="40"/>
              <w:jc w:val="center"/>
            </w:pPr>
            <w:r w:rsidRPr="001E42CA">
              <w:t>1607</w:t>
            </w:r>
          </w:p>
        </w:tc>
        <w:tc>
          <w:tcPr>
            <w:tcW w:w="851" w:type="dxa"/>
          </w:tcPr>
          <w:p w:rsidR="00DC1575" w:rsidRPr="001E42CA" w:rsidRDefault="00DC1575">
            <w:pPr>
              <w:pStyle w:val="Tabell"/>
              <w:spacing w:before="40" w:after="40"/>
              <w:jc w:val="center"/>
            </w:pPr>
            <w:r w:rsidRPr="001E42CA">
              <w:t>718</w:t>
            </w:r>
          </w:p>
        </w:tc>
        <w:tc>
          <w:tcPr>
            <w:tcW w:w="850" w:type="dxa"/>
          </w:tcPr>
          <w:p w:rsidR="00DC1575" w:rsidRPr="001E42CA" w:rsidRDefault="00DC1575">
            <w:pPr>
              <w:pStyle w:val="Tabell"/>
              <w:spacing w:before="40" w:after="40"/>
              <w:jc w:val="center"/>
            </w:pPr>
            <w:r w:rsidRPr="001E42CA">
              <w:t>1095</w:t>
            </w:r>
          </w:p>
        </w:tc>
        <w:tc>
          <w:tcPr>
            <w:tcW w:w="851" w:type="dxa"/>
          </w:tcPr>
          <w:p w:rsidR="00DC1575" w:rsidRPr="001E42CA" w:rsidRDefault="00DC1575">
            <w:pPr>
              <w:pStyle w:val="Tabell"/>
              <w:spacing w:before="40" w:after="40"/>
              <w:jc w:val="center"/>
            </w:pPr>
            <w:r w:rsidRPr="001E42CA">
              <w:t>-1267</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Kostnader jämfört med struktu</w:t>
            </w:r>
            <w:r w:rsidRPr="001E42CA">
              <w:t>r</w:t>
            </w:r>
            <w:r w:rsidRPr="001E42CA">
              <w:t>kostnader</w:t>
            </w:r>
          </w:p>
        </w:tc>
        <w:tc>
          <w:tcPr>
            <w:tcW w:w="567" w:type="dxa"/>
          </w:tcPr>
          <w:p w:rsidR="00DC1575" w:rsidRPr="001E42CA" w:rsidRDefault="00DC1575">
            <w:pPr>
              <w:pStyle w:val="Tabell"/>
              <w:spacing w:before="40" w:after="40"/>
              <w:jc w:val="center"/>
            </w:pPr>
            <w:r w:rsidRPr="001E42CA">
              <w:t>105</w:t>
            </w:r>
          </w:p>
        </w:tc>
        <w:tc>
          <w:tcPr>
            <w:tcW w:w="851" w:type="dxa"/>
          </w:tcPr>
          <w:p w:rsidR="00DC1575" w:rsidRPr="001E42CA" w:rsidRDefault="00DC1575">
            <w:pPr>
              <w:pStyle w:val="Tabell"/>
              <w:spacing w:before="40" w:after="40"/>
              <w:jc w:val="center"/>
            </w:pPr>
            <w:r w:rsidRPr="001E42CA">
              <w:t>102</w:t>
            </w:r>
          </w:p>
        </w:tc>
        <w:tc>
          <w:tcPr>
            <w:tcW w:w="850" w:type="dxa"/>
            <w:tcBorders>
              <w:left w:val="single" w:sz="4" w:space="0" w:color="auto"/>
            </w:tcBorders>
          </w:tcPr>
          <w:p w:rsidR="00DC1575" w:rsidRPr="001E42CA" w:rsidRDefault="00DC1575">
            <w:pPr>
              <w:pStyle w:val="Tabell"/>
              <w:spacing w:before="40" w:after="40"/>
              <w:jc w:val="center"/>
            </w:pPr>
            <w:r w:rsidRPr="001E42CA">
              <w:t>106</w:t>
            </w:r>
          </w:p>
        </w:tc>
        <w:tc>
          <w:tcPr>
            <w:tcW w:w="851" w:type="dxa"/>
          </w:tcPr>
          <w:p w:rsidR="00DC1575" w:rsidRPr="001E42CA" w:rsidRDefault="00DC1575">
            <w:pPr>
              <w:pStyle w:val="Tabell"/>
              <w:spacing w:before="40" w:after="40"/>
              <w:jc w:val="center"/>
            </w:pPr>
            <w:r w:rsidRPr="001E42CA">
              <w:t>103</w:t>
            </w:r>
          </w:p>
        </w:tc>
        <w:tc>
          <w:tcPr>
            <w:tcW w:w="850" w:type="dxa"/>
          </w:tcPr>
          <w:p w:rsidR="00DC1575" w:rsidRPr="001E42CA" w:rsidRDefault="00DC1575">
            <w:pPr>
              <w:pStyle w:val="Tabell"/>
              <w:spacing w:before="40" w:after="40"/>
              <w:jc w:val="center"/>
            </w:pPr>
            <w:r w:rsidRPr="001E42CA">
              <w:t>108</w:t>
            </w:r>
          </w:p>
        </w:tc>
        <w:tc>
          <w:tcPr>
            <w:tcW w:w="851" w:type="dxa"/>
          </w:tcPr>
          <w:p w:rsidR="00DC1575" w:rsidRPr="001E42CA" w:rsidRDefault="00DC1575">
            <w:pPr>
              <w:pStyle w:val="Tabell"/>
              <w:spacing w:before="40" w:after="40"/>
              <w:jc w:val="center"/>
            </w:pPr>
            <w:r w:rsidRPr="001E42CA">
              <w:t>99</w:t>
            </w:r>
          </w:p>
        </w:tc>
      </w:tr>
      <w:tr w:rsidR="00000000" w:rsidRPr="001E42CA">
        <w:tblPrEx>
          <w:tblCellMar>
            <w:top w:w="0" w:type="dxa"/>
            <w:bottom w:w="0" w:type="dxa"/>
          </w:tblCellMar>
        </w:tblPrEx>
        <w:tc>
          <w:tcPr>
            <w:tcW w:w="2480" w:type="dxa"/>
          </w:tcPr>
          <w:p w:rsidR="00DC1575" w:rsidRPr="001E42CA" w:rsidRDefault="00DC1575">
            <w:pPr>
              <w:pStyle w:val="Tabell"/>
              <w:spacing w:before="40" w:after="40"/>
              <w:jc w:val="left"/>
            </w:pPr>
            <w:r w:rsidRPr="001E42CA">
              <w:t>Utbudsnivå</w:t>
            </w:r>
          </w:p>
        </w:tc>
        <w:tc>
          <w:tcPr>
            <w:tcW w:w="567" w:type="dxa"/>
          </w:tcPr>
          <w:p w:rsidR="00DC1575" w:rsidRPr="001E42CA" w:rsidRDefault="00DC1575">
            <w:pPr>
              <w:pStyle w:val="Tabell"/>
              <w:spacing w:before="40" w:after="40"/>
              <w:jc w:val="center"/>
            </w:pPr>
            <w:r w:rsidRPr="001E42CA">
              <w:t>101</w:t>
            </w:r>
          </w:p>
        </w:tc>
        <w:tc>
          <w:tcPr>
            <w:tcW w:w="851" w:type="dxa"/>
          </w:tcPr>
          <w:p w:rsidR="00DC1575" w:rsidRPr="001E42CA" w:rsidRDefault="00DC1575">
            <w:pPr>
              <w:pStyle w:val="Tabell"/>
              <w:spacing w:before="40" w:after="40"/>
              <w:jc w:val="center"/>
            </w:pPr>
            <w:r w:rsidRPr="001E42CA">
              <w:t>98</w:t>
            </w:r>
          </w:p>
        </w:tc>
        <w:tc>
          <w:tcPr>
            <w:tcW w:w="850" w:type="dxa"/>
            <w:tcBorders>
              <w:left w:val="single" w:sz="4" w:space="0" w:color="auto"/>
            </w:tcBorders>
          </w:tcPr>
          <w:p w:rsidR="00DC1575" w:rsidRPr="001E42CA" w:rsidRDefault="00DC1575">
            <w:pPr>
              <w:pStyle w:val="Tabell"/>
              <w:spacing w:before="40" w:after="40"/>
              <w:jc w:val="center"/>
            </w:pPr>
            <w:r w:rsidRPr="001E42CA">
              <w:t>103</w:t>
            </w:r>
          </w:p>
        </w:tc>
        <w:tc>
          <w:tcPr>
            <w:tcW w:w="851" w:type="dxa"/>
          </w:tcPr>
          <w:p w:rsidR="00DC1575" w:rsidRPr="001E42CA" w:rsidRDefault="00DC1575">
            <w:pPr>
              <w:pStyle w:val="Tabell"/>
              <w:spacing w:before="40" w:after="40"/>
              <w:jc w:val="center"/>
            </w:pPr>
            <w:r w:rsidRPr="001E42CA">
              <w:t>102</w:t>
            </w:r>
          </w:p>
        </w:tc>
        <w:tc>
          <w:tcPr>
            <w:tcW w:w="850" w:type="dxa"/>
          </w:tcPr>
          <w:p w:rsidR="00DC1575" w:rsidRPr="001E42CA" w:rsidRDefault="00DC1575">
            <w:pPr>
              <w:pStyle w:val="Tabell"/>
              <w:spacing w:before="40" w:after="40"/>
              <w:jc w:val="center"/>
            </w:pPr>
            <w:r w:rsidRPr="001E42CA">
              <w:t>104</w:t>
            </w:r>
          </w:p>
        </w:tc>
        <w:tc>
          <w:tcPr>
            <w:tcW w:w="851" w:type="dxa"/>
          </w:tcPr>
          <w:p w:rsidR="00DC1575" w:rsidRPr="001E42CA" w:rsidRDefault="00DC1575">
            <w:pPr>
              <w:pStyle w:val="Tabell"/>
              <w:spacing w:before="40" w:after="40"/>
              <w:jc w:val="center"/>
            </w:pPr>
            <w:r w:rsidRPr="001E42CA">
              <w:t>100</w:t>
            </w:r>
          </w:p>
        </w:tc>
      </w:tr>
      <w:tr w:rsidR="00000000" w:rsidRPr="001E42CA">
        <w:tblPrEx>
          <w:tblCellMar>
            <w:top w:w="0" w:type="dxa"/>
            <w:bottom w:w="0" w:type="dxa"/>
          </w:tblCellMar>
        </w:tblPrEx>
        <w:tc>
          <w:tcPr>
            <w:tcW w:w="2480" w:type="dxa"/>
            <w:tcBorders>
              <w:bottom w:val="single" w:sz="4" w:space="0" w:color="auto"/>
            </w:tcBorders>
          </w:tcPr>
          <w:p w:rsidR="00DC1575" w:rsidRPr="001E42CA" w:rsidRDefault="00DC1575">
            <w:pPr>
              <w:pStyle w:val="Tabell"/>
              <w:spacing w:before="40" w:after="40"/>
              <w:jc w:val="left"/>
            </w:pPr>
            <w:r w:rsidRPr="001E42CA">
              <w:t>Lediga lägenheter (per 1000 lägenheter i allmännyttan)</w:t>
            </w:r>
          </w:p>
        </w:tc>
        <w:tc>
          <w:tcPr>
            <w:tcW w:w="567" w:type="dxa"/>
            <w:tcBorders>
              <w:bottom w:val="single" w:sz="4" w:space="0" w:color="auto"/>
            </w:tcBorders>
          </w:tcPr>
          <w:p w:rsidR="00DC1575" w:rsidRPr="001E42CA" w:rsidRDefault="00DC1575">
            <w:pPr>
              <w:pStyle w:val="Tabell"/>
              <w:spacing w:before="40" w:after="40"/>
              <w:jc w:val="center"/>
            </w:pPr>
            <w:r w:rsidRPr="001E42CA">
              <w:t>138</w:t>
            </w:r>
          </w:p>
        </w:tc>
        <w:tc>
          <w:tcPr>
            <w:tcW w:w="851" w:type="dxa"/>
            <w:tcBorders>
              <w:bottom w:val="single" w:sz="4" w:space="0" w:color="auto"/>
            </w:tcBorders>
          </w:tcPr>
          <w:p w:rsidR="00DC1575" w:rsidRPr="001E42CA" w:rsidRDefault="00DC1575">
            <w:pPr>
              <w:pStyle w:val="Tabell"/>
              <w:spacing w:before="40" w:after="40"/>
              <w:jc w:val="center"/>
            </w:pPr>
            <w:r w:rsidRPr="001E42CA">
              <w:t>106</w:t>
            </w:r>
          </w:p>
        </w:tc>
        <w:tc>
          <w:tcPr>
            <w:tcW w:w="850" w:type="dxa"/>
            <w:tcBorders>
              <w:left w:val="single" w:sz="4" w:space="0" w:color="auto"/>
              <w:bottom w:val="single" w:sz="4" w:space="0" w:color="auto"/>
            </w:tcBorders>
          </w:tcPr>
          <w:p w:rsidR="00DC1575" w:rsidRPr="001E42CA" w:rsidRDefault="00DC1575">
            <w:pPr>
              <w:pStyle w:val="Tabell"/>
              <w:spacing w:before="40" w:after="40"/>
              <w:jc w:val="center"/>
            </w:pPr>
            <w:r w:rsidRPr="001E42CA">
              <w:t>121</w:t>
            </w:r>
          </w:p>
        </w:tc>
        <w:tc>
          <w:tcPr>
            <w:tcW w:w="851" w:type="dxa"/>
            <w:tcBorders>
              <w:bottom w:val="single" w:sz="4" w:space="0" w:color="auto"/>
            </w:tcBorders>
          </w:tcPr>
          <w:p w:rsidR="00DC1575" w:rsidRPr="001E42CA" w:rsidRDefault="00DC1575">
            <w:pPr>
              <w:pStyle w:val="Tabell"/>
              <w:spacing w:before="40" w:after="40"/>
              <w:jc w:val="center"/>
            </w:pPr>
            <w:r w:rsidRPr="001E42CA">
              <w:t>89</w:t>
            </w:r>
          </w:p>
        </w:tc>
        <w:tc>
          <w:tcPr>
            <w:tcW w:w="850" w:type="dxa"/>
            <w:tcBorders>
              <w:bottom w:val="single" w:sz="4" w:space="0" w:color="auto"/>
            </w:tcBorders>
          </w:tcPr>
          <w:p w:rsidR="00DC1575" w:rsidRPr="001E42CA" w:rsidRDefault="00DC1575">
            <w:pPr>
              <w:pStyle w:val="Tabell"/>
              <w:spacing w:before="40" w:after="40"/>
              <w:jc w:val="center"/>
            </w:pPr>
            <w:r w:rsidRPr="001E42CA">
              <w:t>139</w:t>
            </w:r>
          </w:p>
        </w:tc>
        <w:tc>
          <w:tcPr>
            <w:tcW w:w="851" w:type="dxa"/>
            <w:tcBorders>
              <w:bottom w:val="single" w:sz="4" w:space="0" w:color="auto"/>
            </w:tcBorders>
          </w:tcPr>
          <w:p w:rsidR="00DC1575" w:rsidRPr="001E42CA" w:rsidRDefault="00DC1575">
            <w:pPr>
              <w:pStyle w:val="Tabell"/>
              <w:spacing w:before="40" w:after="40"/>
              <w:jc w:val="center"/>
            </w:pPr>
            <w:r w:rsidRPr="001E42CA">
              <w:t>91</w:t>
            </w:r>
          </w:p>
        </w:tc>
      </w:tr>
    </w:tbl>
    <w:p w:rsidR="00DC1575" w:rsidRPr="001E42CA" w:rsidRDefault="00DC1575">
      <w:pPr>
        <w:pStyle w:val="Normaltindrag"/>
      </w:pPr>
    </w:p>
    <w:p w:rsidR="00DC1575" w:rsidRPr="001E42CA" w:rsidRDefault="00DC1575">
      <w:pPr>
        <w:pStyle w:val="Rubrik1"/>
      </w:pPr>
      <w:r w:rsidRPr="001E42CA">
        <w:br w:type="page"/>
      </w:r>
      <w:bookmarkStart w:id="41" w:name="_Toc526302387"/>
      <w:r w:rsidRPr="001E42CA">
        <w:t>Fördelningsprocessen och avtalen</w:t>
      </w:r>
      <w:bookmarkEnd w:id="41"/>
    </w:p>
    <w:p w:rsidR="00DC1575" w:rsidRPr="001E42CA" w:rsidRDefault="00DC1575">
      <w:pPr>
        <w:pStyle w:val="Rubrik2"/>
        <w:spacing w:before="123"/>
      </w:pPr>
      <w:bookmarkStart w:id="42" w:name="_Toc526302388"/>
      <w:r w:rsidRPr="001E42CA">
        <w:t>Inledning</w:t>
      </w:r>
      <w:bookmarkEnd w:id="42"/>
    </w:p>
    <w:p w:rsidR="00DC1575" w:rsidRPr="001E42CA" w:rsidRDefault="00DC1575">
      <w:r w:rsidRPr="001E42CA">
        <w:t>Delar av hanteringen av anslaget Bidrag till särskilda insatser i vissa ko</w:t>
      </w:r>
      <w:r w:rsidRPr="001E42CA">
        <w:t>m</w:t>
      </w:r>
      <w:r w:rsidRPr="001E42CA">
        <w:t>muner och landsting regleras inte av någon förordning. Kommundelegati</w:t>
      </w:r>
      <w:r w:rsidRPr="001E42CA">
        <w:t>o</w:t>
      </w:r>
      <w:r w:rsidRPr="001E42CA">
        <w:t>nens beredning av ärenden styrdes enbart genom kommittédirektivet. Reg</w:t>
      </w:r>
      <w:r w:rsidRPr="001E42CA">
        <w:t>e</w:t>
      </w:r>
      <w:r w:rsidRPr="001E42CA">
        <w:t>ringens senare beslut i dessa ärenden omfattades av naturliga skäl inte heller av någon förordning. Bostadsdelegationens arbete styrs däremot av en i</w:t>
      </w:r>
      <w:r w:rsidRPr="001E42CA">
        <w:t>n</w:t>
      </w:r>
      <w:r w:rsidRPr="001E42CA">
        <w:t>struktion. Den lämnar dock relativt vida ramar åt delegationen att avgöra vilka som ska beviljas stöd eller inte.</w:t>
      </w:r>
    </w:p>
    <w:p w:rsidR="00DC1575" w:rsidRPr="001E42CA" w:rsidRDefault="00DC1575">
      <w:pPr>
        <w:pStyle w:val="Normaltindrag"/>
      </w:pPr>
      <w:r w:rsidRPr="001E42CA">
        <w:t>Avsaknaden av förordning och tydlig instruktion ger regeringen respektive Bostadsdelegationen ett handling</w:t>
      </w:r>
      <w:r w:rsidRPr="001E42CA">
        <w:t>sutrymme att avgöra vilka kommuner och landsting som ska beviljas stöd. Bristen på entydiga och mätbara mål (se kapitel 6) gör det vidare svårt att bedöma hur handläggningen fungerat och vilka kriterier som ska vara styrande. Som närmare utvecklas i kapitel 6 har fördelningen av medel till viss del skett utan att det funnits en klar och ko</w:t>
      </w:r>
      <w:r w:rsidRPr="001E42CA">
        <w:t>n</w:t>
      </w:r>
      <w:r w:rsidRPr="001E42CA">
        <w:t>kretiserad målbild.</w:t>
      </w:r>
    </w:p>
    <w:p w:rsidR="00DC1575" w:rsidRPr="001E42CA" w:rsidRDefault="00DC1575">
      <w:pPr>
        <w:pStyle w:val="Normaltindrag"/>
      </w:pPr>
      <w:r w:rsidRPr="001E42CA">
        <w:t>I förvaltningslagen (1986:223) finns det emellertid regler om hur förval</w:t>
      </w:r>
      <w:r w:rsidRPr="001E42CA">
        <w:t>t</w:t>
      </w:r>
      <w:r w:rsidRPr="001E42CA">
        <w:t>ningsmyndigheter ska handlägga sina ärenden om t.ex. stöd till enskilda kommuner. Dessa regler ska bidra till att ge ett så korrekt underlag som möjligt för förvaltningsbesluten och därmed till att besluten blir riktiga i sak. De återspeglar grundläggande rättssäkerhetskrav som krav på opartiskhet, omsorgsfull handläggning och enhetlig bedömning. Bostadsdelegationen är en myndighet och omfattas därmed av förvaltningslagens bestämmelser. Regeringen är däremot inte en förvaltningsmyndighet i förvaltningslage</w:t>
      </w:r>
      <w:r w:rsidRPr="001E42CA">
        <w:t>ns mening. I motiven till förvaltningslagen anges dock att förvaltningsärenden i regeringen i görligaste mån bör handläggas enligt samma regler som gäller för underordnade myndigheter. I Statsrådsberedningens handbok om han</w:t>
      </w:r>
      <w:r w:rsidRPr="001E42CA">
        <w:t>d</w:t>
      </w:r>
      <w:r w:rsidRPr="001E42CA">
        <w:t xml:space="preserve">läggningen av ärenden i Regeringskansliet anges också att det är viktigt att man även i regeringsärenden följer de principer som förvaltningslagen ger uttryck för. </w:t>
      </w:r>
    </w:p>
    <w:p w:rsidR="00DC1575" w:rsidRPr="001E42CA" w:rsidRDefault="00DC1575">
      <w:pPr>
        <w:pStyle w:val="R3"/>
      </w:pPr>
      <w:r w:rsidRPr="001E42CA">
        <w:t>Studie över hur bidragen fördelats</w:t>
      </w:r>
    </w:p>
    <w:p w:rsidR="00DC1575" w:rsidRPr="001E42CA" w:rsidRDefault="00DC1575">
      <w:r w:rsidRPr="001E42CA">
        <w:t>Ernst &amp; Young AB har på revisorernas uppdrag genomfört en studie av fördelningsprocessen och avtalen mellan staten och kommunerna. Uppdraget avser en analys av vilka beslutsunderlag och beslutskriterier som legat ba</w:t>
      </w:r>
      <w:r w:rsidRPr="001E42CA">
        <w:t>k</w:t>
      </w:r>
      <w:r w:rsidRPr="001E42CA">
        <w:t>om beslut om stöd och avslag och hur avtalen utformats. Totalt har 35 äre</w:t>
      </w:r>
      <w:r w:rsidRPr="001E42CA">
        <w:t>n</w:t>
      </w:r>
      <w:r w:rsidRPr="001E42CA">
        <w:t>den granskats, vilket motsvarar drygt 25 procent av de ärenden som var färdigbehandlade när uppdraget preciserades. Urvalet har skett med obundet slumpmässigt urval och avser 16 ärenden från Bostadsdelegationen (10 a</w:t>
      </w:r>
      <w:r w:rsidRPr="001E42CA">
        <w:t>v</w:t>
      </w:r>
      <w:r w:rsidRPr="001E42CA">
        <w:t>slag och 6 bifall), 12 ärenden från Kommundelegationen (6 bifall och 6 avslag) samt 7 ärenden som handlagts gemensamt av de bägge delegatione</w:t>
      </w:r>
      <w:r w:rsidRPr="001E42CA">
        <w:t>r</w:t>
      </w:r>
      <w:r w:rsidRPr="001E42CA">
        <w:t xml:space="preserve">na. </w:t>
      </w:r>
    </w:p>
    <w:p w:rsidR="00DC1575" w:rsidRPr="001E42CA" w:rsidRDefault="00DC1575">
      <w:pPr>
        <w:pStyle w:val="Normaltindrag"/>
      </w:pPr>
      <w:r w:rsidRPr="001E42CA">
        <w:t>I kapitlet redovisas huvudresultaten av studien. Avsnitt 5.1 innehåller e</w:t>
      </w:r>
      <w:r w:rsidRPr="001E42CA">
        <w:t>n genomgång av vilket beslutsunderlag som legat till grund för besluten. I avsnitt 5.2 analyseras vilka beslutskriterier som utnyttjats. Avsnitt 5.3 inn</w:t>
      </w:r>
      <w:r w:rsidRPr="001E42CA">
        <w:t>e</w:t>
      </w:r>
      <w:r w:rsidRPr="001E42CA">
        <w:t>håller en genomgång av avtalen mellan staten och kommunerna. I avsnitt 5.4 redovisas avslutningsvis Ernst &amp; Youngs sammanfattande slutsatser.</w:t>
      </w:r>
    </w:p>
    <w:p w:rsidR="00DC1575" w:rsidRPr="001E42CA" w:rsidRDefault="00DC1575">
      <w:pPr>
        <w:pStyle w:val="Rubrik2"/>
      </w:pPr>
      <w:bookmarkStart w:id="43" w:name="_Toc526302389"/>
      <w:r w:rsidRPr="001E42CA">
        <w:t>Beslutsunderlag</w:t>
      </w:r>
      <w:bookmarkEnd w:id="43"/>
    </w:p>
    <w:p w:rsidR="00DC1575" w:rsidRPr="001E42CA" w:rsidRDefault="00DC1575">
      <w:pPr>
        <w:pStyle w:val="R3"/>
        <w:spacing w:before="123"/>
      </w:pPr>
      <w:r w:rsidRPr="001E42CA">
        <w:t>Allmänt</w:t>
      </w:r>
    </w:p>
    <w:p w:rsidR="00DC1575" w:rsidRPr="001E42CA" w:rsidRDefault="00DC1575">
      <w:r w:rsidRPr="001E42CA">
        <w:t>I uppdraget till Ernst &amp; Young ingick att analysera vilka bedömningsgrunder och kriterier som legat bakom beslut om stöd och avslag. Förutom detta skulle följa</w:t>
      </w:r>
      <w:r w:rsidRPr="001E42CA">
        <w:t>n</w:t>
      </w:r>
      <w:r w:rsidRPr="001E42CA">
        <w:t>de frågor analyseras.</w:t>
      </w:r>
    </w:p>
    <w:p w:rsidR="00DC1575" w:rsidRPr="001E42CA" w:rsidRDefault="00DC1575">
      <w:pPr>
        <w:numPr>
          <w:ilvl w:val="0"/>
          <w:numId w:val="58"/>
        </w:numPr>
      </w:pPr>
      <w:r w:rsidRPr="001E42CA">
        <w:t>Innehåller akterna sådant material att det går att analysera på vilka gru</w:t>
      </w:r>
      <w:r w:rsidRPr="001E42CA">
        <w:t>n</w:t>
      </w:r>
      <w:r w:rsidRPr="001E42CA">
        <w:t>der beslut har fattats?</w:t>
      </w:r>
    </w:p>
    <w:p w:rsidR="00DC1575" w:rsidRPr="001E42CA" w:rsidRDefault="00DC1575">
      <w:pPr>
        <w:numPr>
          <w:ilvl w:val="0"/>
          <w:numId w:val="58"/>
        </w:numPr>
      </w:pPr>
      <w:r w:rsidRPr="001E42CA">
        <w:t>Är beslutsunderlaget detsamma i ärendena, dvs. är bedömningen enhe</w:t>
      </w:r>
      <w:r w:rsidRPr="001E42CA">
        <w:t>t</w:t>
      </w:r>
      <w:r w:rsidRPr="001E42CA">
        <w:t>lig?</w:t>
      </w:r>
    </w:p>
    <w:p w:rsidR="00DC1575" w:rsidRPr="001E42CA" w:rsidRDefault="00DC1575">
      <w:pPr>
        <w:numPr>
          <w:ilvl w:val="0"/>
          <w:numId w:val="58"/>
        </w:numPr>
      </w:pPr>
      <w:r w:rsidRPr="001E42CA">
        <w:t>Kan de beslutsunderlag som tillämpas betraktas som objektiva?</w:t>
      </w:r>
    </w:p>
    <w:p w:rsidR="00DC1575" w:rsidRPr="001E42CA" w:rsidRDefault="00DC1575">
      <w:pPr>
        <w:numPr>
          <w:ilvl w:val="0"/>
          <w:numId w:val="58"/>
        </w:numPr>
      </w:pPr>
      <w:r w:rsidRPr="001E42CA">
        <w:t>Är beslutsunderlaget av en sådan karaktär att handläggningen kan b</w:t>
      </w:r>
      <w:r w:rsidRPr="001E42CA">
        <w:t>e</w:t>
      </w:r>
      <w:r w:rsidRPr="001E42CA">
        <w:t>traktas som omsorgsfull?</w:t>
      </w:r>
    </w:p>
    <w:p w:rsidR="00DC1575" w:rsidRPr="001E42CA" w:rsidRDefault="00DC1575">
      <w:pPr>
        <w:numPr>
          <w:ilvl w:val="0"/>
          <w:numId w:val="58"/>
        </w:numPr>
      </w:pPr>
      <w:r w:rsidRPr="001E42CA">
        <w:t>Uppfyller beslutsunderlagen fullgoda krav på kommunalekonomiska bedömnin</w:t>
      </w:r>
      <w:r w:rsidRPr="001E42CA">
        <w:t>g</w:t>
      </w:r>
      <w:r w:rsidRPr="001E42CA">
        <w:t>ar?</w:t>
      </w:r>
    </w:p>
    <w:p w:rsidR="00DC1575" w:rsidRPr="001E42CA" w:rsidRDefault="00DC1575">
      <w:pPr>
        <w:pStyle w:val="Normaltindrag"/>
      </w:pPr>
    </w:p>
    <w:p w:rsidR="00DC1575" w:rsidRPr="001E42CA" w:rsidRDefault="00DC1575">
      <w:pPr>
        <w:spacing w:before="0"/>
      </w:pPr>
      <w:r w:rsidRPr="001E42CA">
        <w:t xml:space="preserve">I uppdraget ingick också att analysera eventuella skillnader i beslutsunderlag mellan Bostadsdelegationen och Kommundelegationen/regeringen. </w:t>
      </w:r>
    </w:p>
    <w:p w:rsidR="00DC1575" w:rsidRPr="001E42CA" w:rsidRDefault="00DC1575">
      <w:pPr>
        <w:pStyle w:val="R3"/>
      </w:pPr>
      <w:bookmarkStart w:id="44" w:name="_Toc505525503"/>
      <w:r w:rsidRPr="001E42CA">
        <w:t>Bostadsdelegationen</w:t>
      </w:r>
      <w:bookmarkEnd w:id="44"/>
      <w:r w:rsidRPr="001E42CA">
        <w:t>s underlag</w:t>
      </w:r>
    </w:p>
    <w:p w:rsidR="00DC1575" w:rsidRPr="001E42CA" w:rsidRDefault="00DC1575">
      <w:r w:rsidRPr="001E42CA">
        <w:t>Bostadsdelegationens beslutsunderlag bygger i princip på två delar:</w:t>
      </w:r>
    </w:p>
    <w:p w:rsidR="00DC1575" w:rsidRPr="001E42CA" w:rsidRDefault="00DC1575">
      <w:pPr>
        <w:pStyle w:val="Normaltindrag"/>
      </w:pPr>
    </w:p>
    <w:p w:rsidR="00DC1575" w:rsidRPr="001E42CA" w:rsidRDefault="00DC1575">
      <w:pPr>
        <w:numPr>
          <w:ilvl w:val="0"/>
          <w:numId w:val="80"/>
        </w:numPr>
        <w:spacing w:before="0"/>
        <w:ind w:left="357" w:hanging="357"/>
      </w:pPr>
      <w:r w:rsidRPr="001E42CA">
        <w:t>Kommunalekonomisk analys.</w:t>
      </w:r>
    </w:p>
    <w:p w:rsidR="00DC1575" w:rsidRPr="001E42CA" w:rsidRDefault="00DC1575">
      <w:pPr>
        <w:numPr>
          <w:ilvl w:val="0"/>
          <w:numId w:val="80"/>
        </w:numPr>
      </w:pPr>
      <w:r w:rsidRPr="001E42CA">
        <w:t>Analys av bostadsföretaget.</w:t>
      </w:r>
    </w:p>
    <w:p w:rsidR="00DC1575" w:rsidRPr="001E42CA" w:rsidRDefault="00DC1575">
      <w:pPr>
        <w:pStyle w:val="Innehll2"/>
        <w:rPr>
          <w:noProof w:val="0"/>
        </w:rPr>
      </w:pPr>
    </w:p>
    <w:p w:rsidR="00DC1575" w:rsidRPr="001E42CA" w:rsidRDefault="00DC1575">
      <w:pPr>
        <w:spacing w:before="0"/>
      </w:pPr>
      <w:r w:rsidRPr="001E42CA">
        <w:t xml:space="preserve">Dessa analyser sammanfattas sedan till föredragningspromemorior, vilka används då ärenden beslutas i styrelsen. </w:t>
      </w:r>
    </w:p>
    <w:p w:rsidR="00DC1575" w:rsidRPr="001E42CA" w:rsidRDefault="00DC1575">
      <w:pPr>
        <w:pStyle w:val="R4"/>
      </w:pPr>
      <w:r w:rsidRPr="001E42CA">
        <w:t>Kommunalekonomisk analys</w:t>
      </w:r>
    </w:p>
    <w:p w:rsidR="00DC1575" w:rsidRPr="001E42CA" w:rsidRDefault="00DC1575">
      <w:r w:rsidRPr="001E42CA">
        <w:t>Kommunens ekonomiska utveckling, nuläget samt budget och plan för de närmaste åren analyseras i syfte att bedöma kommunens ekonomiska styrka och framtid. Verksamheterna analyseras för att skapa en bild av utbudet relativt andra kommuner. Även styrförmåga och budgetprocess kartläggs. Den samlade bilden ligger till grund för en bedömning om, och i så fall i vilken omfattning, som kommunkoncernen av egen förmåga kan skapa ett ekon</w:t>
      </w:r>
      <w:r w:rsidRPr="001E42CA">
        <w:t>o</w:t>
      </w:r>
      <w:r w:rsidRPr="001E42CA">
        <w:t xml:space="preserve">miskt utrymme för att hantera sina bostadsåtaganden.  </w:t>
      </w:r>
    </w:p>
    <w:p w:rsidR="00DC1575" w:rsidRPr="001E42CA" w:rsidRDefault="00DC1575">
      <w:pPr>
        <w:pStyle w:val="Normaltindrag"/>
      </w:pPr>
      <w:r w:rsidRPr="001E42CA">
        <w:t>Den kommunalekonomiska analysen är uppbyggd som en jämförelse me</w:t>
      </w:r>
      <w:r w:rsidRPr="001E42CA">
        <w:t>l</w:t>
      </w:r>
      <w:r w:rsidRPr="001E42CA">
        <w:t>lan den sökande kommunen och den sökandes kommungrupp. Analysen baseras på historiska data från 1995 och utmynnar i en prognos för budge</w:t>
      </w:r>
      <w:r w:rsidRPr="001E42CA">
        <w:t>t</w:t>
      </w:r>
      <w:r w:rsidRPr="001E42CA">
        <w:t>året och ytterligare två år. Resultaträkning, balansräk</w:t>
      </w:r>
      <w:r w:rsidRPr="001E42CA">
        <w:softHyphen/>
        <w:t>ning och investeringar analys</w:t>
      </w:r>
      <w:r w:rsidRPr="001E42CA">
        <w:t>e</w:t>
      </w:r>
      <w:r w:rsidRPr="001E42CA">
        <w:t xml:space="preserve">ras och jämförs med andra kommuner. </w:t>
      </w:r>
    </w:p>
    <w:p w:rsidR="00DC1575" w:rsidRPr="001E42CA" w:rsidRDefault="00DC1575">
      <w:pPr>
        <w:pStyle w:val="Normaltindrag"/>
      </w:pPr>
      <w:r w:rsidRPr="001E42CA">
        <w:t xml:space="preserve">De ekonomiska analyserna kompletteras med att befolkningsutvecklingen granskas och att realismen i kommunens egen befolkningsprognos bedöms. </w:t>
      </w:r>
    </w:p>
    <w:p w:rsidR="00DC1575" w:rsidRPr="001E42CA" w:rsidRDefault="00DC1575">
      <w:pPr>
        <w:pStyle w:val="Normaltindrag"/>
      </w:pPr>
      <w:r w:rsidRPr="001E42CA">
        <w:t>Beräkningar av skatte- och bidragsintäkter justeras med aktuella makr</w:t>
      </w:r>
      <w:r w:rsidRPr="001E42CA">
        <w:t>o</w:t>
      </w:r>
      <w:r w:rsidRPr="001E42CA">
        <w:t xml:space="preserve">ekonomiska förutsättningar och en realistisk befolkningsprognos. Med denna nya information uppdateras prognoser för resultat- och balansräkningarna. Dessa nya beräkningar ligger till grund för en analys av hur kommunens ekonomiska situation påverkas av en rekonstruktionskostnad på ett visst belopp. </w:t>
      </w:r>
    </w:p>
    <w:p w:rsidR="00DC1575" w:rsidRPr="001E42CA" w:rsidRDefault="00DC1575">
      <w:pPr>
        <w:pStyle w:val="Normaltindrag"/>
      </w:pPr>
      <w:r w:rsidRPr="001E42CA">
        <w:t>Analysen visar effekter på kommunens soliditet och skuldbörda per inv</w:t>
      </w:r>
      <w:r w:rsidRPr="001E42CA">
        <w:t>å</w:t>
      </w:r>
      <w:r w:rsidRPr="001E42CA">
        <w:t>nare, som jämförs med riksgenomsnittet. Rekonstruktionsbeloppet förutsätter en finansiering genom upplåning och leder därmed till en resultatförsvagning till följd av ökade finansiella kostnader. Vidare beräknas de ökade besp</w:t>
      </w:r>
      <w:r w:rsidRPr="001E42CA">
        <w:t>a</w:t>
      </w:r>
      <w:r w:rsidRPr="001E42CA">
        <w:t xml:space="preserve">ringskraven, sett i relation till kommunens nettokostnader, för att leva upp till balanskravet som följer av kostnadsökningarna. </w:t>
      </w:r>
    </w:p>
    <w:p w:rsidR="00DC1575" w:rsidRPr="001E42CA" w:rsidRDefault="00DC1575">
      <w:pPr>
        <w:pStyle w:val="R4"/>
      </w:pPr>
      <w:r w:rsidRPr="001E42CA">
        <w:t>Analys av bostadsföretaget</w:t>
      </w:r>
    </w:p>
    <w:p w:rsidR="00DC1575" w:rsidRPr="001E42CA" w:rsidRDefault="00DC1575">
      <w:r w:rsidRPr="001E42CA">
        <w:t>Bostadsföretagens ekonomi genomlyses med beaktande av en mängd par</w:t>
      </w:r>
      <w:r w:rsidRPr="001E42CA">
        <w:t>a</w:t>
      </w:r>
      <w:r w:rsidRPr="001E42CA">
        <w:t>metrar så som hyresnivåer, drift- och underhållskostnader, finansiella poster och hyresbortfall till följd av bl.a. vakanser. Analysen ska klarlägga föret</w:t>
      </w:r>
      <w:r w:rsidRPr="001E42CA">
        <w:t>a</w:t>
      </w:r>
      <w:r w:rsidRPr="001E42CA">
        <w:t>gets aktuella problem och ge ett underlag för en rekonstruktion som ger företaget förutsättningar för en långsiktig hållbar utvec</w:t>
      </w:r>
      <w:r w:rsidRPr="001E42CA">
        <w:t>k</w:t>
      </w:r>
      <w:r w:rsidRPr="001E42CA">
        <w:t xml:space="preserve">ling. </w:t>
      </w:r>
    </w:p>
    <w:p w:rsidR="00DC1575" w:rsidRPr="001E42CA" w:rsidRDefault="00DC1575">
      <w:pPr>
        <w:pStyle w:val="Normaltindrag"/>
      </w:pPr>
      <w:r w:rsidRPr="001E42CA">
        <w:t>Analysen av bostadsföretaget är mycket omfattande, och som underlag a</w:t>
      </w:r>
      <w:r w:rsidRPr="001E42CA">
        <w:t>n</w:t>
      </w:r>
      <w:r w:rsidRPr="001E42CA">
        <w:t>vänds data om varje enskild fastighet i beståndet. Resultatet av analysen är en framskrivning av företagets likviditet, eget kapital och resultat efter skatt på 15 års sikt. Beräkningarnas utgångspunkt är företagets aktuella situation med bl.a. vakansgraden i bostadsbeståndet som en central parameter. Fra</w:t>
      </w:r>
      <w:r w:rsidRPr="001E42CA">
        <w:t>m</w:t>
      </w:r>
      <w:r w:rsidRPr="001E42CA">
        <w:t xml:space="preserve">skrivningarna sker i två delar. </w:t>
      </w:r>
    </w:p>
    <w:p w:rsidR="00DC1575" w:rsidRPr="001E42CA" w:rsidRDefault="00DC1575">
      <w:pPr>
        <w:pStyle w:val="Normaltindrag"/>
      </w:pPr>
      <w:r w:rsidRPr="001E42CA">
        <w:t>Inledningsvis antas ingen rekonstruktion, och att den aktuella vakansgr</w:t>
      </w:r>
      <w:r w:rsidRPr="001E42CA">
        <w:t>a</w:t>
      </w:r>
      <w:r w:rsidRPr="001E42CA">
        <w:t xml:space="preserve">den i beståndet är konstant. I de fall där delegationen funnit att stöd bör utbetalas finns vissa gemensamma tendenser i beräkningarna. Resultatet försämras snabbt, likviditeten blir negativ och det egna kapitalet urholkas i snabb takt. </w:t>
      </w:r>
    </w:p>
    <w:p w:rsidR="00DC1575" w:rsidRPr="001E42CA" w:rsidRDefault="00DC1575">
      <w:pPr>
        <w:pStyle w:val="Normaltindrag"/>
      </w:pPr>
      <w:r w:rsidRPr="001E42CA">
        <w:t>Detta basscenario kompletteras med en beräkning där bostadsföretaget r</w:t>
      </w:r>
      <w:r w:rsidRPr="001E42CA">
        <w:t>e</w:t>
      </w:r>
      <w:r w:rsidRPr="001E42CA">
        <w:t>konstrueras. Syftet med en rekonstruktion är att minska obalansen i bostad</w:t>
      </w:r>
      <w:r w:rsidRPr="001E42CA">
        <w:t>s</w:t>
      </w:r>
      <w:r w:rsidRPr="001E42CA">
        <w:t>beståndet. Det kan kräva att huvuddelen av de vakanta bostadslägenheterna avvecklas som bostäder och därmed utgår ur bostadsbeståndet. En sådan avveckling kan ske genom rivning eller genom utveckling för nya ändamål. En långsiktigt rimlig nivå på vakansgraden bör, enligt delegationen, inte överstiga någon eller några enstaka procent. Det kapitaltillskott som föret</w:t>
      </w:r>
      <w:r w:rsidRPr="001E42CA">
        <w:t>a</w:t>
      </w:r>
      <w:r w:rsidRPr="001E42CA">
        <w:t>get beräknas behöva, baseras på företagets intjäningsförmåga sedan av</w:t>
      </w:r>
      <w:r w:rsidRPr="001E42CA">
        <w:t>vec</w:t>
      </w:r>
      <w:r w:rsidRPr="001E42CA">
        <w:t>k</w:t>
      </w:r>
      <w:r w:rsidRPr="001E42CA">
        <w:t>lingen av de övertaliga bostäderna har genomförts. Den del av kapitalskulden som inte kan förräntas inom företagets beräknade framtida kassaflöden måste lyftas av. Utöver detta kan ett kapitaltillskott krävas för att återställla akti</w:t>
      </w:r>
      <w:r w:rsidRPr="001E42CA">
        <w:t>e</w:t>
      </w:r>
      <w:r w:rsidRPr="001E42CA">
        <w:t>kapitalet eller för att likviditeten ska kunna hållas på en rimlig nivå i förhå</w:t>
      </w:r>
      <w:r w:rsidRPr="001E42CA">
        <w:t>l</w:t>
      </w:r>
      <w:r w:rsidRPr="001E42CA">
        <w:t xml:space="preserve">lande till driftnettot. I samband härmed justeras de bokförda värdena till vad den nya situationen tillåter. </w:t>
      </w:r>
    </w:p>
    <w:p w:rsidR="00DC1575" w:rsidRPr="001E42CA" w:rsidRDefault="00DC1575">
      <w:pPr>
        <w:pStyle w:val="R3"/>
      </w:pPr>
      <w:bookmarkStart w:id="45" w:name="_Toc505525504"/>
      <w:r w:rsidRPr="001E42CA">
        <w:t>Kommundelegationen</w:t>
      </w:r>
      <w:bookmarkEnd w:id="45"/>
      <w:r w:rsidRPr="001E42CA">
        <w:t xml:space="preserve">s underlag </w:t>
      </w:r>
    </w:p>
    <w:p w:rsidR="00DC1575" w:rsidRPr="001E42CA" w:rsidRDefault="00DC1575">
      <w:r w:rsidRPr="001E42CA">
        <w:t>Kommundelegationens beslutsunderlag består i allt väsentligt av två d</w:t>
      </w:r>
      <w:r w:rsidRPr="001E42CA">
        <w:t>e</w:t>
      </w:r>
      <w:r w:rsidRPr="001E42CA">
        <w:t xml:space="preserve">lar: </w:t>
      </w:r>
    </w:p>
    <w:p w:rsidR="00DC1575" w:rsidRPr="001E42CA" w:rsidRDefault="00DC1575">
      <w:pPr>
        <w:numPr>
          <w:ilvl w:val="0"/>
          <w:numId w:val="81"/>
        </w:numPr>
        <w:spacing w:before="0"/>
        <w:ind w:left="357" w:hanging="357"/>
      </w:pPr>
      <w:r w:rsidRPr="001E42CA">
        <w:t xml:space="preserve">Grundanalys. </w:t>
      </w:r>
    </w:p>
    <w:p w:rsidR="00DC1575" w:rsidRPr="001E42CA" w:rsidRDefault="00DC1575">
      <w:pPr>
        <w:numPr>
          <w:ilvl w:val="0"/>
          <w:numId w:val="81"/>
        </w:numPr>
      </w:pPr>
      <w:r w:rsidRPr="001E42CA">
        <w:t xml:space="preserve">Bedömning av nivåsänkning. </w:t>
      </w:r>
    </w:p>
    <w:p w:rsidR="00DC1575" w:rsidRPr="001E42CA" w:rsidRDefault="00DC1575">
      <w:pPr>
        <w:pStyle w:val="R4"/>
      </w:pPr>
      <w:r w:rsidRPr="001E42CA">
        <w:t>Grundanalys</w:t>
      </w:r>
    </w:p>
    <w:p w:rsidR="00DC1575" w:rsidRPr="001E42CA" w:rsidRDefault="00DC1575">
      <w:r w:rsidRPr="001E42CA">
        <w:t>Av delegationens slutrapport framgår att grundanalyserna var uppbyggda efter samma mall och hade följande huvudinnehåll:</w:t>
      </w:r>
    </w:p>
    <w:p w:rsidR="00DC1575" w:rsidRPr="001E42CA" w:rsidRDefault="00DC1575">
      <w:pPr>
        <w:pStyle w:val="Normaltindrag"/>
      </w:pPr>
    </w:p>
    <w:p w:rsidR="00DC1575" w:rsidRPr="001E42CA" w:rsidRDefault="00DC1575">
      <w:pPr>
        <w:numPr>
          <w:ilvl w:val="0"/>
          <w:numId w:val="82"/>
        </w:numPr>
        <w:spacing w:before="0"/>
        <w:ind w:left="357" w:hanging="357"/>
      </w:pPr>
      <w:r w:rsidRPr="001E42CA">
        <w:t>Kommunens eller landstingets skäl för ansökan.</w:t>
      </w:r>
    </w:p>
    <w:p w:rsidR="00DC1575" w:rsidRPr="001E42CA" w:rsidRDefault="00DC1575">
      <w:pPr>
        <w:numPr>
          <w:ilvl w:val="0"/>
          <w:numId w:val="82"/>
        </w:numPr>
      </w:pPr>
      <w:r w:rsidRPr="001E42CA">
        <w:t xml:space="preserve">En allmän beskrivning av den kommunala ekonomin med nyckeltal som till exempel skattesats och utfall av kostnads- och inkomstutjämningen. Nyckeltalen jämfördes med riksnivån, länet, kommungrupp och övriga sökande. </w:t>
      </w:r>
    </w:p>
    <w:p w:rsidR="00DC1575" w:rsidRPr="001E42CA" w:rsidRDefault="00DC1575">
      <w:pPr>
        <w:numPr>
          <w:ilvl w:val="0"/>
          <w:numId w:val="82"/>
        </w:numPr>
      </w:pPr>
      <w:r w:rsidRPr="001E42CA">
        <w:t>En översiktlig beskrivning av strukturella faktorer såsom befolkningsu</w:t>
      </w:r>
      <w:r w:rsidRPr="001E42CA">
        <w:t>t</w:t>
      </w:r>
      <w:r w:rsidRPr="001E42CA">
        <w:t>vecklingen under de senaste tio åren, befolkningsstruktur, arbetslöshet och näringslivsstruktur.</w:t>
      </w:r>
    </w:p>
    <w:p w:rsidR="00DC1575" w:rsidRPr="001E42CA" w:rsidRDefault="00DC1575">
      <w:pPr>
        <w:numPr>
          <w:ilvl w:val="0"/>
          <w:numId w:val="82"/>
        </w:numPr>
      </w:pPr>
      <w:r w:rsidRPr="001E42CA">
        <w:t>En fördjupad genomgång av kommunens ekonomi med bland annat analys av resul</w:t>
      </w:r>
      <w:r w:rsidRPr="001E42CA">
        <w:softHyphen/>
        <w:t xml:space="preserve">tat- och balansräkningar. Här har såväl utvecklingen av de totala kostnaderna och intäkterna, som tillgångs- och skuldposter i balansräkningen analyserats. </w:t>
      </w:r>
    </w:p>
    <w:p w:rsidR="00DC1575" w:rsidRPr="001E42CA" w:rsidRDefault="00DC1575">
      <w:pPr>
        <w:numPr>
          <w:ilvl w:val="0"/>
          <w:numId w:val="82"/>
        </w:numPr>
      </w:pPr>
      <w:r w:rsidRPr="001E42CA">
        <w:t>En genomgång av budget och utfall, för både kommunen och alla nämnder, under en treårsperiod i syfte att identifiera styrproblem.</w:t>
      </w:r>
    </w:p>
    <w:p w:rsidR="00DC1575" w:rsidRPr="001E42CA" w:rsidRDefault="00DC1575">
      <w:pPr>
        <w:numPr>
          <w:ilvl w:val="0"/>
          <w:numId w:val="82"/>
        </w:numPr>
      </w:pPr>
      <w:r w:rsidRPr="001E42CA">
        <w:t>En fördjupad analys av verksamheten och dess kostnader utgjorde tyngdpunkten i analysarbetet. Här har jämförelser gjorts med andra kommuner och med riksnivån. En viktig indikator har varit hur komm</w:t>
      </w:r>
      <w:r w:rsidRPr="001E42CA">
        <w:t>u</w:t>
      </w:r>
      <w:r w:rsidRPr="001E42CA">
        <w:t>nens kostnader för olika verksamheter förhåller sig till de strukturellt betingade kostnader för olika verksamheter som kan beräknas med hjälp av kostnadsutjämningen</w:t>
      </w:r>
      <w:r w:rsidRPr="001E42CA">
        <w:rPr>
          <w:rStyle w:val="Fotnotsreferens"/>
        </w:rPr>
        <w:footnoteReference w:id="14"/>
      </w:r>
      <w:r w:rsidRPr="001E42CA">
        <w:t xml:space="preserve">. </w:t>
      </w:r>
    </w:p>
    <w:p w:rsidR="00DC1575" w:rsidRPr="001E42CA" w:rsidRDefault="00DC1575">
      <w:pPr>
        <w:numPr>
          <w:ilvl w:val="0"/>
          <w:numId w:val="82"/>
        </w:numPr>
      </w:pPr>
      <w:r w:rsidRPr="001E42CA">
        <w:t>En analys av de kommunala företagen, med tonvikt på eventuella b</w:t>
      </w:r>
      <w:r w:rsidRPr="001E42CA">
        <w:t>o</w:t>
      </w:r>
      <w:r w:rsidRPr="001E42CA">
        <w:t>stadsföretag. Kommunala företag kan utgöra betydande tillgångar för vissa kommuner, medan de för andra kan innebära stora risker och vara en belastning för den kommunala ekon</w:t>
      </w:r>
      <w:r w:rsidRPr="001E42CA">
        <w:t>o</w:t>
      </w:r>
      <w:r w:rsidRPr="001E42CA">
        <w:t xml:space="preserve">min. </w:t>
      </w:r>
    </w:p>
    <w:p w:rsidR="00DC1575" w:rsidRPr="001E42CA" w:rsidRDefault="00DC1575">
      <w:pPr>
        <w:pStyle w:val="R4"/>
      </w:pPr>
      <w:r w:rsidRPr="001E42CA">
        <w:t>Bedömning av nivåsänkning</w:t>
      </w:r>
    </w:p>
    <w:p w:rsidR="00DC1575" w:rsidRPr="001E42CA" w:rsidRDefault="00DC1575">
      <w:r w:rsidRPr="001E42CA">
        <w:t>Delegationen gjorde, vid sidan av de sökande kommunernas egna ekonomi</w:t>
      </w:r>
      <w:r w:rsidRPr="001E42CA">
        <w:t>s</w:t>
      </w:r>
      <w:r w:rsidRPr="001E42CA">
        <w:t xml:space="preserve">ka flerårsplaner, beräkningar med likartade planeringsförutsättningar. Dessa beräkningar syftade till att </w:t>
      </w:r>
    </w:p>
    <w:p w:rsidR="00DC1575" w:rsidRPr="001E42CA" w:rsidRDefault="00DC1575">
      <w:pPr>
        <w:numPr>
          <w:ilvl w:val="0"/>
          <w:numId w:val="83"/>
        </w:numPr>
        <w:spacing w:before="0"/>
        <w:ind w:left="357" w:hanging="357"/>
      </w:pPr>
      <w:r w:rsidRPr="001E42CA">
        <w:t>bedöma realismen i den presenterade budget- och flerårsplanen samt att</w:t>
      </w:r>
    </w:p>
    <w:p w:rsidR="00DC1575" w:rsidRPr="001E42CA" w:rsidRDefault="00DC1575">
      <w:pPr>
        <w:numPr>
          <w:ilvl w:val="0"/>
          <w:numId w:val="83"/>
        </w:numPr>
      </w:pPr>
      <w:r w:rsidRPr="001E42CA">
        <w:t>bedöma hur stora nivåsänkningar av kostnaderna som krävdes för att kommunen skulle nå en ekonomi i balans senast 2002.</w:t>
      </w:r>
    </w:p>
    <w:p w:rsidR="00DC1575" w:rsidRPr="001E42CA" w:rsidRDefault="00DC1575">
      <w:pPr>
        <w:pStyle w:val="Normaltindrag"/>
      </w:pPr>
    </w:p>
    <w:p w:rsidR="00DC1575" w:rsidRPr="001E42CA" w:rsidRDefault="00DC1575">
      <w:pPr>
        <w:spacing w:before="0"/>
      </w:pPr>
      <w:r w:rsidRPr="001E42CA">
        <w:t>För att få jämförbara resultaträkningar utgick delegationen från följande:</w:t>
      </w:r>
    </w:p>
    <w:p w:rsidR="00DC1575" w:rsidRPr="001E42CA" w:rsidRDefault="00DC1575">
      <w:pPr>
        <w:pStyle w:val="Normaltindrag"/>
      </w:pPr>
    </w:p>
    <w:p w:rsidR="00DC1575" w:rsidRPr="001E42CA" w:rsidRDefault="00DC1575">
      <w:pPr>
        <w:numPr>
          <w:ilvl w:val="0"/>
          <w:numId w:val="84"/>
        </w:numPr>
        <w:spacing w:before="0"/>
        <w:ind w:left="357" w:hanging="357"/>
      </w:pPr>
      <w:r w:rsidRPr="001E42CA">
        <w:t>Beräkningarna baserades på 1999 års resultat. Kostnader och intäkter av engångskaraktär har exkluderats.</w:t>
      </w:r>
    </w:p>
    <w:p w:rsidR="00DC1575" w:rsidRPr="001E42CA" w:rsidRDefault="00DC1575">
      <w:pPr>
        <w:numPr>
          <w:ilvl w:val="0"/>
          <w:numId w:val="84"/>
        </w:numPr>
      </w:pPr>
      <w:r w:rsidRPr="001E42CA">
        <w:t>Kostnader och intäkter för planperioden har beräknats med hjälp av prognoser från Kommunförbundet, Landstingsförbundet och Finansd</w:t>
      </w:r>
      <w:r w:rsidRPr="001E42CA">
        <w:t>e</w:t>
      </w:r>
      <w:r w:rsidRPr="001E42CA">
        <w:t>pa</w:t>
      </w:r>
      <w:r w:rsidRPr="001E42CA">
        <w:t>r</w:t>
      </w:r>
      <w:r w:rsidRPr="001E42CA">
        <w:t>tementet.</w:t>
      </w:r>
    </w:p>
    <w:p w:rsidR="00DC1575" w:rsidRPr="001E42CA" w:rsidRDefault="00DC1575">
      <w:pPr>
        <w:numPr>
          <w:ilvl w:val="0"/>
          <w:numId w:val="84"/>
        </w:numPr>
      </w:pPr>
      <w:r w:rsidRPr="001E42CA">
        <w:t>Folkmängden är en central variabel vid beräkning av en kommuns i</w:t>
      </w:r>
      <w:r w:rsidRPr="001E42CA">
        <w:t>n</w:t>
      </w:r>
      <w:r w:rsidRPr="001E42CA">
        <w:t>täkter. Delegationen har utgått från den årliga förändringen under peri</w:t>
      </w:r>
      <w:r w:rsidRPr="001E42CA">
        <w:t>o</w:t>
      </w:r>
      <w:r w:rsidRPr="001E42CA">
        <w:t>den 1997 till 1999. Denna förändringstakt har sedan antagits vara ko</w:t>
      </w:r>
      <w:r w:rsidRPr="001E42CA">
        <w:t>n</w:t>
      </w:r>
      <w:r w:rsidRPr="001E42CA">
        <w:t>stant under hela pr</w:t>
      </w:r>
      <w:r w:rsidRPr="001E42CA">
        <w:t>o</w:t>
      </w:r>
      <w:r w:rsidRPr="001E42CA">
        <w:t xml:space="preserve">gnosperioden. </w:t>
      </w:r>
    </w:p>
    <w:p w:rsidR="00DC1575" w:rsidRPr="001E42CA" w:rsidRDefault="00DC1575">
      <w:pPr>
        <w:numPr>
          <w:ilvl w:val="0"/>
          <w:numId w:val="84"/>
        </w:numPr>
      </w:pPr>
      <w:r w:rsidRPr="001E42CA">
        <w:t xml:space="preserve">Avskrivningar och finansiella poster har tagits från kommunens egen plan. </w:t>
      </w:r>
    </w:p>
    <w:p w:rsidR="00DC1575" w:rsidRPr="001E42CA" w:rsidRDefault="00DC1575">
      <w:pPr>
        <w:pStyle w:val="Normaltindrag"/>
      </w:pPr>
    </w:p>
    <w:p w:rsidR="00DC1575" w:rsidRPr="001E42CA" w:rsidRDefault="00DC1575">
      <w:pPr>
        <w:spacing w:before="0"/>
      </w:pPr>
      <w:r w:rsidRPr="001E42CA">
        <w:t xml:space="preserve">Delegationen pekar på att deras beräkningar av nivåsänkningsbehovet ofta, åtminstone initialt, skilde sig från kommunernas egna bedömningar (se även avsnitt 4.3 där dessa skillnader diskuteras närmare).  </w:t>
      </w:r>
    </w:p>
    <w:p w:rsidR="00DC1575" w:rsidRPr="001E42CA" w:rsidRDefault="00DC1575">
      <w:pPr>
        <w:pStyle w:val="R3"/>
      </w:pPr>
      <w:bookmarkStart w:id="46" w:name="_Toc505525505"/>
      <w:r w:rsidRPr="001E42CA">
        <w:t>Ansökningar som behandlats av bägge delegationerna</w:t>
      </w:r>
      <w:bookmarkEnd w:id="46"/>
    </w:p>
    <w:p w:rsidR="00DC1575" w:rsidRPr="001E42CA" w:rsidRDefault="00DC1575">
      <w:r w:rsidRPr="001E42CA">
        <w:t>Ett antal ärenden har behandlats av bägge delegationerna i samråd. B</w:t>
      </w:r>
      <w:r w:rsidRPr="001E42CA">
        <w:t>e</w:t>
      </w:r>
      <w:r w:rsidRPr="001E42CA">
        <w:t>slutsunderlaget för dessa ärenden finns aktlagt både hos Bostadsdelegationen och hos Finansdepartementet. Beslutsunderlaget består av underlag från bägge delegationerna. Underlagen är uppbyggda på samma sätt som för respektive delegations egna ärenden. Grunderna för respektive delegations ställningstagande går att analysera med hjälp av underlaget. Delegationerna har genomfört gemensamma förhandlingar i de fall där bedömningarna ind</w:t>
      </w:r>
      <w:r w:rsidRPr="001E42CA">
        <w:t>i</w:t>
      </w:r>
      <w:r w:rsidRPr="001E42CA">
        <w:t>kerat att stöd kan och bör utgå i e</w:t>
      </w:r>
      <w:r w:rsidRPr="001E42CA">
        <w:t>n</w:t>
      </w:r>
      <w:r w:rsidRPr="001E42CA">
        <w:t>lighet med respektive delegations dire</w:t>
      </w:r>
      <w:r w:rsidRPr="001E42CA">
        <w:t>ktiv.</w:t>
      </w:r>
    </w:p>
    <w:p w:rsidR="00DC1575" w:rsidRPr="001E42CA" w:rsidRDefault="00DC1575">
      <w:pPr>
        <w:pStyle w:val="R3"/>
      </w:pPr>
      <w:bookmarkStart w:id="47" w:name="_Toc505525506"/>
      <w:r w:rsidRPr="001E42CA">
        <w:t>Ernst &amp; Youngs slutsatser om beslutsunderlagen</w:t>
      </w:r>
      <w:bookmarkEnd w:id="47"/>
    </w:p>
    <w:p w:rsidR="00DC1575" w:rsidRPr="001E42CA" w:rsidRDefault="00DC1575">
      <w:pPr>
        <w:pStyle w:val="R4"/>
        <w:spacing w:before="123"/>
      </w:pPr>
      <w:r w:rsidRPr="001E42CA">
        <w:t>Bostadsdelegationen</w:t>
      </w:r>
    </w:p>
    <w:p w:rsidR="00DC1575" w:rsidRPr="001E42CA" w:rsidRDefault="00DC1575">
      <w:r w:rsidRPr="001E42CA">
        <w:t>Underlagen för Bostadsdelegationens beslut finns samlade i delegationens akter. Vissa av kalkylerna finns som datafiler. Det går att, med hjälp av a</w:t>
      </w:r>
      <w:r w:rsidRPr="001E42CA">
        <w:t>k</w:t>
      </w:r>
      <w:r w:rsidRPr="001E42CA">
        <w:t>ternas innehåll och tillgång till beräkningarna, analysera grunderna för b</w:t>
      </w:r>
      <w:r w:rsidRPr="001E42CA">
        <w:t>e</w:t>
      </w:r>
      <w:r w:rsidRPr="001E42CA">
        <w:t>sluten. I de fall som ett ärende har lett till avtal mellan staten och en ko</w:t>
      </w:r>
      <w:r w:rsidRPr="001E42CA">
        <w:t>m</w:t>
      </w:r>
      <w:r w:rsidRPr="001E42CA">
        <w:t>mun, har kommunen fått ett avtalsunderlag som sammanfattar delegationens bedömning och villkor som är förknippade med stödet. I de fall delegationen funnit att en kommun klarar en rekonstruktion av bostadsföretaget på egen hand, har avslaget motiverats i ett brev till kommunen. Detta dokument ger ytterligare underlag för att analysera grunde</w:t>
      </w:r>
      <w:r w:rsidRPr="001E42CA">
        <w:t>r</w:t>
      </w:r>
      <w:r w:rsidRPr="001E42CA">
        <w:t>na för beslutet</w:t>
      </w:r>
      <w:r w:rsidRPr="001E42CA">
        <w:t>.</w:t>
      </w:r>
    </w:p>
    <w:p w:rsidR="00DC1575" w:rsidRPr="001E42CA" w:rsidRDefault="00DC1575">
      <w:pPr>
        <w:pStyle w:val="Normaltindrag"/>
      </w:pPr>
      <w:r w:rsidRPr="001E42CA">
        <w:t>Beslutsunderlaget är detsamma i alla de granskade ärendena. Underlaget är objektivt. De framskrivningar och beräkningar som delegationen har gjort vilar på likadana antaganden om till exempel den makroekonomiska utvec</w:t>
      </w:r>
      <w:r w:rsidRPr="001E42CA">
        <w:t>k</w:t>
      </w:r>
      <w:r w:rsidRPr="001E42CA">
        <w:t xml:space="preserve">lingen. Handläggningen är att betrakta som </w:t>
      </w:r>
      <w:r w:rsidRPr="001E42CA">
        <w:rPr>
          <w:i/>
        </w:rPr>
        <w:t>omsorgsfull</w:t>
      </w:r>
      <w:r w:rsidRPr="001E42CA">
        <w:t>. Underlagen inn</w:t>
      </w:r>
      <w:r w:rsidRPr="001E42CA">
        <w:t>e</w:t>
      </w:r>
      <w:r w:rsidRPr="001E42CA">
        <w:t>håller kommunalekonomiska och bostadsekonomiska bedömningar av god kvalitet. Förutom delegationens arbete med analyser har betydande tid a</w:t>
      </w:r>
      <w:r w:rsidRPr="001E42CA">
        <w:t>v</w:t>
      </w:r>
      <w:r w:rsidRPr="001E42CA">
        <w:t xml:space="preserve">satts för dialog med de sökande kommunerna både i form av kommunbesök och samtal/förhandlingar. </w:t>
      </w:r>
    </w:p>
    <w:p w:rsidR="00DC1575" w:rsidRPr="001E42CA" w:rsidRDefault="00DC1575">
      <w:pPr>
        <w:pStyle w:val="R4"/>
      </w:pPr>
      <w:r w:rsidRPr="001E42CA">
        <w:t>Kommundelegationen</w:t>
      </w:r>
    </w:p>
    <w:p w:rsidR="00DC1575" w:rsidRPr="001E42CA" w:rsidRDefault="00DC1575">
      <w:r w:rsidRPr="001E42CA">
        <w:t>Det material som Kommundelegationen överlämnade till Regeringskansliet, och som är aktlagt på Finansdepartementet, innehåller grundanalyser och minnesanteckningar från kommunträffarna. Beräkningar av behovet av niv</w:t>
      </w:r>
      <w:r w:rsidRPr="001E42CA">
        <w:t>å</w:t>
      </w:r>
      <w:r w:rsidRPr="001E42CA">
        <w:t>sänkning återfinns endast i några akter. Dessa beräkningar finns dock til</w:t>
      </w:r>
      <w:r w:rsidRPr="001E42CA">
        <w:t>l</w:t>
      </w:r>
      <w:r w:rsidRPr="001E42CA">
        <w:t xml:space="preserve">gängliga som datafiler. I de flesta fall pekas inte på en enskild faktor som avgörande för delegationens ställningstagande, utan beslutet vilar på en samlad bedömning av kommunens ekonomiska förutsättningar. Det går att, med hjälp av akternas innehåll och tillgång till beräkningarna, analysera grunderna för besluten. </w:t>
      </w:r>
    </w:p>
    <w:p w:rsidR="00DC1575" w:rsidRPr="001E42CA" w:rsidRDefault="00DC1575">
      <w:pPr>
        <w:pStyle w:val="Normaltindrag"/>
      </w:pPr>
      <w:r w:rsidRPr="001E42CA">
        <w:t>Alla granskade ärenden innehåller samma beslutsunderlag. I vissa fall har grundanalysen utarbetats av konsulter i stä</w:t>
      </w:r>
      <w:r w:rsidRPr="001E42CA">
        <w:t>llet för sekretariatet. Det var då frågan om tidiga ärenden, innan sekretariatet var fullt bemannat. Konsulte</w:t>
      </w:r>
      <w:r w:rsidRPr="001E42CA">
        <w:t>r</w:t>
      </w:r>
      <w:r w:rsidRPr="001E42CA">
        <w:t>nas grundanalyser har samma uppbyggnad och innehåll som de övriga. U</w:t>
      </w:r>
      <w:r w:rsidRPr="001E42CA">
        <w:t>n</w:t>
      </w:r>
      <w:r w:rsidRPr="001E42CA">
        <w:t>derlaget är objektivt. De framskrivningar och beräkningar som delegationen har gjort vilar på likadana antaganden om t.ex. den makroekonomiska u</w:t>
      </w:r>
      <w:r w:rsidRPr="001E42CA">
        <w:t>t</w:t>
      </w:r>
      <w:r w:rsidRPr="001E42CA">
        <w:t>vecklingen. De kommunalekonomiska</w:t>
      </w:r>
      <w:r w:rsidRPr="001E42CA">
        <w:rPr>
          <w:i/>
        </w:rPr>
        <w:t xml:space="preserve"> </w:t>
      </w:r>
      <w:r w:rsidRPr="001E42CA">
        <w:t xml:space="preserve">bedömningarnas uppbyggnad har beskrivits tidigare. Bedömningarna bygger på väl etablerade metoder och är av god kvalitet. </w:t>
      </w:r>
    </w:p>
    <w:p w:rsidR="00DC1575" w:rsidRPr="001E42CA" w:rsidRDefault="00DC1575">
      <w:pPr>
        <w:pStyle w:val="Normaltindrag"/>
      </w:pPr>
      <w:r w:rsidRPr="001E42CA">
        <w:t xml:space="preserve">Då handläggningen av ärenden i </w:t>
      </w:r>
      <w:r w:rsidRPr="001E42CA">
        <w:t>Kommundelegationen granskas är det e</w:t>
      </w:r>
      <w:r w:rsidRPr="001E42CA">
        <w:t>n</w:t>
      </w:r>
      <w:r w:rsidRPr="001E42CA">
        <w:t>ligt Ernst &amp; Young viktigt att beakta den korta tid under vilken arbetet har bedrivits. Av direktiven framgår att delegationen skulle överlämna sitt slu</w:t>
      </w:r>
      <w:r w:rsidRPr="001E42CA">
        <w:t>t</w:t>
      </w:r>
      <w:r w:rsidRPr="001E42CA">
        <w:t>betänkande senast den 1 juli 2000. Delegationen mottog totalt 66 ärenden i november och december 1999 och hade därmed ca 6,5 månaders bruttotid (ca 130 arbetsdagar) till förfogande för analys, sammanträffanden, inhä</w:t>
      </w:r>
      <w:r w:rsidRPr="001E42CA">
        <w:t>m</w:t>
      </w:r>
      <w:r w:rsidRPr="001E42CA">
        <w:t xml:space="preserve">tande av åtgärdsplan och slutligen förhandlingar. Detta måste betraktas som en kort tid för att handlägga </w:t>
      </w:r>
      <w:r w:rsidRPr="001E42CA">
        <w:t xml:space="preserve">en så pass stor volym av komplexa ärenden. Det noteras att delegationen endast i ytterst begränsad utsträckning har utnyttjat möjligheterna att via extern hjälp lätta på arbetsbördan. </w:t>
      </w:r>
    </w:p>
    <w:p w:rsidR="00DC1575" w:rsidRPr="001E42CA" w:rsidRDefault="00DC1575">
      <w:pPr>
        <w:pStyle w:val="Normaltindrag"/>
      </w:pPr>
      <w:r w:rsidRPr="001E42CA">
        <w:t>Handläggningen är, givet den tidsrestriktion som delegationen arbetat u</w:t>
      </w:r>
      <w:r w:rsidRPr="001E42CA">
        <w:t>n</w:t>
      </w:r>
      <w:r w:rsidRPr="001E42CA">
        <w:t xml:space="preserve">der, att betrakta som </w:t>
      </w:r>
      <w:r w:rsidRPr="001E42CA">
        <w:rPr>
          <w:i/>
        </w:rPr>
        <w:t>omsorg</w:t>
      </w:r>
      <w:r w:rsidRPr="001E42CA">
        <w:rPr>
          <w:i/>
        </w:rPr>
        <w:t>s</w:t>
      </w:r>
      <w:r w:rsidRPr="001E42CA">
        <w:rPr>
          <w:i/>
        </w:rPr>
        <w:t>full</w:t>
      </w:r>
      <w:r w:rsidRPr="001E42CA">
        <w:t xml:space="preserve">. </w:t>
      </w:r>
    </w:p>
    <w:p w:rsidR="00DC1575" w:rsidRPr="001E42CA" w:rsidRDefault="00DC1575">
      <w:pPr>
        <w:pStyle w:val="Rubrik2"/>
      </w:pPr>
      <w:bookmarkStart w:id="48" w:name="_Toc526302390"/>
      <w:r w:rsidRPr="001E42CA">
        <w:t>Beslutskriterier</w:t>
      </w:r>
      <w:bookmarkEnd w:id="48"/>
    </w:p>
    <w:p w:rsidR="00DC1575" w:rsidRPr="001E42CA" w:rsidRDefault="00DC1575">
      <w:pPr>
        <w:pStyle w:val="R3"/>
        <w:spacing w:before="123"/>
      </w:pPr>
      <w:r w:rsidRPr="001E42CA">
        <w:t>Allmänt</w:t>
      </w:r>
    </w:p>
    <w:p w:rsidR="00DC1575" w:rsidRPr="001E42CA" w:rsidRDefault="00DC1575">
      <w:r w:rsidRPr="001E42CA">
        <w:t>I uppdraget ingick att analysera vilka typer av kommuner som fått respektive inte fått stöd. Förutom en mer allmän analys skulle följande frågor analys</w:t>
      </w:r>
      <w:r w:rsidRPr="001E42CA">
        <w:t>e</w:t>
      </w:r>
      <w:r w:rsidRPr="001E42CA">
        <w:t>ras.</w:t>
      </w:r>
    </w:p>
    <w:p w:rsidR="00DC1575" w:rsidRPr="001E42CA" w:rsidRDefault="00DC1575">
      <w:pPr>
        <w:pStyle w:val="Normaltindrag"/>
      </w:pPr>
    </w:p>
    <w:p w:rsidR="00DC1575" w:rsidRPr="001E42CA" w:rsidRDefault="00DC1575">
      <w:pPr>
        <w:numPr>
          <w:ilvl w:val="0"/>
          <w:numId w:val="59"/>
        </w:numPr>
        <w:spacing w:before="0"/>
        <w:ind w:left="357" w:hanging="357"/>
      </w:pPr>
      <w:r w:rsidRPr="001E42CA">
        <w:t>Finns det entydiga ekonomiska skillnader mellan de kommuner och landsting som fått stöd respektive inte fått stöd?</w:t>
      </w:r>
    </w:p>
    <w:p w:rsidR="00DC1575" w:rsidRPr="001E42CA" w:rsidRDefault="00DC1575">
      <w:pPr>
        <w:numPr>
          <w:ilvl w:val="0"/>
          <w:numId w:val="59"/>
        </w:numPr>
      </w:pPr>
      <w:r w:rsidRPr="001E42CA">
        <w:t>Finns det entydiga ekonomiska skillnader mellan de kommuner och landsting som fått stöd och kommunsektorn i allmänhet?</w:t>
      </w:r>
    </w:p>
    <w:p w:rsidR="00DC1575" w:rsidRPr="001E42CA" w:rsidRDefault="00DC1575">
      <w:pPr>
        <w:numPr>
          <w:ilvl w:val="0"/>
          <w:numId w:val="59"/>
        </w:numPr>
      </w:pPr>
      <w:r w:rsidRPr="001E42CA">
        <w:t>Finns det andra typer av skillnader som kan motivera besluten?</w:t>
      </w:r>
    </w:p>
    <w:p w:rsidR="00DC1575" w:rsidRPr="001E42CA" w:rsidRDefault="00DC1575">
      <w:pPr>
        <w:numPr>
          <w:ilvl w:val="0"/>
          <w:numId w:val="59"/>
        </w:numPr>
      </w:pPr>
      <w:r w:rsidRPr="001E42CA">
        <w:t>Vilka beslutskriterier förefaller ha vägt tyngst?</w:t>
      </w:r>
    </w:p>
    <w:p w:rsidR="00DC1575" w:rsidRPr="001E42CA" w:rsidRDefault="00DC1575">
      <w:pPr>
        <w:numPr>
          <w:ilvl w:val="0"/>
          <w:numId w:val="59"/>
        </w:numPr>
      </w:pPr>
      <w:r w:rsidRPr="001E42CA">
        <w:t>Vilka kriterier har styrt storleken på stödet?</w:t>
      </w:r>
    </w:p>
    <w:p w:rsidR="00DC1575" w:rsidRPr="001E42CA" w:rsidRDefault="00DC1575">
      <w:pPr>
        <w:numPr>
          <w:ilvl w:val="0"/>
          <w:numId w:val="59"/>
        </w:numPr>
      </w:pPr>
      <w:r w:rsidRPr="001E42CA">
        <w:t>Har dessa kriterier tillämpats strikt?</w:t>
      </w:r>
    </w:p>
    <w:p w:rsidR="00DC1575" w:rsidRPr="001E42CA" w:rsidRDefault="00DC1575">
      <w:pPr>
        <w:numPr>
          <w:ilvl w:val="0"/>
          <w:numId w:val="59"/>
        </w:numPr>
      </w:pPr>
      <w:r w:rsidRPr="001E42CA">
        <w:t>Finns det skillnader mellan kommuner/landsting som påbörjat eller avslutat en omstrukturering av ekonomin och kommuner/landsting som senarelagt sådana omstruktureringar?</w:t>
      </w:r>
    </w:p>
    <w:p w:rsidR="00DC1575" w:rsidRPr="001E42CA" w:rsidRDefault="00DC1575">
      <w:pPr>
        <w:pStyle w:val="Normaltindrag"/>
      </w:pPr>
    </w:p>
    <w:p w:rsidR="00DC1575" w:rsidRPr="001E42CA" w:rsidRDefault="00DC1575">
      <w:pPr>
        <w:spacing w:before="0"/>
      </w:pPr>
      <w:r w:rsidRPr="001E42CA">
        <w:t xml:space="preserve">I uppdraget ingick också att analysera eventuella skillnader i handläggningen mellan Bostadsdelegationen och Kommundelegationen/regeringen. </w:t>
      </w:r>
    </w:p>
    <w:p w:rsidR="00DC1575" w:rsidRPr="001E42CA" w:rsidRDefault="00DC1575">
      <w:pPr>
        <w:pStyle w:val="R3"/>
      </w:pPr>
      <w:r w:rsidRPr="001E42CA">
        <w:t>Uppläggningen av analysen</w:t>
      </w:r>
    </w:p>
    <w:p w:rsidR="00DC1575" w:rsidRPr="001E42CA" w:rsidRDefault="00DC1575">
      <w:r w:rsidRPr="001E42CA">
        <w:t>Analysen av beslutskriterierna har i princip inneburit att utfallet av deleg</w:t>
      </w:r>
      <w:r w:rsidRPr="001E42CA">
        <w:t>a</w:t>
      </w:r>
      <w:r w:rsidRPr="001E42CA">
        <w:t>tionernas arbete har granskats. Nyckeltal för de kommuner som har fått stöd och de som inte fått stöd har analyserats, i syfte att undersöka om det finns påvisbara skillnader mellan dessa grupper och övriga kommuner. Vidare studeras om det finns påvisbara skillnader mellan kommuner som handlagts i Ko</w:t>
      </w:r>
      <w:r w:rsidRPr="001E42CA">
        <w:t>m</w:t>
      </w:r>
      <w:r w:rsidRPr="001E42CA">
        <w:t>mun- respektive Bostadsdelegationen.</w:t>
      </w:r>
    </w:p>
    <w:p w:rsidR="00DC1575" w:rsidRPr="001E42CA" w:rsidRDefault="00DC1575">
      <w:pPr>
        <w:pStyle w:val="Normaltindrag"/>
      </w:pPr>
      <w:r w:rsidRPr="001E42CA">
        <w:t>Jämförelserna görs för ekonomiska data, verksamhetsdata och för strukt</w:t>
      </w:r>
      <w:r w:rsidRPr="001E42CA">
        <w:t>u</w:t>
      </w:r>
      <w:r w:rsidRPr="001E42CA">
        <w:t>rella data. Data avser i huvudsak verksamhetsåret 1999. I princip är det li</w:t>
      </w:r>
      <w:r w:rsidRPr="001E42CA">
        <w:t>k</w:t>
      </w:r>
      <w:r w:rsidRPr="001E42CA">
        <w:t xml:space="preserve">nande data som redovisats i kapitel 4 och resultaten är dessutom ungefär likartade. Mot bakgrund av detta redovisas inte det tabellmaterial som tagits fram av Ernst &amp; Young, utan redovisningen begränsas till Ernst &amp; Youngs slutsatser. </w:t>
      </w:r>
    </w:p>
    <w:p w:rsidR="00DC1575" w:rsidRPr="001E42CA" w:rsidRDefault="00DC1575">
      <w:pPr>
        <w:pStyle w:val="R3"/>
      </w:pPr>
      <w:r w:rsidRPr="001E42CA">
        <w:t>Ernst &amp; Youngs slutsatser om beslutskriterierna</w:t>
      </w:r>
    </w:p>
    <w:p w:rsidR="00DC1575" w:rsidRPr="001E42CA" w:rsidRDefault="00DC1575">
      <w:r w:rsidRPr="001E42CA">
        <w:t>För Bostadsdelegationens del sammanfattas bifallsärendena i följande pun</w:t>
      </w:r>
      <w:r w:rsidRPr="001E42CA">
        <w:t>k</w:t>
      </w:r>
      <w:r w:rsidRPr="001E42CA">
        <w:t>ter:</w:t>
      </w:r>
    </w:p>
    <w:p w:rsidR="00DC1575" w:rsidRPr="001E42CA" w:rsidRDefault="00DC1575">
      <w:pPr>
        <w:pStyle w:val="Normaltindrag"/>
      </w:pPr>
    </w:p>
    <w:p w:rsidR="00DC1575" w:rsidRPr="001E42CA" w:rsidRDefault="00DC1575">
      <w:pPr>
        <w:numPr>
          <w:ilvl w:val="0"/>
          <w:numId w:val="89"/>
        </w:numPr>
        <w:spacing w:before="0"/>
        <w:ind w:left="357" w:hanging="357"/>
      </w:pPr>
      <w:r w:rsidRPr="001E42CA">
        <w:t>Svagt ekonomiskt resultat.</w:t>
      </w:r>
    </w:p>
    <w:p w:rsidR="00DC1575" w:rsidRPr="001E42CA" w:rsidRDefault="00DC1575">
      <w:pPr>
        <w:numPr>
          <w:ilvl w:val="0"/>
          <w:numId w:val="89"/>
        </w:numPr>
      </w:pPr>
      <w:r w:rsidRPr="001E42CA">
        <w:t>Svag soliditet.</w:t>
      </w:r>
    </w:p>
    <w:p w:rsidR="00DC1575" w:rsidRPr="001E42CA" w:rsidRDefault="00DC1575">
      <w:pPr>
        <w:numPr>
          <w:ilvl w:val="0"/>
          <w:numId w:val="89"/>
        </w:numPr>
      </w:pPr>
      <w:r w:rsidRPr="001E42CA">
        <w:t>Hög kostnadsnivå.</w:t>
      </w:r>
    </w:p>
    <w:p w:rsidR="00DC1575" w:rsidRPr="001E42CA" w:rsidRDefault="00DC1575">
      <w:pPr>
        <w:numPr>
          <w:ilvl w:val="0"/>
          <w:numId w:val="89"/>
        </w:numPr>
      </w:pPr>
      <w:r w:rsidRPr="001E42CA">
        <w:t>Kraftig befolkningsminskning.</w:t>
      </w:r>
    </w:p>
    <w:p w:rsidR="00DC1575" w:rsidRPr="001E42CA" w:rsidRDefault="00DC1575">
      <w:pPr>
        <w:pStyle w:val="Normaltindrag"/>
      </w:pPr>
    </w:p>
    <w:p w:rsidR="00DC1575" w:rsidRPr="001E42CA" w:rsidRDefault="00DC1575">
      <w:pPr>
        <w:spacing w:before="0"/>
      </w:pPr>
      <w:r w:rsidRPr="001E42CA">
        <w:t>Kommundelegationens (inklusive de ärenden som har handlagts gemensamt med Bostadsd</w:t>
      </w:r>
      <w:r w:rsidRPr="001E42CA">
        <w:t>e</w:t>
      </w:r>
      <w:r w:rsidRPr="001E42CA">
        <w:t>legationen) bifallsärenden sammanfattas på följande sätt:</w:t>
      </w:r>
    </w:p>
    <w:p w:rsidR="00DC1575" w:rsidRPr="001E42CA" w:rsidRDefault="00DC1575">
      <w:pPr>
        <w:pStyle w:val="Normaltindrag"/>
      </w:pPr>
    </w:p>
    <w:p w:rsidR="00DC1575" w:rsidRPr="001E42CA" w:rsidRDefault="00DC1575">
      <w:pPr>
        <w:numPr>
          <w:ilvl w:val="0"/>
          <w:numId w:val="90"/>
        </w:numPr>
        <w:spacing w:before="0"/>
        <w:ind w:left="357" w:hanging="357"/>
      </w:pPr>
      <w:r w:rsidRPr="001E42CA">
        <w:t>Svagt ekonomiskt resultat.</w:t>
      </w:r>
    </w:p>
    <w:p w:rsidR="00DC1575" w:rsidRPr="001E42CA" w:rsidRDefault="00DC1575">
      <w:pPr>
        <w:numPr>
          <w:ilvl w:val="0"/>
          <w:numId w:val="90"/>
        </w:numPr>
      </w:pPr>
      <w:r w:rsidRPr="001E42CA">
        <w:t xml:space="preserve">Hög kostnadsnivå. </w:t>
      </w:r>
    </w:p>
    <w:p w:rsidR="00DC1575" w:rsidRPr="001E42CA" w:rsidRDefault="00DC1575">
      <w:pPr>
        <w:numPr>
          <w:ilvl w:val="0"/>
          <w:numId w:val="90"/>
        </w:numPr>
      </w:pPr>
      <w:r w:rsidRPr="001E42CA">
        <w:t xml:space="preserve">Kraftig befolkningsminskning. </w:t>
      </w:r>
    </w:p>
    <w:p w:rsidR="00DC1575" w:rsidRPr="001E42CA" w:rsidRDefault="00DC1575">
      <w:pPr>
        <w:pStyle w:val="Normaltindrag"/>
      </w:pPr>
    </w:p>
    <w:p w:rsidR="00DC1575" w:rsidRPr="001E42CA" w:rsidRDefault="00DC1575">
      <w:pPr>
        <w:spacing w:before="0"/>
      </w:pPr>
      <w:r w:rsidRPr="001E42CA">
        <w:t>Analysen pekar på tydliga ekonomiska skillnader mellan kommuner som har fått respektive inte har fått stöd. Denna slutsats gäller för bägge delegati</w:t>
      </w:r>
      <w:r w:rsidRPr="001E42CA">
        <w:t>o</w:t>
      </w:r>
      <w:r w:rsidRPr="001E42CA">
        <w:t>nerna och även för samrådsärenden. Stödkommunerna har en sämre ekon</w:t>
      </w:r>
      <w:r w:rsidRPr="001E42CA">
        <w:t>o</w:t>
      </w:r>
      <w:r w:rsidRPr="001E42CA">
        <w:t>misk situation än både de kommuner som fått avslag på sina ansökningar och övriga kommuner. Bifallskommunerna från de bägge delegationerna påmi</w:t>
      </w:r>
      <w:r w:rsidRPr="001E42CA">
        <w:t>n</w:t>
      </w:r>
      <w:r w:rsidRPr="001E42CA">
        <w:t>ner på många sätt om varandra. Den mest utmärkande skillnaden är den påtagligt lägre soliditeten hos Bostadsdelegationens bifallskommuner. För övrigt har Kommundelegationens bifallskommuner något sämre resultat och högre nettokostnader, samt en något högre utbudsnivå. Positivt för Ko</w:t>
      </w:r>
      <w:r w:rsidRPr="001E42CA">
        <w:t>m</w:t>
      </w:r>
      <w:r w:rsidRPr="001E42CA">
        <w:t>mundelegatione</w:t>
      </w:r>
      <w:r w:rsidRPr="001E42CA">
        <w:t>ns bifallskommuner är en något lägre kostnadsö</w:t>
      </w:r>
      <w:r w:rsidRPr="001E42CA">
        <w:t>k</w:t>
      </w:r>
      <w:r w:rsidRPr="001E42CA">
        <w:t xml:space="preserve">ningstakt. </w:t>
      </w:r>
    </w:p>
    <w:p w:rsidR="00DC1575" w:rsidRPr="001E42CA" w:rsidRDefault="00DC1575">
      <w:pPr>
        <w:pStyle w:val="Normaltindrag"/>
      </w:pPr>
      <w:r w:rsidRPr="001E42CA">
        <w:t>För Bostadsdelegationen var bostadsföretagets ekonomi självklart en u</w:t>
      </w:r>
      <w:r w:rsidRPr="001E42CA">
        <w:t>t</w:t>
      </w:r>
      <w:r w:rsidRPr="001E42CA">
        <w:t>gångspunkt i analysen av den enskilda kommunens förutsättningar att hant</w:t>
      </w:r>
      <w:r w:rsidRPr="001E42CA">
        <w:t>e</w:t>
      </w:r>
      <w:r w:rsidRPr="001E42CA">
        <w:t>ra uppkomna problem. För Kommundelegationens del förefaller det beslu</w:t>
      </w:r>
      <w:r w:rsidRPr="001E42CA">
        <w:t>t</w:t>
      </w:r>
      <w:r w:rsidRPr="001E42CA">
        <w:t>s-kriterium som haft störst betydelse vara resultatnivån. Detta ligger i linje med vad som redovisas i delegationens slutrapport, där det sägs att bidragets storlek relateras till det sparbehov som beräknas behöva genomföras för att kommunen ska uppnå ekonomisk balans år 2002. Delegationens bedömnin</w:t>
      </w:r>
      <w:r w:rsidRPr="001E42CA">
        <w:t>g</w:t>
      </w:r>
      <w:r w:rsidRPr="001E42CA">
        <w:t>ar av stödets omfattning har också styrts av de sökandes soliditet,</w:t>
      </w:r>
      <w:r w:rsidRPr="001E42CA">
        <w:t xml:space="preserve"> skattesats etc. </w:t>
      </w:r>
    </w:p>
    <w:p w:rsidR="00DC1575" w:rsidRPr="001E42CA" w:rsidRDefault="00DC1575">
      <w:pPr>
        <w:pStyle w:val="Normaltindrag"/>
      </w:pPr>
      <w:r w:rsidRPr="001E42CA">
        <w:t>En jämförelse mellan Kommundelegationens avslags- och bifallskomm</w:t>
      </w:r>
      <w:r w:rsidRPr="001E42CA">
        <w:t>u</w:t>
      </w:r>
      <w:r w:rsidRPr="001E42CA">
        <w:t>ner med avseende på kostnadsnivå och kostnadsutveckling visar på några tendenser som är viktiga att uppmärksamma. Bifallskommunernas kostnad</w:t>
      </w:r>
      <w:r w:rsidRPr="001E42CA">
        <w:t>s</w:t>
      </w:r>
      <w:r w:rsidRPr="001E42CA">
        <w:t>nivå och kostnadsutveckling är betydligt högre än avslagskommunernas. Detta kan tyda på att kommuner som påbörjat eller avslutat en omstruktur</w:t>
      </w:r>
      <w:r w:rsidRPr="001E42CA">
        <w:t>e</w:t>
      </w:r>
      <w:r w:rsidRPr="001E42CA">
        <w:t>ring av ekonomin inte har fått statligt ekonomiskt stöd från delegationen. Följaktligen kan det också innebära att kommuner som senarelagt sådana omstruktureringar fått stöd från delegationen. Det kriterium som förefaller att h</w:t>
      </w:r>
      <w:r w:rsidRPr="001E42CA">
        <w:t xml:space="preserve">a varit styrande är behovet av kostnadsnivåsänkning för att nå balanskravet. </w:t>
      </w:r>
    </w:p>
    <w:p w:rsidR="00DC1575" w:rsidRPr="001E42CA" w:rsidRDefault="00DC1575">
      <w:pPr>
        <w:pStyle w:val="Normaltindrag"/>
      </w:pPr>
      <w:r w:rsidRPr="001E42CA">
        <w:t>En analys av kommuner som fått stöd från någon och/eller båda delegati</w:t>
      </w:r>
      <w:r w:rsidRPr="001E42CA">
        <w:t>o</w:t>
      </w:r>
      <w:r w:rsidRPr="001E42CA">
        <w:t>nerna förstärker ytterligare bilden av att de kommuner som fått statligt stöd har ett kraftigt negativt resultat. De har också en högre kostnads- och utbud</w:t>
      </w:r>
      <w:r w:rsidRPr="001E42CA">
        <w:t>s</w:t>
      </w:r>
      <w:r w:rsidRPr="001E42CA">
        <w:t xml:space="preserve">nivå, samt höga kostnader i förhållande till vad som är motiverat utifrån strukturella faktorer. </w:t>
      </w:r>
    </w:p>
    <w:p w:rsidR="00DC1575" w:rsidRPr="001E42CA" w:rsidRDefault="00DC1575">
      <w:pPr>
        <w:pStyle w:val="Normaltindrag"/>
      </w:pPr>
      <w:r w:rsidRPr="001E42CA">
        <w:t>Bostadsdelegationens beslutskriterier bygger på en samlad analys av såväl det kommunala bostadsföretaget som den kommunala ekonomin. Detta gör att de tendenser som ses i datamaterialet inte är lika tydliga som för Ko</w:t>
      </w:r>
      <w:r w:rsidRPr="001E42CA">
        <w:t>m</w:t>
      </w:r>
      <w:r w:rsidRPr="001E42CA">
        <w:t xml:space="preserve">mundelegationens del. </w:t>
      </w:r>
    </w:p>
    <w:p w:rsidR="00DC1575" w:rsidRPr="001E42CA" w:rsidRDefault="00DC1575">
      <w:pPr>
        <w:pStyle w:val="Rubrik2"/>
      </w:pPr>
      <w:bookmarkStart w:id="49" w:name="_Toc526302391"/>
      <w:r w:rsidRPr="001E42CA">
        <w:t>Avtalen</w:t>
      </w:r>
      <w:bookmarkEnd w:id="49"/>
    </w:p>
    <w:p w:rsidR="00DC1575" w:rsidRPr="001E42CA" w:rsidRDefault="00DC1575">
      <w:r w:rsidRPr="001E42CA">
        <w:t>I de ärenden där stöd beviljats har avtal upprättats mellan staten och komm</w:t>
      </w:r>
      <w:r w:rsidRPr="001E42CA">
        <w:t>u</w:t>
      </w:r>
      <w:r w:rsidRPr="001E42CA">
        <w:t>nen. I avtalen regleras dels stödets storlek, dels villkoren för stödet och för utbetalning m.m. Avtalen kan sägas bestå av två delar, dels kommunens åtaganden, dels statens åtaganden.</w:t>
      </w:r>
    </w:p>
    <w:p w:rsidR="00DC1575" w:rsidRPr="001E42CA" w:rsidRDefault="00DC1575">
      <w:pPr>
        <w:pStyle w:val="Normaltindrag"/>
      </w:pPr>
      <w:r w:rsidRPr="001E42CA">
        <w:t>Avtalens konkreta utformning skiljer sig åt mellan Kommundelegationen och Bostadsdelegationen. Bostadsdelegationen träffar avtal direkt med en stödberättigad kommun. Kommundelegationen, å andra sidan, överlämnade förslag till beslut till regeringen. Ernst &amp; Young AB har på revisorernas uppdrag analyserat följande punkter:</w:t>
      </w:r>
    </w:p>
    <w:p w:rsidR="00DC1575" w:rsidRPr="001E42CA" w:rsidRDefault="00DC1575">
      <w:pPr>
        <w:numPr>
          <w:ilvl w:val="0"/>
          <w:numId w:val="58"/>
        </w:numPr>
      </w:pPr>
      <w:r w:rsidRPr="001E42CA">
        <w:t>Är avtalen lämpligt formulerade, realistiska och relevanta?</w:t>
      </w:r>
    </w:p>
    <w:p w:rsidR="00DC1575" w:rsidRPr="001E42CA" w:rsidRDefault="00DC1575">
      <w:pPr>
        <w:numPr>
          <w:ilvl w:val="0"/>
          <w:numId w:val="58"/>
        </w:numPr>
      </w:pPr>
      <w:r w:rsidRPr="001E42CA">
        <w:t xml:space="preserve">Vilken kvalitet har kommunernas och landstingens åtgärdsplaner? </w:t>
      </w:r>
    </w:p>
    <w:p w:rsidR="00DC1575" w:rsidRPr="001E42CA" w:rsidRDefault="00DC1575">
      <w:pPr>
        <w:numPr>
          <w:ilvl w:val="0"/>
          <w:numId w:val="58"/>
        </w:numPr>
      </w:pPr>
      <w:r w:rsidRPr="001E42CA">
        <w:t xml:space="preserve">Är det möjligt att följa upp dessa planer? </w:t>
      </w:r>
    </w:p>
    <w:p w:rsidR="00DC1575" w:rsidRPr="001E42CA" w:rsidRDefault="00DC1575">
      <w:pPr>
        <w:pStyle w:val="R3"/>
      </w:pPr>
      <w:r w:rsidRPr="001E42CA">
        <w:t>Bostadsdelegationens utformning av avtalen</w:t>
      </w:r>
    </w:p>
    <w:p w:rsidR="00DC1575" w:rsidRPr="001E42CA" w:rsidRDefault="00DC1575">
      <w:r w:rsidRPr="001E42CA">
        <w:t>Bostadsdelegationens avtal är uppbyggda i syfte att vara civilrättsligt bi</w:t>
      </w:r>
      <w:r w:rsidRPr="001E42CA">
        <w:t>n</w:t>
      </w:r>
      <w:r w:rsidRPr="001E42CA">
        <w:t>dande, och är därför utformade av juridisk expertis. Själva avtalen är omfa</w:t>
      </w:r>
      <w:r w:rsidRPr="001E42CA">
        <w:t>t</w:t>
      </w:r>
      <w:r w:rsidRPr="001E42CA">
        <w:t xml:space="preserve">tande, ca 15 sidor, med flera bilagor. Avtalen utformas på grundval av ett koncentrerat avtalsunderlag som är resultatet av överläggningarna mellan delegationen och kommunen och som sedan ligger till grund för beslut i fullmäktige. Avtalsunderlagen redovisas fortlöpande i Bostadsdelegationens årsredovisningar. </w:t>
      </w:r>
    </w:p>
    <w:p w:rsidR="00DC1575" w:rsidRPr="001E42CA" w:rsidRDefault="00DC1575">
      <w:pPr>
        <w:pStyle w:val="Normaltindrag"/>
      </w:pPr>
      <w:r w:rsidRPr="001E42CA">
        <w:t xml:space="preserve">Avtalsunderlagen är uppbyggda på följande sätt. </w:t>
      </w:r>
    </w:p>
    <w:p w:rsidR="00DC1575" w:rsidRPr="001E42CA" w:rsidRDefault="00DC1575">
      <w:pPr>
        <w:pStyle w:val="Normaltindrag"/>
      </w:pPr>
    </w:p>
    <w:p w:rsidR="00DC1575" w:rsidRPr="001E42CA" w:rsidRDefault="00DC1575">
      <w:pPr>
        <w:numPr>
          <w:ilvl w:val="0"/>
          <w:numId w:val="69"/>
        </w:numPr>
        <w:spacing w:before="0"/>
        <w:ind w:left="357" w:hanging="357"/>
      </w:pPr>
      <w:r w:rsidRPr="001E42CA">
        <w:t>Bakgrundsbeskrivning som innehåller beskrivningar av hur bostadsb</w:t>
      </w:r>
      <w:r w:rsidRPr="001E42CA">
        <w:t>e</w:t>
      </w:r>
      <w:r w:rsidRPr="001E42CA">
        <w:t>ståndet förändrats, befolkningens utveckling, en redogörelse för vakan</w:t>
      </w:r>
      <w:r w:rsidRPr="001E42CA">
        <w:t>s</w:t>
      </w:r>
      <w:r w:rsidRPr="001E42CA">
        <w:t>situationen och andra relevanta uppgifter om det kommunala bostadsf</w:t>
      </w:r>
      <w:r w:rsidRPr="001E42CA">
        <w:t>ö</w:t>
      </w:r>
      <w:r w:rsidRPr="001E42CA">
        <w:t>retagets ekon</w:t>
      </w:r>
      <w:r w:rsidRPr="001E42CA">
        <w:t>o</w:t>
      </w:r>
      <w:r w:rsidRPr="001E42CA">
        <w:t xml:space="preserve">miska situation.  </w:t>
      </w:r>
    </w:p>
    <w:p w:rsidR="00DC1575" w:rsidRPr="001E42CA" w:rsidRDefault="00DC1575">
      <w:pPr>
        <w:numPr>
          <w:ilvl w:val="0"/>
          <w:numId w:val="69"/>
        </w:numPr>
      </w:pPr>
      <w:r w:rsidRPr="001E42CA">
        <w:t>Sammanfattning av överenskommelsen. I denna läggs rekonstruktion</w:t>
      </w:r>
      <w:r w:rsidRPr="001E42CA">
        <w:t>s</w:t>
      </w:r>
      <w:r w:rsidRPr="001E42CA">
        <w:t>planen fast både vad avser avveckling av bostäder och tillskott till b</w:t>
      </w:r>
      <w:r w:rsidRPr="001E42CA">
        <w:t>o</w:t>
      </w:r>
      <w:r w:rsidRPr="001E42CA">
        <w:t xml:space="preserve">stadsföretaget från kommunen. </w:t>
      </w:r>
    </w:p>
    <w:p w:rsidR="00DC1575" w:rsidRPr="001E42CA" w:rsidRDefault="00DC1575">
      <w:pPr>
        <w:numPr>
          <w:ilvl w:val="0"/>
          <w:numId w:val="69"/>
        </w:numPr>
      </w:pPr>
      <w:r w:rsidRPr="001E42CA">
        <w:t>Statens åtagande i form av bidrag.</w:t>
      </w:r>
    </w:p>
    <w:p w:rsidR="00DC1575" w:rsidRPr="001E42CA" w:rsidRDefault="00DC1575">
      <w:pPr>
        <w:numPr>
          <w:ilvl w:val="0"/>
          <w:numId w:val="69"/>
        </w:numPr>
      </w:pPr>
      <w:r w:rsidRPr="001E42CA">
        <w:t xml:space="preserve">Kommunens åtagande att uppnå ekonomisk balans. </w:t>
      </w:r>
    </w:p>
    <w:p w:rsidR="00DC1575" w:rsidRPr="001E42CA" w:rsidRDefault="00DC1575">
      <w:pPr>
        <w:pStyle w:val="R3"/>
      </w:pPr>
      <w:r w:rsidRPr="001E42CA">
        <w:t>Kommundelegationens förslag till regeringen</w:t>
      </w:r>
    </w:p>
    <w:p w:rsidR="00DC1575" w:rsidRPr="001E42CA" w:rsidRDefault="00DC1575">
      <w:r w:rsidRPr="001E42CA">
        <w:t>Kommundelegationens förslag till avtal kan sägas vara överenskommelser. De är ej civilrättsligt bindande. Förslagen till överenskommelse mellan kommunen och staten ska enligt direktiven godkännas av fullmäktige innan regeringens beslut. Enligt delegationen vilar överenskommelsen på ett fö</w:t>
      </w:r>
      <w:r w:rsidRPr="001E42CA">
        <w:t>r</w:t>
      </w:r>
      <w:r w:rsidRPr="001E42CA">
        <w:t>troende mellan två parter, och därmed har man eftersträvat att utformningen ska vara enkel. Överenskomme</w:t>
      </w:r>
      <w:r w:rsidRPr="001E42CA">
        <w:t>l</w:t>
      </w:r>
      <w:r w:rsidRPr="001E42CA">
        <w:t>sen bygger på följande:</w:t>
      </w:r>
    </w:p>
    <w:p w:rsidR="00DC1575" w:rsidRPr="001E42CA" w:rsidRDefault="00DC1575">
      <w:pPr>
        <w:numPr>
          <w:ilvl w:val="0"/>
          <w:numId w:val="70"/>
        </w:numPr>
      </w:pPr>
      <w:r w:rsidRPr="001E42CA">
        <w:t>Kommunen/landstinget åtar sig att uppnå ekonomisk balans samt att genomföra åtgärder enligt den av kommunen upprättade åtgärdsplanen i syfte att sänka bruttokos</w:t>
      </w:r>
      <w:r w:rsidRPr="001E42CA">
        <w:t>t</w:t>
      </w:r>
      <w:r w:rsidRPr="001E42CA">
        <w:t xml:space="preserve">nadsnivån. </w:t>
      </w:r>
    </w:p>
    <w:p w:rsidR="00DC1575" w:rsidRPr="001E42CA" w:rsidRDefault="00DC1575">
      <w:pPr>
        <w:numPr>
          <w:ilvl w:val="0"/>
          <w:numId w:val="70"/>
        </w:numPr>
      </w:pPr>
      <w:r w:rsidRPr="001E42CA">
        <w:t>Staten åtar sig att betala ut ett bidrag i efterskott och först efter att ek</w:t>
      </w:r>
      <w:r w:rsidRPr="001E42CA">
        <w:t>o</w:t>
      </w:r>
      <w:r w:rsidRPr="001E42CA">
        <w:t xml:space="preserve">nomisk balans har uppnåtts och åtgärderna vidtagits. </w:t>
      </w:r>
    </w:p>
    <w:p w:rsidR="00DC1575" w:rsidRPr="001E42CA" w:rsidRDefault="00DC1575">
      <w:pPr>
        <w:pStyle w:val="Normaltindrag"/>
      </w:pPr>
    </w:p>
    <w:p w:rsidR="00DC1575" w:rsidRPr="001E42CA" w:rsidRDefault="00DC1575">
      <w:pPr>
        <w:spacing w:before="0"/>
      </w:pPr>
      <w:r w:rsidRPr="001E42CA">
        <w:t>En central del i delegationens förslag till regeringen är åtgärdsplanerna som respektive kommun har upprättat i syfte att precisera vad som ska göras för att uppnå de överenskomna nivåsänkningarna av kostnaderna. Inhämtandet av åtgärdsplaner fick ofta ske i flera steg. De första versionerna var, enligt delegationen, ofta allmänt hållna och stundtals mer inriktade på att finansiera utvecklingsprojekt i syfte att vända en negativ trend. Konkreta åtgärder och långsiktiga bedömningar eller analyser saknades. De</w:t>
      </w:r>
      <w:r w:rsidRPr="001E42CA">
        <w:t>legationen begärde revideringar av åtgärdsplanerna med ett tydligt budskap att åtgärderna skulle vara inriktade på en nivåsänkning av kostnaderna. I samband med revid</w:t>
      </w:r>
      <w:r w:rsidRPr="001E42CA">
        <w:t>e</w:t>
      </w:r>
      <w:r w:rsidRPr="001E42CA">
        <w:t>ringarna kommunicerade också delegationen beräkningarna av den niv</w:t>
      </w:r>
      <w:r w:rsidRPr="001E42CA">
        <w:t>å</w:t>
      </w:r>
      <w:r w:rsidRPr="001E42CA">
        <w:t>sänkning som är nödvändig för att nå ekonomisk balans. Delegationen fra</w:t>
      </w:r>
      <w:r w:rsidRPr="001E42CA">
        <w:t>m</w:t>
      </w:r>
      <w:r w:rsidRPr="001E42CA">
        <w:t>håller att man under processens gång vid olika tillfällen begärt konkretis</w:t>
      </w:r>
      <w:r w:rsidRPr="001E42CA">
        <w:t>e</w:t>
      </w:r>
      <w:r w:rsidRPr="001E42CA">
        <w:t>ringar och förtydliganden av åtgärdsplanerna från de sökande, men framför allt av tidsskäl tvingats att acceptera en del övergripan</w:t>
      </w:r>
      <w:r w:rsidRPr="001E42CA">
        <w:t>de och ej konkretiser</w:t>
      </w:r>
      <w:r w:rsidRPr="001E42CA">
        <w:t>a</w:t>
      </w:r>
      <w:r w:rsidRPr="001E42CA">
        <w:t xml:space="preserve">de åtgärdsförslag. </w:t>
      </w:r>
    </w:p>
    <w:p w:rsidR="00DC1575" w:rsidRPr="001E42CA" w:rsidRDefault="00DC1575">
      <w:pPr>
        <w:pStyle w:val="Normaltindrag"/>
      </w:pPr>
      <w:r w:rsidRPr="001E42CA">
        <w:t>Granskningen av åtgärdsplanerna ger i allt väsentligt samma bild som d</w:t>
      </w:r>
      <w:r w:rsidRPr="001E42CA">
        <w:t>e</w:t>
      </w:r>
      <w:r w:rsidRPr="001E42CA">
        <w:t>legationen ger i slutrapporten. Vissa av åtgärdsplanerna är mycket detaljer</w:t>
      </w:r>
      <w:r w:rsidRPr="001E42CA">
        <w:t>a</w:t>
      </w:r>
      <w:r w:rsidRPr="001E42CA">
        <w:t>de och konkreta medan andra är påfallande översiktliga och diffusa. I de gran</w:t>
      </w:r>
      <w:r w:rsidRPr="001E42CA">
        <w:t>s</w:t>
      </w:r>
      <w:r w:rsidRPr="001E42CA">
        <w:t xml:space="preserve">kade åtgärdsplanerna är ca hälften av åtgärderna av översiktlig karaktär. </w:t>
      </w:r>
    </w:p>
    <w:p w:rsidR="00DC1575" w:rsidRPr="001E42CA" w:rsidRDefault="00DC1575">
      <w:pPr>
        <w:pStyle w:val="Normaltindrag"/>
      </w:pPr>
      <w:r w:rsidRPr="001E42CA">
        <w:t>Konkreta åtgärder är av olika slag, t.ex. nedläggning av en verksamhetse</w:t>
      </w:r>
      <w:r w:rsidRPr="001E42CA">
        <w:t>n</w:t>
      </w:r>
      <w:r w:rsidRPr="001E42CA">
        <w:t xml:space="preserve">het, uttunning av bemanningen, minskade föreningsbidrag och indragna tjänster. I flera fall beräknas dock föreslagna åtgärder få full effekt redan år 2000. Detta är oftast en optimistisk bedömning. </w:t>
      </w:r>
    </w:p>
    <w:p w:rsidR="00DC1575" w:rsidRPr="001E42CA" w:rsidRDefault="00DC1575">
      <w:pPr>
        <w:pStyle w:val="Normaltindrag"/>
      </w:pPr>
      <w:r w:rsidRPr="001E42CA">
        <w:t>Ett exempel på en översiktlig åtgärd är ”översyn av kompetens och stru</w:t>
      </w:r>
      <w:r w:rsidRPr="001E42CA">
        <w:t>k</w:t>
      </w:r>
      <w:r w:rsidRPr="001E42CA">
        <w:t>tur (inom) central förvaltning”. Det finns flera variationer på temat. ”Organisationsöversyner” förväntas spara mer eller mindre pengar. Ett tala</w:t>
      </w:r>
      <w:r w:rsidRPr="001E42CA">
        <w:t>n</w:t>
      </w:r>
      <w:r w:rsidRPr="001E42CA">
        <w:t xml:space="preserve">de översiktligt exempel är kommunen som ska vidta ”ospecificerade åtgärder (för) socialnämnden”. </w:t>
      </w:r>
    </w:p>
    <w:p w:rsidR="00DC1575" w:rsidRPr="001E42CA" w:rsidRDefault="00DC1575">
      <w:pPr>
        <w:pStyle w:val="Normaltindrag"/>
      </w:pPr>
      <w:r w:rsidRPr="001E42CA">
        <w:t>Delegationens säkring av att åtgärderna genomförs kan sägas vila på två pelare:</w:t>
      </w:r>
    </w:p>
    <w:p w:rsidR="00DC1575" w:rsidRPr="001E42CA" w:rsidRDefault="00DC1575">
      <w:pPr>
        <w:numPr>
          <w:ilvl w:val="0"/>
          <w:numId w:val="71"/>
        </w:numPr>
      </w:pPr>
      <w:r w:rsidRPr="001E42CA">
        <w:t>Utbetalning av statsbidraget sker först i efterhand och efter dels att balans uppnåtts, dels att de kostnadssänkande åtgärderna g</w:t>
      </w:r>
      <w:r w:rsidRPr="001E42CA">
        <w:t>e</w:t>
      </w:r>
      <w:r w:rsidRPr="001E42CA">
        <w:t>nomförts.</w:t>
      </w:r>
    </w:p>
    <w:p w:rsidR="00DC1575" w:rsidRPr="001E42CA" w:rsidRDefault="00DC1575">
      <w:pPr>
        <w:numPr>
          <w:ilvl w:val="0"/>
          <w:numId w:val="71"/>
        </w:numPr>
      </w:pPr>
      <w:r w:rsidRPr="001E42CA">
        <w:t>Kommunen/landstingets revisorer ska intyga att åtgärder enligt överen</w:t>
      </w:r>
      <w:r w:rsidRPr="001E42CA">
        <w:t>s</w:t>
      </w:r>
      <w:r w:rsidRPr="001E42CA">
        <w:t xml:space="preserve">kommelsen har vidtagits. </w:t>
      </w:r>
    </w:p>
    <w:p w:rsidR="00DC1575" w:rsidRPr="001E42CA" w:rsidRDefault="00DC1575">
      <w:pPr>
        <w:pStyle w:val="Normaltindrag"/>
      </w:pPr>
    </w:p>
    <w:p w:rsidR="00DC1575" w:rsidRPr="001E42CA" w:rsidRDefault="00DC1575">
      <w:pPr>
        <w:spacing w:before="0"/>
      </w:pPr>
      <w:r w:rsidRPr="001E42CA">
        <w:t>Det faktum att många av åtgärdsplanerna är översiktliga kan öka risken för att nödvändiga förändringar inte genomförs. Otydliga åtgärdsplaner försvårar på ett påtagligt sätt kommun- eller landstingsrevisorernas möjligheter att påverka utvecklingen. En tydlig åtgärdsplan ger revisionen (och förvaltnin</w:t>
      </w:r>
      <w:r w:rsidRPr="001E42CA">
        <w:t>g</w:t>
      </w:r>
      <w:r w:rsidRPr="001E42CA">
        <w:t>en) en hävstång att agera. Om revisionen t.ex. påpekar att en tagen plan inte genomförs och kräver en förklaring av styrelsen är detta starkare än om man i delårsbokslut eller i värsta fall årsbokslut konstaterar att avtalad kostnad</w:t>
      </w:r>
      <w:r w:rsidRPr="001E42CA">
        <w:t>s</w:t>
      </w:r>
      <w:r w:rsidRPr="001E42CA">
        <w:t>minskning inte har g</w:t>
      </w:r>
      <w:r w:rsidRPr="001E42CA">
        <w:t>e</w:t>
      </w:r>
      <w:r w:rsidRPr="001E42CA">
        <w:t xml:space="preserve">nomförts. </w:t>
      </w:r>
    </w:p>
    <w:p w:rsidR="00DC1575" w:rsidRPr="001E42CA" w:rsidRDefault="00DC1575">
      <w:pPr>
        <w:pStyle w:val="Normaltindrag"/>
      </w:pPr>
      <w:r w:rsidRPr="001E42CA">
        <w:t>Kommunens eller landstingets ansvar för att genomföra åtgärderna unde</w:t>
      </w:r>
      <w:r w:rsidRPr="001E42CA">
        <w:t>r</w:t>
      </w:r>
      <w:r w:rsidRPr="001E42CA">
        <w:t xml:space="preserve">stryks av delegationen. I avtalstexten framgår också att en kommun kan ersätta avtalade åtgärder med andra åtgärder som ger motsvarande uthålliga besparingseffekter. </w:t>
      </w:r>
    </w:p>
    <w:p w:rsidR="00DC1575" w:rsidRPr="001E42CA" w:rsidRDefault="00DC1575">
      <w:pPr>
        <w:pStyle w:val="R3"/>
      </w:pPr>
      <w:r w:rsidRPr="001E42CA">
        <w:t>Regeringens beslut</w:t>
      </w:r>
    </w:p>
    <w:p w:rsidR="00DC1575" w:rsidRPr="001E42CA" w:rsidRDefault="00DC1575">
      <w:r w:rsidRPr="001E42CA">
        <w:t>Regeringen ändrade i sitt beslut på några punkter de förslag som lämnats från Kommundel</w:t>
      </w:r>
      <w:r w:rsidRPr="001E42CA">
        <w:t>e</w:t>
      </w:r>
      <w:r w:rsidRPr="001E42CA">
        <w:t xml:space="preserve">gationen. </w:t>
      </w:r>
    </w:p>
    <w:p w:rsidR="00DC1575" w:rsidRPr="001E42CA" w:rsidRDefault="00DC1575">
      <w:pPr>
        <w:pStyle w:val="Normaltindrag"/>
      </w:pPr>
    </w:p>
    <w:p w:rsidR="00DC1575" w:rsidRPr="001E42CA" w:rsidRDefault="00DC1575">
      <w:pPr>
        <w:numPr>
          <w:ilvl w:val="0"/>
          <w:numId w:val="72"/>
        </w:numPr>
        <w:spacing w:before="0"/>
        <w:ind w:left="357" w:hanging="357"/>
      </w:pPr>
      <w:r w:rsidRPr="001E42CA">
        <w:t>Utbetalningstidpunkten har flyttats fram. Regeringen beslutade att 25 procent av bidraget ska utbetalas under 2002. Denna utbetalning föru</w:t>
      </w:r>
      <w:r w:rsidRPr="001E42CA">
        <w:t>t</w:t>
      </w:r>
      <w:r w:rsidRPr="001E42CA">
        <w:t xml:space="preserve">sätter att kommunen/landstinget redovisar hur arbetet med att uppfylla åtagandena fortlöper. </w:t>
      </w:r>
    </w:p>
    <w:p w:rsidR="00DC1575" w:rsidRPr="001E42CA" w:rsidRDefault="00DC1575">
      <w:pPr>
        <w:numPr>
          <w:ilvl w:val="0"/>
          <w:numId w:val="72"/>
        </w:numPr>
      </w:pPr>
      <w:r w:rsidRPr="001E42CA">
        <w:t xml:space="preserve">Resterande del av bidraget utbetalas efter det att kommunen fullgjort sina åtaganden enligt åtgärdsplanen och har uppnått ekonomisk balans senast i bokslutet för 2002. </w:t>
      </w:r>
    </w:p>
    <w:p w:rsidR="00DC1575" w:rsidRPr="001E42CA" w:rsidRDefault="00DC1575">
      <w:pPr>
        <w:numPr>
          <w:ilvl w:val="0"/>
          <w:numId w:val="72"/>
        </w:numPr>
      </w:pPr>
      <w:r w:rsidRPr="001E42CA">
        <w:t>Bidragsbeloppet ökades med ca 10 procent i regeringens beslut jämfört med deleg</w:t>
      </w:r>
      <w:r w:rsidRPr="001E42CA">
        <w:t>a</w:t>
      </w:r>
      <w:r w:rsidRPr="001E42CA">
        <w:t xml:space="preserve">tionens förslag. </w:t>
      </w:r>
    </w:p>
    <w:p w:rsidR="00DC1575" w:rsidRPr="001E42CA" w:rsidRDefault="00DC1575">
      <w:pPr>
        <w:numPr>
          <w:ilvl w:val="0"/>
          <w:numId w:val="72"/>
        </w:numPr>
      </w:pPr>
      <w:r w:rsidRPr="001E42CA">
        <w:t>Stöd utgår även om balans uppnås med en mindre kostnadssänkning än a</w:t>
      </w:r>
      <w:r w:rsidRPr="001E42CA">
        <w:t>v</w:t>
      </w:r>
      <w:r w:rsidRPr="001E42CA">
        <w:t>talat, men då i proportion till kostnadsminskningen.</w:t>
      </w:r>
    </w:p>
    <w:p w:rsidR="00DC1575" w:rsidRPr="001E42CA" w:rsidRDefault="00DC1575">
      <w:pPr>
        <w:pStyle w:val="Normaltindrag"/>
      </w:pPr>
    </w:p>
    <w:p w:rsidR="00DC1575" w:rsidRPr="001E42CA" w:rsidRDefault="00DC1575">
      <w:pPr>
        <w:spacing w:before="0"/>
      </w:pPr>
      <w:r w:rsidRPr="001E42CA">
        <w:t>Utformning av överenskommelsen avviker också från delegationens förslag. Nivån på bruttokostnadssänkningen är specificerad i själva avtalstexten, men den starka kopplingen till åtgärdsplanen som finns i förslaget saknas. Detta märks bl.a. genom att åtgärdsplanerna inte är bila</w:t>
      </w:r>
      <w:r w:rsidRPr="001E42CA">
        <w:t>g</w:t>
      </w:r>
      <w:r w:rsidRPr="001E42CA">
        <w:t xml:space="preserve">da till regeringens beslut. </w:t>
      </w:r>
    </w:p>
    <w:p w:rsidR="00DC1575" w:rsidRPr="001E42CA" w:rsidRDefault="00DC1575">
      <w:pPr>
        <w:pStyle w:val="R4"/>
      </w:pPr>
      <w:r w:rsidRPr="001E42CA">
        <w:t>Regeringens uppföljning av Kommundelegationens ärenden</w:t>
      </w:r>
    </w:p>
    <w:p w:rsidR="00DC1575" w:rsidRPr="001E42CA" w:rsidRDefault="00DC1575">
      <w:r w:rsidRPr="001E42CA">
        <w:t>Regeringen beslutade i oktober 2000 att tillkalla en särskild utredare med uppdrag att följa upp och stödja de kommuner och landsting vars ansöknin</w:t>
      </w:r>
      <w:r w:rsidRPr="001E42CA">
        <w:t>g</w:t>
      </w:r>
      <w:r w:rsidRPr="001E42CA">
        <w:t>ar beretts av Kommundelegationen och som av regeringen beviljats bidrag (dir. 2000:71). Utredaren ska:</w:t>
      </w:r>
    </w:p>
    <w:p w:rsidR="00DC1575" w:rsidRPr="001E42CA" w:rsidRDefault="00DC1575">
      <w:pPr>
        <w:pStyle w:val="Normaltindrag"/>
      </w:pPr>
    </w:p>
    <w:p w:rsidR="00DC1575" w:rsidRPr="001E42CA" w:rsidRDefault="00DC1575">
      <w:pPr>
        <w:numPr>
          <w:ilvl w:val="0"/>
          <w:numId w:val="54"/>
        </w:numPr>
        <w:spacing w:before="0"/>
        <w:ind w:left="357" w:hanging="357"/>
      </w:pPr>
      <w:r w:rsidRPr="001E42CA">
        <w:t>Aktivt följa genomförandet av åtgärdsplanerna samt utvecklingen av den ekonomiska situationen i berörda kommuner och landsting.</w:t>
      </w:r>
    </w:p>
    <w:p w:rsidR="00DC1575" w:rsidRPr="001E42CA" w:rsidRDefault="00DC1575">
      <w:pPr>
        <w:numPr>
          <w:ilvl w:val="0"/>
          <w:numId w:val="54"/>
        </w:numPr>
      </w:pPr>
      <w:r w:rsidRPr="001E42CA">
        <w:t>Följa den ekonomiska utvecklingen i de kommuner som tecknat avtal med och beviljats stöd i samråd med Bostadsdelegationen.</w:t>
      </w:r>
    </w:p>
    <w:p w:rsidR="00DC1575" w:rsidRPr="001E42CA" w:rsidRDefault="00DC1575">
      <w:pPr>
        <w:numPr>
          <w:ilvl w:val="0"/>
          <w:numId w:val="54"/>
        </w:numPr>
      </w:pPr>
      <w:r w:rsidRPr="001E42CA">
        <w:t>Vara samrådspart för kommunerna och landstingen i samband med de red</w:t>
      </w:r>
      <w:r w:rsidRPr="001E42CA">
        <w:t>o</w:t>
      </w:r>
      <w:r w:rsidRPr="001E42CA">
        <w:t>visningar som ska lämnas till regeringen.</w:t>
      </w:r>
    </w:p>
    <w:p w:rsidR="00DC1575" w:rsidRPr="001E42CA" w:rsidRDefault="00DC1575">
      <w:r w:rsidRPr="001E42CA">
        <w:t>Utredaren ska varje halvår lämna en rapport om utvecklingen till Regering</w:t>
      </w:r>
      <w:r w:rsidRPr="001E42CA">
        <w:t>s</w:t>
      </w:r>
      <w:r w:rsidRPr="001E42CA">
        <w:t>kansliet. Inför beslut om utbetalning av bidrag ska utredaren lämna ett u</w:t>
      </w:r>
      <w:r w:rsidRPr="001E42CA">
        <w:t>n</w:t>
      </w:r>
      <w:r w:rsidRPr="001E42CA">
        <w:t xml:space="preserve">derlag till regeringen för respektive kommun och landsting. Underlaget ska utgöras av en bedömning av den ekonomiska situationen och hur åtagandena i överenskommelsen uppfyllts. En samlad redovisning av uppdraget ska lämnas senast den 30 juni 2003. </w:t>
      </w:r>
    </w:p>
    <w:p w:rsidR="00DC1575" w:rsidRPr="001E42CA" w:rsidRDefault="00DC1575">
      <w:pPr>
        <w:pStyle w:val="Normaltindrag"/>
      </w:pPr>
      <w:r w:rsidRPr="001E42CA">
        <w:t>Regeringen understryker i direktiven att målet med det statliga stödet är att det ska bidra till att berörda kommuner och landsting når det lagstadgade kravet på ekonomisk balans.</w:t>
      </w:r>
    </w:p>
    <w:p w:rsidR="00DC1575" w:rsidRPr="001E42CA" w:rsidRDefault="00DC1575">
      <w:pPr>
        <w:pStyle w:val="R3"/>
      </w:pPr>
      <w:bookmarkStart w:id="50" w:name="_Toc505525516"/>
      <w:r w:rsidRPr="001E42CA">
        <w:t>Ernst &amp; Youngs slutsatser om avtal och överenskommelser</w:t>
      </w:r>
      <w:bookmarkEnd w:id="50"/>
    </w:p>
    <w:p w:rsidR="00DC1575" w:rsidRPr="001E42CA" w:rsidRDefault="00DC1575">
      <w:pPr>
        <w:pStyle w:val="R4"/>
        <w:spacing w:before="123"/>
      </w:pPr>
      <w:r w:rsidRPr="001E42CA">
        <w:t>Bostadsdelegationen</w:t>
      </w:r>
    </w:p>
    <w:p w:rsidR="00DC1575" w:rsidRPr="001E42CA" w:rsidRDefault="00DC1575">
      <w:r w:rsidRPr="001E42CA">
        <w:t>Bostadsdelegationens avtal är utformade med utgångspunkt från att staten skall kunna återkräva de bidrag som kommunen erhållit om dess åtaganden inte uppfylls. Därmed ställs mycket tydliga krav på att kommunen</w:t>
      </w:r>
    </w:p>
    <w:p w:rsidR="00DC1575" w:rsidRPr="001E42CA" w:rsidRDefault="00DC1575">
      <w:pPr>
        <w:pStyle w:val="Normaltindrag"/>
      </w:pPr>
    </w:p>
    <w:p w:rsidR="00DC1575" w:rsidRPr="001E42CA" w:rsidRDefault="00DC1575">
      <w:pPr>
        <w:numPr>
          <w:ilvl w:val="0"/>
          <w:numId w:val="74"/>
        </w:numPr>
        <w:spacing w:before="0"/>
        <w:ind w:left="357" w:hanging="357"/>
      </w:pPr>
      <w:r w:rsidRPr="001E42CA">
        <w:t>rekonstruerar bostadsbeståndet,</w:t>
      </w:r>
    </w:p>
    <w:p w:rsidR="00DC1575" w:rsidRPr="001E42CA" w:rsidRDefault="00DC1575">
      <w:pPr>
        <w:numPr>
          <w:ilvl w:val="0"/>
          <w:numId w:val="74"/>
        </w:numPr>
      </w:pPr>
      <w:r w:rsidRPr="001E42CA">
        <w:t xml:space="preserve">ger ägartillskott till företaget, </w:t>
      </w:r>
    </w:p>
    <w:p w:rsidR="00DC1575" w:rsidRPr="001E42CA" w:rsidRDefault="00DC1575">
      <w:pPr>
        <w:numPr>
          <w:ilvl w:val="0"/>
          <w:numId w:val="74"/>
        </w:numPr>
      </w:pPr>
      <w:r w:rsidRPr="001E42CA">
        <w:t>uppnår ekonomisk balans.</w:t>
      </w:r>
    </w:p>
    <w:p w:rsidR="00DC1575" w:rsidRPr="001E42CA" w:rsidRDefault="00DC1575">
      <w:pPr>
        <w:pStyle w:val="Normaltindrag"/>
      </w:pPr>
    </w:p>
    <w:p w:rsidR="00DC1575" w:rsidRPr="001E42CA" w:rsidRDefault="00DC1575">
      <w:pPr>
        <w:spacing w:before="0"/>
      </w:pPr>
      <w:r w:rsidRPr="001E42CA">
        <w:t>Bostadsdelegationens avtal kan därmed sägas vara realistiska, lämpligt fo</w:t>
      </w:r>
      <w:r w:rsidRPr="001E42CA">
        <w:t>r</w:t>
      </w:r>
      <w:r w:rsidRPr="001E42CA">
        <w:t xml:space="preserve">mulerade och relevanta. Avtalen går relativt enkelt att följa upp. </w:t>
      </w:r>
    </w:p>
    <w:p w:rsidR="00DC1575" w:rsidRPr="001E42CA" w:rsidRDefault="00DC1575">
      <w:pPr>
        <w:pStyle w:val="R4"/>
      </w:pPr>
      <w:r w:rsidRPr="001E42CA">
        <w:t>Kommundelegationen</w:t>
      </w:r>
    </w:p>
    <w:p w:rsidR="00DC1575" w:rsidRPr="001E42CA" w:rsidRDefault="00DC1575">
      <w:r w:rsidRPr="001E42CA">
        <w:t>Kommundelegationens förslag till överenskommelser har en annan ko</w:t>
      </w:r>
      <w:r w:rsidRPr="001E42CA">
        <w:t>n</w:t>
      </w:r>
      <w:r w:rsidRPr="001E42CA">
        <w:t>struktion. De bygger på att kommunen eller landstinget sänker sina kostnader så att balanskravet kan uppnås. Eftersom detta inte är okomplicerat har Kommundelegationen velat se realistiska åtgärdsplaner. En realistisk och tydlig plan skulle vara en del av säkringen av den önskade kostnadssän</w:t>
      </w:r>
      <w:r w:rsidRPr="001E42CA">
        <w:t>k</w:t>
      </w:r>
      <w:r w:rsidRPr="001E42CA">
        <w:t>ningen. Av de åtgärdsplaner som tagits fram av kommunerna inom ramen för Kommundelegationens arbete var dock cirka hälften översiktliga eller myc</w:t>
      </w:r>
      <w:r w:rsidRPr="001E42CA">
        <w:t>k</w:t>
      </w:r>
      <w:r w:rsidRPr="001E42CA">
        <w:t xml:space="preserve">et översiktliga. </w:t>
      </w:r>
    </w:p>
    <w:p w:rsidR="00DC1575" w:rsidRPr="001E42CA" w:rsidRDefault="00DC1575">
      <w:pPr>
        <w:pStyle w:val="Normaltindrag"/>
      </w:pPr>
      <w:r w:rsidRPr="001E42CA">
        <w:t xml:space="preserve">Kommunernas arbete med att förändra den grundläggande </w:t>
      </w:r>
      <w:r w:rsidRPr="001E42CA">
        <w:t>kostnadsstru</w:t>
      </w:r>
      <w:r w:rsidRPr="001E42CA">
        <w:t>k</w:t>
      </w:r>
      <w:r w:rsidRPr="001E42CA">
        <w:t>turen hade sannolikt underlättats om de redan i förhandlingarna med ko</w:t>
      </w:r>
      <w:r w:rsidRPr="001E42CA">
        <w:t>m</w:t>
      </w:r>
      <w:r w:rsidRPr="001E42CA">
        <w:t>mundelegationen hade avkrävts konkretare åtgärdsplaner. Detta skulle ha inneburit en bättre säkring av de enskilda kommunernas åtaganden i Ko</w:t>
      </w:r>
      <w:r w:rsidRPr="001E42CA">
        <w:t>m</w:t>
      </w:r>
      <w:r w:rsidRPr="001E42CA">
        <w:t>mundelegationens förslag till överenskommelse. Det skulle också ha unde</w:t>
      </w:r>
      <w:r w:rsidRPr="001E42CA">
        <w:t>r</w:t>
      </w:r>
      <w:r w:rsidRPr="001E42CA">
        <w:t>lättat uppföljningen för kommunernas/landstingens revisorer och den särski</w:t>
      </w:r>
      <w:r w:rsidRPr="001E42CA">
        <w:t>l</w:t>
      </w:r>
      <w:r w:rsidRPr="001E42CA">
        <w:t>da utredaren som tillsatts. Det är mer konstruktivt att revidera och följa upp en plan som syftar till att åstadkomma ett visst resultat, ä</w:t>
      </w:r>
      <w:r w:rsidRPr="001E42CA">
        <w:t>n att enbart konst</w:t>
      </w:r>
      <w:r w:rsidRPr="001E42CA">
        <w:t>a</w:t>
      </w:r>
      <w:r w:rsidRPr="001E42CA">
        <w:t xml:space="preserve">tera om målet har nåtts eller inte. </w:t>
      </w:r>
    </w:p>
    <w:p w:rsidR="00DC1575" w:rsidRPr="001E42CA" w:rsidRDefault="00DC1575">
      <w:pPr>
        <w:pStyle w:val="Normaltindrag"/>
      </w:pPr>
      <w:r w:rsidRPr="001E42CA">
        <w:t>Kommuner med oklara kostnadssänkande strategier kommer med största sannolikhet att ha svårare att minska kostnaderna än de som har konkreta planer för att genomföra kostnadsminskningen. Kommundelegationen borde därför ha lagt större vikt vid att kommunernas och landstingens åtgärdsfö</w:t>
      </w:r>
      <w:r w:rsidRPr="001E42CA">
        <w:t>r</w:t>
      </w:r>
      <w:r w:rsidRPr="001E42CA">
        <w:t>slag var mer konkreta. Detta är så pass centralt att det kan diskuteras om åtgärdsplanernas tydlighet, och uppslutningen kring dessa, i sig kunde ha varit ett kompletterande kriterium i bedöm</w:t>
      </w:r>
      <w:r w:rsidRPr="001E42CA">
        <w:softHyphen/>
        <w:t>ningen av vilka kommuner och landsting som skulle beviljas ekonomiskt stöd. Med tanke på de politiska svårigheterna att genomföra nödvändiga besparingar hade tydligare överen</w:t>
      </w:r>
      <w:r w:rsidRPr="001E42CA">
        <w:t>s</w:t>
      </w:r>
      <w:r w:rsidRPr="001E42CA">
        <w:t>kommelser varit ett stöd för majoriteten att fullfölja. Det statliga bidraget skulle då kunna vara den morot som behövdes för att ta de svåra be</w:t>
      </w:r>
      <w:r w:rsidRPr="001E42CA">
        <w:t xml:space="preserve">sluten. </w:t>
      </w:r>
    </w:p>
    <w:p w:rsidR="00DC1575" w:rsidRPr="001E42CA" w:rsidRDefault="00DC1575">
      <w:pPr>
        <w:pStyle w:val="Normaltindrag"/>
      </w:pPr>
      <w:r w:rsidRPr="001E42CA">
        <w:t>Kommundele</w:t>
      </w:r>
      <w:r w:rsidRPr="001E42CA">
        <w:softHyphen/>
        <w:t xml:space="preserve">gationen arbetade under tidspress varför åtgärdsplanerna ofta inte blev tillräckligt tydliga. Det kan dock hävdas att åtgärdsplanerna är så pass centrala för att åstadkomma nödvändiga kostnadssänkningar att sökande kommuner och landsting därför borde ha fått längre tid på sig. </w:t>
      </w:r>
    </w:p>
    <w:p w:rsidR="00DC1575" w:rsidRPr="001E42CA" w:rsidRDefault="00DC1575">
      <w:pPr>
        <w:pStyle w:val="R4"/>
      </w:pPr>
      <w:r w:rsidRPr="001E42CA">
        <w:t>Uppföljning nödvändig</w:t>
      </w:r>
    </w:p>
    <w:p w:rsidR="00DC1575" w:rsidRPr="001E42CA" w:rsidRDefault="00DC1575">
      <w:r w:rsidRPr="001E42CA">
        <w:t>Eftersom regeringsbeslutet innebär att kommunernas åtgärdsplaner kopplas loss från överenskommelserna kan kommunernas åtaganden få en mindre tyngd. Det kommer därför att krävas en kontinuerlig och detaljerad uppföl</w:t>
      </w:r>
      <w:r w:rsidRPr="001E42CA">
        <w:t>j</w:t>
      </w:r>
      <w:r w:rsidRPr="001E42CA">
        <w:t xml:space="preserve">ning, både från regeringen/den särskilde utredaren och från kommunernas och landstingens revisorer, för att säkerställa att det faktiskt vidtas åtgärder som leder till varaktiga kostnadssänkningar. </w:t>
      </w:r>
    </w:p>
    <w:p w:rsidR="00DC1575" w:rsidRPr="001E42CA" w:rsidRDefault="00DC1575">
      <w:pPr>
        <w:pStyle w:val="Normaltindrag"/>
      </w:pPr>
      <w:r w:rsidRPr="001E42CA">
        <w:t>För Kommundelegationens del kan det konstateras att de överenskomme</w:t>
      </w:r>
      <w:r w:rsidRPr="001E42CA">
        <w:t>l</w:t>
      </w:r>
      <w:r w:rsidRPr="001E42CA">
        <w:t xml:space="preserve">ser som träffas är att betrakta som utfästelser från statens sida. Staten åtar sig att, om kommunen genomför vissa åtgärder, lämna ett bidrag. Det finns inga formella hinder för att regeringen betalar ut bidraget även om åtgärderna inte genomförs, eller om balans inte uppnås. Det finns inte heller några formella hinder för att regeringen betalar ut bidrag innan åtgärderna har genomförts. </w:t>
      </w:r>
    </w:p>
    <w:p w:rsidR="00DC1575" w:rsidRPr="001E42CA" w:rsidRDefault="00DC1575">
      <w:pPr>
        <w:pStyle w:val="Normaltindrag"/>
      </w:pPr>
      <w:r w:rsidRPr="001E42CA">
        <w:t xml:space="preserve">Den uppföljning som nu planeras kan ske i en kommitté (särskild utredare) eller i en myndighet. Fördelen med att lägga </w:t>
      </w:r>
      <w:r w:rsidRPr="001E42CA">
        <w:t xml:space="preserve">ansvaret för uppföljningen på en myndighet är den större självständighet och kontinuitet som kan uppnås i bedömningarna. Att hjälpa kommuner och landsting att komma tillrätta med en för hög kostnadsnivå kräver ett stort mått av tydlighet. En myndighet har sannolikt större möjligheter, utifrån sina instruktioner, att hantera denna process. </w:t>
      </w:r>
    </w:p>
    <w:p w:rsidR="00DC1575" w:rsidRPr="001E42CA" w:rsidRDefault="00DC1575">
      <w:pPr>
        <w:pStyle w:val="Rubrik2"/>
      </w:pPr>
      <w:bookmarkStart w:id="51" w:name="_Toc526302392"/>
      <w:r w:rsidRPr="001E42CA">
        <w:t>Ernst &amp; Youngs sammanfattande slutsatser</w:t>
      </w:r>
      <w:bookmarkEnd w:id="51"/>
    </w:p>
    <w:p w:rsidR="00DC1575" w:rsidRPr="001E42CA" w:rsidRDefault="00DC1575">
      <w:r w:rsidRPr="001E42CA">
        <w:t xml:space="preserve">När det gäller beslutsunderlagen kan det konstateras att handläggningen varit omsorgsfull och att underlagen varit objektiva. </w:t>
      </w:r>
    </w:p>
    <w:p w:rsidR="00DC1575" w:rsidRPr="001E42CA" w:rsidRDefault="00DC1575">
      <w:pPr>
        <w:pStyle w:val="Normaltindrag"/>
      </w:pPr>
      <w:r w:rsidRPr="001E42CA">
        <w:t>Viktiga beslutskriterier för Kommundelegationen har varit nivån på de kostnadssänkningar som måste genomföras för att nå ekonomisk balans. Analysen av nyckeltalen visar att de kommuner som är aktuella för bidrag från Kommundelegationen eller Bostadsdelegationen har en svagare ekon</w:t>
      </w:r>
      <w:r w:rsidRPr="001E42CA">
        <w:t>o</w:t>
      </w:r>
      <w:r w:rsidRPr="001E42CA">
        <w:t>mi än övriga kommunkollektivet. Kommunerna har</w:t>
      </w:r>
    </w:p>
    <w:p w:rsidR="00DC1575" w:rsidRPr="001E42CA" w:rsidRDefault="00DC1575">
      <w:pPr>
        <w:numPr>
          <w:ilvl w:val="0"/>
          <w:numId w:val="93"/>
        </w:numPr>
      </w:pPr>
      <w:r w:rsidRPr="001E42CA">
        <w:t>stora negativa resultat,</w:t>
      </w:r>
    </w:p>
    <w:p w:rsidR="00DC1575" w:rsidRPr="001E42CA" w:rsidRDefault="00DC1575">
      <w:pPr>
        <w:numPr>
          <w:ilvl w:val="0"/>
          <w:numId w:val="93"/>
        </w:numPr>
      </w:pPr>
      <w:r w:rsidRPr="001E42CA">
        <w:t>en kostnadsvolym som är högre än vad som långsiktigt går att finansiera med skatter och generella statsbidrag,</w:t>
      </w:r>
    </w:p>
    <w:p w:rsidR="00DC1575" w:rsidRPr="001E42CA" w:rsidRDefault="00DC1575">
      <w:pPr>
        <w:numPr>
          <w:ilvl w:val="0"/>
          <w:numId w:val="93"/>
        </w:numPr>
      </w:pPr>
      <w:r w:rsidRPr="001E42CA">
        <w:t>höga kostnader för verksamheterna i relation till vad som kan beräknas i utjämningssystemet med utgångspunkt av strukturella faktorer,</w:t>
      </w:r>
    </w:p>
    <w:p w:rsidR="00DC1575" w:rsidRPr="001E42CA" w:rsidRDefault="00DC1575">
      <w:pPr>
        <w:numPr>
          <w:ilvl w:val="0"/>
          <w:numId w:val="93"/>
        </w:numPr>
      </w:pPr>
      <w:r w:rsidRPr="001E42CA">
        <w:t>en hög skattesats,</w:t>
      </w:r>
    </w:p>
    <w:p w:rsidR="00DC1575" w:rsidRPr="001E42CA" w:rsidRDefault="00DC1575">
      <w:pPr>
        <w:numPr>
          <w:ilvl w:val="0"/>
          <w:numId w:val="93"/>
        </w:numPr>
      </w:pPr>
      <w:r w:rsidRPr="001E42CA">
        <w:t>kraftiga befolkningsminskningar.</w:t>
      </w:r>
    </w:p>
    <w:p w:rsidR="00DC1575" w:rsidRPr="001E42CA" w:rsidRDefault="00DC1575">
      <w:pPr>
        <w:pStyle w:val="Normaltindrag"/>
      </w:pPr>
    </w:p>
    <w:p w:rsidR="00DC1575" w:rsidRPr="001E42CA" w:rsidRDefault="00DC1575">
      <w:pPr>
        <w:spacing w:before="0"/>
      </w:pPr>
      <w:r w:rsidRPr="001E42CA">
        <w:t>I allmänhet visar nyckeltalen för de kommuner som är aktuella för bidrag från Kommun</w:t>
      </w:r>
      <w:r w:rsidRPr="001E42CA">
        <w:softHyphen/>
        <w:t>delega</w:t>
      </w:r>
      <w:r w:rsidRPr="001E42CA">
        <w:softHyphen/>
        <w:t>tionen något sämre siffror. Ett tydligt undantag är sol</w:t>
      </w:r>
      <w:r w:rsidRPr="001E42CA">
        <w:t>i</w:t>
      </w:r>
      <w:r w:rsidRPr="001E42CA">
        <w:t xml:space="preserve">diteten där Bostadsdelegationens bidragskommuner ligger klart lägre. Dessa kommuner har också en något högre kostnadsutveckling. </w:t>
      </w:r>
    </w:p>
    <w:p w:rsidR="00DC1575" w:rsidRPr="001E42CA" w:rsidRDefault="00DC1575">
      <w:pPr>
        <w:pStyle w:val="Normaltindrag"/>
      </w:pPr>
      <w:r w:rsidRPr="001E42CA">
        <w:t xml:space="preserve">Detta är speciellt framträdande för de kommuner som har beviljats stöd från regeringen efter förslag av Kommundelegationen. Bifallskommunerna, som behandlats av delegationerna var och en för sig eller tillsammans, tycks ha problem med att anpassa sin verksamhet till den minskande befolkningen. </w:t>
      </w:r>
    </w:p>
    <w:p w:rsidR="00DC1575" w:rsidRPr="001E42CA" w:rsidRDefault="00DC1575">
      <w:pPr>
        <w:pStyle w:val="Normaltindrag"/>
      </w:pPr>
      <w:r w:rsidRPr="001E42CA">
        <w:t>Avtalen är för Bostadsdelegationens del realistiska och enkla att följa upp. De överens</w:t>
      </w:r>
      <w:r w:rsidRPr="001E42CA">
        <w:softHyphen/>
        <w:t>kommelser som regeringen träffat med utgångspunkt från Ko</w:t>
      </w:r>
      <w:r w:rsidRPr="001E42CA">
        <w:t>m</w:t>
      </w:r>
      <w:r w:rsidRPr="001E42CA">
        <w:t xml:space="preserve">mundelegationens förslag uppvisar vissa svagheter. Till exempel var cirka hälften av överenskomna åtgärder av översiktlig karaktär. I syfte att säkra överenskomna kostnadsminskningar borde Kommundelegationen ha lagt större vikt vid att kommunernas och landstingens åtgärdsförslag var mer konkreta och regeringen borde ha bilagt dessa i sina beslut. Att så inte skett kan sammantaget bidra till att nödvändiga åtgärder inte genomförs. Det kan diskuteras </w:t>
      </w:r>
      <w:r w:rsidRPr="001E42CA">
        <w:t>om tydliga och realistiska åtgärdsplaner, i kombination med övr</w:t>
      </w:r>
      <w:r w:rsidRPr="001E42CA">
        <w:t>i</w:t>
      </w:r>
      <w:r w:rsidRPr="001E42CA">
        <w:t>ga kriterier, borde ha varit ett skäl att bevilja ekonomiskt stöd. Likaså mo</w:t>
      </w:r>
      <w:r w:rsidRPr="001E42CA">
        <w:t>t</w:t>
      </w:r>
      <w:r w:rsidRPr="001E42CA">
        <w:t xml:space="preserve">satsen, dvs. att otydliga och otillräckligt förankrade åtgärdsplaner skulle vara skäl nog att inte bevilja ekonomiskt stöd. </w:t>
      </w:r>
    </w:p>
    <w:p w:rsidR="00DC1575" w:rsidRPr="001E42CA" w:rsidRDefault="00DC1575">
      <w:pPr>
        <w:pStyle w:val="Normaltindrag"/>
      </w:pPr>
      <w:r w:rsidRPr="001E42CA">
        <w:t>Den särskilda utredare som regeringen tillsatt bör få statusen av en my</w:t>
      </w:r>
      <w:r w:rsidRPr="001E42CA">
        <w:t>n</w:t>
      </w:r>
      <w:r w:rsidRPr="001E42CA">
        <w:t>dighet. Detta innebär en tydligare reglering av uppgiften och bidrar till att skapa större kontinuitet och en mer oberoende ställning i förhållande till uppgiften att säkerställa gjorda avtal och att bidra till att överenskomna kos</w:t>
      </w:r>
      <w:r w:rsidRPr="001E42CA">
        <w:t>t</w:t>
      </w:r>
      <w:r w:rsidRPr="001E42CA">
        <w:t xml:space="preserve">nadssänkningar genomförs. </w:t>
      </w:r>
    </w:p>
    <w:p w:rsidR="00DC1575" w:rsidRPr="001E42CA" w:rsidRDefault="00DC1575">
      <w:pPr>
        <w:pStyle w:val="Normaltindrag"/>
      </w:pPr>
      <w:r w:rsidRPr="001E42CA">
        <w:t>Målet med det statliga stödet är att det ska bidra till att berörda kommuner och landsting når det lagstadgade kravet på ekonomisk balans. Balans kan dock uppnås utan att de överenskomna kostnadssänkningarna genomförs. Intäkterna, till exempel, kan utv</w:t>
      </w:r>
      <w:r w:rsidRPr="001E42CA">
        <w:t xml:space="preserve">ecklas starkare än väntat, antingen genom makroekonomiska effekter eller genom lokala politiska beslut. </w:t>
      </w:r>
    </w:p>
    <w:p w:rsidR="00DC1575" w:rsidRPr="001E42CA" w:rsidRDefault="00DC1575">
      <w:pPr>
        <w:pStyle w:val="Normaltindrag"/>
      </w:pPr>
      <w:r w:rsidRPr="001E42CA">
        <w:t>De statsbidrag som nu ges i rekonstruktivt syfte kan fylla en viktig roll om de fungerar som ett incitament för kommunerna att anpassa sina kostnader till en nivå som kan upprätthållas på lång sikt och med en stabil finansiering. Om statsbidraget betalas ut utan att kostnadssänkningarna genomförts finns det risk för att en struktur som saknar långsiktig hållbarhet unde</w:t>
      </w:r>
      <w:r w:rsidRPr="001E42CA">
        <w:t>r</w:t>
      </w:r>
      <w:r w:rsidRPr="001E42CA">
        <w:t xml:space="preserve">stöds. </w:t>
      </w:r>
    </w:p>
    <w:p w:rsidR="00DC1575" w:rsidRPr="001E42CA" w:rsidRDefault="00DC1575">
      <w:pPr>
        <w:pStyle w:val="Normaltindrag"/>
      </w:pPr>
    </w:p>
    <w:p w:rsidR="00DC1575" w:rsidRPr="001E42CA" w:rsidRDefault="00DC1575">
      <w:pPr>
        <w:pStyle w:val="Rubrik1"/>
      </w:pPr>
      <w:r w:rsidRPr="001E42CA">
        <w:br w:type="page"/>
        <w:t xml:space="preserve"> </w:t>
      </w:r>
      <w:bookmarkStart w:id="52" w:name="_Toc526302393"/>
      <w:r w:rsidRPr="001E42CA">
        <w:t>Målformulering och resultatredovisning</w:t>
      </w:r>
      <w:bookmarkEnd w:id="52"/>
    </w:p>
    <w:p w:rsidR="00DC1575" w:rsidRPr="001E42CA" w:rsidRDefault="00DC1575">
      <w:r w:rsidRPr="001E42CA">
        <w:t>Styrningen av den statliga verksamheten har successivt utvecklats i riktning mot allt större inslag av mål- och resultatstyrning. Resultatstyrningen kräver dels att mål sätts upp för olika verksamheter, dels att resultat följs upp och utvärderas. Verksamheten regleras i huvudsak av budgetlagen och föror</w:t>
      </w:r>
      <w:r w:rsidRPr="001E42CA">
        <w:t>d</w:t>
      </w:r>
      <w:r w:rsidRPr="001E42CA">
        <w:t>ningen om myndigheternas årsredovisning m.m. Kapitlet innehåller en g</w:t>
      </w:r>
      <w:r w:rsidRPr="001E42CA">
        <w:t>e</w:t>
      </w:r>
      <w:r w:rsidRPr="001E42CA">
        <w:t>nomgång av mål och redovisade resultat för anslaget 91:2 Bidrag till särski</w:t>
      </w:r>
      <w:r w:rsidRPr="001E42CA">
        <w:t>l</w:t>
      </w:r>
      <w:r w:rsidRPr="001E42CA">
        <w:t>da insatser i vissa kommuner och landsting.</w:t>
      </w:r>
    </w:p>
    <w:p w:rsidR="00DC1575" w:rsidRPr="001E42CA" w:rsidRDefault="00DC1575">
      <w:pPr>
        <w:pStyle w:val="Normaltindrag"/>
      </w:pPr>
      <w:r w:rsidRPr="001E42CA">
        <w:t>Avsnitt 6.1 innehåller en genomgång av regeringens verksamhet. I avsnitt 6.2 behandlas Bostadsdelegationens redovisning. Avsnitt 6.3 innehåller några aspekter på Kommundelegationens redovisning av sin verksamhet. I avsnitt 6.4 diskuteras vissa principiella skillnader på kraven på resultatred</w:t>
      </w:r>
      <w:r w:rsidRPr="001E42CA">
        <w:t>o</w:t>
      </w:r>
      <w:r w:rsidRPr="001E42CA">
        <w:t>visning mellan regering och myndigheter. Avsnitt 6.5 innehåller en redovi</w:t>
      </w:r>
      <w:r w:rsidRPr="001E42CA">
        <w:t>s</w:t>
      </w:r>
      <w:r w:rsidRPr="001E42CA">
        <w:t>ning av regeringens pågående utvecklingsarbete vad gäller resultatanalys av kommunsektorn. Avslutningsvis i avsnitt 6.6 analyseras hur anslaget revid</w:t>
      </w:r>
      <w:r w:rsidRPr="001E42CA">
        <w:t>e</w:t>
      </w:r>
      <w:r w:rsidRPr="001E42CA">
        <w:t>ras.</w:t>
      </w:r>
    </w:p>
    <w:p w:rsidR="00DC1575" w:rsidRPr="001E42CA" w:rsidRDefault="00DC1575">
      <w:pPr>
        <w:pStyle w:val="Rubrik2"/>
      </w:pPr>
      <w:bookmarkStart w:id="53" w:name="_Toc526302394"/>
      <w:r w:rsidRPr="001E42CA">
        <w:t>Regeringen</w:t>
      </w:r>
      <w:bookmarkEnd w:id="53"/>
    </w:p>
    <w:p w:rsidR="00DC1575" w:rsidRPr="001E42CA" w:rsidRDefault="00DC1575">
      <w:r w:rsidRPr="001E42CA">
        <w:t>Enligt 2 § lagen (1996:1059) om statsbudgeten ska regeringen för riksdagen redovisa de mål som åsyftas och de resultat som uppnåtts på olika verksa</w:t>
      </w:r>
      <w:r w:rsidRPr="001E42CA">
        <w:t>m</w:t>
      </w:r>
      <w:r w:rsidRPr="001E42CA">
        <w:t>hetsområden. Budgetpropositionen är det normala dokumentet för den l</w:t>
      </w:r>
      <w:r w:rsidRPr="001E42CA">
        <w:t>ö</w:t>
      </w:r>
      <w:r w:rsidRPr="001E42CA">
        <w:t xml:space="preserve">pande redovisningen av mål och resultat. </w:t>
      </w:r>
    </w:p>
    <w:p w:rsidR="00DC1575" w:rsidRPr="001E42CA" w:rsidRDefault="00DC1575">
      <w:pPr>
        <w:pStyle w:val="R3"/>
      </w:pPr>
      <w:r w:rsidRPr="001E42CA">
        <w:t>Mål</w:t>
      </w:r>
    </w:p>
    <w:p w:rsidR="00DC1575" w:rsidRPr="001E42CA" w:rsidRDefault="00DC1575">
      <w:r w:rsidRPr="001E42CA">
        <w:t>Anslaget 91:2 Bidrag till särskilda insatser i vissa kommuner och landsting ingår i utgiftsområde 25 Allmänna bidrag till kommuner. Målet för utgift</w:t>
      </w:r>
      <w:r w:rsidRPr="001E42CA">
        <w:t>s</w:t>
      </w:r>
      <w:r w:rsidRPr="001E42CA">
        <w:t>området är</w:t>
      </w:r>
    </w:p>
    <w:p w:rsidR="00DC1575" w:rsidRPr="001E42CA" w:rsidRDefault="00DC1575">
      <w:pPr>
        <w:pStyle w:val="Normaltindrag"/>
      </w:pPr>
    </w:p>
    <w:p w:rsidR="00DC1575" w:rsidRPr="001E42CA" w:rsidRDefault="00DC1575">
      <w:pPr>
        <w:numPr>
          <w:ilvl w:val="0"/>
          <w:numId w:val="42"/>
        </w:numPr>
        <w:spacing w:before="0"/>
        <w:ind w:left="357" w:hanging="357"/>
      </w:pPr>
      <w:r w:rsidRPr="001E42CA">
        <w:t>att skapa goda och likvärdiga ekonomiska förutsättningar för kommuner respektive landsting att uppnå de nationella målen inom olika verksa</w:t>
      </w:r>
      <w:r w:rsidRPr="001E42CA">
        <w:t>m</w:t>
      </w:r>
      <w:r w:rsidRPr="001E42CA">
        <w:t>heter.</w:t>
      </w:r>
    </w:p>
    <w:p w:rsidR="00DC1575" w:rsidRPr="001E42CA" w:rsidRDefault="00DC1575">
      <w:pPr>
        <w:pStyle w:val="Normaltindrag"/>
      </w:pPr>
    </w:p>
    <w:p w:rsidR="00DC1575" w:rsidRPr="001E42CA" w:rsidRDefault="00DC1575">
      <w:pPr>
        <w:spacing w:before="0"/>
      </w:pPr>
      <w:r w:rsidRPr="001E42CA">
        <w:t>Målformuleringen har skärpts något i budgetpropositionen för 2001. I tidig</w:t>
      </w:r>
      <w:r w:rsidRPr="001E42CA">
        <w:t>a</w:t>
      </w:r>
      <w:r w:rsidRPr="001E42CA">
        <w:t xml:space="preserve">re års propositioner var målet för utgiftsområdet att </w:t>
      </w:r>
      <w:r w:rsidRPr="001E42CA">
        <w:rPr>
          <w:i/>
        </w:rPr>
        <w:t>så långt det är möjligt</w:t>
      </w:r>
      <w:r w:rsidRPr="001E42CA">
        <w:t xml:space="preserve"> skapa goda och likvärdiga förutsättningar för kommunerna och landstingen att uppnå de nationella målen inom olika verksamheter.</w:t>
      </w:r>
    </w:p>
    <w:p w:rsidR="00DC1575" w:rsidRPr="001E42CA" w:rsidRDefault="00DC1575">
      <w:pPr>
        <w:pStyle w:val="Normaltindrag"/>
      </w:pPr>
      <w:r w:rsidRPr="001E42CA">
        <w:t>Något särskilt mål för anslaget Bidrag till särskilda insatser i vissa ko</w:t>
      </w:r>
      <w:r w:rsidRPr="001E42CA">
        <w:t>m</w:t>
      </w:r>
      <w:r w:rsidRPr="001E42CA">
        <w:t>muner och landsting har inte ställts upp (bortsett från målen för Bostadsdel</w:t>
      </w:r>
      <w:r w:rsidRPr="001E42CA">
        <w:t>e</w:t>
      </w:r>
      <w:r w:rsidRPr="001E42CA">
        <w:t>gationen som redovisas i avsnitt 6.2). I budgetpropositionerna nämns endast att syftet med anslaget är att skapa möjligheter att i rekonstruktivt syfte til</w:t>
      </w:r>
      <w:r w:rsidRPr="001E42CA">
        <w:t>l</w:t>
      </w:r>
      <w:r w:rsidRPr="001E42CA">
        <w:t>fälligt bistå kommuner och landsting som på grund av speciella omständi</w:t>
      </w:r>
      <w:r w:rsidRPr="001E42CA">
        <w:t>g</w:t>
      </w:r>
      <w:r w:rsidRPr="001E42CA">
        <w:t>heter kan hamna i en särskilt svår ekonomisk situ</w:t>
      </w:r>
      <w:r w:rsidRPr="001E42CA">
        <w:t>a</w:t>
      </w:r>
      <w:r w:rsidRPr="001E42CA">
        <w:t xml:space="preserve">tion. </w:t>
      </w:r>
    </w:p>
    <w:p w:rsidR="00DC1575" w:rsidRPr="001E42CA" w:rsidRDefault="00DC1575">
      <w:pPr>
        <w:pStyle w:val="R3"/>
      </w:pPr>
      <w:r w:rsidRPr="001E42CA">
        <w:t>Resultatredovisning och resultatbedömning</w:t>
      </w:r>
    </w:p>
    <w:p w:rsidR="00DC1575" w:rsidRPr="001E42CA" w:rsidRDefault="00DC1575">
      <w:r w:rsidRPr="001E42CA">
        <w:t xml:space="preserve">Någon egentlig resultatredovisning förekommer inte i budgetpropositionerna. Det normala är en redovisning av antalet ansökningar, anslagsförbrukning och inriktning på olika ändamål. Tonvikten ligger snarast på att beskriva behoven av medel. </w:t>
      </w:r>
    </w:p>
    <w:p w:rsidR="00DC1575" w:rsidRPr="001E42CA" w:rsidRDefault="00DC1575">
      <w:pPr>
        <w:pStyle w:val="Normaltindrag"/>
      </w:pPr>
      <w:r w:rsidRPr="001E42CA">
        <w:t>I resultatbedömningen görs ingen bedömning av om anslaget bidragit till måluppfyllelsen för utgiftsområdet. Någon sådan bedömning torde heller inte vara möjlig mot bakgrund av resultatredovisningens karaktär. I budgetprop</w:t>
      </w:r>
      <w:r w:rsidRPr="001E42CA">
        <w:t>o</w:t>
      </w:r>
      <w:r w:rsidRPr="001E42CA">
        <w:t>sitionen för 2001 nämns dock att kommuner som beviljats bidrag av B</w:t>
      </w:r>
      <w:r w:rsidRPr="001E42CA">
        <w:t>o</w:t>
      </w:r>
      <w:r w:rsidRPr="001E42CA">
        <w:t xml:space="preserve">stadsdelegationen fått avsevärt bättre förutsättningar att klara de framtida krav som kan komma att ställas på kommunerna. Det är dock oklart vad denna bedömning baseras på. Något material som ger stöd för bedömningen redovisas inte i budgetpropositionen (se även avsnitt 6.2). </w:t>
      </w:r>
    </w:p>
    <w:p w:rsidR="00DC1575" w:rsidRPr="001E42CA" w:rsidRDefault="00DC1575">
      <w:pPr>
        <w:pStyle w:val="Normaltindrag"/>
      </w:pPr>
      <w:r w:rsidRPr="001E42CA">
        <w:t>I regeringens vårpropositioner görs också en genomgång av kommunse</w:t>
      </w:r>
      <w:r w:rsidRPr="001E42CA">
        <w:t>k</w:t>
      </w:r>
      <w:r w:rsidRPr="001E42CA">
        <w:t>torn. Redovisningen skiljer sig dock inte nämnvärt från den som redovisats ovan. I huvudsak rör det sig om behov, ansökningar, ändamål etc.</w:t>
      </w:r>
    </w:p>
    <w:p w:rsidR="00DC1575" w:rsidRPr="001E42CA" w:rsidRDefault="00DC1575">
      <w:pPr>
        <w:pStyle w:val="Normaltindrag"/>
      </w:pPr>
      <w:r w:rsidRPr="001E42CA">
        <w:t>Regeringen överlämnar vidare årligen en skrivelse till riksdagen om u</w:t>
      </w:r>
      <w:r w:rsidRPr="001E42CA">
        <w:t>t</w:t>
      </w:r>
      <w:r w:rsidRPr="001E42CA">
        <w:t>vecklingen inom den kommunala sektorn. Redovisningen omfattar främst obligatoriska verksamheter i kommuner och landsting och syftar till att b</w:t>
      </w:r>
      <w:r w:rsidRPr="001E42CA">
        <w:t>e</w:t>
      </w:r>
      <w:r w:rsidRPr="001E42CA">
        <w:t>skriva hur dessa utvecklas i förhållande till de nationella mål som riksdag och regering har formulerat för respektive verksamhet. I skrivelsen behan</w:t>
      </w:r>
      <w:r w:rsidRPr="001E42CA">
        <w:t>d</w:t>
      </w:r>
      <w:r w:rsidRPr="001E42CA">
        <w:t>las också anslaget Bidrag till särskilda insatser i vissa kommuner och land</w:t>
      </w:r>
      <w:r w:rsidRPr="001E42CA">
        <w:t>s</w:t>
      </w:r>
      <w:r w:rsidRPr="001E42CA">
        <w:t>ting. Det är dock återigen fråga om liknande statistiska uppgifter som nämnts ovan. Skrivelserna ger således ingen vägledning om måluppfyllels</w:t>
      </w:r>
      <w:r w:rsidRPr="001E42CA">
        <w:t>en. Den senaste skrivelsen behandlades av finansutskottet i maj 2000 (1999/2000:FiU29). Utskottet konstaterade att regeringens uppföljningsskr</w:t>
      </w:r>
      <w:r w:rsidRPr="001E42CA">
        <w:t>i</w:t>
      </w:r>
      <w:r w:rsidRPr="001E42CA">
        <w:t>velse har blivit bättre än föregående års, men att ytterligare åtgärder krävs i enlighet med vad reg</w:t>
      </w:r>
      <w:r w:rsidRPr="001E42CA">
        <w:t>e</w:t>
      </w:r>
      <w:r w:rsidRPr="001E42CA">
        <w:t xml:space="preserve">ringen framhåller i vårpropositionen (se avsnitt 6.5). </w:t>
      </w:r>
    </w:p>
    <w:p w:rsidR="00DC1575" w:rsidRPr="001E42CA" w:rsidRDefault="00DC1575">
      <w:pPr>
        <w:pStyle w:val="Rubrik2"/>
      </w:pPr>
      <w:bookmarkStart w:id="54" w:name="_Toc526302395"/>
      <w:r w:rsidRPr="001E42CA">
        <w:t>Bostadsdelegationen</w:t>
      </w:r>
      <w:bookmarkEnd w:id="54"/>
    </w:p>
    <w:p w:rsidR="00DC1575" w:rsidRPr="001E42CA" w:rsidRDefault="00DC1575">
      <w:r w:rsidRPr="001E42CA">
        <w:t>Myndigheternas resultatredovisning styrdes till och med 2000 i huvudsak av förordningen (1996:882) om myndigheters årsredovisning m.m.</w:t>
      </w:r>
      <w:r w:rsidRPr="001E42CA">
        <w:rPr>
          <w:rStyle w:val="Fotnotsreferens"/>
        </w:rPr>
        <w:footnoteReference w:id="15"/>
      </w:r>
      <w:r w:rsidRPr="001E42CA">
        <w:t xml:space="preserve"> Av föror</w:t>
      </w:r>
      <w:r w:rsidRPr="001E42CA">
        <w:t>d</w:t>
      </w:r>
      <w:r w:rsidRPr="001E42CA">
        <w:t>ningen framgår bl.a. att myndigheten ska redovisa och kommentera ver</w:t>
      </w:r>
      <w:r w:rsidRPr="001E42CA">
        <w:t>k</w:t>
      </w:r>
      <w:r w:rsidRPr="001E42CA">
        <w:t>samhetens resultat i förhållande till de mål och i enlighet med de krav på återrapportering som regeringen har angett i regleringsbrev eller i något annat beslut.</w:t>
      </w:r>
    </w:p>
    <w:p w:rsidR="00DC1575" w:rsidRPr="001E42CA" w:rsidRDefault="00DC1575">
      <w:pPr>
        <w:pStyle w:val="R3"/>
      </w:pPr>
      <w:r w:rsidRPr="001E42CA">
        <w:t>Mål</w:t>
      </w:r>
    </w:p>
    <w:p w:rsidR="00DC1575" w:rsidRPr="001E42CA" w:rsidRDefault="00DC1575">
      <w:r w:rsidRPr="001E42CA">
        <w:t>Av regleringsbrevet för budgetåret 2000 framgår att Bostadsdelegationens del av effektmålet för utgiftsområde 25 (se ovan) är</w:t>
      </w:r>
    </w:p>
    <w:p w:rsidR="00DC1575" w:rsidRPr="001E42CA" w:rsidRDefault="00DC1575">
      <w:pPr>
        <w:pStyle w:val="Normaltindrag"/>
      </w:pPr>
    </w:p>
    <w:p w:rsidR="00DC1575" w:rsidRPr="001E42CA" w:rsidRDefault="00DC1575">
      <w:pPr>
        <w:numPr>
          <w:ilvl w:val="0"/>
          <w:numId w:val="43"/>
        </w:numPr>
        <w:spacing w:before="0"/>
        <w:ind w:left="357" w:hanging="357"/>
      </w:pPr>
      <w:r w:rsidRPr="001E42CA">
        <w:t>att genom att tillfälligt bistå kommuner med stöd motverka att en ko</w:t>
      </w:r>
      <w:r w:rsidRPr="001E42CA">
        <w:t>m</w:t>
      </w:r>
      <w:r w:rsidRPr="001E42CA">
        <w:t>mun på grund av åtaganden för boendet inte kan fullgöra sina ekon</w:t>
      </w:r>
      <w:r w:rsidRPr="001E42CA">
        <w:t>o</w:t>
      </w:r>
      <w:r w:rsidRPr="001E42CA">
        <w:t>miska fö</w:t>
      </w:r>
      <w:r w:rsidRPr="001E42CA">
        <w:t>r</w:t>
      </w:r>
      <w:r w:rsidRPr="001E42CA">
        <w:t>pliktelser.</w:t>
      </w:r>
    </w:p>
    <w:p w:rsidR="00DC1575" w:rsidRPr="001E42CA" w:rsidRDefault="00DC1575">
      <w:pPr>
        <w:pStyle w:val="Normaltindrag"/>
      </w:pPr>
    </w:p>
    <w:p w:rsidR="00DC1575" w:rsidRPr="001E42CA" w:rsidRDefault="00DC1575">
      <w:pPr>
        <w:spacing w:before="0"/>
      </w:pPr>
      <w:r w:rsidRPr="001E42CA">
        <w:t xml:space="preserve">Verksamhetsmålet är att statligt stöd ska lämnas på sådana villkor att statens kostnader minimeras. </w:t>
      </w:r>
    </w:p>
    <w:p w:rsidR="00DC1575" w:rsidRPr="001E42CA" w:rsidRDefault="00DC1575">
      <w:pPr>
        <w:pStyle w:val="R3"/>
      </w:pPr>
      <w:r w:rsidRPr="001E42CA">
        <w:t>Resultatredovisning och resultatbedömning</w:t>
      </w:r>
    </w:p>
    <w:p w:rsidR="00DC1575" w:rsidRPr="001E42CA" w:rsidRDefault="00DC1575">
      <w:r w:rsidRPr="001E42CA">
        <w:t>Enligt de krav på återrapportering som anges i regleringsbrevet ska Bostad</w:t>
      </w:r>
      <w:r w:rsidRPr="001E42CA">
        <w:t>s</w:t>
      </w:r>
      <w:r w:rsidRPr="001E42CA">
        <w:t>delegationen i sin årsredovi</w:t>
      </w:r>
      <w:r w:rsidRPr="001E42CA">
        <w:t>s</w:t>
      </w:r>
      <w:r w:rsidRPr="001E42CA">
        <w:t>ning redovisa</w:t>
      </w:r>
    </w:p>
    <w:p w:rsidR="00DC1575" w:rsidRPr="001E42CA" w:rsidRDefault="00DC1575">
      <w:pPr>
        <w:pStyle w:val="Normaltindrag"/>
      </w:pPr>
    </w:p>
    <w:p w:rsidR="00DC1575" w:rsidRPr="001E42CA" w:rsidRDefault="00DC1575">
      <w:pPr>
        <w:numPr>
          <w:ilvl w:val="0"/>
          <w:numId w:val="45"/>
        </w:numPr>
        <w:spacing w:before="0"/>
        <w:ind w:left="357" w:hanging="357"/>
      </w:pPr>
      <w:r w:rsidRPr="001E42CA">
        <w:t>omfattningen och inriktningen av det stöd som lämnats till kommuner i form av statliga kreditgarantier och bidrag,</w:t>
      </w:r>
    </w:p>
    <w:p w:rsidR="00DC1575" w:rsidRPr="001E42CA" w:rsidRDefault="00DC1575">
      <w:pPr>
        <w:numPr>
          <w:ilvl w:val="0"/>
          <w:numId w:val="45"/>
        </w:numPr>
      </w:pPr>
      <w:r w:rsidRPr="001E42CA">
        <w:t>omfattningen och inriktningen av de kreditgarantier som lämnats för att ersätta kommunal borgen för lån till bostadsrättsföreningar samt statens och kommunernas kostnader i samband med detta,</w:t>
      </w:r>
    </w:p>
    <w:p w:rsidR="00DC1575" w:rsidRPr="001E42CA" w:rsidRDefault="00DC1575">
      <w:pPr>
        <w:numPr>
          <w:ilvl w:val="0"/>
          <w:numId w:val="45"/>
        </w:numPr>
      </w:pPr>
      <w:r w:rsidRPr="001E42CA">
        <w:t>de villkor och insatser från kommunens sida som stödet förenats med och de åtgärder i övrigt som vidtagits för att minimera statens kostnader,</w:t>
      </w:r>
    </w:p>
    <w:p w:rsidR="00DC1575" w:rsidRPr="001E42CA" w:rsidRDefault="00DC1575">
      <w:pPr>
        <w:numPr>
          <w:ilvl w:val="0"/>
          <w:numId w:val="45"/>
        </w:numPr>
      </w:pPr>
      <w:r w:rsidRPr="001E42CA">
        <w:t>preliminära och slutliga beslut om stöd som fattats under budgetåret 2000 samt övriga totala åtaganden per den 31 december 2000,</w:t>
      </w:r>
    </w:p>
    <w:p w:rsidR="00DC1575" w:rsidRPr="001E42CA" w:rsidRDefault="00DC1575">
      <w:pPr>
        <w:numPr>
          <w:ilvl w:val="0"/>
          <w:numId w:val="45"/>
        </w:numPr>
      </w:pPr>
      <w:r w:rsidRPr="001E42CA">
        <w:t>antalet inkomna ärenden under året och ärendebalansen,</w:t>
      </w:r>
    </w:p>
    <w:p w:rsidR="00DC1575" w:rsidRPr="001E42CA" w:rsidRDefault="00DC1575">
      <w:pPr>
        <w:numPr>
          <w:ilvl w:val="0"/>
          <w:numId w:val="45"/>
        </w:numPr>
      </w:pPr>
      <w:r w:rsidRPr="001E42CA">
        <w:t>ackumulerade kostnader och intäkter samt utvecklingen sedan starten den 1 juli 1998,</w:t>
      </w:r>
    </w:p>
    <w:p w:rsidR="00DC1575" w:rsidRPr="001E42CA" w:rsidRDefault="00DC1575">
      <w:pPr>
        <w:numPr>
          <w:ilvl w:val="0"/>
          <w:numId w:val="45"/>
        </w:numPr>
      </w:pPr>
      <w:r w:rsidRPr="001E42CA">
        <w:t>verksamhetens förvaltningsutgifter och utgifter för utredningar i enski</w:t>
      </w:r>
      <w:r w:rsidRPr="001E42CA">
        <w:t>l</w:t>
      </w:r>
      <w:r w:rsidRPr="001E42CA">
        <w:t>da stödärenden,</w:t>
      </w:r>
    </w:p>
    <w:p w:rsidR="00DC1575" w:rsidRPr="001E42CA" w:rsidRDefault="00DC1575">
      <w:pPr>
        <w:numPr>
          <w:ilvl w:val="0"/>
          <w:numId w:val="45"/>
        </w:numPr>
      </w:pPr>
      <w:r w:rsidRPr="001E42CA">
        <w:t>medel som reserverats för förluster avseende statliga kreditgarantier samt avgifter och eventuella återvunna medel för detta ändamål.</w:t>
      </w:r>
    </w:p>
    <w:p w:rsidR="00DC1575" w:rsidRPr="001E42CA" w:rsidRDefault="00DC1575">
      <w:pPr>
        <w:pStyle w:val="Normaltindrag"/>
      </w:pPr>
    </w:p>
    <w:p w:rsidR="00DC1575" w:rsidRPr="001E42CA" w:rsidRDefault="00DC1575">
      <w:pPr>
        <w:spacing w:before="0"/>
      </w:pPr>
      <w:r w:rsidRPr="001E42CA">
        <w:t>Det är inte helt uppenbart hur denna form av återrapportering kan bidra till att bedöma måluppfyllelsen. Bostadsdelegationen redovisar dock en form av återrapportering mot e</w:t>
      </w:r>
      <w:r w:rsidRPr="001E42CA">
        <w:t>f</w:t>
      </w:r>
      <w:r w:rsidRPr="001E42CA">
        <w:t>fektmål och verksamhetsmål.</w:t>
      </w:r>
    </w:p>
    <w:p w:rsidR="00DC1575" w:rsidRPr="001E42CA" w:rsidRDefault="00DC1575">
      <w:pPr>
        <w:pStyle w:val="Normaltindrag"/>
      </w:pPr>
      <w:r w:rsidRPr="001E42CA">
        <w:t>Effektmålet säkras enligt delegationen främst genom det arbetssätt som bedrivs. Genom det arbetssätt som beskrivits i kapitel 3 och 5 söker Bostad</w:t>
      </w:r>
      <w:r w:rsidRPr="001E42CA">
        <w:t>s</w:t>
      </w:r>
      <w:r w:rsidRPr="001E42CA">
        <w:t>delegationen säkra att bedömningarna av kommunernas behov så långt som möjligt grundas på verifierbara och jämförbara uppgifter om kommunernas förmåga att själva fullgöra sina åtaganden. Härigenom vill delegationen vidare säkra att skäliga krav ställs på kommunernas förmåga att anpassa sig till de ekonomiska och demografiska förutsättningar som kan förutses för den närmaste framtiden och därmed uppnå ekonomisk balans inom planper</w:t>
      </w:r>
      <w:r w:rsidRPr="001E42CA">
        <w:t>i</w:t>
      </w:r>
      <w:r w:rsidRPr="001E42CA">
        <w:t>oden. Syftet är att det tillfälliga stöd som delegationen administrerar ska –</w:t>
      </w:r>
      <w:r w:rsidRPr="001E42CA">
        <w:t xml:space="preserve"> i enlighet med effektmålet – motverka att en kommun på grund av åtaganden för boendet inte kan fullgöra sina ekonomiska förpliktelser (Bostadsdeleg</w:t>
      </w:r>
      <w:r w:rsidRPr="001E42CA">
        <w:t>a</w:t>
      </w:r>
      <w:r w:rsidRPr="001E42CA">
        <w:t>tionen, 2000a).</w:t>
      </w:r>
    </w:p>
    <w:p w:rsidR="00DC1575" w:rsidRPr="001E42CA" w:rsidRDefault="00DC1575">
      <w:pPr>
        <w:pStyle w:val="Normaltindrag"/>
      </w:pPr>
      <w:r w:rsidRPr="001E42CA">
        <w:t>Även verksamhetsmålet är, enligt Bostadsdelegationen, i första hand avsett att säkras genom det arbetssätt som har beskrivits, inte minst genom de d</w:t>
      </w:r>
      <w:r w:rsidRPr="001E42CA">
        <w:t>e</w:t>
      </w:r>
      <w:r w:rsidRPr="001E42CA">
        <w:t xml:space="preserve">taljerade analyserna av bostadsföretagens ekonomi. I de olika avtalen tas det vidare i dessa regelmässigt in villkor som syftar till att motverka att det stöd som staten har lämnat för rekonstruktionen av bostadsföretagen används för andra syften än som har avsetts med avtalen (Bostadsdelegationen, 2000a). </w:t>
      </w:r>
    </w:p>
    <w:p w:rsidR="00DC1575" w:rsidRPr="001E42CA" w:rsidRDefault="00DC1575">
      <w:pPr>
        <w:pStyle w:val="Normaltindrag"/>
      </w:pPr>
      <w:r w:rsidRPr="001E42CA">
        <w:t>Bostadsdelegationens analys kan sägas utgå från att arbetssättet är avsett att säkra att målen uppfylls, dvs. det är fråga om någon form av kvalitativ analys. Någon egentlig bedömning av måluppfyllelsen</w:t>
      </w:r>
      <w:r w:rsidRPr="001E42CA">
        <w:t xml:space="preserve"> görs dock inte, varken av Bostadsdelegationen eller av regeringen. Det är sannolikt inte heller mö</w:t>
      </w:r>
      <w:r w:rsidRPr="001E42CA">
        <w:t>j</w:t>
      </w:r>
      <w:r w:rsidRPr="001E42CA">
        <w:t>ligt utan andra typer av kvantitativa data än de som redovisas i årsredovi</w:t>
      </w:r>
      <w:r w:rsidRPr="001E42CA">
        <w:t>s</w:t>
      </w:r>
      <w:r w:rsidRPr="001E42CA">
        <w:t>ningen.</w:t>
      </w:r>
    </w:p>
    <w:p w:rsidR="00DC1575" w:rsidRPr="001E42CA" w:rsidRDefault="00DC1575">
      <w:pPr>
        <w:pStyle w:val="Normaltindrag"/>
      </w:pPr>
      <w:r w:rsidRPr="001E42CA">
        <w:t>Av Bostadsdelegationens budgetunderlag för budgetåren 2001–2003 fra</w:t>
      </w:r>
      <w:r w:rsidRPr="001E42CA">
        <w:t>m</w:t>
      </w:r>
      <w:r w:rsidRPr="001E42CA">
        <w:t>går emellertid att delegationen avser att följa upp kommunernas och bostad</w:t>
      </w:r>
      <w:r w:rsidRPr="001E42CA">
        <w:t>s</w:t>
      </w:r>
      <w:r w:rsidRPr="001E42CA">
        <w:t>företagens åtaganden enligt de avtal som har träffats. Uppföljningen kommer enligt underlaget att göras i ett bredare perspektiv och även innefatta studier av hur de kommuner som sökt stöd men som inte har några avtal med del</w:t>
      </w:r>
      <w:r w:rsidRPr="001E42CA">
        <w:t>e</w:t>
      </w:r>
      <w:r w:rsidRPr="001E42CA">
        <w:t>gationen har hanterat sina svårigheter. Syftet med en sådan bredare studie är att dra lärdom av vilka effekter omfattande engångsåtgärder har på komm</w:t>
      </w:r>
      <w:r w:rsidRPr="001E42CA">
        <w:t>u</w:t>
      </w:r>
      <w:r w:rsidRPr="001E42CA">
        <w:t>nernas verksamhet samt vilken inverkan avtalen och den här t</w:t>
      </w:r>
      <w:r w:rsidRPr="001E42CA">
        <w:t>ypen av statligt stöd har på kommunernas ekonomi och anpassningsförmåga. Studien avses ta sikte på såväl ekonomiska data som budgetprocessfrågor, budgetuppföl</w:t>
      </w:r>
      <w:r w:rsidRPr="001E42CA">
        <w:t>j</w:t>
      </w:r>
      <w:r w:rsidRPr="001E42CA">
        <w:t>ning, styrning av bostadsföretagen samt bostadsföretagens förmåga att dra nytta av de nya förutsättningarna (Bostadsdelegationen, 2000b). I årsred</w:t>
      </w:r>
      <w:r w:rsidRPr="001E42CA">
        <w:t>o</w:t>
      </w:r>
      <w:r w:rsidRPr="001E42CA">
        <w:t>visningen för 2000 nämns att uppföljningen inte har påbörjats och att den inte heller kan genomföras inom den begränsade tid som återstår av deleg</w:t>
      </w:r>
      <w:r w:rsidRPr="001E42CA">
        <w:t>a</w:t>
      </w:r>
      <w:r w:rsidRPr="001E42CA">
        <w:t>tionens verksamhet. Delegationen är dock beredd att – om re</w:t>
      </w:r>
      <w:r w:rsidRPr="001E42CA">
        <w:t>geringen finner det lämpligt – svara för en sådan bredare uppföljning sedan den stödgivande verksamheten har avvecklats.</w:t>
      </w:r>
    </w:p>
    <w:p w:rsidR="00DC1575" w:rsidRPr="001E42CA" w:rsidRDefault="00DC1575">
      <w:pPr>
        <w:pStyle w:val="Normaltindrag"/>
      </w:pPr>
      <w:r w:rsidRPr="001E42CA">
        <w:t>Även i budgetpropositionen för 2001 nämns att det kommer att finnas ett behov av ett uppföljningsarbete av vilka effekter stödet haft för de komm</w:t>
      </w:r>
      <w:r w:rsidRPr="001E42CA">
        <w:t>u</w:t>
      </w:r>
      <w:r w:rsidRPr="001E42CA">
        <w:t>ner som fått stöd samt hur det gått för de kommuner som inte fått stöd. Det framgår att regeringen överväger formerna för det fortsatta arbetet. I budge</w:t>
      </w:r>
      <w:r w:rsidRPr="001E42CA">
        <w:t>t</w:t>
      </w:r>
      <w:r w:rsidRPr="001E42CA">
        <w:t>propositionen anges samtidigt att delegationens uppdrag beräknas kunna avslutas under 2001.</w:t>
      </w:r>
    </w:p>
    <w:p w:rsidR="00DC1575" w:rsidRPr="001E42CA" w:rsidRDefault="00DC1575">
      <w:pPr>
        <w:pStyle w:val="Rubrik2"/>
      </w:pPr>
      <w:bookmarkStart w:id="55" w:name="_Toc526302396"/>
      <w:r w:rsidRPr="001E42CA">
        <w:t>Kommundelegationen</w:t>
      </w:r>
      <w:bookmarkEnd w:id="55"/>
    </w:p>
    <w:p w:rsidR="00DC1575" w:rsidRPr="001E42CA" w:rsidRDefault="00DC1575">
      <w:r w:rsidRPr="001E42CA">
        <w:t>Kommundelegationen hade, som tidigare framgått, formen av en kommitté. Den omfattas därmed inte av de resultatkrav som ställs i förordningen om myndigheters årsredovisning m.m. Verksamheten regleras i stället av ko</w:t>
      </w:r>
      <w:r w:rsidRPr="001E42CA">
        <w:t>m</w:t>
      </w:r>
      <w:r w:rsidRPr="001E42CA">
        <w:t>mittéförordningen (1998:1474). Av förordningen framgår bl.a. att om försl</w:t>
      </w:r>
      <w:r w:rsidRPr="001E42CA">
        <w:t>a</w:t>
      </w:r>
      <w:r w:rsidRPr="001E42CA">
        <w:t>gen i ett betänkande har betydelse för t.ex. den kommunala självstyrelsen eller för sysselsättning och offentlig service i olika delar av landet ska ko</w:t>
      </w:r>
      <w:r w:rsidRPr="001E42CA">
        <w:t>n</w:t>
      </w:r>
      <w:r w:rsidRPr="001E42CA">
        <w:t>sekvenserna i dessa avseenden anges i betänkandet. Regeringen anger dock närmare i utredningsuppdraget vilka konsekvensbeskrivningar som ska fi</w:t>
      </w:r>
      <w:r w:rsidRPr="001E42CA">
        <w:t>n</w:t>
      </w:r>
      <w:r w:rsidRPr="001E42CA">
        <w:t xml:space="preserve">nas i ett betänkande. I kommittédirektiven för Kommundelegationen angavs inga krav på konsekvensbeskrivningar (dir. 1999:65). </w:t>
      </w:r>
    </w:p>
    <w:p w:rsidR="00DC1575" w:rsidRPr="001E42CA" w:rsidRDefault="00DC1575">
      <w:pPr>
        <w:pStyle w:val="Rubrik2"/>
      </w:pPr>
      <w:bookmarkStart w:id="56" w:name="_Toc526302397"/>
      <w:r w:rsidRPr="001E42CA">
        <w:t>Principiella s</w:t>
      </w:r>
      <w:r w:rsidRPr="001E42CA">
        <w:t>killnader i kraven på resultatredovisning mellan regering och myndigheter</w:t>
      </w:r>
      <w:bookmarkEnd w:id="56"/>
    </w:p>
    <w:p w:rsidR="00DC1575" w:rsidRPr="001E42CA" w:rsidRDefault="00DC1575">
      <w:r w:rsidRPr="001E42CA">
        <w:t>Det finns flera principiella skillnader mellan myndigheters resultatredovi</w:t>
      </w:r>
      <w:r w:rsidRPr="001E42CA">
        <w:t>s</w:t>
      </w:r>
      <w:r w:rsidRPr="001E42CA">
        <w:t>ning och den redovisning som rör anslag som står till regeringens dispos</w:t>
      </w:r>
      <w:r w:rsidRPr="001E42CA">
        <w:t>i</w:t>
      </w:r>
      <w:r w:rsidRPr="001E42CA">
        <w:t>tion. Skillnaderna gäller främst hur resultaten bedöms, men även formalis</w:t>
      </w:r>
      <w:r w:rsidRPr="001E42CA">
        <w:t>e</w:t>
      </w:r>
      <w:r w:rsidRPr="001E42CA">
        <w:t>ringen av redovi</w:t>
      </w:r>
      <w:r w:rsidRPr="001E42CA">
        <w:t>s</w:t>
      </w:r>
      <w:r w:rsidRPr="001E42CA">
        <w:t xml:space="preserve">ningen. </w:t>
      </w:r>
    </w:p>
    <w:p w:rsidR="00DC1575" w:rsidRPr="001E42CA" w:rsidRDefault="00DC1575">
      <w:pPr>
        <w:pStyle w:val="Normaltindrag"/>
      </w:pPr>
      <w:r w:rsidRPr="001E42CA">
        <w:t>Som framgått ovan har myndigheternas resultatredovisning i huvudsak styrts av förordningen (1996:882) om myndigheters årsredovisning m.m. (numera styrs den av förordningen (2000:605) om årsredovisning och bu</w:t>
      </w:r>
      <w:r w:rsidRPr="001E42CA">
        <w:t>d</w:t>
      </w:r>
      <w:r w:rsidRPr="001E42CA">
        <w:t>getunderlag). Av förordningen framgår bl.a. att myndigheten ska redovisa och kommentera verksamhetens resultat i förhållande till de mål och i enli</w:t>
      </w:r>
      <w:r w:rsidRPr="001E42CA">
        <w:t>g</w:t>
      </w:r>
      <w:r w:rsidRPr="001E42CA">
        <w:t>het med de krav på återrapportering som regeringen har angett i reglering</w:t>
      </w:r>
      <w:r w:rsidRPr="001E42CA">
        <w:t>s</w:t>
      </w:r>
      <w:r w:rsidRPr="001E42CA">
        <w:t>brev eller i något annat beslut. Den information som myndigheterna lämnar i årsredovisningen  utgör i ett senare led ett viktigt inslag i den resultatbedö</w:t>
      </w:r>
      <w:r w:rsidRPr="001E42CA">
        <w:t>m</w:t>
      </w:r>
      <w:r w:rsidRPr="001E42CA">
        <w:t>ning som görs i budgetpropositionen. Resultatbedömningen består av resu</w:t>
      </w:r>
      <w:r w:rsidRPr="001E42CA">
        <w:t>l</w:t>
      </w:r>
      <w:r w:rsidRPr="001E42CA">
        <w:t>tatredovisning samt analys och slutsatser. Utifrån redovisning</w:t>
      </w:r>
      <w:r w:rsidRPr="001E42CA">
        <w:t>en av verksa</w:t>
      </w:r>
      <w:r w:rsidRPr="001E42CA">
        <w:t>m</w:t>
      </w:r>
      <w:r w:rsidRPr="001E42CA">
        <w:t>hetens resultat och resursåtgången sammanfattas tillståndet och utvecklingen inom området. Därefter analyseras vilka effekter de statliga insatserna haft för tillståndet och utvecklingen inom området. Regeringen gör således här en bedömning av vilka resultat som uppnåtts av bl.a. myndigheterna. Eftersom resultaten presenteras i budgetpropositionen görs ytterligare en bedömning av riksdagen. Processen leder således till att resu</w:t>
      </w:r>
      <w:r w:rsidRPr="001E42CA">
        <w:t>l</w:t>
      </w:r>
      <w:r w:rsidRPr="001E42CA">
        <w:t>taten bedöms två gånger.</w:t>
      </w:r>
    </w:p>
    <w:p w:rsidR="00DC1575" w:rsidRPr="001E42CA" w:rsidRDefault="00DC1575">
      <w:pPr>
        <w:pStyle w:val="Normaltindrag"/>
      </w:pPr>
      <w:r w:rsidRPr="001E42CA">
        <w:t>Bedömningen och redovisningen av anslag so</w:t>
      </w:r>
      <w:r w:rsidRPr="001E42CA">
        <w:t>m står till regeringens disp</w:t>
      </w:r>
      <w:r w:rsidRPr="001E42CA">
        <w:t>o</w:t>
      </w:r>
      <w:r w:rsidRPr="001E42CA">
        <w:t>sition skiljer sig från myndigheternas på ett par punkter. Rent formellt finns inte motsvarande explicita bestämmelser för anslag som står till regeringens disposition. Enligt förordningen (1996:1515) med instruktion för Regering</w:t>
      </w:r>
      <w:r w:rsidRPr="001E42CA">
        <w:t>s</w:t>
      </w:r>
      <w:r w:rsidRPr="001E42CA">
        <w:t>kansliet är Regeringskansliet undantaget från kravet på resultatredovisning. I och för sig ska regeringen enligt lagen (1996:1059) om statsbudgeten lämna en årsredovisning för staten till riksdagen. Till skillnad mot myndigheternas årsredovisning innehå</w:t>
      </w:r>
      <w:r w:rsidRPr="001E42CA">
        <w:t>ller den dock i huvudsak en genomlysning av statens finanser och inte en analys av uppnådda resultat (se t.ex. skr. 1999/2000:150). Det blir i stället budgetlagens bestämmelser om effektivitet och resultat som blir tillämpliga, dvs. att regeringen för riksdagen ska redov</w:t>
      </w:r>
      <w:r w:rsidRPr="001E42CA">
        <w:t>i</w:t>
      </w:r>
      <w:r w:rsidRPr="001E42CA">
        <w:t xml:space="preserve">sa de mål som åsyftas och de resultat som uppnåtts. </w:t>
      </w:r>
    </w:p>
    <w:p w:rsidR="00DC1575" w:rsidRPr="001E42CA" w:rsidRDefault="00DC1575">
      <w:pPr>
        <w:pStyle w:val="Normaltindrag"/>
      </w:pPr>
      <w:r w:rsidRPr="001E42CA">
        <w:t>Detta leder fram till den andra och kanske viktigaste skillnaden. Systemet med mål- och resultatstyrning förutsätter en tydlig rollfördelning mellan riksdag, regering och myndigheter. Ans</w:t>
      </w:r>
      <w:r w:rsidRPr="001E42CA">
        <w:t>lag som står till regeringens dispos</w:t>
      </w:r>
      <w:r w:rsidRPr="001E42CA">
        <w:t>i</w:t>
      </w:r>
      <w:r w:rsidRPr="001E42CA">
        <w:t>tion kan dock komma att bryta detta mönster. Det är endast en part, regerin</w:t>
      </w:r>
      <w:r w:rsidRPr="001E42CA">
        <w:t>g</w:t>
      </w:r>
      <w:r w:rsidRPr="001E42CA">
        <w:t>en, som sätter upp mål, redovisar resultat och bedömer resultaten eller m</w:t>
      </w:r>
      <w:r w:rsidRPr="001E42CA">
        <w:t>å</w:t>
      </w:r>
      <w:r w:rsidRPr="001E42CA">
        <w:t>l-uppfyllelsen. Regeringen bedömer med andra ord den verksamhet som den själv utför. Resultaten bedöms i och för sig av riksdagen, men resultat och måluppfyllelse kan vara svårare att värdera eftersom hela kedjan har gjorts av en instans.</w:t>
      </w:r>
    </w:p>
    <w:p w:rsidR="00DC1575" w:rsidRPr="001E42CA" w:rsidRDefault="00DC1575">
      <w:pPr>
        <w:pStyle w:val="Normaltindrag"/>
      </w:pPr>
      <w:r w:rsidRPr="001E42CA">
        <w:t>Det är inte heller alla gånger uppenbart att det går att göra en bedömning utifrån reg</w:t>
      </w:r>
      <w:r w:rsidRPr="001E42CA">
        <w:t>eringens material. När det gäller anslaget Bidrag till särskilda insatser i vissa kommuner och landsting saknas i budgetpropositioner och andra dokument i vissa stycken målformulering, resultat och analys av m</w:t>
      </w:r>
      <w:r w:rsidRPr="001E42CA">
        <w:t>å</w:t>
      </w:r>
      <w:r w:rsidRPr="001E42CA">
        <w:t>lup</w:t>
      </w:r>
      <w:r w:rsidRPr="001E42CA">
        <w:t>p</w:t>
      </w:r>
      <w:r w:rsidRPr="001E42CA">
        <w:t xml:space="preserve">fyllelse. </w:t>
      </w:r>
    </w:p>
    <w:p w:rsidR="00DC1575" w:rsidRPr="001E42CA" w:rsidRDefault="00DC1575">
      <w:pPr>
        <w:pStyle w:val="Rubrik2"/>
      </w:pPr>
      <w:bookmarkStart w:id="57" w:name="_Toc526302398"/>
      <w:r w:rsidRPr="001E42CA">
        <w:t>Pågående utvecklingsarbete</w:t>
      </w:r>
      <w:bookmarkEnd w:id="57"/>
    </w:p>
    <w:p w:rsidR="00DC1575" w:rsidRPr="001E42CA" w:rsidRDefault="00DC1575">
      <w:r w:rsidRPr="001E42CA">
        <w:t>Av budgetpropositionen för 2001 framgår att övergången till i huvudsak generella statsbidrag under 1990-talet har inneburit ändrade förutsättningar för uppföljningen och utvärderingen av de kommunala verksamheterna. I propositionen sägs (liksom i tidigare budgetpropositioner och vårpropositi</w:t>
      </w:r>
      <w:r w:rsidRPr="001E42CA">
        <w:t>o</w:t>
      </w:r>
      <w:r w:rsidRPr="001E42CA">
        <w:t>ner) att uppföljningen och utvärderingen av kommuner och landsting beh</w:t>
      </w:r>
      <w:r w:rsidRPr="001E42CA">
        <w:t>ö</w:t>
      </w:r>
      <w:r w:rsidRPr="001E42CA">
        <w:t>ver förbättras, inte minst om produktiviteten och effektiviteten ska kunna ökas ytterligare. I syfte att förbättra uppföljningen av kommuner och land</w:t>
      </w:r>
      <w:r w:rsidRPr="001E42CA">
        <w:t>s</w:t>
      </w:r>
      <w:r w:rsidRPr="001E42CA">
        <w:t>ting tillsatte regeringen 1998 en arbetsgrupp med uppgift att lämna förslag till åtgärder för att på längre sikt åstadkomma en väl fungerande uppföljning av mål-uppfyllelse och resursanvändning i kommuner och landsting. Som en del i detta arbete har förslag till en kommunal provdatabas pre</w:t>
      </w:r>
      <w:r w:rsidRPr="001E42CA">
        <w:t>senterats (Ds 2000:48). Tolv kommuner har deltagit i projektet med provdatabasen. I ra</w:t>
      </w:r>
      <w:r w:rsidRPr="001E42CA">
        <w:t>p</w:t>
      </w:r>
      <w:r w:rsidRPr="001E42CA">
        <w:t>porten lämnas förslag till hur arbetet med en kommunal databas bör fortsä</w:t>
      </w:r>
      <w:r w:rsidRPr="001E42CA">
        <w:t>t</w:t>
      </w:r>
      <w:r w:rsidRPr="001E42CA">
        <w:t>ta.</w:t>
      </w:r>
      <w:r w:rsidRPr="001E42CA">
        <w:rPr>
          <w:rStyle w:val="Fotnotsreferens"/>
        </w:rPr>
        <w:footnoteReference w:id="16"/>
      </w:r>
      <w:r w:rsidRPr="001E42CA">
        <w:t xml:space="preserve"> </w:t>
      </w:r>
    </w:p>
    <w:p w:rsidR="00DC1575" w:rsidRPr="001E42CA" w:rsidRDefault="00DC1575">
      <w:pPr>
        <w:pStyle w:val="Normaltindrag"/>
      </w:pPr>
      <w:r w:rsidRPr="001E42CA">
        <w:t>Den ovan nämnda arbetsgruppen ska bl.a. bedöma hur uppföljningen av de nationella målen för olika kommunala verksamheter kan förbättras, om m</w:t>
      </w:r>
      <w:r w:rsidRPr="001E42CA">
        <w:t>å</w:t>
      </w:r>
      <w:r w:rsidRPr="001E42CA">
        <w:t>len behöver utvecklas eller förtydligas med hänsyn till uppföljning och u</w:t>
      </w:r>
      <w:r w:rsidRPr="001E42CA">
        <w:t>t</w:t>
      </w:r>
      <w:r w:rsidRPr="001E42CA">
        <w:t xml:space="preserve">värdering eller om det statistiska underlaget behöver förbättras. </w:t>
      </w:r>
    </w:p>
    <w:p w:rsidR="00DC1575" w:rsidRPr="001E42CA" w:rsidRDefault="00DC1575">
      <w:pPr>
        <w:pStyle w:val="Normaltindrag"/>
      </w:pPr>
      <w:r w:rsidRPr="001E42CA">
        <w:t>Detta kontinuerliga uppföljningssystem kan dock inte utnyttjas för den här typen av bidrag som ges från fall till fall. Analyser av den form av bidrag som är föremål för denna granskning är sannolikt endast möjliga via spec</w:t>
      </w:r>
      <w:r w:rsidRPr="001E42CA">
        <w:t>i</w:t>
      </w:r>
      <w:r w:rsidRPr="001E42CA">
        <w:t>ella utvärderingar, och inte via mer generella måluppfyllelseanalyser som rör de nationella målen. Den studie som skissats av Bostadsdelegationen (avsnitt 6.2) ger sannolikt ett bättre underlag för att bedöma st</w:t>
      </w:r>
      <w:r w:rsidRPr="001E42CA">
        <w:t>ö</w:t>
      </w:r>
      <w:r w:rsidRPr="001E42CA">
        <w:t>dets effekter.</w:t>
      </w:r>
    </w:p>
    <w:p w:rsidR="00DC1575" w:rsidRPr="001E42CA" w:rsidRDefault="00DC1575">
      <w:pPr>
        <w:pStyle w:val="Rubrik2"/>
      </w:pPr>
      <w:bookmarkStart w:id="58" w:name="_Toc526302399"/>
      <w:r w:rsidRPr="001E42CA">
        <w:t>Anslagets revidering</w:t>
      </w:r>
      <w:bookmarkEnd w:id="58"/>
    </w:p>
    <w:p w:rsidR="00DC1575" w:rsidRPr="001E42CA" w:rsidRDefault="00DC1575">
      <w:r w:rsidRPr="001E42CA">
        <w:t>Bostadsdelegationen är föremål för RRV:s årliga revision som granskar och bedömer årsredovisning, löpande redovisning och förvaltning. Enligt rev</w:t>
      </w:r>
      <w:r w:rsidRPr="001E42CA">
        <w:t>i</w:t>
      </w:r>
      <w:r w:rsidRPr="001E42CA">
        <w:t>sionsberättelsen för 1999 har årsredovisningen upprättats i enlighet med förordningen om myndigheters årsredovisning m.m., regleringsbrev och övriga beslut för myndigheten. RRV bedömer att årsredovisningen i allt väsentligt är rättvisande (RRV, 2000). Revisionsberättelsen var således i</w:t>
      </w:r>
      <w:r w:rsidRPr="001E42CA">
        <w:t>n</w:t>
      </w:r>
      <w:r w:rsidRPr="001E42CA">
        <w:t>vändningsfri. Delegationen har inte varit föremål för RRV:s effektivitetsrev</w:t>
      </w:r>
      <w:r w:rsidRPr="001E42CA">
        <w:t>i</w:t>
      </w:r>
      <w:r w:rsidRPr="001E42CA">
        <w:t>sion.</w:t>
      </w:r>
    </w:p>
    <w:p w:rsidR="00DC1575" w:rsidRPr="001E42CA" w:rsidRDefault="00DC1575">
      <w:pPr>
        <w:pStyle w:val="Normaltindrag"/>
      </w:pPr>
      <w:r w:rsidRPr="001E42CA">
        <w:t>Övriga delar av anslaget är inte föremål för revision av RRV. Verket kan inom ramen för sitt mandat inte granska användningen av anslag som s</w:t>
      </w:r>
      <w:r w:rsidRPr="001E42CA">
        <w:t>tår till regeringens disposition om inte regeringen ger RRV ett särskilt granskning</w:t>
      </w:r>
      <w:r w:rsidRPr="001E42CA">
        <w:t>s</w:t>
      </w:r>
      <w:r w:rsidRPr="001E42CA">
        <w:t>uppdrag.</w:t>
      </w:r>
    </w:p>
    <w:p w:rsidR="00DC1575" w:rsidRPr="001E42CA" w:rsidRDefault="00DC1575">
      <w:pPr>
        <w:pStyle w:val="Normaltindrag"/>
      </w:pPr>
      <w:r w:rsidRPr="001E42CA">
        <w:t>Riksdagens revisorer svarar för extern revision (redovisningsrevision) av Regeringskansliet. Anslaget har inte tidigare varit föremål för revisorernas effektivitetsrevision (i kapitel 7 redovisas tidigare revisioner och analyser av andra anslag som står eller stått till regeringens disposition). I övrigt utför Regeringskansliets revisionskontor internrevision av all verksamhet inom Regeringskansliet. Internrevisione</w:t>
      </w:r>
      <w:r w:rsidRPr="001E42CA">
        <w:t>n ska granska hur ekonomisk redovisning sköts och hur intern kontroll fungerar. Internrevisionen har dock inte geno</w:t>
      </w:r>
      <w:r w:rsidRPr="001E42CA">
        <w:t>m</w:t>
      </w:r>
      <w:r w:rsidRPr="001E42CA">
        <w:t>fört någon granskning av hur anslaget använts.</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r w:rsidRPr="001E42CA">
        <w:br w:type="page"/>
      </w:r>
    </w:p>
    <w:p w:rsidR="00DC1575" w:rsidRPr="001E42CA" w:rsidRDefault="00DC1575">
      <w:pPr>
        <w:pStyle w:val="Normaltindrag"/>
      </w:pPr>
    </w:p>
    <w:p w:rsidR="00DC1575" w:rsidRPr="001E42CA" w:rsidRDefault="00DC1575">
      <w:pPr>
        <w:pStyle w:val="Normaltindrag"/>
      </w:pPr>
    </w:p>
    <w:p w:rsidR="00DC1575" w:rsidRPr="001E42CA" w:rsidRDefault="00DC1575">
      <w:pPr>
        <w:pStyle w:val="Rubrik1"/>
      </w:pPr>
      <w:r w:rsidRPr="001E42CA">
        <w:br w:type="page"/>
      </w:r>
      <w:bookmarkStart w:id="59" w:name="_Toc526302400"/>
      <w:r w:rsidRPr="001E42CA">
        <w:t>Tidigare analyser av anslag till regeringens disposition</w:t>
      </w:r>
      <w:bookmarkEnd w:id="59"/>
    </w:p>
    <w:p w:rsidR="00DC1575" w:rsidRPr="001E42CA" w:rsidRDefault="00DC1575">
      <w:r w:rsidRPr="001E42CA">
        <w:t>Anslaget för bidrag till särskilda insatser i vissa kommuner och landsting står som tidigare nämnts till regeringens disposition. Regeringen får i ett sådant fall disponera anslaget, men medlen får inte användas på annat sätt än rik</w:t>
      </w:r>
      <w:r w:rsidRPr="001E42CA">
        <w:t>s</w:t>
      </w:r>
      <w:r w:rsidRPr="001E42CA">
        <w:t xml:space="preserve">dagen bestämt. Förfarandet ger dock regeringen ett stort utrymme att fördela medel. Det normala är att anslagen disponeras av myndigheter. Under senare år har en diskussion om anslagen till regeringens disposition aktualiserats i olika sammanhang. Avsikten med detta kapitel är att närmare redovisa denna diskussion. </w:t>
      </w:r>
    </w:p>
    <w:p w:rsidR="00DC1575" w:rsidRPr="001E42CA" w:rsidRDefault="00DC1575">
      <w:pPr>
        <w:pStyle w:val="Normaltindrag"/>
      </w:pPr>
      <w:r w:rsidRPr="001E42CA">
        <w:t>I avsnitt 7.1 redovisas några studier av anslaget Bidrag till särskilda insa</w:t>
      </w:r>
      <w:r w:rsidRPr="001E42CA">
        <w:t>t</w:t>
      </w:r>
      <w:r w:rsidRPr="001E42CA">
        <w:t>ser i vissa kommuner och landsting, dvs. det anslag som är föremål för denna granskning. Avsnitt 7.2 innehåller en genomgång av tidigare analyser av andra anslag som står till regeringens disposition. Det gäller i huvudsak analyser som genomförts av Riksdagens revisorer och RRV. I avsnitt 7.3 diskuteras tillfälliga organisationslösningar. Sådana typer av organisationer är relativt vanliga i samband med anslag som står till regeringens disposition. Avslutningsvis i avsnitt 7.4 redovisas regeringens ställnin</w:t>
      </w:r>
      <w:r w:rsidRPr="001E42CA">
        <w:t>gstagande till a</w:t>
      </w:r>
      <w:r w:rsidRPr="001E42CA">
        <w:t>n</w:t>
      </w:r>
      <w:r w:rsidRPr="001E42CA">
        <w:t>slag till regeringens dispos</w:t>
      </w:r>
      <w:r w:rsidRPr="001E42CA">
        <w:t>i</w:t>
      </w:r>
      <w:r w:rsidRPr="001E42CA">
        <w:t xml:space="preserve">tion. </w:t>
      </w:r>
    </w:p>
    <w:p w:rsidR="00DC1575" w:rsidRPr="001E42CA" w:rsidRDefault="00DC1575">
      <w:pPr>
        <w:pStyle w:val="Rubrik2"/>
      </w:pPr>
      <w:bookmarkStart w:id="60" w:name="_Toc526302401"/>
      <w:r w:rsidRPr="001E42CA">
        <w:t>Analyser av anslaget för bidrag till särskilda insatser i vissa kommuner och landsting</w:t>
      </w:r>
      <w:bookmarkEnd w:id="60"/>
    </w:p>
    <w:p w:rsidR="00DC1575" w:rsidRPr="001E42CA" w:rsidRDefault="00DC1575">
      <w:r w:rsidRPr="001E42CA">
        <w:t>Avsikten med detta avsnitt är att redovisa de studier som genomförts av det anslag som är föremål för denna granskning. Det har dock endast genomförts ett fåtal studier eller analyser. De har också mycket skilda inriktningar eller utgångspunkter. Det är därför svårt att dra några långtgående generella slu</w:t>
      </w:r>
      <w:r w:rsidRPr="001E42CA">
        <w:t>t</w:t>
      </w:r>
      <w:r w:rsidRPr="001E42CA">
        <w:t>satser om anslagets effektivitet utifrån de</w:t>
      </w:r>
      <w:r w:rsidRPr="001E42CA">
        <w:t>s</w:t>
      </w:r>
      <w:r w:rsidRPr="001E42CA">
        <w:t xml:space="preserve">sa studier. </w:t>
      </w:r>
    </w:p>
    <w:p w:rsidR="00DC1575" w:rsidRPr="001E42CA" w:rsidRDefault="00DC1575">
      <w:pPr>
        <w:pStyle w:val="R3"/>
      </w:pPr>
      <w:r w:rsidRPr="001E42CA">
        <w:t>Kommunernas finansiella ansvar</w:t>
      </w:r>
    </w:p>
    <w:p w:rsidR="00DC1575" w:rsidRPr="001E42CA" w:rsidRDefault="00DC1575">
      <w:r w:rsidRPr="001E42CA">
        <w:t>I Ekonomirådets rapport för 2000 diskuteras makt och ansvar i den komm</w:t>
      </w:r>
      <w:r w:rsidRPr="001E42CA">
        <w:t>u</w:t>
      </w:r>
      <w:r w:rsidRPr="001E42CA">
        <w:t>nala sektorn (Lindbeck m.fl., 2000). Rådet pekar bl.a. på att det funnit klara indikationer på effektivitetsbrister i den kommunala tjänsteproduktionen och att dessa brister dessutom varierar kraftigt mellan kommuner. Det hävdas att dessa svagheter åtminstone delvis har sina rötter i bl.a. en otydlig maktfö</w:t>
      </w:r>
      <w:r w:rsidRPr="001E42CA">
        <w:t>r</w:t>
      </w:r>
      <w:r w:rsidRPr="001E42CA">
        <w:t xml:space="preserve">delning mellan stat och kommun. Den oklara makt- och ansvarsfördelningen sammanhänger med att statligt och kommunalt ansvar för verksamheterna är intimt sammanflätade. Bristande överensstämmelse mellan </w:t>
      </w:r>
      <w:r w:rsidRPr="001E42CA">
        <w:t>beslutsmakt (huvudmannaskap) och finansieringsansvar gör att det saknas ett tydligt samband mellan utgiftsbeslut och skatteuttag. En tydligare uppdelning me</w:t>
      </w:r>
      <w:r w:rsidRPr="001E42CA">
        <w:t>l</w:t>
      </w:r>
      <w:r w:rsidRPr="001E42CA">
        <w:t xml:space="preserve">lan statliga och kommunala ansvarsområden skulle kunna uppnås genom att huvudmannaskap och finansiering läggs på samma nivå. Enligt rådet bör beslut och finansieringsansvar vara sammankopplade, exempelvis bör staten finansiera vad staten fattar beslut om. På de områden där staten inte tar det fulla ansvaret för beslut och finansiering bör den kommunala </w:t>
      </w:r>
      <w:r w:rsidRPr="001E42CA">
        <w:t>självstyrelsen öka. Regering och riksdag bör avhålla sig från återkommande diskretionära ingrepp när man inte är beredd att ta ett fullt ansvar. Till tydliggörandet av det kommunala finansiella ansvaret hör, enligt ekonomirådet, att staten a</w:t>
      </w:r>
      <w:r w:rsidRPr="001E42CA">
        <w:t>v</w:t>
      </w:r>
      <w:r w:rsidRPr="001E42CA">
        <w:t>vecklar den räddningsväg som öppnats genom anslaget för stöd till komm</w:t>
      </w:r>
      <w:r w:rsidRPr="001E42CA">
        <w:t>u</w:t>
      </w:r>
      <w:r w:rsidRPr="001E42CA">
        <w:t>ner med ekonomiska svårigheter. Den inbjuder till finansiellt risktagande och är inte förenlig med idén om fullt kommunalt ansvarstagande. Rådet föreslår således att anslaget avvecklas. För de kommun</w:t>
      </w:r>
      <w:r w:rsidRPr="001E42CA">
        <w:t xml:space="preserve">er som inte klarar att ansvara för sina ekonomiska åtaganden tillgrips tvångsförvaltning och finansiell rekonstruktion under statlig ledning. Syftet är att slå vakt om kommunernas finansiella ansvar. </w:t>
      </w:r>
    </w:p>
    <w:p w:rsidR="00DC1575" w:rsidRPr="001E42CA" w:rsidRDefault="00DC1575">
      <w:pPr>
        <w:pStyle w:val="Normaltindrag"/>
      </w:pPr>
      <w:r w:rsidRPr="001E42CA">
        <w:t>Rådet pekar vidare på att regeringen valt att själv ta hand om verkställi</w:t>
      </w:r>
      <w:r w:rsidRPr="001E42CA">
        <w:t>g</w:t>
      </w:r>
      <w:r w:rsidRPr="001E42CA">
        <w:t xml:space="preserve">heten vid fördelningen av ett antal stöd, bl.a. bidraget för särskilda insatser i kommuner och landsting. Enligt rådet är detta ett avsteg från grundprincipen i svensk statsförvaltning och leder till oklarheter när det gäller fördelningen av makt mellan regering och myndigheter. </w:t>
      </w:r>
    </w:p>
    <w:p w:rsidR="00DC1575" w:rsidRPr="001E42CA" w:rsidRDefault="00DC1575">
      <w:pPr>
        <w:pStyle w:val="R3"/>
      </w:pPr>
      <w:r w:rsidRPr="001E42CA">
        <w:t>Incitamentsproblem</w:t>
      </w:r>
    </w:p>
    <w:p w:rsidR="00DC1575" w:rsidRPr="001E42CA" w:rsidRDefault="00DC1575">
      <w:r w:rsidRPr="001E42CA">
        <w:t>Som nämnts ovan kan stödet till kommuner och landsting med ekonomiska problem också inbjuda till finansiellt risktagande. Det är inte ovanligt att olika former av statliga bidrag påverkar incitament och beteenden hos dem som får bidragen. En typ av incitamentsproblem hänger samman med att staten ställer ut olika former av garantier. Exempelvis kan anslaget för sä</w:t>
      </w:r>
      <w:r w:rsidRPr="001E42CA">
        <w:t>r</w:t>
      </w:r>
      <w:r w:rsidRPr="001E42CA">
        <w:t>skilda insatser uppfattas som en form av garanti för att täcka kommunala förluster. Vetskapen att staten explicit eller implicit ställer en sådan finansiell garanti kan öka ko</w:t>
      </w:r>
      <w:r w:rsidRPr="001E42CA">
        <w:t>m</w:t>
      </w:r>
      <w:r w:rsidRPr="001E42CA">
        <w:t xml:space="preserve">munernas risktagande. </w:t>
      </w:r>
    </w:p>
    <w:p w:rsidR="00DC1575" w:rsidRPr="001E42CA" w:rsidRDefault="00DC1575">
      <w:pPr>
        <w:pStyle w:val="Normaltindrag"/>
      </w:pPr>
      <w:r w:rsidRPr="001E42CA">
        <w:t>Utsikten att staten sannolikt är beredd att finansiellt rekonstruera (bailout) kommuner eller landsting som har finansiella problem kan urholka incit</w:t>
      </w:r>
      <w:r w:rsidRPr="001E42CA">
        <w:t>a</w:t>
      </w:r>
      <w:r w:rsidRPr="001E42CA">
        <w:t>menten för de regionala organen att ta ett finansiellt ansvar och leda till ett ökat risktagande hos dessa</w:t>
      </w:r>
      <w:r w:rsidRPr="001E42CA">
        <w:rPr>
          <w:rStyle w:val="Fotnotsreferens"/>
        </w:rPr>
        <w:footnoteReference w:id="17"/>
      </w:r>
      <w:r w:rsidRPr="001E42CA">
        <w:t xml:space="preserve"> (detta brukar i försäkringssammanhang benä</w:t>
      </w:r>
      <w:r w:rsidRPr="001E42CA">
        <w:t>m</w:t>
      </w:r>
      <w:r w:rsidRPr="001E42CA">
        <w:t>nas moral hazard). Genom att uppfattas som ett löfte om finansiellt stöd i tider av problem, kan finansiella rekonstruktioner leda till att budgetrestri</w:t>
      </w:r>
      <w:r w:rsidRPr="001E42CA">
        <w:t>k</w:t>
      </w:r>
      <w:r w:rsidRPr="001E42CA">
        <w:t>tionen försvagas på den regionala eller lokala nivån och skapa incitament för fina</w:t>
      </w:r>
      <w:r w:rsidRPr="001E42CA">
        <w:t>n</w:t>
      </w:r>
      <w:r w:rsidRPr="001E42CA">
        <w:t>siell expansion.</w:t>
      </w:r>
      <w:r w:rsidRPr="001E42CA">
        <w:rPr>
          <w:rStyle w:val="Fotnotsreferens"/>
        </w:rPr>
        <w:footnoteReference w:id="18"/>
      </w:r>
      <w:r w:rsidRPr="001E42CA">
        <w:t xml:space="preserve"> </w:t>
      </w:r>
    </w:p>
    <w:p w:rsidR="00DC1575" w:rsidRPr="001E42CA" w:rsidRDefault="00DC1575">
      <w:pPr>
        <w:pStyle w:val="Normaltindrag"/>
      </w:pPr>
      <w:r w:rsidRPr="001E42CA">
        <w:t>Dahlberg och Pettersson (1999) har påbörjat en studie om finansiella r</w:t>
      </w:r>
      <w:r w:rsidRPr="001E42CA">
        <w:t>e</w:t>
      </w:r>
      <w:r w:rsidRPr="001E42CA">
        <w:t>konstruktioner av kommuner. Studien avser de kommuner som ansökt till regeringen eller bostadsdelegationen om stöd från anslaget om särskilda insatser mellan 1996 och 1998 (87 kommuner). Preliminära resultat indikerar att kommuner med hög skuldbörda och kommuner med vänstermajoritet är mer benägna att ansöka om stöd (gäller för data på kort och medellång sikt, men inte på lång sikt). Andra hypoteser, som t.ex. kommunens storlek, nivån på statsbidragen (om en kommuns intäkter består av en hög andel statsbid</w:t>
      </w:r>
      <w:r w:rsidRPr="001E42CA">
        <w:t>rag skulle detta kunna öka sannolikheten för finansiell rekonstruktion) och r</w:t>
      </w:r>
      <w:r w:rsidRPr="001E42CA">
        <w:t>e</w:t>
      </w:r>
      <w:r w:rsidRPr="001E42CA">
        <w:t>gimbyten (frekventa regimbyten skulle kunna indikera en lägre grad av f</w:t>
      </w:r>
      <w:r w:rsidRPr="001E42CA">
        <w:t>i</w:t>
      </w:r>
      <w:r w:rsidRPr="001E42CA">
        <w:t>nansiellt ansvar), finner inte stöd. Det finns visst stöd för att variabler som arbetslöshet, andel flyktingar, andel gamla, skattebasen och nettomigration kan påverka sannolikheten att ansöka om stöd (resultatens signifikans vari</w:t>
      </w:r>
      <w:r w:rsidRPr="001E42CA">
        <w:t>e</w:t>
      </w:r>
      <w:r w:rsidRPr="001E42CA">
        <w:t>rar dock efter vilken tidshorisont som används i analysen). En senare del av studien kommer att behandla vilka kommuner som bevilja</w:t>
      </w:r>
      <w:r w:rsidRPr="001E42CA">
        <w:t>s stöd eller inte.</w:t>
      </w:r>
    </w:p>
    <w:p w:rsidR="00DC1575" w:rsidRPr="001E42CA" w:rsidRDefault="00DC1575">
      <w:pPr>
        <w:pStyle w:val="R3"/>
      </w:pPr>
      <w:r w:rsidRPr="001E42CA">
        <w:t>Stödets förhållande till utjämningssystemet</w:t>
      </w:r>
    </w:p>
    <w:p w:rsidR="00DC1575" w:rsidRPr="001E42CA" w:rsidRDefault="00DC1575">
      <w:r w:rsidRPr="001E42CA">
        <w:t>Jonsson (2000) har genomfört en liknande undersökning som den som red</w:t>
      </w:r>
      <w:r w:rsidRPr="001E42CA">
        <w:t>o</w:t>
      </w:r>
      <w:r w:rsidRPr="001E42CA">
        <w:t>visats i kapitel 4. Syftet med studien var att analysera om bidraget till sä</w:t>
      </w:r>
      <w:r w:rsidRPr="001E42CA">
        <w:t>r</w:t>
      </w:r>
      <w:r w:rsidRPr="001E42CA">
        <w:t>skilda insatser i vissa kommuner och landsting var förenligt med skatteu</w:t>
      </w:r>
      <w:r w:rsidRPr="001E42CA">
        <w:t>t</w:t>
      </w:r>
      <w:r w:rsidRPr="001E42CA">
        <w:t>jämningssystemets syfte att skapa likvärdiga förutsättningar (s.k. fiskal rät</w:t>
      </w:r>
      <w:r w:rsidRPr="001E42CA">
        <w:t>t</w:t>
      </w:r>
      <w:r w:rsidRPr="001E42CA">
        <w:t>visa) mellan kommunerna. Totalt 76 kommuner som ansökt om stöd hos Kommundelegationen och Bostadsdelegationen har kartlagts. Kartläggnin</w:t>
      </w:r>
      <w:r w:rsidRPr="001E42CA">
        <w:t>g</w:t>
      </w:r>
      <w:r w:rsidRPr="001E42CA">
        <w:t>en avser liknande variabler som tidigare redovisats i kapitel 4, t.ex. skatt</w:t>
      </w:r>
      <w:r w:rsidRPr="001E42CA">
        <w:t>e</w:t>
      </w:r>
      <w:r w:rsidRPr="001E42CA">
        <w:t>kraft, utdebitering, utbudsnivå, årsa</w:t>
      </w:r>
      <w:r w:rsidRPr="001E42CA">
        <w:t>r</w:t>
      </w:r>
      <w:r w:rsidRPr="001E42CA">
        <w:t xml:space="preserve">betare och resultat. </w:t>
      </w:r>
    </w:p>
    <w:p w:rsidR="00DC1575" w:rsidRPr="001E42CA" w:rsidRDefault="00DC1575">
      <w:pPr>
        <w:pStyle w:val="Normaltindrag"/>
      </w:pPr>
      <w:r w:rsidRPr="001E42CA">
        <w:t>Enligt st</w:t>
      </w:r>
      <w:r w:rsidRPr="001E42CA">
        <w:t>udien tenderar de kommuner som sökt bidrag att ha mer påtagliga underskottsproblem än de som inte sökt. Dessa problem är särskilt uttalade hos de 22 kommuner som beviljats bidrag av Kommundelegationen. De finansiella problemen synes emellertid vara en följd av förhållanden (dvs. hög servicestandard eller personaltäthet) som kommunerna i fråga kunnat och kan påverka. Det är med andra ord helt påverkbara förhållanden (ou</w:t>
      </w:r>
      <w:r w:rsidRPr="001E42CA">
        <w:t>t</w:t>
      </w:r>
      <w:r w:rsidRPr="001E42CA">
        <w:t>nyttjade besparings- och effektiviseringsmöjligheter) som ligger bakom de finansiella pro</w:t>
      </w:r>
      <w:r w:rsidRPr="001E42CA">
        <w:t>blemen. Enligt studien uppfyller således inte dessa 22 ko</w:t>
      </w:r>
      <w:r w:rsidRPr="001E42CA">
        <w:t>m</w:t>
      </w:r>
      <w:r w:rsidRPr="001E42CA">
        <w:t>muner det uppställda villkoret om opåverkbara faktorer (jfr avsnitt 3.2). Genom att lämna dessa bidrag behandlas inte heller kommunerna, enligt studien, på ett likvärdigt sätt. Andra kommuner, som redan tidigare geno</w:t>
      </w:r>
      <w:r w:rsidRPr="001E42CA">
        <w:t>m</w:t>
      </w:r>
      <w:r w:rsidRPr="001E42CA">
        <w:t>fört liknande besparingar, har inte fått några motsvarande statsbidrag. De kommuner som varit föregångare i besparings- eller effektivitetsarbetet har i stället kunnat drabbas av högre avgifter eller lägre bidrag i kostnadsutjä</w:t>
      </w:r>
      <w:r w:rsidRPr="001E42CA">
        <w:t>m</w:t>
      </w:r>
      <w:r w:rsidRPr="001E42CA">
        <w:t>ningen.</w:t>
      </w:r>
    </w:p>
    <w:p w:rsidR="00DC1575" w:rsidRPr="001E42CA" w:rsidRDefault="00DC1575">
      <w:pPr>
        <w:pStyle w:val="Normaltindrag"/>
      </w:pPr>
      <w:r w:rsidRPr="001E42CA">
        <w:t>S</w:t>
      </w:r>
      <w:r w:rsidRPr="001E42CA">
        <w:t>tudien pekar vidare på att för flertalet av de elva kommuner som beviljats bidrag av Bostadsdelegationen beror problemen med övertaliga lägenheter främst på att folkmängden minskat. Dessa problem kan därmed till allra största delen bedömas vara ett resultat av opåverkbara förhållanden. I tre av kommunerna sammanhänger bostadsöverskottet däremot med att utbudet av bostäder ökat över tiden, vilket kommunerna i fråga rimligtvis kunnat påve</w:t>
      </w:r>
      <w:r w:rsidRPr="001E42CA">
        <w:t>r</w:t>
      </w:r>
      <w:r w:rsidRPr="001E42CA">
        <w:t>ka. De elva kommunerna föreslogs även få bidrag från Kommundelegati</w:t>
      </w:r>
      <w:r w:rsidRPr="001E42CA">
        <w:t>o</w:t>
      </w:r>
      <w:r w:rsidRPr="001E42CA">
        <w:t>nen</w:t>
      </w:r>
      <w:r w:rsidRPr="001E42CA">
        <w:t>. De finansiella problem som detta kompletterande bidrag var avsett att lätta är därmed också, enligt studien, en följd av påverkbara faktorer. Sa</w:t>
      </w:r>
      <w:r w:rsidRPr="001E42CA">
        <w:t>m</w:t>
      </w:r>
      <w:r w:rsidRPr="001E42CA">
        <w:t xml:space="preserve">manfattningsvis synes de finansiella problemen i dessa kommuner enbart till en del vara en följd av förhållanden som de inte kunnat eller kan påverka. Det är med andra ord enbart till denna del som bidragen i fråga kan bidra till fiskal rättvisa.  </w:t>
      </w:r>
    </w:p>
    <w:p w:rsidR="00DC1575" w:rsidRPr="001E42CA" w:rsidRDefault="00DC1575">
      <w:pPr>
        <w:pStyle w:val="R3"/>
      </w:pPr>
      <w:r w:rsidRPr="001E42CA">
        <w:t>Analyser av strukturella faktorer</w:t>
      </w:r>
    </w:p>
    <w:p w:rsidR="00DC1575" w:rsidRPr="001E42CA" w:rsidRDefault="00DC1575">
      <w:r w:rsidRPr="001E42CA">
        <w:t>En förutsättning för att få det bidrag som diskuterats ovan har ofta varit att kommuner och landsting haft ekonomiska problem till följd av olika strukt</w:t>
      </w:r>
      <w:r w:rsidRPr="001E42CA">
        <w:t>u</w:t>
      </w:r>
      <w:r w:rsidRPr="001E42CA">
        <w:t>rella faktorer. Det har genomförts ett par studier som försökt analysera hur strukturella faktorer, främst befolkningsförändringar, påverkar den komm</w:t>
      </w:r>
      <w:r w:rsidRPr="001E42CA">
        <w:t>u</w:t>
      </w:r>
      <w:r w:rsidRPr="001E42CA">
        <w:t>nala ekonomin. De avser dock inte direkt det stöd som är föremål för denna granskning, men kan vara av principiellt intresse.</w:t>
      </w:r>
    </w:p>
    <w:p w:rsidR="00DC1575" w:rsidRPr="001E42CA" w:rsidRDefault="00DC1575">
      <w:pPr>
        <w:pStyle w:val="Normaltindrag"/>
      </w:pPr>
      <w:r w:rsidRPr="001E42CA">
        <w:t>Svenska Kommunförbundet (2000b) har försökt belysa hur befolkning</w:t>
      </w:r>
      <w:r w:rsidRPr="001E42CA">
        <w:t>s</w:t>
      </w:r>
      <w:r w:rsidRPr="001E42CA">
        <w:t>förändringar påverkat kommunernas ekonomi och service. Analysen visar att sambandet mellan det ekonomiska resultatet (1997-1999) och befolkning</w:t>
      </w:r>
      <w:r w:rsidRPr="001E42CA">
        <w:t>s</w:t>
      </w:r>
      <w:r w:rsidRPr="001E42CA">
        <w:t>förändringen (1995–1999) är mycket svagt. Detta gäller trots att kommuner med ökande befolkning behöver göra investeringar och bygga ut sina ver</w:t>
      </w:r>
      <w:r w:rsidRPr="001E42CA">
        <w:t>k</w:t>
      </w:r>
      <w:r w:rsidRPr="001E42CA">
        <w:t>samheter, medan de med vikande underlag kan behöva minska sin kapacitet. Studien har inte heller funnit något påtagligt samband mellan antalet tomma l</w:t>
      </w:r>
      <w:r w:rsidRPr="001E42CA">
        <w:t>ä</w:t>
      </w:r>
      <w:r w:rsidRPr="001E42CA">
        <w:t>genheter i kommunerna och det ekonomiska resultatet.</w:t>
      </w:r>
    </w:p>
    <w:p w:rsidR="00DC1575" w:rsidRPr="001E42CA" w:rsidRDefault="00DC1575">
      <w:pPr>
        <w:pStyle w:val="Normaltindrag"/>
      </w:pPr>
      <w:r w:rsidRPr="001E42CA">
        <w:t xml:space="preserve">Enligt studien är </w:t>
      </w:r>
      <w:r w:rsidRPr="001E42CA">
        <w:t>det andra faktorer som haft väsentligt större betydelse för kommunernas ekonomiska utveckling under 1990-talet. Hit hör bl.a. effe</w:t>
      </w:r>
      <w:r w:rsidRPr="001E42CA">
        <w:t>k</w:t>
      </w:r>
      <w:r w:rsidRPr="001E42CA">
        <w:t>terna av saneringen av statens finanser samt det tryck på den kommunala ekonomin som fler små barn, skolbarn och äldre över 80 år genererar. Nya rättighetslagar har också bidragit till utvecklingen.</w:t>
      </w:r>
    </w:p>
    <w:p w:rsidR="00DC1575" w:rsidRPr="001E42CA" w:rsidRDefault="00DC1575">
      <w:pPr>
        <w:pStyle w:val="Normaltindrag"/>
      </w:pPr>
      <w:r w:rsidRPr="001E42CA">
        <w:t xml:space="preserve">I studien konstateras att den egna förmågan att anpassa verksamheten till minskade resurser har haft större betydelse för resultatutvecklingen under senare år än någon annan enskild </w:t>
      </w:r>
      <w:r w:rsidRPr="001E42CA">
        <w:t>faktor. De kommuner som klarat sig bäst i ekonomiskt hänseende under senare år är de som gjort relativt stora nedskä</w:t>
      </w:r>
      <w:r w:rsidRPr="001E42CA">
        <w:t>r</w:t>
      </w:r>
      <w:r w:rsidRPr="001E42CA">
        <w:t xml:space="preserve">ningar inom vård, skola och omsorg. De som av olika skäl inte har förmått att göra de nödvändiga nedskärningarna har klarat sig sämre. </w:t>
      </w:r>
    </w:p>
    <w:p w:rsidR="00DC1575" w:rsidRPr="001E42CA" w:rsidRDefault="00DC1575">
      <w:pPr>
        <w:pStyle w:val="Normaltindrag"/>
      </w:pPr>
      <w:r w:rsidRPr="001E42CA">
        <w:t>I en bilaga till Långtidsutredningen 1999/2000 har man försökt studera det historiska sambandet mellan kostnader och befolkningsutveckling för några av de kommunala åtagandena (Bucht m.fl., 2000). Slutsatsen är att befol</w:t>
      </w:r>
      <w:r w:rsidRPr="001E42CA">
        <w:t>k</w:t>
      </w:r>
      <w:r w:rsidRPr="001E42CA">
        <w:t>ningsutvecklingen i sig inte ger en god bild av hur den faktiska kostnadsu</w:t>
      </w:r>
      <w:r w:rsidRPr="001E42CA">
        <w:t>t</w:t>
      </w:r>
      <w:r w:rsidRPr="001E42CA">
        <w:t xml:space="preserve">vecklingen (volymutvecklingen) kommer att bli i framtiden. Det finns med andra ord många andra förklaringar till kostnadsutvecklingen inom många sektorer. Förklaringarna återfinns ofta i förändrade politiska ambitioner för verksamheterna. </w:t>
      </w:r>
    </w:p>
    <w:p w:rsidR="00DC1575" w:rsidRPr="001E42CA" w:rsidRDefault="00DC1575">
      <w:pPr>
        <w:pStyle w:val="Rubrik2"/>
      </w:pPr>
      <w:bookmarkStart w:id="61" w:name="_Toc526302402"/>
      <w:r w:rsidRPr="001E42CA">
        <w:t>Analyser av andra anslag till regeringens disposition</w:t>
      </w:r>
      <w:bookmarkEnd w:id="61"/>
    </w:p>
    <w:p w:rsidR="00DC1575" w:rsidRPr="001E42CA" w:rsidRDefault="00DC1575">
      <w:r w:rsidRPr="001E42CA">
        <w:t>Under senare år har det också genomförts ett antal studier av andra anslag som står till regeringens och Regeringskansliets disposition. Här redovisas dessa analyser.</w:t>
      </w:r>
    </w:p>
    <w:p w:rsidR="00DC1575" w:rsidRPr="001E42CA" w:rsidRDefault="00DC1575">
      <w:pPr>
        <w:pStyle w:val="R3"/>
      </w:pPr>
      <w:r w:rsidRPr="001E42CA">
        <w:t>Allmänt</w:t>
      </w:r>
    </w:p>
    <w:p w:rsidR="00DC1575" w:rsidRPr="001E42CA" w:rsidRDefault="00DC1575">
      <w:r w:rsidRPr="001E42CA">
        <w:t>Konstitutionsutskottet har analyserat användningen av de medel</w:t>
      </w:r>
      <w:r w:rsidRPr="001E42CA">
        <w:rPr>
          <w:rStyle w:val="Fotnotsreferens"/>
        </w:rPr>
        <w:footnoteReference w:id="19"/>
      </w:r>
      <w:r w:rsidRPr="001E42CA">
        <w:t xml:space="preserve"> som stod till regeringens disposition under åren 1993/94 och 1994/95 (bet.1996/97:KU25, bilaga A1.1). Utskottet konstaterar i sitt betänkande att det inte har varit möjligt att få någon fullständig bild av användningen av medlen till regeringens disposition. Exempelvis disponerades anslagen i många fall av myndigheter som betalade ut medel efter särskilda regering</w:t>
      </w:r>
      <w:r w:rsidRPr="001E42CA">
        <w:t>s</w:t>
      </w:r>
      <w:r w:rsidRPr="001E42CA">
        <w:t>beslut. Bokföringen har därigenom legat hos dessa myndigheter, vilket fö</w:t>
      </w:r>
      <w:r w:rsidRPr="001E42CA">
        <w:t>r</w:t>
      </w:r>
      <w:r w:rsidRPr="001E42CA">
        <w:t>svårat möjligheterna att få en överblickbar bild av anslagsanvändningen</w:t>
      </w:r>
      <w:r w:rsidRPr="001E42CA">
        <w:t>. Det framkommer också att anslag ibland använts för ändamål som kunde ifråg</w:t>
      </w:r>
      <w:r w:rsidRPr="001E42CA">
        <w:t>a</w:t>
      </w:r>
      <w:r w:rsidRPr="001E42CA">
        <w:t>sättas mot bakgrund av vad anslaget eller anslagsposten har som beteckning. Utskottet konstaterar vidare att flera anslagsposter har disponerats av depa</w:t>
      </w:r>
      <w:r w:rsidRPr="001E42CA">
        <w:t>r</w:t>
      </w:r>
      <w:r w:rsidRPr="001E42CA">
        <w:t>tement för ändamål utanför den interna verksamheten, berednings- och up</w:t>
      </w:r>
      <w:r w:rsidRPr="001E42CA">
        <w:t>p</w:t>
      </w:r>
      <w:r w:rsidRPr="001E42CA">
        <w:t>följningsarbete eller informationsinsatser. Utskottet påpekar att det i flera fall hänvisats till att regeringen senare skulle komma att meddela bestämmelser om användningen av medlen på anslaget eller anslagsp</w:t>
      </w:r>
      <w:r w:rsidRPr="001E42CA">
        <w:t>osten utan att några sådana bestämmelser senare meddelats. Redovisningen visar att anslagna medel i en rad fall inte har använts alls eller endast använts till en mindre del. Slutligen konstaterar konstitutionsutskottet att Statsrådsberedningens anvi</w:t>
      </w:r>
      <w:r w:rsidRPr="001E42CA">
        <w:t>s</w:t>
      </w:r>
      <w:r w:rsidRPr="001E42CA">
        <w:t xml:space="preserve">ningar inte alltid följts. </w:t>
      </w:r>
    </w:p>
    <w:p w:rsidR="00DC1575" w:rsidRPr="001E42CA" w:rsidRDefault="00DC1575">
      <w:pPr>
        <w:pStyle w:val="R3"/>
      </w:pPr>
      <w:r w:rsidRPr="001E42CA">
        <w:t>Lokala investeringsprogram</w:t>
      </w:r>
    </w:p>
    <w:p w:rsidR="00DC1575" w:rsidRPr="001E42CA" w:rsidRDefault="00DC1575">
      <w:r w:rsidRPr="001E42CA">
        <w:t>Riksdagens revisorer (1999b) har granskat det statliga stödet till de lokala investeringsprogrammen. Stödet omfattar 6,77 miljarder kronor under peri</w:t>
      </w:r>
      <w:r w:rsidRPr="001E42CA">
        <w:t>o</w:t>
      </w:r>
      <w:r w:rsidRPr="001E42CA">
        <w:t>den 1998–2001, och beslut om stöd fattas av regeringen efter beredning av Milj</w:t>
      </w:r>
      <w:r w:rsidRPr="001E42CA">
        <w:t>ö</w:t>
      </w:r>
      <w:r w:rsidRPr="001E42CA">
        <w:t xml:space="preserve">departementet. </w:t>
      </w:r>
    </w:p>
    <w:p w:rsidR="00DC1575" w:rsidRPr="001E42CA" w:rsidRDefault="00DC1575">
      <w:pPr>
        <w:pStyle w:val="Normaltindrag"/>
      </w:pPr>
      <w:r w:rsidRPr="001E42CA">
        <w:t>I rapporten konstateras att åtgärder inom områdena byggande, boende och energi var dominerande under 1998. Revisorerna anser att målen för arbetet mot en ekologiskt hållbar utveckling bara har varit definierade på övergr</w:t>
      </w:r>
      <w:r w:rsidRPr="001E42CA">
        <w:t>i</w:t>
      </w:r>
      <w:r w:rsidRPr="001E42CA">
        <w:t>pande nivå vilket försvårar möjligheterna till uppföljning. Man menar att det varit svårt att identifiera entydiga kriterier för hur stödet bestäms. Komm</w:t>
      </w:r>
      <w:r w:rsidRPr="001E42CA">
        <w:t>u</w:t>
      </w:r>
      <w:r w:rsidRPr="001E42CA">
        <w:t>nala förvaltningar och kommunala bolag har beviljats stöd i större utsträc</w:t>
      </w:r>
      <w:r w:rsidRPr="001E42CA">
        <w:t>k</w:t>
      </w:r>
      <w:r w:rsidRPr="001E42CA">
        <w:t>ning än privata företag och föreningar. Revisorerna menar även att förhålla</w:t>
      </w:r>
      <w:r w:rsidRPr="001E42CA">
        <w:t>n</w:t>
      </w:r>
      <w:r w:rsidRPr="001E42CA">
        <w:t>det att kommuner har konkurrerat om stöd har missgynnat gemensamma satsnin</w:t>
      </w:r>
      <w:r w:rsidRPr="001E42CA">
        <w:t>g</w:t>
      </w:r>
      <w:r w:rsidRPr="001E42CA">
        <w:t>ar.</w:t>
      </w:r>
    </w:p>
    <w:p w:rsidR="00DC1575" w:rsidRPr="001E42CA" w:rsidRDefault="00DC1575">
      <w:pPr>
        <w:pStyle w:val="Normaltindrag"/>
      </w:pPr>
      <w:r w:rsidRPr="001E42CA">
        <w:t>I rapporten påpekas att Regeringskansliet åtagit sig ärendehantering av förvaltningskaraktär. Konsekvensen har blivit att den o</w:t>
      </w:r>
      <w:r w:rsidRPr="001E42CA">
        <w:t>rdinarie förvaltningen till viss mån ställs vid sidan om beredningsprocessen. Revisorerna menar att utvecklingen strider mot den renodling av rollerna mellan myndigheterna och Regeringskansliet som eftersträvats under 1990-talet. I rapporten påpekas också att sökande inte har fått veta skälen till att ansökningarna har fått a</w:t>
      </w:r>
      <w:r w:rsidRPr="001E42CA">
        <w:t>v</w:t>
      </w:r>
      <w:r w:rsidRPr="001E42CA">
        <w:t>slag.</w:t>
      </w:r>
    </w:p>
    <w:p w:rsidR="00DC1575" w:rsidRPr="001E42CA" w:rsidRDefault="00DC1575">
      <w:pPr>
        <w:pStyle w:val="Normaltindrag"/>
      </w:pPr>
      <w:r w:rsidRPr="001E42CA">
        <w:t>Riksrevisionsverket (RRV) har på uppdrag av regeringen också granskat det statliga stödet till de lokala investeringsprogrammen (RRV, 1999a). RRV anser att departementets organis</w:t>
      </w:r>
      <w:r w:rsidRPr="001E42CA">
        <w:t>ation för beredning av bidragsärenden är mycket liten i förhållande till de stora bidragssummorna och den stora män</w:t>
      </w:r>
      <w:r w:rsidRPr="001E42CA">
        <w:t>g</w:t>
      </w:r>
      <w:r w:rsidRPr="001E42CA">
        <w:t>den projekt. Den särskilda kompetens som krävs för att bedöma projekten i ansökningarna finns enligt RRV främst hos sektorsmyndigheterna. RRV är kritiskt till att departementet inte inhämtat behövliga upplysningar från se</w:t>
      </w:r>
      <w:r w:rsidRPr="001E42CA">
        <w:t>k</w:t>
      </w:r>
      <w:r w:rsidRPr="001E42CA">
        <w:t>torsmyndigh</w:t>
      </w:r>
      <w:r w:rsidRPr="001E42CA">
        <w:t>e</w:t>
      </w:r>
      <w:r w:rsidRPr="001E42CA">
        <w:t xml:space="preserve">terna. </w:t>
      </w:r>
    </w:p>
    <w:p w:rsidR="00DC1575" w:rsidRPr="001E42CA" w:rsidRDefault="00DC1575">
      <w:pPr>
        <w:pStyle w:val="Normaltindrag"/>
      </w:pPr>
      <w:r w:rsidRPr="001E42CA">
        <w:t>Den förordning som reglerar stödgivningen (1998:23) lämnar enligt RRV stort utrymme för tolkning. Centrala begrepp har oprecisa definitioner. RRV anser at</w:t>
      </w:r>
      <w:r w:rsidRPr="001E42CA">
        <w:t>t uppföljningen och kontrollen är otillräcklig. RRV har funnit spek</w:t>
      </w:r>
      <w:r w:rsidRPr="001E42CA">
        <w:t>u</w:t>
      </w:r>
      <w:r w:rsidRPr="001E42CA">
        <w:t xml:space="preserve">lativa program eller projekt som verket menar saknar substans. Syftet har varit att tillägna sig statliga bidrag. </w:t>
      </w:r>
    </w:p>
    <w:p w:rsidR="00DC1575" w:rsidRPr="001E42CA" w:rsidRDefault="00DC1575">
      <w:pPr>
        <w:pStyle w:val="Normaltindrag"/>
      </w:pPr>
      <w:r w:rsidRPr="001E42CA">
        <w:t>De lokala investeringsprogrammen har även analyserats av Svenska Natu</w:t>
      </w:r>
      <w:r w:rsidRPr="001E42CA">
        <w:t>r</w:t>
      </w:r>
      <w:r w:rsidRPr="001E42CA">
        <w:t xml:space="preserve">skyddsföreningen (1998). Föreningen menar att mycket talar för att omkring hälften av projekten skulle ha genomförts även utan stöd. Stödet kan dock ha medverkat till en tidigareläggning av redan planerade åtgärder. Föreningen anser att om stöd används som komplement till lagstiftning och skatter bör bidragen vara generella och hanteras av fackmyndigheterna snarare än av Miljödepartementet. </w:t>
      </w:r>
    </w:p>
    <w:p w:rsidR="00DC1575" w:rsidRPr="001E42CA" w:rsidRDefault="00DC1575">
      <w:pPr>
        <w:pStyle w:val="Normaltindrag"/>
      </w:pPr>
      <w:r w:rsidRPr="001E42CA">
        <w:t>En annan typ av problem som analyserats i samband med de lokala inve</w:t>
      </w:r>
      <w:r w:rsidRPr="001E42CA">
        <w:t>s</w:t>
      </w:r>
      <w:r w:rsidRPr="001E42CA">
        <w:t>teringsprogrammen är förknippade med att en regering själv väljer att ta hand om verkställigheten. En hypotes är att det då kan vara frestande för en reg</w:t>
      </w:r>
      <w:r w:rsidRPr="001E42CA">
        <w:t>e</w:t>
      </w:r>
      <w:r w:rsidRPr="001E42CA">
        <w:t>ring att fördela stöd med utgångspunkt i rent politiskt-taktiska hänsyn. Det finns också studier som analyserat fördelning av resurser efter olika teorier om s.k. röstköpsbeteende. Tanken är att regeringen tar hänsyn till de politi</w:t>
      </w:r>
      <w:r w:rsidRPr="001E42CA">
        <w:t>s</w:t>
      </w:r>
      <w:r w:rsidRPr="001E42CA">
        <w:t>ka styrkeförhållandena i olika regioner när den omfördelar resurser. Dah</w:t>
      </w:r>
      <w:r w:rsidRPr="001E42CA">
        <w:t>l</w:t>
      </w:r>
      <w:r w:rsidRPr="001E42CA">
        <w:t>berg och Johansson (1999) har utifrån två teorier an</w:t>
      </w:r>
      <w:r w:rsidRPr="001E42CA">
        <w:t>alyserat stödet till lokala investeringsprogram. Genom att studera vilka kommuner som har fått sina projekt beviljade i den första omgången av ansökningar har författarna pr</w:t>
      </w:r>
      <w:r w:rsidRPr="001E42CA">
        <w:t>ö</w:t>
      </w:r>
      <w:r w:rsidRPr="001E42CA">
        <w:t>vat huruvida regeringen har utnyttjat den unika situation (regeringens makt över resursfördelningen och de diffust utformade fördelningsprinciperna) som uppstått kring fördelningen av bidragen till att köpa röster. Beslut om vilka av de ansökande kommunerna som skulle få sina ansökningar beviljade togs i mars–april 1998, dvs. bara några</w:t>
      </w:r>
      <w:r w:rsidRPr="001E42CA">
        <w:t xml:space="preserve"> månader före riksdag</w:t>
      </w:r>
      <w:r w:rsidRPr="001E42CA">
        <w:t>s</w:t>
      </w:r>
      <w:r w:rsidRPr="001E42CA">
        <w:t xml:space="preserve">valet. </w:t>
      </w:r>
    </w:p>
    <w:p w:rsidR="00DC1575" w:rsidRPr="001E42CA" w:rsidRDefault="00DC1575">
      <w:pPr>
        <w:pStyle w:val="Normaltindrag"/>
      </w:pPr>
      <w:r w:rsidRPr="001E42CA">
        <w:t>Dahlberg och Johansson tycker sig finna stöd för att regeringen har u</w:t>
      </w:r>
      <w:r w:rsidRPr="001E42CA">
        <w:t>t</w:t>
      </w:r>
      <w:r w:rsidRPr="001E42CA">
        <w:t xml:space="preserve">nyttjat sin suveränitet över bidragen taktiskt. Mer specifikt finner man stöd för att regeringen köper röster genom att investera i de kommuner där det finns lättrörliga väljare. Däremot finner man inget stöd för hypotesen att regeringen köper röster genom att investera i de regioner där den redan har starkt stöd. </w:t>
      </w:r>
    </w:p>
    <w:p w:rsidR="00DC1575" w:rsidRPr="001E42CA" w:rsidRDefault="00DC1575">
      <w:pPr>
        <w:pStyle w:val="R3"/>
      </w:pPr>
      <w:r w:rsidRPr="001E42CA">
        <w:t>Östersjömiljarden</w:t>
      </w:r>
    </w:p>
    <w:p w:rsidR="00DC1575" w:rsidRPr="001E42CA" w:rsidRDefault="00DC1575">
      <w:r w:rsidRPr="001E42CA">
        <w:t>Riksdagens revisorer (1999c) har granskat arbetet för stärkt samarbete och utveckling i Östersjöregionen genom den s.k. Östersjömiljarden. Insatser inom ramen för Östersjömiljarden bereds i Regeringskansliet och regeringen beslutar om varje projekt för sig. Revisorerna konstaterar att ansvaret för olika led i hanteringen av insatser har varit fördelat på olika departement, myndigheter och andra organ. Det har inte funnits någon självklar instans att vända sig till för den som vill få information om insatse</w:t>
      </w:r>
      <w:r w:rsidRPr="001E42CA">
        <w:t>r inom Östersjömi</w:t>
      </w:r>
      <w:r w:rsidRPr="001E42CA">
        <w:t>l</w:t>
      </w:r>
      <w:r w:rsidRPr="001E42CA">
        <w:t>jarden. Revisorerna menar att möjligheterna att kontrollera och överblicka verksamheten därmed har varit något b</w:t>
      </w:r>
      <w:r w:rsidRPr="001E42CA">
        <w:t>e</w:t>
      </w:r>
      <w:r w:rsidRPr="001E42CA">
        <w:t>gränsade.</w:t>
      </w:r>
    </w:p>
    <w:p w:rsidR="00DC1575" w:rsidRPr="001E42CA" w:rsidRDefault="00DC1575">
      <w:pPr>
        <w:pStyle w:val="Normaltindrag"/>
      </w:pPr>
      <w:r w:rsidRPr="001E42CA">
        <w:t>Konstitutionsutskottet har granskat upphandlingar av konsulttjänster med anledning av det s.k. Polenåret och en IT-satsning i Östersjöregionen (bet. 1999/2000:KU20). IT-satsningen i Östersjöregionen var en del av den s.k. första Östersjömiljarden. I granskningen av de båda fallen framkom att tjänster i vissa fall köpts utan att ett regelrätt upphandlingsförfarande geno</w:t>
      </w:r>
      <w:r w:rsidRPr="001E42CA">
        <w:t>m</w:t>
      </w:r>
      <w:r w:rsidRPr="001E42CA">
        <w:t>förts. Utskottet anförde vidare att otillräcklig dokumentation om vad som förekommit också hade medfört att det fanns oklarheter som försvårade en bedömning i efterhand. Enligt utskottets mening gav granskningen anledning till kritik mot det sätt som dessa upphandlingar skötts på.</w:t>
      </w:r>
    </w:p>
    <w:p w:rsidR="00DC1575" w:rsidRPr="001E42CA" w:rsidRDefault="00DC1575">
      <w:pPr>
        <w:pStyle w:val="R3"/>
      </w:pPr>
      <w:r w:rsidRPr="001E42CA">
        <w:t>Kretsloppsmiljarden</w:t>
      </w:r>
    </w:p>
    <w:p w:rsidR="00DC1575" w:rsidRPr="001E42CA" w:rsidRDefault="00DC1575">
      <w:r w:rsidRPr="001E42CA">
        <w:t>RRV (1999b) har på uppdrag av regeringen granskat projektet Kretslop</w:t>
      </w:r>
      <w:r w:rsidRPr="001E42CA">
        <w:t>p</w:t>
      </w:r>
      <w:r w:rsidRPr="001E42CA">
        <w:t>s-miljarden. Regeringen avsatte 1996 en miljard kronor för ett femårigt pr</w:t>
      </w:r>
      <w:r w:rsidRPr="001E42CA">
        <w:t>o</w:t>
      </w:r>
      <w:r w:rsidRPr="001E42CA">
        <w:t>gram för kretsloppsanpassning. Regeringen har prövat större ansökningar medan länsstyrelserna har beslutat om bidrag till mindre projekt. Regerings-ärenden har beretts inom Miljödepartementet med hjälp av beredningsgrupp från Regeringskansliet och en expertgrupp.</w:t>
      </w:r>
    </w:p>
    <w:p w:rsidR="00DC1575" w:rsidRPr="001E42CA" w:rsidRDefault="00DC1575">
      <w:pPr>
        <w:pStyle w:val="Normaltindrag"/>
      </w:pPr>
      <w:r w:rsidRPr="001E42CA">
        <w:t>RRV:s övergripande slutsats var att kretsloppsprogrammet var dåligt g</w:t>
      </w:r>
      <w:r w:rsidRPr="001E42CA">
        <w:t>e</w:t>
      </w:r>
      <w:r w:rsidRPr="001E42CA">
        <w:t>nomtänkt – för många mål skulle uppnås med ett enda medel. Målproblemen fortplantades i stödförordningen, som hade många brister och var svår att tillämpa.</w:t>
      </w:r>
    </w:p>
    <w:p w:rsidR="00DC1575" w:rsidRPr="001E42CA" w:rsidRDefault="00DC1575">
      <w:pPr>
        <w:pStyle w:val="Normaltindrag"/>
      </w:pPr>
      <w:r w:rsidRPr="001E42CA">
        <w:t>Granskningen visade att den valda modellen hade klara nackdelar jämfört med den vanliga förvaltningsmodellen, exempelvis gick det inte att utfärda några tillämpningsföreskrifter till förordningen. Regeringskansliet var inte heller särskilt väl lämpat för denna typ av myndighetsuppgifter, eftersom det är bemannat och organiserat utifrån helt andra utgång</w:t>
      </w:r>
      <w:r w:rsidRPr="001E42CA">
        <w:t>spunkter. Miljödepa</w:t>
      </w:r>
      <w:r w:rsidRPr="001E42CA">
        <w:t>r</w:t>
      </w:r>
      <w:r w:rsidRPr="001E42CA">
        <w:t>tementet har således inte systematiskt följt upp beviljade bidrag och det är inte heller någon sedvanlig uppgift inom Regeringskansliet. RRV påpekar också att det finns problem med prövning av bidragsansökningar inom Reg</w:t>
      </w:r>
      <w:r w:rsidRPr="001E42CA">
        <w:t>e</w:t>
      </w:r>
      <w:r w:rsidRPr="001E42CA">
        <w:t xml:space="preserve">ringskansliet, vilket inte lyder under samma regelverk och kontrollsystem som vanliga förvaltningsmyndigheter. När regeringen fattar beslut som första instans, kan besluten inte överklagas. </w:t>
      </w:r>
    </w:p>
    <w:p w:rsidR="00DC1575" w:rsidRPr="001E42CA" w:rsidRDefault="00DC1575">
      <w:pPr>
        <w:pStyle w:val="R3"/>
      </w:pPr>
      <w:r w:rsidRPr="001E42CA">
        <w:t>Östersjömiljarderna, Kunskapslyftet m.fl.</w:t>
      </w:r>
    </w:p>
    <w:p w:rsidR="00DC1575" w:rsidRPr="001E42CA" w:rsidRDefault="00DC1575">
      <w:r w:rsidRPr="001E42CA">
        <w:t>Konstitutionsutskottet (2000/01:KU10) har granskat hur Regeringskansliet har organiserats för ett antal särskilda projekt såsom Östersjömiljarderna, Kunskapslyftet m.fl. Utskottet noterar att regeringen enligt de uppgifter som lämnats till utskottet är noga med att på ett tidigt stadium lägga fast tydliga mål och en klar organisation och ansvarsfördelning för projekt av detta slag. Utskottet erinrar om att flera av de särskilda projekten inte har fungerat utan problem. Det återstår att se om de åtgärder so</w:t>
      </w:r>
      <w:r w:rsidRPr="001E42CA">
        <w:t>m regeringen vidtar är tillräc</w:t>
      </w:r>
      <w:r w:rsidRPr="001E42CA">
        <w:t>k</w:t>
      </w:r>
      <w:r w:rsidRPr="001E42CA">
        <w:t xml:space="preserve">liga för att projekt av detta slag ska fungera tillfredsställande. </w:t>
      </w:r>
    </w:p>
    <w:p w:rsidR="00DC1575" w:rsidRPr="001E42CA" w:rsidRDefault="00DC1575">
      <w:pPr>
        <w:pStyle w:val="Rubrik2"/>
      </w:pPr>
      <w:bookmarkStart w:id="62" w:name="_Toc526302403"/>
      <w:r w:rsidRPr="001E42CA">
        <w:t>Tillfälliga organisationslösningar</w:t>
      </w:r>
      <w:bookmarkEnd w:id="62"/>
    </w:p>
    <w:p w:rsidR="00DC1575" w:rsidRPr="001E42CA" w:rsidRDefault="00DC1575">
      <w:r w:rsidRPr="001E42CA">
        <w:t>Bostads- och Kommundelegationerna är som ovan framgått tidsbegränsade förvaltningsorganisationer vid sidan av reguljära myndigheter. Formen är inget nytt fenomen och har analyserats av bl.a. Statskontoret. Nedan redov</w:t>
      </w:r>
      <w:r w:rsidRPr="001E42CA">
        <w:t>i</w:t>
      </w:r>
      <w:r w:rsidRPr="001E42CA">
        <w:t>sas några principiella synpunkter på tillfälliga organisationslösningar inom Regeringskansliet.</w:t>
      </w:r>
    </w:p>
    <w:p w:rsidR="00DC1575" w:rsidRPr="001E42CA" w:rsidRDefault="00DC1575">
      <w:pPr>
        <w:pStyle w:val="Normaltindrag"/>
      </w:pPr>
      <w:r w:rsidRPr="001E42CA">
        <w:t>Statskontoret (1998) har på uppdrag av Kunskapslyftskommittén geno</w:t>
      </w:r>
      <w:r w:rsidRPr="001E42CA">
        <w:t>m</w:t>
      </w:r>
      <w:r w:rsidRPr="001E42CA">
        <w:t>fört en studie av Kunskapslyftet. Kontoret konstaterade att Delegationen för kunskapslyftet med placering inom Regeringskansliet inrättades av flera orsaker. Bland annat hade Kunskapslyftet flerfaldiga och sektorsövergripa</w:t>
      </w:r>
      <w:r w:rsidRPr="001E42CA">
        <w:t>n</w:t>
      </w:r>
      <w:r w:rsidRPr="001E42CA">
        <w:t>de mål. Det saknades dock en sektorsmyndighet som kunde ta på sig uppgi</w:t>
      </w:r>
      <w:r w:rsidRPr="001E42CA">
        <w:t>f</w:t>
      </w:r>
      <w:r w:rsidRPr="001E42CA">
        <w:t>ten. Vidare fanns krav på en obyråkratisk och flexibel beslutsprocess och ärendehantering. Regeringen var i behov av att sätta igång projektet innan grundläggande beslut fattats och ville kunna göra snabba korrigerin</w:t>
      </w:r>
      <w:r w:rsidRPr="001E42CA">
        <w:t>gar om så b</w:t>
      </w:r>
      <w:r w:rsidRPr="001E42CA">
        <w:t>e</w:t>
      </w:r>
      <w:r w:rsidRPr="001E42CA">
        <w:t>hövdes.</w:t>
      </w:r>
    </w:p>
    <w:p w:rsidR="00DC1575" w:rsidRPr="001E42CA" w:rsidRDefault="00DC1575">
      <w:pPr>
        <w:pStyle w:val="Normaltindrag"/>
      </w:pPr>
      <w:r w:rsidRPr="001E42CA">
        <w:t>I rapporten noteras att myndighetsutövning, inklusive myndighetsutövning mot kommun, åtnjuter en särskild status i regeringsformen. Innebörden är att denna varken får påverkas av regeringen eller av enskilda statsråd. Formellt uppstår dock inga problem när regeringen, som i fallet med stöd inom ramen för kunskapslyftet, själv är den beslutsfattande instansen. Statskontoret slår emellertid fast att det kan finnas skäl att undvika den typ av ”gråzoner” som uppkommer vid tillskapande av myn</w:t>
      </w:r>
      <w:r w:rsidRPr="001E42CA">
        <w:t xml:space="preserve">digheter eller myndighetsliknande organ i Regeringskansliet. </w:t>
      </w:r>
    </w:p>
    <w:p w:rsidR="00DC1575" w:rsidRPr="001E42CA" w:rsidRDefault="00DC1575">
      <w:pPr>
        <w:pStyle w:val="Normaltindrag"/>
      </w:pPr>
      <w:r w:rsidRPr="001E42CA">
        <w:t xml:space="preserve">De tillfälliga lösningarna kan även resultera i oklarheter vad gäller det etablerade systemet för mål- och resultatstyrning. Detta system förutsätter en viss tydlighet i rollfördelningen mellan riksdagen, regeringen, myndigheterna och kommunerna. Att de tillfälliga organisationsformerna har en tendens att göra rollfördelningen otydlig och beslutsstrukturen dold är enligt rapporten ett av de allvarligaste problemen med modellen. </w:t>
      </w:r>
    </w:p>
    <w:p w:rsidR="00DC1575" w:rsidRPr="001E42CA" w:rsidRDefault="00DC1575">
      <w:pPr>
        <w:pStyle w:val="Normaltindrag"/>
      </w:pPr>
      <w:r w:rsidRPr="001E42CA">
        <w:t xml:space="preserve">En annan risk är att den dialogmodell som tillämpas i relationerna mellan de tillfälliga organisationsformerna och de aktörer till vilka en åtgärd riktas leder till att de ordinarie myndigheterna betraktas som avskilda från det demokratiska systemet och på den grunden ratas som programgenomförare. </w:t>
      </w:r>
    </w:p>
    <w:p w:rsidR="00DC1575" w:rsidRPr="001E42CA" w:rsidRDefault="00DC1575">
      <w:pPr>
        <w:pStyle w:val="Normaltindrag"/>
      </w:pPr>
      <w:r w:rsidRPr="001E42CA">
        <w:t>Enligt Statskontoret ser staten också möjligheter att med hjälp av specia</w:t>
      </w:r>
      <w:r w:rsidRPr="001E42CA">
        <w:t>l</w:t>
      </w:r>
      <w:r w:rsidRPr="001E42CA">
        <w:t>destinerade bidrag öka inflytandet över kommunernas verksamhet. Detta kan möjligen vara motiverat i fall då statens och kommunernas prioriteringar inte överensstämmer och då snabba och kraftfulla åtgärder anses nödvändiga. I rapporten slås dock fast att de grundläggande principerna om decentralis</w:t>
      </w:r>
      <w:r w:rsidRPr="001E42CA">
        <w:t>e</w:t>
      </w:r>
      <w:r w:rsidRPr="001E42CA">
        <w:t xml:space="preserve">ring och kommunal självstyrelse bryts genom detta förfarande. </w:t>
      </w:r>
    </w:p>
    <w:p w:rsidR="00DC1575" w:rsidRPr="001E42CA" w:rsidRDefault="00DC1575">
      <w:pPr>
        <w:pStyle w:val="Normaltindrag"/>
      </w:pPr>
      <w:r w:rsidRPr="001E42CA">
        <w:t>Statskontoret noterar också att många av de tillfälliga organisationsformer som studerats har haft flera mål att hantera. Multipla, parallella och ibl</w:t>
      </w:r>
      <w:r w:rsidRPr="001E42CA">
        <w:t xml:space="preserve">and motstridiga mål kan med dagens krav på resultatuppföljning orsaka problem. </w:t>
      </w:r>
    </w:p>
    <w:p w:rsidR="00DC1575" w:rsidRPr="001E42CA" w:rsidRDefault="00DC1575">
      <w:pPr>
        <w:pStyle w:val="Normaltindrag"/>
      </w:pPr>
      <w:r w:rsidRPr="001E42CA">
        <w:t>Statskontoret menar att en särskilt tillskapad organisation – som Ku</w:t>
      </w:r>
      <w:r w:rsidRPr="001E42CA">
        <w:t>n</w:t>
      </w:r>
      <w:r w:rsidRPr="001E42CA">
        <w:t>skapslyftet –  kan vara läm</w:t>
      </w:r>
      <w:r w:rsidRPr="001E42CA">
        <w:t>p</w:t>
      </w:r>
      <w:r w:rsidRPr="001E42CA">
        <w:t xml:space="preserve">lig: </w:t>
      </w:r>
    </w:p>
    <w:p w:rsidR="00DC1575" w:rsidRPr="001E42CA" w:rsidRDefault="00DC1575">
      <w:pPr>
        <w:pStyle w:val="Normaltindrag"/>
      </w:pPr>
    </w:p>
    <w:p w:rsidR="00DC1575" w:rsidRPr="001E42CA" w:rsidRDefault="00DC1575">
      <w:pPr>
        <w:numPr>
          <w:ilvl w:val="0"/>
          <w:numId w:val="37"/>
        </w:numPr>
        <w:spacing w:before="0"/>
        <w:ind w:left="357" w:hanging="357"/>
      </w:pPr>
      <w:r w:rsidRPr="001E42CA">
        <w:t>när det är oklart vilka problem som ska lösas,</w:t>
      </w:r>
    </w:p>
    <w:p w:rsidR="00DC1575" w:rsidRPr="001E42CA" w:rsidRDefault="00DC1575">
      <w:pPr>
        <w:numPr>
          <w:ilvl w:val="0"/>
          <w:numId w:val="37"/>
        </w:numPr>
      </w:pPr>
      <w:r w:rsidRPr="001E42CA">
        <w:t>om inslaget av experiment, förhandlingar och skönsmässighet i besluten är stort och förutsättningarna för och behovet av regelstyrning och lik</w:t>
      </w:r>
      <w:r w:rsidRPr="001E42CA">
        <w:t>a</w:t>
      </w:r>
      <w:r w:rsidRPr="001E42CA">
        <w:t>behan</w:t>
      </w:r>
      <w:r w:rsidRPr="001E42CA">
        <w:t>d</w:t>
      </w:r>
      <w:r w:rsidRPr="001E42CA">
        <w:t>ling är litet,</w:t>
      </w:r>
    </w:p>
    <w:p w:rsidR="00DC1575" w:rsidRPr="001E42CA" w:rsidRDefault="00DC1575">
      <w:pPr>
        <w:numPr>
          <w:ilvl w:val="0"/>
          <w:numId w:val="37"/>
        </w:numPr>
      </w:pPr>
      <w:r w:rsidRPr="001E42CA">
        <w:t>när intressentmedverkan är legitim och</w:t>
      </w:r>
    </w:p>
    <w:p w:rsidR="00DC1575" w:rsidRPr="001E42CA" w:rsidRDefault="00DC1575">
      <w:pPr>
        <w:numPr>
          <w:ilvl w:val="0"/>
          <w:numId w:val="37"/>
        </w:numPr>
      </w:pPr>
      <w:r w:rsidRPr="001E42CA">
        <w:t>när andra alternativ saknas.</w:t>
      </w:r>
    </w:p>
    <w:p w:rsidR="00DC1575" w:rsidRPr="001E42CA" w:rsidRDefault="00DC1575">
      <w:pPr>
        <w:pStyle w:val="Normaltindrag"/>
      </w:pPr>
    </w:p>
    <w:p w:rsidR="00DC1575" w:rsidRPr="001E42CA" w:rsidRDefault="00DC1575">
      <w:pPr>
        <w:pStyle w:val="Citat"/>
        <w:spacing w:before="0" w:line="245" w:lineRule="exact"/>
      </w:pPr>
      <w:r w:rsidRPr="001E42CA">
        <w:t>I en studie av Regeringskansliets dimensionering redovisas nedanstående kriterier för att särskilja särskilda projekt och program från ordinarie ko</w:t>
      </w:r>
      <w:r w:rsidRPr="001E42CA">
        <w:t>m</w:t>
      </w:r>
      <w:r w:rsidRPr="001E42CA">
        <w:t>mittéarbete (Ds 2000:27).</w:t>
      </w:r>
    </w:p>
    <w:p w:rsidR="00DC1575" w:rsidRPr="001E42CA" w:rsidRDefault="00DC1575">
      <w:pPr>
        <w:pStyle w:val="Normaltindrag"/>
      </w:pPr>
    </w:p>
    <w:p w:rsidR="00DC1575" w:rsidRPr="001E42CA" w:rsidRDefault="00DC1575">
      <w:pPr>
        <w:numPr>
          <w:ilvl w:val="0"/>
          <w:numId w:val="46"/>
        </w:numPr>
        <w:spacing w:before="0"/>
        <w:ind w:left="357" w:hanging="357"/>
      </w:pPr>
      <w:r w:rsidRPr="001E42CA">
        <w:t>Verksamheten kan, men måste inte, ägna sig åt att fördela anslag och projektmedel.</w:t>
      </w:r>
    </w:p>
    <w:p w:rsidR="00DC1575" w:rsidRPr="001E42CA" w:rsidRDefault="00DC1575">
      <w:pPr>
        <w:numPr>
          <w:ilvl w:val="0"/>
          <w:numId w:val="46"/>
        </w:numPr>
      </w:pPr>
      <w:r w:rsidRPr="001E42CA">
        <w:t>Verksamheten kan, men måste inte, utgöra en plattform för debatt och opin</w:t>
      </w:r>
      <w:r w:rsidRPr="001E42CA">
        <w:t>i</w:t>
      </w:r>
      <w:r w:rsidRPr="001E42CA">
        <w:t>onsbildning.</w:t>
      </w:r>
    </w:p>
    <w:p w:rsidR="00DC1575" w:rsidRPr="001E42CA" w:rsidRDefault="00DC1575">
      <w:pPr>
        <w:numPr>
          <w:ilvl w:val="0"/>
          <w:numId w:val="46"/>
        </w:numPr>
      </w:pPr>
      <w:r w:rsidRPr="001E42CA">
        <w:t>Verksamheten bygger på intensiv samverkan med andra delar av fö</w:t>
      </w:r>
      <w:r w:rsidRPr="001E42CA">
        <w:t>r</w:t>
      </w:r>
      <w:r w:rsidRPr="001E42CA">
        <w:t>valtnin</w:t>
      </w:r>
      <w:r w:rsidRPr="001E42CA">
        <w:t>g</w:t>
      </w:r>
      <w:r w:rsidRPr="001E42CA">
        <w:t>en och andra intressenter i samhället.</w:t>
      </w:r>
    </w:p>
    <w:p w:rsidR="00DC1575" w:rsidRPr="001E42CA" w:rsidRDefault="00DC1575">
      <w:pPr>
        <w:numPr>
          <w:ilvl w:val="0"/>
          <w:numId w:val="46"/>
        </w:numPr>
      </w:pPr>
      <w:r w:rsidRPr="001E42CA">
        <w:t xml:space="preserve">Verksamheten är relativt kortlivad och förväntas efter några år upplösas eller övergå i en annan organisationsform. </w:t>
      </w:r>
    </w:p>
    <w:p w:rsidR="00DC1575" w:rsidRPr="001E42CA" w:rsidRDefault="00DC1575">
      <w:pPr>
        <w:pStyle w:val="Normaltindrag"/>
      </w:pPr>
    </w:p>
    <w:p w:rsidR="00DC1575" w:rsidRPr="001E42CA" w:rsidRDefault="00DC1575">
      <w:pPr>
        <w:spacing w:before="0"/>
      </w:pPr>
      <w:r w:rsidRPr="001E42CA">
        <w:t>Enligt studien kommer projekt och program de facto att bli allt vanligare i Regeringskansliet. Framtida regeringar, oavsett politisk färg och regering</w:t>
      </w:r>
      <w:r w:rsidRPr="001E42CA">
        <w:t>s</w:t>
      </w:r>
      <w:r w:rsidRPr="001E42CA">
        <w:t>underlag, kommer att vilja driva frågor snabbare och nära den politiska le</w:t>
      </w:r>
      <w:r w:rsidRPr="001E42CA">
        <w:t>d</w:t>
      </w:r>
      <w:r w:rsidRPr="001E42CA">
        <w:t xml:space="preserve">ningen och med den uppmärksamhet det får. Det är inte särskilt troligt att regeringar av omtanke om dimensioneringen av Regeringskansliet frivilligt kommer att begränsa eller avhända sig möjligheten att genomföra en del av sin politik. Följaktligen bör dimensioneringen av Regeringskansliet avpassas så att den ger utrymme för den här typen av projekt och program. Några myndigheter har i sina remissvar på studien lämnat synpunkter på </w:t>
      </w:r>
      <w:r w:rsidRPr="001E42CA">
        <w:t>Reg</w:t>
      </w:r>
      <w:r w:rsidRPr="001E42CA">
        <w:t>e</w:t>
      </w:r>
      <w:r w:rsidRPr="001E42CA">
        <w:t>ringskansliets hantering av särskilda projekt och anslag som står till reg</w:t>
      </w:r>
      <w:r w:rsidRPr="001E42CA">
        <w:t>e</w:t>
      </w:r>
      <w:r w:rsidRPr="001E42CA">
        <w:t>ringens och Regeringskansliets förfogande. En mer allmän synpunkt var att sä</w:t>
      </w:r>
      <w:r w:rsidRPr="001E42CA">
        <w:t>r</w:t>
      </w:r>
      <w:r w:rsidRPr="001E42CA">
        <w:t>skilda projekt etc. normalt borde hanteras av myndigheterna.</w:t>
      </w:r>
    </w:p>
    <w:p w:rsidR="00DC1575" w:rsidRPr="001E42CA" w:rsidRDefault="00DC1575">
      <w:pPr>
        <w:pStyle w:val="Rubrik2"/>
      </w:pPr>
      <w:bookmarkStart w:id="63" w:name="_Toc526302404"/>
      <w:r w:rsidRPr="001E42CA">
        <w:t>Regeringens ställningstaganden till anslag till regeringens eller Regeringskansliets disposition</w:t>
      </w:r>
      <w:bookmarkEnd w:id="63"/>
    </w:p>
    <w:p w:rsidR="00DC1575" w:rsidRPr="001E42CA" w:rsidRDefault="00DC1575">
      <w:r w:rsidRPr="001E42CA">
        <w:t xml:space="preserve">I den s.k. </w:t>
      </w:r>
      <w:r w:rsidRPr="001E42CA">
        <w:rPr>
          <w:i/>
        </w:rPr>
        <w:t xml:space="preserve">Gula boken, handläggning av ärenden i Regeringskansliet </w:t>
      </w:r>
      <w:r w:rsidRPr="001E42CA">
        <w:t>(Ds 1998:39) anges bl.a. att Regeringskansliet i princip får disponera sådana anslag som gäller Regeringskansliets, utrikesförvaltningens eller kommi</w:t>
      </w:r>
      <w:r w:rsidRPr="001E42CA">
        <w:t>t</w:t>
      </w:r>
      <w:r w:rsidRPr="001E42CA">
        <w:t>téväsendets administration eller som avser beredning eller uppföljning av ett regeringsärende. Andra anslagsdispositioner bör beslutas av regeringen, om beslutet kräver ett ställningstagande från regeringen som politiskt organ, och annars av någon myndi</w:t>
      </w:r>
      <w:r w:rsidRPr="001E42CA">
        <w:t>g</w:t>
      </w:r>
      <w:r w:rsidRPr="001E42CA">
        <w:t xml:space="preserve">het under regeringen. </w:t>
      </w:r>
    </w:p>
    <w:p w:rsidR="00DC1575" w:rsidRPr="001E42CA" w:rsidRDefault="00DC1575">
      <w:pPr>
        <w:pStyle w:val="Normaltindrag"/>
      </w:pPr>
      <w:r w:rsidRPr="001E42CA">
        <w:t xml:space="preserve">I en intern promemoria inför </w:t>
      </w:r>
      <w:r w:rsidRPr="001E42CA">
        <w:t>regleringsbrevet för 1998 hänvisar Reg</w:t>
      </w:r>
      <w:r w:rsidRPr="001E42CA">
        <w:t>e</w:t>
      </w:r>
      <w:r w:rsidRPr="001E42CA">
        <w:t>ringskansliet till konstitutionsutskottets betänkande och vad som framförts där om anslagsmedel som disponeras av Regeringskansliet. Man hänvisar vidare till vad som utlovats i budgetpropositionen för 1998, nämligen att regeringen vid beredningen av regleringsbreven i varje enskilt fall noggrant skulle pröva skälen för att anslag ställs till Regeringskansliets disposition. I promemorian anges att följande ska gälla i arbetet med regleringsbreven för 1998.</w:t>
      </w:r>
    </w:p>
    <w:p w:rsidR="00DC1575" w:rsidRPr="001E42CA" w:rsidRDefault="00DC1575">
      <w:pPr>
        <w:pStyle w:val="Normaltindrag"/>
      </w:pPr>
    </w:p>
    <w:p w:rsidR="00DC1575" w:rsidRPr="001E42CA" w:rsidRDefault="00DC1575">
      <w:pPr>
        <w:numPr>
          <w:ilvl w:val="0"/>
          <w:numId w:val="32"/>
        </w:numPr>
        <w:spacing w:before="0"/>
        <w:ind w:left="357" w:hanging="357"/>
      </w:pPr>
      <w:r w:rsidRPr="001E42CA">
        <w:t>Regeringskansliet disponerar som huvudregel endast anslag som avser den interna verksamheten, berednings- och uppföljningsarbete, utre</w:t>
      </w:r>
      <w:r w:rsidRPr="001E42CA">
        <w:t>d</w:t>
      </w:r>
      <w:r w:rsidRPr="001E42CA">
        <w:t>ningskostnader eller informationsinsatser. Övriga anslag disponeras av annan myndi</w:t>
      </w:r>
      <w:r w:rsidRPr="001E42CA">
        <w:t>g</w:t>
      </w:r>
      <w:r w:rsidRPr="001E42CA">
        <w:t>het än Regeringskansliet eller av regeringen.</w:t>
      </w:r>
    </w:p>
    <w:p w:rsidR="00DC1575" w:rsidRPr="001E42CA" w:rsidRDefault="00DC1575">
      <w:pPr>
        <w:pStyle w:val="Normaltindrag"/>
        <w:numPr>
          <w:ilvl w:val="0"/>
          <w:numId w:val="36"/>
        </w:numPr>
      </w:pPr>
      <w:r w:rsidRPr="001E42CA">
        <w:t>Regeringen disponerar anslag när den vill ha kontroll över anslaget och när användningen av anslaget innefattar ett ställningstagande från reg</w:t>
      </w:r>
      <w:r w:rsidRPr="001E42CA">
        <w:t>e</w:t>
      </w:r>
      <w:r w:rsidRPr="001E42CA">
        <w:t>ringen; främst i dess egenskap av ett politiskt organ.</w:t>
      </w:r>
    </w:p>
    <w:p w:rsidR="00DC1575" w:rsidRPr="001E42CA" w:rsidRDefault="00DC1575">
      <w:pPr>
        <w:pStyle w:val="Normaltindrag"/>
        <w:numPr>
          <w:ilvl w:val="0"/>
          <w:numId w:val="35"/>
        </w:numPr>
      </w:pPr>
      <w:r w:rsidRPr="001E42CA">
        <w:t>I undantagsfall har Regeringskansliet dispositionsrätt till andra anslag. Detta ska dock prövas och motiveras i varje enskilt fall.</w:t>
      </w:r>
    </w:p>
    <w:p w:rsidR="00DC1575" w:rsidRPr="001E42CA" w:rsidRDefault="00DC1575">
      <w:pPr>
        <w:pStyle w:val="Normaltindrag"/>
      </w:pPr>
    </w:p>
    <w:p w:rsidR="00DC1575" w:rsidRPr="001E42CA" w:rsidRDefault="00DC1575">
      <w:pPr>
        <w:pStyle w:val="Normaltindrag"/>
      </w:pPr>
    </w:p>
    <w:p w:rsidR="00DC1575" w:rsidRPr="001E42CA" w:rsidRDefault="00DC1575">
      <w:pPr>
        <w:pStyle w:val="Rubrik1"/>
      </w:pPr>
      <w:r w:rsidRPr="001E42CA">
        <w:br w:type="page"/>
      </w:r>
      <w:bookmarkStart w:id="64" w:name="_Toc526302405"/>
      <w:r w:rsidRPr="001E42CA">
        <w:t>Revisorernas bedömningar och förslag</w:t>
      </w:r>
      <w:bookmarkEnd w:id="64"/>
    </w:p>
    <w:p w:rsidR="00DC1575" w:rsidRPr="001E42CA" w:rsidRDefault="00DC1575">
      <w:pPr>
        <w:pStyle w:val="Rubrik2"/>
        <w:spacing w:before="123"/>
      </w:pPr>
      <w:bookmarkStart w:id="65" w:name="_Toc526302406"/>
      <w:r w:rsidRPr="001E42CA">
        <w:t>Bedömningar</w:t>
      </w:r>
      <w:bookmarkEnd w:id="65"/>
    </w:p>
    <w:p w:rsidR="00DC1575" w:rsidRPr="001E42CA" w:rsidRDefault="00DC1575">
      <w:r w:rsidRPr="001E42CA">
        <w:t>Regeringen angav i 1995 års kompletteringsproposition att vissa kommuner och landsting som hade en särskilt svår ekonomisk situation kunde få pr</w:t>
      </w:r>
      <w:r w:rsidRPr="001E42CA">
        <w:t>o</w:t>
      </w:r>
      <w:r w:rsidRPr="001E42CA">
        <w:t>blem vid införandet av det nya utjämningssystemet. För att skapa möjligheter att i rekonstruktivt syfte tillfälligt bistå sådana kommuner och landsting ställdes medel till regeringens disposition och ett nytt anslag infördes.</w:t>
      </w:r>
    </w:p>
    <w:p w:rsidR="00DC1575" w:rsidRPr="001E42CA" w:rsidRDefault="00DC1575">
      <w:pPr>
        <w:pStyle w:val="R3"/>
      </w:pPr>
      <w:r w:rsidRPr="001E42CA">
        <w:t>Förändrat syfte</w:t>
      </w:r>
    </w:p>
    <w:p w:rsidR="00DC1575" w:rsidRPr="001E42CA" w:rsidRDefault="00DC1575">
      <w:r w:rsidRPr="001E42CA">
        <w:t>Riksdagens revisorer kan konstatera att efter drygt fem år finns detta tillfäll</w:t>
      </w:r>
      <w:r w:rsidRPr="001E42CA">
        <w:t>i</w:t>
      </w:r>
      <w:r w:rsidRPr="001E42CA">
        <w:t>ga stöd fortfarande kvar. Det har således fått karaktären av ett permanent anslag. Anslaget har dessutom endast i marginell utsträckning utnyttjats för sitt ursprungliga syfte, dvs. att hantera problem i samband med införandet av det nya utjämningssystemet. Det kan inte heller ses som speciellt överra</w:t>
      </w:r>
      <w:r w:rsidRPr="001E42CA">
        <w:t>s</w:t>
      </w:r>
      <w:r w:rsidRPr="001E42CA">
        <w:t>kande eftersom utjämningssystemet var förenat med speciella införandere</w:t>
      </w:r>
      <w:r w:rsidRPr="001E42CA">
        <w:t>g</w:t>
      </w:r>
      <w:r w:rsidRPr="001E42CA">
        <w:t>ler för att undvika drastiska effekter. Den förändrade användningen har emellertid anmälts till riksdagen.</w:t>
      </w:r>
    </w:p>
    <w:p w:rsidR="00DC1575" w:rsidRPr="001E42CA" w:rsidRDefault="00DC1575">
      <w:pPr>
        <w:pStyle w:val="Normaltindrag"/>
      </w:pPr>
      <w:r w:rsidRPr="001E42CA">
        <w:t>Anslaget har utnyttjats för f</w:t>
      </w:r>
      <w:r w:rsidRPr="001E42CA">
        <w:t>öljande 12 ändamål.</w:t>
      </w:r>
    </w:p>
    <w:p w:rsidR="00DC1575" w:rsidRPr="001E42CA" w:rsidRDefault="00DC1575">
      <w:pPr>
        <w:pStyle w:val="Normaltindrag"/>
      </w:pPr>
    </w:p>
    <w:p w:rsidR="00DC1575" w:rsidRPr="001E42CA" w:rsidRDefault="00DC1575">
      <w:pPr>
        <w:numPr>
          <w:ilvl w:val="0"/>
          <w:numId w:val="103"/>
        </w:numPr>
      </w:pPr>
      <w:r w:rsidRPr="001E42CA">
        <w:t>Stöd till kommuner och landsting med problem att uppnå ekonomisk balans.</w:t>
      </w:r>
    </w:p>
    <w:p w:rsidR="00DC1575" w:rsidRPr="001E42CA" w:rsidRDefault="00DC1575">
      <w:pPr>
        <w:numPr>
          <w:ilvl w:val="0"/>
          <w:numId w:val="103"/>
        </w:numPr>
      </w:pPr>
      <w:r w:rsidRPr="001E42CA">
        <w:t>Stöd till kommuner med övermäktiga åtaganden för boendet.</w:t>
      </w:r>
    </w:p>
    <w:p w:rsidR="00DC1575" w:rsidRPr="001E42CA" w:rsidRDefault="00DC1575">
      <w:pPr>
        <w:numPr>
          <w:ilvl w:val="0"/>
          <w:numId w:val="103"/>
        </w:numPr>
      </w:pPr>
      <w:r w:rsidRPr="001E42CA">
        <w:t>Omstruktureringsprojekt.</w:t>
      </w:r>
    </w:p>
    <w:p w:rsidR="00DC1575" w:rsidRPr="001E42CA" w:rsidRDefault="00DC1575">
      <w:pPr>
        <w:numPr>
          <w:ilvl w:val="0"/>
          <w:numId w:val="103"/>
        </w:numPr>
      </w:pPr>
      <w:r w:rsidRPr="001E42CA">
        <w:t>Insatser för flyktingar.</w:t>
      </w:r>
    </w:p>
    <w:p w:rsidR="00DC1575" w:rsidRPr="001E42CA" w:rsidRDefault="00DC1575">
      <w:pPr>
        <w:numPr>
          <w:ilvl w:val="0"/>
          <w:numId w:val="103"/>
        </w:numPr>
      </w:pPr>
      <w:r w:rsidRPr="001E42CA">
        <w:t>Förebyggande hiv/aidsverksamhet.</w:t>
      </w:r>
    </w:p>
    <w:p w:rsidR="00DC1575" w:rsidRPr="001E42CA" w:rsidRDefault="00DC1575">
      <w:pPr>
        <w:numPr>
          <w:ilvl w:val="0"/>
          <w:numId w:val="103"/>
        </w:numPr>
      </w:pPr>
      <w:r w:rsidRPr="001E42CA">
        <w:t>Översvämningarna i juli 2000.</w:t>
      </w:r>
    </w:p>
    <w:p w:rsidR="00DC1575" w:rsidRPr="001E42CA" w:rsidRDefault="00DC1575">
      <w:pPr>
        <w:numPr>
          <w:ilvl w:val="0"/>
          <w:numId w:val="103"/>
        </w:numPr>
      </w:pPr>
      <w:r w:rsidRPr="001E42CA">
        <w:t>Andra katastrofer.</w:t>
      </w:r>
    </w:p>
    <w:p w:rsidR="00DC1575" w:rsidRPr="001E42CA" w:rsidRDefault="00DC1575">
      <w:pPr>
        <w:numPr>
          <w:ilvl w:val="0"/>
          <w:numId w:val="103"/>
        </w:numPr>
      </w:pPr>
      <w:r w:rsidRPr="001E42CA">
        <w:t>Kommunkontosystemet.</w:t>
      </w:r>
    </w:p>
    <w:p w:rsidR="00DC1575" w:rsidRPr="001E42CA" w:rsidRDefault="00DC1575">
      <w:pPr>
        <w:numPr>
          <w:ilvl w:val="0"/>
          <w:numId w:val="103"/>
        </w:numPr>
      </w:pPr>
      <w:r w:rsidRPr="001E42CA">
        <w:t>Omställningsbidrag för landsting.</w:t>
      </w:r>
    </w:p>
    <w:p w:rsidR="00DC1575" w:rsidRPr="001E42CA" w:rsidRDefault="00DC1575">
      <w:pPr>
        <w:numPr>
          <w:ilvl w:val="0"/>
          <w:numId w:val="103"/>
        </w:numPr>
      </w:pPr>
      <w:r w:rsidRPr="001E42CA">
        <w:t>Stöd och service för vissa funktionshindrade.</w:t>
      </w:r>
    </w:p>
    <w:p w:rsidR="00DC1575" w:rsidRPr="001E42CA" w:rsidRDefault="00DC1575">
      <w:pPr>
        <w:numPr>
          <w:ilvl w:val="0"/>
          <w:numId w:val="103"/>
        </w:numPr>
      </w:pPr>
      <w:r w:rsidRPr="001E42CA">
        <w:t>Konsumentåtgärder.</w:t>
      </w:r>
    </w:p>
    <w:p w:rsidR="00DC1575" w:rsidRPr="001E42CA" w:rsidRDefault="00DC1575">
      <w:pPr>
        <w:numPr>
          <w:ilvl w:val="0"/>
          <w:numId w:val="103"/>
        </w:numPr>
      </w:pPr>
      <w:r w:rsidRPr="001E42CA">
        <w:t>Nedläggningar i försvaret.</w:t>
      </w:r>
    </w:p>
    <w:p w:rsidR="00DC1575" w:rsidRPr="001E42CA" w:rsidRDefault="00DC1575">
      <w:pPr>
        <w:pStyle w:val="Normaltindrag"/>
      </w:pPr>
    </w:p>
    <w:p w:rsidR="00DC1575" w:rsidRPr="001E42CA" w:rsidRDefault="00DC1575">
      <w:pPr>
        <w:spacing w:before="0"/>
      </w:pPr>
      <w:r w:rsidRPr="001E42CA">
        <w:t>Totalt har drygt 6,4 miljarder kronor hittills fördelats eller avses att fördelas. Merparten, eller drygt 3,7 miljarder kronor, har fördelats till kommuner och landsting med särskilt svåra ekonomiska problem. Drygt 40 procent av me</w:t>
      </w:r>
      <w:r w:rsidRPr="001E42CA">
        <w:t>d</w:t>
      </w:r>
      <w:r w:rsidRPr="001E42CA">
        <w:t>len har dock fördelats till andra ändamål (punkterna 3–12).</w:t>
      </w:r>
    </w:p>
    <w:p w:rsidR="00DC1575" w:rsidRPr="001E42CA" w:rsidRDefault="00DC1575">
      <w:pPr>
        <w:pStyle w:val="R3"/>
      </w:pPr>
      <w:r w:rsidRPr="001E42CA">
        <w:t>Stora delar av verksamheten saknar mål</w:t>
      </w:r>
    </w:p>
    <w:p w:rsidR="00DC1575" w:rsidRPr="001E42CA" w:rsidRDefault="00DC1575">
      <w:r w:rsidRPr="001E42CA">
        <w:t xml:space="preserve">Anslaget ingår i utgiftsområde 25 Allmänna bidrag till kommuner. Målet för utgiftsområdet är </w:t>
      </w:r>
    </w:p>
    <w:p w:rsidR="00DC1575" w:rsidRPr="001E42CA" w:rsidRDefault="00DC1575">
      <w:pPr>
        <w:pStyle w:val="Normaltindrag"/>
      </w:pPr>
    </w:p>
    <w:p w:rsidR="00DC1575" w:rsidRPr="001E42CA" w:rsidRDefault="00DC1575">
      <w:pPr>
        <w:numPr>
          <w:ilvl w:val="0"/>
          <w:numId w:val="95"/>
        </w:numPr>
        <w:spacing w:before="0"/>
        <w:ind w:left="357" w:hanging="357"/>
      </w:pPr>
      <w:r w:rsidRPr="001E42CA">
        <w:t>att skapa goda och likvärdiga ekonomiska förutsättningar för kommuner respektive landsting att uppnå de nationella målen inom olika verksa</w:t>
      </w:r>
      <w:r w:rsidRPr="001E42CA">
        <w:t>m</w:t>
      </w:r>
      <w:r w:rsidRPr="001E42CA">
        <w:t>heter.</w:t>
      </w:r>
    </w:p>
    <w:p w:rsidR="00DC1575" w:rsidRPr="001E42CA" w:rsidRDefault="00DC1575">
      <w:pPr>
        <w:pStyle w:val="Normaltindrag"/>
      </w:pPr>
    </w:p>
    <w:p w:rsidR="00DC1575" w:rsidRPr="001E42CA" w:rsidRDefault="00DC1575">
      <w:pPr>
        <w:pStyle w:val="Citat"/>
        <w:spacing w:before="0" w:line="245" w:lineRule="exact"/>
      </w:pPr>
      <w:r w:rsidRPr="001E42CA">
        <w:t>Bostadsdelegationens del av effektmålet för utgiftsområde 25 är</w:t>
      </w:r>
    </w:p>
    <w:p w:rsidR="00DC1575" w:rsidRPr="001E42CA" w:rsidRDefault="00DC1575">
      <w:pPr>
        <w:pStyle w:val="Normaltindrag"/>
      </w:pPr>
    </w:p>
    <w:p w:rsidR="00DC1575" w:rsidRPr="001E42CA" w:rsidRDefault="00DC1575">
      <w:pPr>
        <w:numPr>
          <w:ilvl w:val="0"/>
          <w:numId w:val="96"/>
        </w:numPr>
        <w:spacing w:before="0"/>
        <w:ind w:left="357" w:hanging="357"/>
      </w:pPr>
      <w:r w:rsidRPr="001E42CA">
        <w:t>att genom att tillfälligt bistå kommuner med stöd motverka att en ko</w:t>
      </w:r>
      <w:r w:rsidRPr="001E42CA">
        <w:t>m</w:t>
      </w:r>
      <w:r w:rsidRPr="001E42CA">
        <w:t>mun på grund av åtaganden för boendet inte kan fullgöra sina ekon</w:t>
      </w:r>
      <w:r w:rsidRPr="001E42CA">
        <w:t>o</w:t>
      </w:r>
      <w:r w:rsidRPr="001E42CA">
        <w:t>miska fö</w:t>
      </w:r>
      <w:r w:rsidRPr="001E42CA">
        <w:t>r</w:t>
      </w:r>
      <w:r w:rsidRPr="001E42CA">
        <w:t>pliktelser.</w:t>
      </w:r>
    </w:p>
    <w:p w:rsidR="00DC1575" w:rsidRPr="001E42CA" w:rsidRDefault="00DC1575">
      <w:pPr>
        <w:pStyle w:val="Normaltindrag"/>
      </w:pPr>
    </w:p>
    <w:p w:rsidR="00DC1575" w:rsidRPr="001E42CA" w:rsidRDefault="00DC1575">
      <w:pPr>
        <w:spacing w:before="0"/>
      </w:pPr>
      <w:r w:rsidRPr="001E42CA">
        <w:t>För övriga delar av anslaget, som utgör merparten av medlen, saknas ett särskilt mål i budgetpropositionerna. Det nämns endast att syftet med ansl</w:t>
      </w:r>
      <w:r w:rsidRPr="001E42CA">
        <w:t>a</w:t>
      </w:r>
      <w:r w:rsidRPr="001E42CA">
        <w:t>get är att skapa möjligheter att i rekonstruktivt syfte tillfälligt bistå komm</w:t>
      </w:r>
      <w:r w:rsidRPr="001E42CA">
        <w:t>u</w:t>
      </w:r>
      <w:r w:rsidRPr="001E42CA">
        <w:t>ner och landsting som på grund av speciella omständigheter kan hamna i en särskilt svår ekon</w:t>
      </w:r>
      <w:r w:rsidRPr="001E42CA">
        <w:t>o</w:t>
      </w:r>
      <w:r w:rsidRPr="001E42CA">
        <w:t>misk situation.</w:t>
      </w:r>
    </w:p>
    <w:p w:rsidR="00DC1575" w:rsidRPr="001E42CA" w:rsidRDefault="00DC1575">
      <w:pPr>
        <w:pStyle w:val="Normaltindrag"/>
      </w:pPr>
      <w:r w:rsidRPr="001E42CA">
        <w:t>Avsaknaden av mål kan ha bidragit till den vildvuxna floran av använ</w:t>
      </w:r>
      <w:r w:rsidRPr="001E42CA">
        <w:t>d</w:t>
      </w:r>
      <w:r w:rsidRPr="001E42CA">
        <w:t>ningsområden. Ett specifikt och avgränsat mål hade sannolikt begränsat användningsområdena.</w:t>
      </w:r>
    </w:p>
    <w:p w:rsidR="00DC1575" w:rsidRPr="001E42CA" w:rsidRDefault="00DC1575">
      <w:pPr>
        <w:pStyle w:val="Normaltindrag"/>
      </w:pPr>
      <w:r w:rsidRPr="001E42CA">
        <w:t>Totalt har drygt 6,4 miljarder kronor av anslaget fördelats eller avses att fördelas. Drygt 30 procent av dessa medel har fördelats till Bostadsdeleg</w:t>
      </w:r>
      <w:r w:rsidRPr="001E42CA">
        <w:t>a</w:t>
      </w:r>
      <w:r w:rsidRPr="001E42CA">
        <w:t>tionen. I övrigt har närmare 70 procent avsett den del av anslaget som saknar en målformulering eller som saknar mål som fastställts av riksdagen.</w:t>
      </w:r>
    </w:p>
    <w:p w:rsidR="00DC1575" w:rsidRPr="001E42CA" w:rsidRDefault="00DC1575">
      <w:pPr>
        <w:pStyle w:val="Normaltindrag"/>
      </w:pPr>
      <w:r w:rsidRPr="001E42CA">
        <w:t>Fördelningen av medel har således till viss del skett utan att det funnits en klar och konkretiserad målbild. Olika behov tycks ha identifierats år från år, utan att någon strategi för anslaget har fastställts.</w:t>
      </w:r>
    </w:p>
    <w:p w:rsidR="00DC1575" w:rsidRPr="001E42CA" w:rsidRDefault="00DC1575">
      <w:pPr>
        <w:pStyle w:val="R3"/>
      </w:pPr>
      <w:r w:rsidRPr="001E42CA">
        <w:t>Oklara krav på resultatredovisningen</w:t>
      </w:r>
    </w:p>
    <w:p w:rsidR="00DC1575" w:rsidRPr="001E42CA" w:rsidRDefault="00DC1575">
      <w:r w:rsidRPr="001E42CA">
        <w:t>Systemet med mål- och resultatstyrning förutsätter en tydlig rollfördelning mellan riksdag, regering och myndigheter. Anslag som står till regeringens disposition kan dock komma att bryta detta mönster. Det normala är att reg</w:t>
      </w:r>
      <w:r w:rsidRPr="001E42CA">
        <w:t>e</w:t>
      </w:r>
      <w:r w:rsidRPr="001E42CA">
        <w:t>ringen ställer upp mål för en myndighet. Utifrån den redovisning som my</w:t>
      </w:r>
      <w:r w:rsidRPr="001E42CA">
        <w:t>n</w:t>
      </w:r>
      <w:r w:rsidRPr="001E42CA">
        <w:t>digheten lämnar bedömer regeringen resultaten eller måluppfyllelsen av verksamheten. I detta fall är det regeringen som både redovisar resultat och bedömer resultaten eller måluppfyllelsen. Regeringen bedömer med andra ord den verksamhet som den själv utför. Resultat och måluppfyllelse kan därmed vara svårare att värdera.</w:t>
      </w:r>
    </w:p>
    <w:p w:rsidR="00DC1575" w:rsidRPr="001E42CA" w:rsidRDefault="00DC1575">
      <w:pPr>
        <w:pStyle w:val="R3"/>
      </w:pPr>
      <w:r w:rsidRPr="001E42CA">
        <w:t>Resultatredovisningen otillräcklig</w:t>
      </w:r>
    </w:p>
    <w:p w:rsidR="00DC1575" w:rsidRPr="001E42CA" w:rsidRDefault="00DC1575">
      <w:r w:rsidRPr="001E42CA">
        <w:t>Det är inte heller alla gånger uppenbart att det går att göra en bedömning utifrån regeringens material. När det gäller anslaget Bidrag till särskilda insatser i vissa kommuner och landsting saknas i budgetpropositioner och andra dokument i vissa stycken målformulering, resultat och analys av m</w:t>
      </w:r>
      <w:r w:rsidRPr="001E42CA">
        <w:t>å</w:t>
      </w:r>
      <w:r w:rsidRPr="001E42CA">
        <w:t>lup</w:t>
      </w:r>
      <w:r w:rsidRPr="001E42CA">
        <w:t>p</w:t>
      </w:r>
      <w:r w:rsidRPr="001E42CA">
        <w:t xml:space="preserve">fyllelse. </w:t>
      </w:r>
    </w:p>
    <w:p w:rsidR="00DC1575" w:rsidRPr="001E42CA" w:rsidRDefault="00DC1575">
      <w:pPr>
        <w:pStyle w:val="Normaltindrag"/>
      </w:pPr>
      <w:r w:rsidRPr="001E42CA">
        <w:t>Bristen på entydiga och mätbara mål gör det svårt att bedöma hur ver</w:t>
      </w:r>
      <w:r w:rsidRPr="001E42CA">
        <w:t>k</w:t>
      </w:r>
      <w:r w:rsidRPr="001E42CA">
        <w:t>samheten fungerat. Detta förstärks av att det inte förekommer någon egentlig resultatredovisning i budgetpropositionerna. Där redovisas normalt bara antalet ansökningar, anslagsförbrukning etc.</w:t>
      </w:r>
    </w:p>
    <w:p w:rsidR="00DC1575" w:rsidRPr="001E42CA" w:rsidRDefault="00DC1575">
      <w:pPr>
        <w:pStyle w:val="Normaltindrag"/>
      </w:pPr>
      <w:r w:rsidRPr="001E42CA">
        <w:t>I regeringens resultatbedömning görs inte heller någon bedömning av om anslaget bidragit till måluppfyllelsen för utgiftsområdet. En sådan bedö</w:t>
      </w:r>
      <w:r w:rsidRPr="001E42CA">
        <w:t>m</w:t>
      </w:r>
      <w:r w:rsidRPr="001E42CA">
        <w:t xml:space="preserve">ning torde också vara förknippad med betydande metodproblem med tanke på att anslaget utnyttjas för så många olika ändamål. </w:t>
      </w:r>
    </w:p>
    <w:p w:rsidR="00DC1575" w:rsidRPr="001E42CA" w:rsidRDefault="00DC1575">
      <w:pPr>
        <w:pStyle w:val="R3"/>
      </w:pPr>
      <w:r w:rsidRPr="001E42CA">
        <w:t>Förordningar och regelsystem saknas delvis</w:t>
      </w:r>
    </w:p>
    <w:p w:rsidR="00DC1575" w:rsidRPr="001E42CA" w:rsidRDefault="00DC1575">
      <w:r w:rsidRPr="001E42CA">
        <w:t>Stora delar av hanteringen av anslaget regleras inte av någon förordning. Kommundelegationens beredning av ärenden styrdes enbart genom kommi</w:t>
      </w:r>
      <w:r w:rsidRPr="001E42CA">
        <w:t>t</w:t>
      </w:r>
      <w:r w:rsidRPr="001E42CA">
        <w:t>tédirektivet. Regeringens senare beslut i dessa ärenden omfattades av natu</w:t>
      </w:r>
      <w:r w:rsidRPr="001E42CA">
        <w:t>r</w:t>
      </w:r>
      <w:r w:rsidRPr="001E42CA">
        <w:t>liga skäl inte heller av någon förordning. Det gäller också regeringens fö</w:t>
      </w:r>
      <w:r w:rsidRPr="001E42CA">
        <w:t>r</w:t>
      </w:r>
      <w:r w:rsidRPr="001E42CA">
        <w:t>delningar till andra ändamål som t.ex. insatser för flyktingar (dvs. ändamålen 3–12 som redovisats inledningsvis i kapitlet). Bostadsdelegationens arbete styrs däremot av en instruktion. Den lämnar dock relativt vida ramar åt del</w:t>
      </w:r>
      <w:r w:rsidRPr="001E42CA">
        <w:t>e</w:t>
      </w:r>
      <w:r w:rsidRPr="001E42CA">
        <w:t xml:space="preserve">gationen att avgöra vilka som ska beviljas stöd eller inte. </w:t>
      </w:r>
    </w:p>
    <w:p w:rsidR="00DC1575" w:rsidRPr="001E42CA" w:rsidRDefault="00DC1575">
      <w:pPr>
        <w:pStyle w:val="Normaltindrag"/>
      </w:pPr>
      <w:r w:rsidRPr="001E42CA">
        <w:t>Avsaknaden av förordning och tydlig instruktion ger regeringen respekt</w:t>
      </w:r>
      <w:r w:rsidRPr="001E42CA">
        <w:t>ive Bostadsdelegationen ett handlingsutrymme att avgöra vilka kommuner och landsting som ska beviljas stöd. Det gör det svårt att bedöma hur handläg</w:t>
      </w:r>
      <w:r w:rsidRPr="001E42CA">
        <w:t>g</w:t>
      </w:r>
      <w:r w:rsidRPr="001E42CA">
        <w:t xml:space="preserve">ningen fungerat. Bristen på entydiga och mätbara mål förenklar inte en sådan bedömning. </w:t>
      </w:r>
    </w:p>
    <w:p w:rsidR="00DC1575" w:rsidRPr="001E42CA" w:rsidRDefault="00DC1575">
      <w:pPr>
        <w:pStyle w:val="Normaltindrag"/>
      </w:pPr>
      <w:r w:rsidRPr="001E42CA">
        <w:t>Frånvaron av tydliga regelsystem kan innebära att hanteringen av anslaget inte blir transparent och förutsägbar. En kommun eller ett landsting kan därför knappast på förhand göra en rimlig bedömning om stöd kommer att utgå eller inte. Ett sådant förhållande kan försena even</w:t>
      </w:r>
      <w:r w:rsidRPr="001E42CA">
        <w:t>tuella omstruktur</w:t>
      </w:r>
      <w:r w:rsidRPr="001E42CA">
        <w:t>e</w:t>
      </w:r>
      <w:r w:rsidRPr="001E42CA">
        <w:t>ringar och neddragningar.</w:t>
      </w:r>
    </w:p>
    <w:p w:rsidR="00DC1575" w:rsidRPr="001E42CA" w:rsidRDefault="00DC1575">
      <w:pPr>
        <w:pStyle w:val="R3"/>
      </w:pPr>
      <w:r w:rsidRPr="001E42CA">
        <w:t>Bra beslutsunderlag</w:t>
      </w:r>
    </w:p>
    <w:p w:rsidR="00DC1575" w:rsidRPr="001E42CA" w:rsidRDefault="00DC1575">
      <w:r w:rsidRPr="001E42CA">
        <w:t>I förvaltningslagen (1986:223) finns det regler om hur ärenden ska handlä</w:t>
      </w:r>
      <w:r w:rsidRPr="001E42CA">
        <w:t>g</w:t>
      </w:r>
      <w:r w:rsidRPr="001E42CA">
        <w:t>gas. Dessa regler ska bidra till att ge ett så korrekt underlag som möjligt för förvaltningsbesluten och därmed till att besluten blir riktiga i sak. De åte</w:t>
      </w:r>
      <w:r w:rsidRPr="001E42CA">
        <w:t>r</w:t>
      </w:r>
      <w:r w:rsidRPr="001E42CA">
        <w:t>speglar grundläggande rättssäkerhetskrav som krav på opartiskhet, omsorg</w:t>
      </w:r>
      <w:r w:rsidRPr="001E42CA">
        <w:t>s</w:t>
      </w:r>
      <w:r w:rsidRPr="001E42CA">
        <w:t>full handläggning och enhetlig bedömning.</w:t>
      </w:r>
    </w:p>
    <w:p w:rsidR="00DC1575" w:rsidRPr="001E42CA" w:rsidRDefault="00DC1575">
      <w:pPr>
        <w:pStyle w:val="Normaltindrag"/>
      </w:pPr>
      <w:r w:rsidRPr="001E42CA">
        <w:t>Den genomgång som skett av beslutsunderlagen pekar på att handläg</w:t>
      </w:r>
      <w:r w:rsidRPr="001E42CA">
        <w:t>g</w:t>
      </w:r>
      <w:r w:rsidRPr="001E42CA">
        <w:t>ningen varit omsorgsfull och att underlagen varit objektiva. Det går att an</w:t>
      </w:r>
      <w:r w:rsidRPr="001E42CA">
        <w:t>a</w:t>
      </w:r>
      <w:r w:rsidRPr="001E42CA">
        <w:t xml:space="preserve">lysera grunderna för besluten. Alla granskade ärenden innehåller samma beslutsunderlag. De ekonomiska bedömningarna bygger på väl etablerade metoder och är av god kvalitet. </w:t>
      </w:r>
    </w:p>
    <w:p w:rsidR="00DC1575" w:rsidRPr="001E42CA" w:rsidRDefault="00DC1575">
      <w:pPr>
        <w:pStyle w:val="R3"/>
      </w:pPr>
      <w:r w:rsidRPr="001E42CA">
        <w:t>Sämre beslutskriterier</w:t>
      </w:r>
    </w:p>
    <w:p w:rsidR="00DC1575" w:rsidRPr="001E42CA" w:rsidRDefault="00DC1575">
      <w:r w:rsidRPr="001E42CA">
        <w:t>Bilden är inte lika entydigt positiv vid en analys av beslutskriterierna, dvs. vilka kriterier som styrt fördelningen av stöd. Visserligen har de kommuner som fått stöd t.ex. lägre skatteunderlag, högre arbetslöshet, sämre befol</w:t>
      </w:r>
      <w:r w:rsidRPr="001E42CA">
        <w:t>k</w:t>
      </w:r>
      <w:r w:rsidRPr="001E42CA">
        <w:t>ningsutveckling och sämre ekonomi än avslagskommunerna och kommu</w:t>
      </w:r>
      <w:r w:rsidRPr="001E42CA">
        <w:t>n</w:t>
      </w:r>
      <w:r w:rsidRPr="001E42CA">
        <w:t>sektorn som helhet. Samtidigt har dock de kommuner som fått bifall en mer omfattande verksamhet än avslagskommunerna. De har t.ex. högre nett</w:t>
      </w:r>
      <w:r w:rsidRPr="001E42CA">
        <w:t>o</w:t>
      </w:r>
      <w:r w:rsidRPr="001E42CA">
        <w:t>kostnader, högre utbudsnivå, högre kostnader än vad som motiveras av de strukturella förutsättningarna och fler anställda. Skattesatsen är också högre i bifallskommunerna än i avslagskommunerna. Det går inte heller att påvisa några påtagliga skillnader vad gäller besparingar eller utförsäljningar mellan</w:t>
      </w:r>
      <w:r w:rsidRPr="001E42CA">
        <w:t xml:space="preserve"> bifalls- och avslagskommunerna. De kommuner som fått bifall har vidare en betydligt högre ersättning från kostnadsutjämningen. De kompenseras sål</w:t>
      </w:r>
      <w:r w:rsidRPr="001E42CA">
        <w:t>e</w:t>
      </w:r>
      <w:r w:rsidRPr="001E42CA">
        <w:t xml:space="preserve">des redan i hög grad för en ogynnsam kostnadsstruktur. </w:t>
      </w:r>
    </w:p>
    <w:p w:rsidR="00DC1575" w:rsidRPr="001E42CA" w:rsidRDefault="00DC1575">
      <w:pPr>
        <w:pStyle w:val="Normaltindrag"/>
      </w:pPr>
      <w:r w:rsidRPr="001E42CA">
        <w:t>Dessa skillnader är mest markanta i de ärenden som beretts av Kommu</w:t>
      </w:r>
      <w:r w:rsidRPr="001E42CA">
        <w:t>n</w:t>
      </w:r>
      <w:r w:rsidRPr="001E42CA">
        <w:t>delegationen och senare beslutats av regeringen. Detta kan tyda på att ko</w:t>
      </w:r>
      <w:r w:rsidRPr="001E42CA">
        <w:t>m</w:t>
      </w:r>
      <w:r w:rsidRPr="001E42CA">
        <w:t>muner som påbörjat eller avslutat en omstrukturering av ekonomin inte har fått statligt stöd av regeringen. Följaktligen kan det också innebära att ko</w:t>
      </w:r>
      <w:r w:rsidRPr="001E42CA">
        <w:t>m</w:t>
      </w:r>
      <w:r w:rsidRPr="001E42CA">
        <w:t xml:space="preserve">muner som senarelagt sådana omstruktureringar fått stöd av regeringen. </w:t>
      </w:r>
    </w:p>
    <w:p w:rsidR="00DC1575" w:rsidRPr="001E42CA" w:rsidRDefault="00DC1575">
      <w:pPr>
        <w:pStyle w:val="R3"/>
      </w:pPr>
      <w:r w:rsidRPr="001E42CA">
        <w:t>Mindre lyckade avtal i vissa fall</w:t>
      </w:r>
    </w:p>
    <w:p w:rsidR="00DC1575" w:rsidRPr="001E42CA" w:rsidRDefault="00DC1575">
      <w:r w:rsidRPr="001E42CA">
        <w:t>Ett stort antal avtal om stöd har slutits mellan staten och kommuner och landsting. Genomgången visar att Bostadsdelegationens avtal kan sägas vara realistiska, lämpligt formulerade och relevanta. Avtalen går också relativt enkelt att följa upp.</w:t>
      </w:r>
    </w:p>
    <w:p w:rsidR="00DC1575" w:rsidRPr="001E42CA" w:rsidRDefault="00DC1575">
      <w:pPr>
        <w:pStyle w:val="Normaltindrag"/>
      </w:pPr>
      <w:r w:rsidRPr="001E42CA">
        <w:t>Kommundelegationens förslag  till överenskommelser uppvisar däremot vissa svagheter. Till exempel var cirka hälften av överenskomna åtgärder av översiktlig karaktär. I syfte att säkra överenskomna kostnadsminskningar borde Kommundelegationen ha lagt större vikt vid att kommunernas och landstingens åtgärdsförslag var mer konkreta. Regeringsbesluten innebar dessutom att kommunernas åtgärdsplaner kopplades loss från överensko</w:t>
      </w:r>
      <w:r w:rsidRPr="001E42CA">
        <w:t>m</w:t>
      </w:r>
      <w:r w:rsidRPr="001E42CA">
        <w:t xml:space="preserve">melserna. </w:t>
      </w:r>
    </w:p>
    <w:p w:rsidR="00DC1575" w:rsidRPr="001E42CA" w:rsidRDefault="00DC1575">
      <w:pPr>
        <w:pStyle w:val="Normaltindrag"/>
      </w:pPr>
      <w:r w:rsidRPr="001E42CA">
        <w:t>Hanteringen av regeringens/Kommundelegationens ärenden kan samma</w:t>
      </w:r>
      <w:r w:rsidRPr="001E42CA">
        <w:t>n</w:t>
      </w:r>
      <w:r w:rsidRPr="001E42CA">
        <w:t>taget bidra till att nödvändiga åtgärder inte genomförs. Det kan diskuteras om tydliga och realistiska åtgärdsplaner, i kombination med övriga kriterier, borde ha varit ett skäl att bevilja ekonomiskt stöd. Likaså motsatsen, dvs. att otydliga och otillräckligt förankrade åtgärdsplaner skulle vara skäl nog att inte bevilja ekonomiskt stöd.</w:t>
      </w:r>
    </w:p>
    <w:p w:rsidR="00DC1575" w:rsidRPr="001E42CA" w:rsidRDefault="00DC1575">
      <w:pPr>
        <w:pStyle w:val="Normaltindrag"/>
      </w:pPr>
      <w:r w:rsidRPr="001E42CA">
        <w:t>Regeringen har vidare valt att tidigarelägga 25 procent av utbetalningen av bidraget. En utbetalning av bidraget först efter det att villkoren i överen</w:t>
      </w:r>
      <w:r w:rsidRPr="001E42CA">
        <w:t>s</w:t>
      </w:r>
      <w:r w:rsidRPr="001E42CA">
        <w:t>kommelsen uppfyllts var enligt Kommundelegationen en mycket viktig princip för att tydligt markera att ansvaret för genomförandet av de åtgärder som krävs för att nå ekonomisk balans åvilar respektive kommun eller land</w:t>
      </w:r>
      <w:r w:rsidRPr="001E42CA">
        <w:t>s</w:t>
      </w:r>
      <w:r w:rsidRPr="001E42CA">
        <w:t>ting. En utbetalning i efterhand skapar också ytterligare incitament för att påbörja en besluts- och omstruktureringsprocess.</w:t>
      </w:r>
    </w:p>
    <w:p w:rsidR="00DC1575" w:rsidRPr="001E42CA" w:rsidRDefault="00DC1575">
      <w:pPr>
        <w:pStyle w:val="Normaltindrag"/>
      </w:pPr>
      <w:r w:rsidRPr="001E42CA">
        <w:t>För regeringens del kan det konstateras att de överenskommelser som trä</w:t>
      </w:r>
      <w:r w:rsidRPr="001E42CA">
        <w:t>f</w:t>
      </w:r>
      <w:r w:rsidRPr="001E42CA">
        <w:t xml:space="preserve">fas är att betrakta som utfästelser från statens sida. Staten åtar sig att, om kommunen genomför vissa åtgärder, lämna ett bidrag. Det finns dock inga formella hinder för att regeringen vid ett senare tillfälle fattar ett nytt beslut om att betala ut bidraget även om åtgärderna inte genomförs, eller om balans inte uppnås. </w:t>
      </w:r>
    </w:p>
    <w:p w:rsidR="00DC1575" w:rsidRPr="001E42CA" w:rsidRDefault="00DC1575">
      <w:pPr>
        <w:pStyle w:val="R3"/>
      </w:pPr>
      <w:r w:rsidRPr="001E42CA">
        <w:t>Osäker uppföljning</w:t>
      </w:r>
    </w:p>
    <w:p w:rsidR="00DC1575" w:rsidRPr="001E42CA" w:rsidRDefault="00DC1575">
      <w:r w:rsidRPr="001E42CA">
        <w:t>Regeringen har beslutat tillkalla en särskild utredare med uppdrag att följa upp och stödja de kommuner och landsting vars ansökningar beretts av Kommundelegationen och som av regeringen beviljats bidrag. Ett alternativ är att förlägga uppföljningen till en myndighet. Fördelen med att lägga a</w:t>
      </w:r>
      <w:r w:rsidRPr="001E42CA">
        <w:t>n</w:t>
      </w:r>
      <w:r w:rsidRPr="001E42CA">
        <w:t>svaret för uppföljningen på en myndighet är den större självständighet och kontinuitet som kan uppnås i bedömningarna. Att hjälpa kommuner och landsting att komma till rätta med en för hög kostnadsnivå kräver ett stort mått av tydlighet. En myndighet har sannolikt större möjligheter, utifrån sina instruktioner, att hantera denna pr</w:t>
      </w:r>
      <w:r w:rsidRPr="001E42CA">
        <w:t>o</w:t>
      </w:r>
      <w:r w:rsidRPr="001E42CA">
        <w:t xml:space="preserve">cess. </w:t>
      </w:r>
    </w:p>
    <w:p w:rsidR="00DC1575" w:rsidRPr="001E42CA" w:rsidRDefault="00DC1575">
      <w:pPr>
        <w:pStyle w:val="Rubrik2"/>
      </w:pPr>
      <w:bookmarkStart w:id="66" w:name="_Toc526302407"/>
      <w:r w:rsidRPr="001E42CA">
        <w:t>Revisorernas förslag</w:t>
      </w:r>
      <w:bookmarkEnd w:id="66"/>
    </w:p>
    <w:p w:rsidR="00DC1575" w:rsidRPr="001E42CA" w:rsidRDefault="00DC1575">
      <w:r w:rsidRPr="001E42CA">
        <w:t>Den genomgång som redovisats i avsnitt 8.1 visar i huvudsak följande.</w:t>
      </w:r>
    </w:p>
    <w:p w:rsidR="00DC1575" w:rsidRPr="001E42CA" w:rsidRDefault="00DC1575">
      <w:pPr>
        <w:pStyle w:val="Normaltindrag"/>
      </w:pPr>
    </w:p>
    <w:p w:rsidR="00DC1575" w:rsidRPr="001E42CA" w:rsidRDefault="00DC1575">
      <w:pPr>
        <w:numPr>
          <w:ilvl w:val="0"/>
          <w:numId w:val="11"/>
        </w:numPr>
      </w:pPr>
      <w:r w:rsidRPr="001E42CA">
        <w:t>Anslaget har endast i marginell utsträckning utnyttjats för sitt ursprun</w:t>
      </w:r>
      <w:r w:rsidRPr="001E42CA">
        <w:t>g</w:t>
      </w:r>
      <w:r w:rsidRPr="001E42CA">
        <w:t>liga syfte. Den förändrade användningen har emellertid anmälts till rik</w:t>
      </w:r>
      <w:r w:rsidRPr="001E42CA">
        <w:t>s</w:t>
      </w:r>
      <w:r w:rsidRPr="001E42CA">
        <w:t>dagen.</w:t>
      </w:r>
    </w:p>
    <w:p w:rsidR="00DC1575" w:rsidRPr="001E42CA" w:rsidRDefault="00DC1575">
      <w:pPr>
        <w:numPr>
          <w:ilvl w:val="0"/>
          <w:numId w:val="11"/>
        </w:numPr>
      </w:pPr>
      <w:r w:rsidRPr="001E42CA">
        <w:t>Ungefär 40 procent av anslaget har fördelats till ändamål som inte direkt går att hänföra till en kommuns ekonomiska problem.</w:t>
      </w:r>
    </w:p>
    <w:p w:rsidR="00DC1575" w:rsidRPr="001E42CA" w:rsidRDefault="00DC1575">
      <w:pPr>
        <w:numPr>
          <w:ilvl w:val="0"/>
          <w:numId w:val="11"/>
        </w:numPr>
      </w:pPr>
      <w:r w:rsidRPr="001E42CA">
        <w:t>Stora delar av anslaget saknar ett mål.</w:t>
      </w:r>
    </w:p>
    <w:p w:rsidR="00DC1575" w:rsidRPr="001E42CA" w:rsidRDefault="00DC1575">
      <w:pPr>
        <w:numPr>
          <w:ilvl w:val="0"/>
          <w:numId w:val="12"/>
        </w:numPr>
      </w:pPr>
      <w:r w:rsidRPr="001E42CA">
        <w:t>Systemet med mål- och resultatstyrning förutsätter en tydlig rollförde</w:t>
      </w:r>
      <w:r w:rsidRPr="001E42CA">
        <w:t>l</w:t>
      </w:r>
      <w:r w:rsidRPr="001E42CA">
        <w:t>ning mellan riksdag, regering och myndigheter. Anslag som står till r</w:t>
      </w:r>
      <w:r w:rsidRPr="001E42CA">
        <w:t>e</w:t>
      </w:r>
      <w:r w:rsidRPr="001E42CA">
        <w:t>geringens disposition kan dock komma att bryta detta mönster. Det normala är att regeringen ställer upp mål för en myndighet. Utifrån den redovisning som myndigheten lämnar bedömer regeringen resultaten eller måluppfyllelsen av verksamheten. I detta fall är det regeringen som både redovisar resultat och bedömer resultaten eller måluppfyllelsen. Regeringen bedömer med andra ord den verksamhet som den själv utför. Resultat och måluppfyllel</w:t>
      </w:r>
      <w:r w:rsidRPr="001E42CA">
        <w:t xml:space="preserve">se kan därmed vara svårare att värdera. </w:t>
      </w:r>
    </w:p>
    <w:p w:rsidR="00DC1575" w:rsidRPr="001E42CA" w:rsidRDefault="00DC1575">
      <w:pPr>
        <w:numPr>
          <w:ilvl w:val="0"/>
          <w:numId w:val="11"/>
        </w:numPr>
      </w:pPr>
      <w:r w:rsidRPr="001E42CA">
        <w:t>Bristen på entydiga och mätbara mål gör det svårt att bedöma hur ver</w:t>
      </w:r>
      <w:r w:rsidRPr="001E42CA">
        <w:t>k</w:t>
      </w:r>
      <w:r w:rsidRPr="001E42CA">
        <w:t>samheten fungerar. Detta förstärks av att resultatredovisningen i budge</w:t>
      </w:r>
      <w:r w:rsidRPr="001E42CA">
        <w:t>t</w:t>
      </w:r>
      <w:r w:rsidRPr="001E42CA">
        <w:t>propositionen är bristfällig. Det går med andra ord inte att utifrån reg</w:t>
      </w:r>
      <w:r w:rsidRPr="001E42CA">
        <w:t>e</w:t>
      </w:r>
      <w:r w:rsidRPr="001E42CA">
        <w:t>ringens material b</w:t>
      </w:r>
      <w:r w:rsidRPr="001E42CA">
        <w:t>e</w:t>
      </w:r>
      <w:r w:rsidRPr="001E42CA">
        <w:t>döma hur anslaget har hanterats.</w:t>
      </w:r>
    </w:p>
    <w:p w:rsidR="00DC1575" w:rsidRPr="001E42CA" w:rsidRDefault="00DC1575">
      <w:pPr>
        <w:numPr>
          <w:ilvl w:val="0"/>
          <w:numId w:val="11"/>
        </w:numPr>
      </w:pPr>
      <w:r w:rsidRPr="001E42CA">
        <w:t xml:space="preserve">Stora delar av hanteringen av anslaget regleras inte av någon förordning. </w:t>
      </w:r>
    </w:p>
    <w:p w:rsidR="00DC1575" w:rsidRPr="001E42CA" w:rsidRDefault="00DC1575">
      <w:pPr>
        <w:numPr>
          <w:ilvl w:val="0"/>
          <w:numId w:val="11"/>
        </w:numPr>
      </w:pPr>
      <w:r w:rsidRPr="001E42CA">
        <w:t>Beslutskriterier är oklara. Kommuner med dålig ekonomi, men med stor verksamhet har fått stöd. Detta kan tyda på att kommuner som senar</w:t>
      </w:r>
      <w:r w:rsidRPr="001E42CA">
        <w:t>e</w:t>
      </w:r>
      <w:r w:rsidRPr="001E42CA">
        <w:t>lagt omstruktureringar har fått stöd.</w:t>
      </w:r>
    </w:p>
    <w:p w:rsidR="00DC1575" w:rsidRPr="001E42CA" w:rsidRDefault="00DC1575">
      <w:pPr>
        <w:numPr>
          <w:ilvl w:val="0"/>
          <w:numId w:val="11"/>
        </w:numPr>
      </w:pPr>
      <w:r w:rsidRPr="001E42CA">
        <w:t>Regeringens avtal är i många fall av översiktlig karaktär och saknar åtgärdsplaner. Detta kan bidra till att nödvändiga åtgärder inte geno</w:t>
      </w:r>
      <w:r w:rsidRPr="001E42CA">
        <w:t>m</w:t>
      </w:r>
      <w:r w:rsidRPr="001E42CA">
        <w:t xml:space="preserve">förs. </w:t>
      </w:r>
    </w:p>
    <w:p w:rsidR="00DC1575" w:rsidRPr="001E42CA" w:rsidRDefault="00DC1575">
      <w:pPr>
        <w:numPr>
          <w:ilvl w:val="0"/>
          <w:numId w:val="11"/>
        </w:numPr>
      </w:pPr>
      <w:r w:rsidRPr="001E42CA">
        <w:t>Regeringen har valt att tidigarelägga 25 procent av utbetalningen av det stöd som föreslogs av Kommundelegationen. Utbetalningen förutsätter att kommunen/landstinget redovisar hur arbetet med att uppfylla åtaga</w:t>
      </w:r>
      <w:r w:rsidRPr="001E42CA">
        <w:t>n</w:t>
      </w:r>
      <w:r w:rsidRPr="001E42CA">
        <w:t>dena fortlöper. Förfarandet kan dock skapa incitament att inte genomf</w:t>
      </w:r>
      <w:r w:rsidRPr="001E42CA">
        <w:t>ö</w:t>
      </w:r>
      <w:r w:rsidRPr="001E42CA">
        <w:t>ra nödvändiga neddra</w:t>
      </w:r>
      <w:r w:rsidRPr="001E42CA">
        <w:t>g</w:t>
      </w:r>
      <w:r w:rsidRPr="001E42CA">
        <w:t>ningar.</w:t>
      </w:r>
    </w:p>
    <w:p w:rsidR="00DC1575" w:rsidRPr="001E42CA" w:rsidRDefault="00DC1575">
      <w:pPr>
        <w:numPr>
          <w:ilvl w:val="0"/>
          <w:numId w:val="11"/>
        </w:numPr>
      </w:pPr>
      <w:r w:rsidRPr="001E42CA">
        <w:t>Uppföljningen av de bägge delegationerna är osäker.</w:t>
      </w:r>
    </w:p>
    <w:p w:rsidR="00DC1575" w:rsidRPr="001E42CA" w:rsidRDefault="00DC1575">
      <w:pPr>
        <w:pStyle w:val="Normaltindrag"/>
      </w:pPr>
    </w:p>
    <w:p w:rsidR="00DC1575" w:rsidRPr="001E42CA" w:rsidRDefault="00DC1575">
      <w:pPr>
        <w:spacing w:before="0"/>
      </w:pPr>
      <w:r w:rsidRPr="001E42CA">
        <w:t>Normalt hade sådana iakttagelser föranlett ett antal förslag från Riksdagens revisorer om styrning, kontroll och organisation. Revisorerna har dock nyl</w:t>
      </w:r>
      <w:r w:rsidRPr="001E42CA">
        <w:t>i</w:t>
      </w:r>
      <w:r w:rsidRPr="001E42CA">
        <w:t>gen genomfört en mer principiell granskning av anslag som står till regerin</w:t>
      </w:r>
      <w:r w:rsidRPr="001E42CA">
        <w:t>g</w:t>
      </w:r>
      <w:r w:rsidRPr="001E42CA">
        <w:t>ens disposition. Granskningen har inriktats på styrnings- och kontrollfrågor, och de förslag som lämnas i rapporten kan förmodas leda till förbättringar vad gäller de iakttagelser som redovisats ovan. Revisorerna avstår därför från att lägga några ytterligare förslag på dessa områden.</w:t>
      </w:r>
    </w:p>
    <w:p w:rsidR="00DC1575" w:rsidRPr="001E42CA" w:rsidRDefault="00DC1575">
      <w:pPr>
        <w:pStyle w:val="Normaltindrag"/>
      </w:pPr>
      <w:r w:rsidRPr="001E42CA">
        <w:t xml:space="preserve">Kontroll- och styrningsfrågor spelar å andra sidan en mindre roll i detta sammanhang eftersom Riksdagens revisorer väljer att föreslå </w:t>
      </w:r>
      <w:r w:rsidRPr="001E42CA">
        <w:rPr>
          <w:i/>
        </w:rPr>
        <w:t>en avveckling av anslaget</w:t>
      </w:r>
      <w:r w:rsidRPr="001E42CA">
        <w:t>. Revisorerna föreslår i stället utredandet av ett nytt regelsystem som kan öka incitamenten till en god ekonomisk hushållning i kommuner och land</w:t>
      </w:r>
      <w:r w:rsidRPr="001E42CA">
        <w:t>s</w:t>
      </w:r>
      <w:r w:rsidRPr="001E42CA">
        <w:t xml:space="preserve">ting. </w:t>
      </w:r>
    </w:p>
    <w:p w:rsidR="00DC1575" w:rsidRPr="001E42CA" w:rsidRDefault="00DC1575">
      <w:pPr>
        <w:pStyle w:val="R3"/>
      </w:pPr>
      <w:r w:rsidRPr="001E42CA">
        <w:t>Avveckla anslaget successivt</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Anslaget 91:2 Bidrag till särskilda insatser i vissa kommuner och landsting bör avvecklas fr.o.m. 2004.</w:t>
      </w:r>
    </w:p>
    <w:p w:rsidR="00DC1575" w:rsidRPr="001E42CA" w:rsidRDefault="00DC1575">
      <w:pPr>
        <w:pStyle w:val="Normaltindrag"/>
      </w:pPr>
    </w:p>
    <w:p w:rsidR="00DC1575" w:rsidRPr="001E42CA" w:rsidRDefault="00DC1575">
      <w:r w:rsidRPr="001E42CA">
        <w:t>Kommundelegationen överlämnade i juni 2000 sin slutrapport till regeringen. Regeringen fattade under hösten 2000 beslut i de ärenden som Kommund</w:t>
      </w:r>
      <w:r w:rsidRPr="001E42CA">
        <w:t>e</w:t>
      </w:r>
      <w:r w:rsidRPr="001E42CA">
        <w:t>legationen överlämnat. Av budgetpropositionen för 2001 framgår vidare att Bostadsdelegationens arbete beräknas kunna avslutas under 2001. Detta förtydligas i ett brev till landets samtliga kommuner där statssekreteraren i Finansdepartementet anger att Bostadsdelegationens arbete kommer att a</w:t>
      </w:r>
      <w:r w:rsidRPr="001E42CA">
        <w:t>v</w:t>
      </w:r>
      <w:r w:rsidRPr="001E42CA">
        <w:t>slutas under 2001. Delegationen kommer därför inte att behandla ansöknin</w:t>
      </w:r>
      <w:r w:rsidRPr="001E42CA">
        <w:t>g</w:t>
      </w:r>
      <w:r w:rsidRPr="001E42CA">
        <w:t>ar om bidrag avseende bostadsåtaganden som kommit in direkt till delegati</w:t>
      </w:r>
      <w:r w:rsidRPr="001E42CA">
        <w:t>o</w:t>
      </w:r>
      <w:r w:rsidRPr="001E42CA">
        <w:t>nen efter den 31 januari. Det arbete som återstår under 2001 avser enli</w:t>
      </w:r>
      <w:r w:rsidRPr="001E42CA">
        <w:t>gt budgetpropositionen avlösen av borgensåtaganden och uppföljning av b</w:t>
      </w:r>
      <w:r w:rsidRPr="001E42CA">
        <w:t>e</w:t>
      </w:r>
      <w:r w:rsidRPr="001E42CA">
        <w:t>fintliga avtal.</w:t>
      </w:r>
    </w:p>
    <w:p w:rsidR="00DC1575" w:rsidRPr="001E42CA" w:rsidRDefault="00DC1575">
      <w:pPr>
        <w:pStyle w:val="Normaltindrag"/>
      </w:pPr>
      <w:r w:rsidRPr="001E42CA">
        <w:t>De två verksamheter som kan betraktas som huvudsyftet med anslaget har således avvecklats eller är under avveckling. Detta förhållande bör innebära att de problem som de bägge delegationerna sattes att hantera i stort sett anses avklarade. Eftersom anslaget inrättades som ett tillfälligt stöd till kommuner och landsting är tidpunkten, enligt revisorernas bedömning, dä</w:t>
      </w:r>
      <w:r w:rsidRPr="001E42CA">
        <w:t>r</w:t>
      </w:r>
      <w:r w:rsidRPr="001E42CA">
        <w:t xml:space="preserve">för lämplig att avveckla anslaget. Det bör ske fr.o.m. 2004 eftersom vissa åtaganden kvarstår. </w:t>
      </w:r>
    </w:p>
    <w:p w:rsidR="00DC1575" w:rsidRPr="001E42CA" w:rsidRDefault="00DC1575">
      <w:pPr>
        <w:pStyle w:val="R4"/>
      </w:pPr>
      <w:r w:rsidRPr="001E42CA">
        <w:t>Kan påverka incitamentsstrukturen negativt</w:t>
      </w:r>
    </w:p>
    <w:p w:rsidR="00DC1575" w:rsidRPr="001E42CA" w:rsidRDefault="00DC1575">
      <w:r w:rsidRPr="001E42CA">
        <w:t>Riksdagens revisorers förslag motiveras dock framför allt utifrån det förhå</w:t>
      </w:r>
      <w:r w:rsidRPr="001E42CA">
        <w:t>l</w:t>
      </w:r>
      <w:r w:rsidRPr="001E42CA">
        <w:t>landet att det kommunala finansiella ansvaret måste tydliggöras. Stödet till kommuner och landsting med ekonomiska problem inbjuder till finansiellt risktagande och är inte förenligt med idén om fullt kommunalt ansvarstaga</w:t>
      </w:r>
      <w:r w:rsidRPr="001E42CA">
        <w:t>n</w:t>
      </w:r>
      <w:r w:rsidRPr="001E42CA">
        <w:t>de. Det är inte ovanligt att olika former av statliga bidrag påverkar incitament och beteenden hos dem som får bidragen. En typ av incitamentsproblem hänger samman med att staten ställer ut olika former av garantier. Exempe</w:t>
      </w:r>
      <w:r w:rsidRPr="001E42CA">
        <w:t>l</w:t>
      </w:r>
      <w:r w:rsidRPr="001E42CA">
        <w:t>vis kan anslaget för särskilda insatser uppfattas som en form av</w:t>
      </w:r>
      <w:r w:rsidRPr="001E42CA">
        <w:t xml:space="preserve"> garanti för att täcka kommunala förluster. Vetskapen att staten explicit eller implicit ställer en sådan finansiell garanti kan öka kommunernas riskt</w:t>
      </w:r>
      <w:r w:rsidRPr="001E42CA">
        <w:t>a</w:t>
      </w:r>
      <w:r w:rsidRPr="001E42CA">
        <w:t xml:space="preserve">gande. </w:t>
      </w:r>
    </w:p>
    <w:p w:rsidR="00DC1575" w:rsidRPr="001E42CA" w:rsidRDefault="00DC1575">
      <w:pPr>
        <w:pStyle w:val="Normaltindrag"/>
      </w:pPr>
      <w:r w:rsidRPr="001E42CA">
        <w:t>Decentralisering av politiskt och ekonomiskt ansvar till kommuner och landsting har enligt revisorernas uppfattning ett flertal fördelar. Det kan emellertid också ge upphov till vissa nackdelar. En av de viktigaste nackd</w:t>
      </w:r>
      <w:r w:rsidRPr="001E42CA">
        <w:t>e</w:t>
      </w:r>
      <w:r w:rsidRPr="001E42CA">
        <w:t>larna är att vissa institutionella arrangemang av de finansiella relationerna mellan stat och regionala eller lokala organ kan försvaga budgetdisciplinen hos de senare. Framför allt utsikten att staten sannolikt är beredd att finans</w:t>
      </w:r>
      <w:r w:rsidRPr="001E42CA">
        <w:t>i</w:t>
      </w:r>
      <w:r w:rsidRPr="001E42CA">
        <w:t>ellt rekonstruera (bailout) kommuner eller landsting som har finansiella problem kan urholka incitamenten för de regionala organen att ta ett finans</w:t>
      </w:r>
      <w:r w:rsidRPr="001E42CA">
        <w:t>i</w:t>
      </w:r>
      <w:r w:rsidRPr="001E42CA">
        <w:t>ellt ansvar och leda till ett ökat risktagande hos dessa (s.k. moral hazard). Genom att uppfattas som ett löfte om finansiellt st</w:t>
      </w:r>
      <w:r w:rsidRPr="001E42CA">
        <w:t>öd i tider av problem, kan finansiella rekonstruktioner leda till att budgetrestriktionen försvagas på den regionala eller lokala nivån och skapa incit</w:t>
      </w:r>
      <w:r w:rsidRPr="001E42CA">
        <w:t>a</w:t>
      </w:r>
      <w:r w:rsidRPr="001E42CA">
        <w:t>ment för finansiell expansion.</w:t>
      </w:r>
    </w:p>
    <w:p w:rsidR="00DC1575" w:rsidRPr="001E42CA" w:rsidRDefault="00DC1575">
      <w:pPr>
        <w:pStyle w:val="Normaltindrag"/>
      </w:pPr>
      <w:r w:rsidRPr="001E42CA">
        <w:t>Enligt vår bedömning förstärks detta resonemang på ett mycket starkt och tydligt sätt av de resultat som redovisas i kapitel 4. De kommuner som fått bifall har i och för sig sämre förutsättningar än avslagskommunerna genom att de uppvisar t.ex. lägre skatteunderlag, högre arbetslöshet, sämre befol</w:t>
      </w:r>
      <w:r w:rsidRPr="001E42CA">
        <w:t>k</w:t>
      </w:r>
      <w:r w:rsidRPr="001E42CA">
        <w:t>ningsutveckling och sämre ekonomi. Samtidigt har de dock en mer omfa</w:t>
      </w:r>
      <w:r w:rsidRPr="001E42CA">
        <w:t>t</w:t>
      </w:r>
      <w:r w:rsidRPr="001E42CA">
        <w:t>tande verksamhet. De har t.ex. högre nettokostnader, högre utbudsnivå, hö</w:t>
      </w:r>
      <w:r w:rsidRPr="001E42CA">
        <w:t>g</w:t>
      </w:r>
      <w:r w:rsidRPr="001E42CA">
        <w:t>re kostnader än vad som motiveras av de strukturella förutsättningarna och fler anställda. Skattesatsen är också högre i bifallskommunerna än i avslag</w:t>
      </w:r>
      <w:r w:rsidRPr="001E42CA">
        <w:t>s</w:t>
      </w:r>
      <w:r w:rsidRPr="001E42CA">
        <w:t>kommunerna. Det går inte heller att påvisa några påtagliga skillnader vad gäller besparingar eller utförsäljningar mellan bifalls- och avslagskomm</w:t>
      </w:r>
      <w:r w:rsidRPr="001E42CA">
        <w:t>u</w:t>
      </w:r>
      <w:r w:rsidRPr="001E42CA">
        <w:t>nerna. De kommuner som fått bifall har vidare en betydligt högre ersät</w:t>
      </w:r>
      <w:r w:rsidRPr="001E42CA">
        <w:t>tning från kostnadsutjämningen. En slutsats av detta är enligt revisorernas uppfat</w:t>
      </w:r>
      <w:r w:rsidRPr="001E42CA">
        <w:t>t</w:t>
      </w:r>
      <w:r w:rsidRPr="001E42CA">
        <w:t>ning att bifallskommunerna haft svårt att anpassa verksamheten till de ek</w:t>
      </w:r>
      <w:r w:rsidRPr="001E42CA">
        <w:t>o</w:t>
      </w:r>
      <w:r w:rsidRPr="001E42CA">
        <w:t>nomiska förhållanden som råder. Slutsatsen är något mer accentuerad för de ärenden som handlagts av regeringen/Kommundelegationen än för de äre</w:t>
      </w:r>
      <w:r w:rsidRPr="001E42CA">
        <w:t>n</w:t>
      </w:r>
      <w:r w:rsidRPr="001E42CA">
        <w:t xml:space="preserve">den som handlagts av Bostadsdelegationen. </w:t>
      </w:r>
    </w:p>
    <w:p w:rsidR="00DC1575" w:rsidRPr="001E42CA" w:rsidRDefault="00DC1575">
      <w:pPr>
        <w:pStyle w:val="Normaltindrag"/>
      </w:pPr>
      <w:r w:rsidRPr="001E42CA">
        <w:t>Ernst &amp; Young AB gör i huvudsak samma bedömning. Enligt Ernst &amp; Y</w:t>
      </w:r>
      <w:r w:rsidRPr="001E42CA">
        <w:t>o</w:t>
      </w:r>
      <w:r w:rsidRPr="001E42CA">
        <w:t>ung AB kan förhållandet tyda på att kommuner som påbörjat eller avslutat en omstrukturering av ekonomin inte har fått statligt stöd från regerin</w:t>
      </w:r>
      <w:r w:rsidRPr="001E42CA">
        <w:t>g</w:t>
      </w:r>
      <w:r w:rsidRPr="001E42CA">
        <w:t>en/Kommundelegationen. Följaktligen kan det också innebära att kommuner som senarelagt sådana omstruktureringar fått stöd från regerin</w:t>
      </w:r>
      <w:r w:rsidRPr="001E42CA">
        <w:t>g</w:t>
      </w:r>
      <w:r w:rsidRPr="001E42CA">
        <w:t>en/Kommun-delegationen. En annan studie som redovisas i kapitel 4 pekar i samma rik</w:t>
      </w:r>
      <w:r w:rsidRPr="001E42CA">
        <w:t>t</w:t>
      </w:r>
      <w:r w:rsidRPr="001E42CA">
        <w:t xml:space="preserve">ning. </w:t>
      </w:r>
    </w:p>
    <w:p w:rsidR="00DC1575" w:rsidRPr="001E42CA" w:rsidRDefault="00DC1575">
      <w:pPr>
        <w:pStyle w:val="Normaltindrag"/>
      </w:pPr>
      <w:r w:rsidRPr="001E42CA">
        <w:t>Det finns också anledning att i detta sammanhang beakta att överensko</w:t>
      </w:r>
      <w:r w:rsidRPr="001E42CA">
        <w:t>m</w:t>
      </w:r>
      <w:r w:rsidRPr="001E42CA">
        <w:t>melserna mellan regeringen och kommunerna/landstingen är diffusa. Om statsbidraget betalas ut utan att kostnadssänkningarna genomförts finns det risk för att en struktur som saknar långsiktig hållbarhet understöds och att den framtida trovärdigheten urholkas. En faktor som kan förstärka detta är att de överenskommelser som Kommundelegationen träffade uppvisar vissa svagheter. Det gäller fram för allt frånvaron av åtgärdsplaner. En realistisk och tydlig plan skulle vara en del av säkringen av den önskade ko</w:t>
      </w:r>
      <w:r w:rsidRPr="001E42CA">
        <w:t>stnad</w:t>
      </w:r>
      <w:r w:rsidRPr="001E42CA">
        <w:t>s</w:t>
      </w:r>
      <w:r w:rsidRPr="001E42CA">
        <w:t>sänkningen. Av de åtgärdsplaner som tagits fram av kommunerna inom ramen för Kommundelegationens arbete var dock cirka hälften översiktliga eller mycket översiktliga. Kommuner med oklara kostnadssänkande strateg</w:t>
      </w:r>
      <w:r w:rsidRPr="001E42CA">
        <w:t>i</w:t>
      </w:r>
      <w:r w:rsidRPr="001E42CA">
        <w:t>er kommer med största sannolikhet att ha svårare att minska kostnaderna än de som har konkreta planer för att genomföra kostnadsminskningen. Efte</w:t>
      </w:r>
      <w:r w:rsidRPr="001E42CA">
        <w:t>r</w:t>
      </w:r>
      <w:r w:rsidRPr="001E42CA">
        <w:t xml:space="preserve">som regeringsbeslutet innebär att kommunernas åtgärdsplaner kopplas loss från överenskommelserna kan kommunernas åtaganden få en ännu mindre tyngd. </w:t>
      </w:r>
      <w:r w:rsidRPr="001E42CA">
        <w:t>Det kommer därför att krävas en kontinuerlig och detaljerad uppföl</w:t>
      </w:r>
      <w:r w:rsidRPr="001E42CA">
        <w:t>j</w:t>
      </w:r>
      <w:r w:rsidRPr="001E42CA">
        <w:t>ning, både från regeringen/den särskilde utredaren och från kommunernas och landstingens revisorer, för att säkerställa att det faktiskt vidtas åtgärder som leder till varaktiga kostnadssänkningar.</w:t>
      </w:r>
    </w:p>
    <w:p w:rsidR="00DC1575" w:rsidRPr="001E42CA" w:rsidRDefault="00DC1575">
      <w:pPr>
        <w:pStyle w:val="Normaltindrag"/>
      </w:pPr>
      <w:r w:rsidRPr="001E42CA">
        <w:t>En faktor som ytterligare förstärker osäkerheten är att regeringen valt att tidigarelägga 25 procent av utbetalningen av det bidrag som hanteras av regeringen. Enligt Kommundelegationen var en utbetalning av statsbidraget först efter det att villk</w:t>
      </w:r>
      <w:r w:rsidRPr="001E42CA">
        <w:t>oren i överenskommelsen uppfyllts av kommunen eller landstinget en mycket viktig princip för att tydligt markera att ansvaret för genomförandet av de åtgärder som krävs för att nå ekonomisk balans åvilar respektive kommun eller landsting. En utbetalning i efterhand skapar också enligt delegationen ytterligare incitament för att påbörja och genomföra en besluts- och omstruktureringspr</w:t>
      </w:r>
      <w:r w:rsidRPr="001E42CA">
        <w:t>o</w:t>
      </w:r>
      <w:r w:rsidRPr="001E42CA">
        <w:t>cess.</w:t>
      </w:r>
    </w:p>
    <w:p w:rsidR="00DC1575" w:rsidRPr="001E42CA" w:rsidRDefault="00DC1575">
      <w:pPr>
        <w:pStyle w:val="Normaltindrag"/>
      </w:pPr>
      <w:r w:rsidRPr="001E42CA">
        <w:t xml:space="preserve">För regeringens del kan det också konstateras att de överenskommelser som träffas är att betrakta som utfästelser från </w:t>
      </w:r>
      <w:r w:rsidRPr="001E42CA">
        <w:t>statens sida. Staten åtar sig att, om kommunen genomför vissa åtgärder, lämna ett bidrag. Det finns dock inga formella hinder för att regeringen vid ett senare tillfälle fattar ett nytt beslut om att betala ut bidraget även om åtgärderna inte genomförs, eller om balans inte uppnås. Det kan i detta sammanhang vara värt att poängtera att balans i ekonomin också kan uppnås med metoder som hittills inte priorit</w:t>
      </w:r>
      <w:r w:rsidRPr="001E42CA">
        <w:t>e</w:t>
      </w:r>
      <w:r w:rsidRPr="001E42CA">
        <w:t>rats av regeringen. Balans kan uppnås utan att de överenskomna kostnad</w:t>
      </w:r>
      <w:r w:rsidRPr="001E42CA">
        <w:t>s</w:t>
      </w:r>
      <w:r w:rsidRPr="001E42CA">
        <w:t>sänkningarna genomförs. Intäkt</w:t>
      </w:r>
      <w:r w:rsidRPr="001E42CA">
        <w:t>erna, till exempel, kan utvecklas starkare än väntat genom lokala pol</w:t>
      </w:r>
      <w:r w:rsidRPr="001E42CA">
        <w:t>i</w:t>
      </w:r>
      <w:r w:rsidRPr="001E42CA">
        <w:t xml:space="preserve">tiska beslut. </w:t>
      </w:r>
    </w:p>
    <w:p w:rsidR="00DC1575" w:rsidRPr="001E42CA" w:rsidRDefault="00DC1575">
      <w:pPr>
        <w:pStyle w:val="R4"/>
      </w:pPr>
      <w:r w:rsidRPr="001E42CA">
        <w:t>Kan strida mot utjämningssystemet</w:t>
      </w:r>
    </w:p>
    <w:p w:rsidR="00DC1575" w:rsidRPr="001E42CA" w:rsidRDefault="00DC1575">
      <w:r w:rsidRPr="001E42CA">
        <w:t>Ett andra motiv till att anslaget bör avvecklas är att det särskilda bidraget till kommuner och landsting kan strida mot principerna för det kommunala utjämningssystemet. I kapitel 4 redovisas en studie som analyserat om stödet var förenligt med skatteutjämningssystemets syfte att skapa likvärdiga föru</w:t>
      </w:r>
      <w:r w:rsidRPr="001E42CA">
        <w:t>t</w:t>
      </w:r>
      <w:r w:rsidRPr="001E42CA">
        <w:t>sättningar (s.k. fiskal rättvisa) mellan kommunerna. Enligt studien tenderar de kommuner som sökt bidrag att ha mer påtagliga underskottsproblem än de som inte sökt. Dessa problem är särskilt uttalade hos de kommuner som beviljats bidrag av Kommundelegationen. De finansiella problemen synes emellertid vara en följd av förhållanden (dvs. hög servicestandard eller pe</w:t>
      </w:r>
      <w:r w:rsidRPr="001E42CA">
        <w:t>r</w:t>
      </w:r>
      <w:r w:rsidRPr="001E42CA">
        <w:t>sonaltäthet) som kommunerna i fråga kunnat och kan påverka. Det är med andra ord helt påverkbara förhållanden (outnyttjade besparings- och effe</w:t>
      </w:r>
      <w:r w:rsidRPr="001E42CA">
        <w:t>kt</w:t>
      </w:r>
      <w:r w:rsidRPr="001E42CA">
        <w:t>i</w:t>
      </w:r>
      <w:r w:rsidRPr="001E42CA">
        <w:t>viseringsmöjligheter) som ligger bakom de finansiella problemen. Enligt studien uppfyller således inte dessa kommuner det uppställda villkoret om opåverkbara faktorer. Genom att lämna dessa bidrag behandlas inte heller kommunerna, enligt studien, på ett likvärdigt sätt. Andra kommuner, som redan tidigare genomfört liknande besparingar, har inte fått några motsv</w:t>
      </w:r>
      <w:r w:rsidRPr="001E42CA">
        <w:t>a</w:t>
      </w:r>
      <w:r w:rsidRPr="001E42CA">
        <w:t>rande statsbidrag. De kommuner som varit föregångare i besparings- eller effektivitetsarbetet har i stället kunnat drabbas av högre avgifter elle</w:t>
      </w:r>
      <w:r w:rsidRPr="001E42CA">
        <w:t>r lägre bidrag i kostnadsutjä</w:t>
      </w:r>
      <w:r w:rsidRPr="001E42CA">
        <w:t>m</w:t>
      </w:r>
      <w:r w:rsidRPr="001E42CA">
        <w:t xml:space="preserve">ningen. </w:t>
      </w:r>
    </w:p>
    <w:p w:rsidR="00DC1575" w:rsidRPr="001E42CA" w:rsidRDefault="00DC1575">
      <w:pPr>
        <w:pStyle w:val="R4"/>
      </w:pPr>
      <w:r w:rsidRPr="001E42CA">
        <w:t>Inga enkla samband mellan strukturella faktorer och kommunernas ekonomi</w:t>
      </w:r>
    </w:p>
    <w:p w:rsidR="00DC1575" w:rsidRPr="001E42CA" w:rsidRDefault="00DC1575">
      <w:r w:rsidRPr="001E42CA">
        <w:t>Ett tredje motiv till att anslaget bör avvecklas är att det är svårt att analysera hur den kommunala ekonomin påverkas av olika strukturella faktorer. Ek</w:t>
      </w:r>
      <w:r w:rsidRPr="001E42CA">
        <w:t>o</w:t>
      </w:r>
      <w:r w:rsidRPr="001E42CA">
        <w:t>nomiska problem som orsakats av sådana faktorer har vid flera tillfällen varit en förutsättning för att stöd ska utgå. När det gäller Kommundelegationen angavs svag ekonomisk tillväxt i regionen, negativ befolkningsutveckling, obalanser i åldersstrukturen samt behov av infrastrukturinvesteringar som exempel på faktorer som kan försvåra anpassningen av verksamheten till de ekonomiska ramarna. Flera studier visar dock att det inte finns några enkla samband mellan strukturella faktorer och kommunernas ekonomi</w:t>
      </w:r>
      <w:r w:rsidRPr="001E42CA">
        <w:t>. En studie som utförts av Svenska kommunförbundet och som redovisas i kapitel 4 visar  att sambandet mellan det ekonomiska resultatet och befolkningsu</w:t>
      </w:r>
      <w:r w:rsidRPr="001E42CA">
        <w:t>t</w:t>
      </w:r>
      <w:r w:rsidRPr="001E42CA">
        <w:t xml:space="preserve">vecklingen är mycket svagt. I studien konstateras att den egna förmågan att anpassa verksamheten till minskande resurser har haft större betydelse för resultatutvecklingen under senare år än någon annan enskild faktor. De kommuner som klarat sig bäst under senare år är de som gjort relativt stora nedskärningar. De som av olika skäl inte har förmått att göra </w:t>
      </w:r>
      <w:r w:rsidRPr="001E42CA">
        <w:t>de nödvändiga nedskärningarna har klarat sig sämre. I en bilaga till Långtidsutredningen 1999/2000 har man försökt studera det historiska sambandet mellan kostn</w:t>
      </w:r>
      <w:r w:rsidRPr="001E42CA">
        <w:t>a</w:t>
      </w:r>
      <w:r w:rsidRPr="001E42CA">
        <w:t>der och befolkningsutveckling för några av de kommunala åtagandena. Slu</w:t>
      </w:r>
      <w:r w:rsidRPr="001E42CA">
        <w:t>t</w:t>
      </w:r>
      <w:r w:rsidRPr="001E42CA">
        <w:t>satsen är att befolkningsutvecklingen i sig inte ger en god bild av hur den faktiska kostnadsutvecklingen (volymutvecklingen) kommer att bli i framt</w:t>
      </w:r>
      <w:r w:rsidRPr="001E42CA">
        <w:t>i</w:t>
      </w:r>
      <w:r w:rsidRPr="001E42CA">
        <w:t>den. Det finns med andra ord många andra förklaringar till kostnadsutvec</w:t>
      </w:r>
      <w:r w:rsidRPr="001E42CA">
        <w:t>k</w:t>
      </w:r>
      <w:r w:rsidRPr="001E42CA">
        <w:t>lingen inom många sektorer. Förklaringarna återfinns ofta</w:t>
      </w:r>
      <w:r w:rsidRPr="001E42CA">
        <w:t xml:space="preserve"> i förändrade pol</w:t>
      </w:r>
      <w:r w:rsidRPr="001E42CA">
        <w:t>i</w:t>
      </w:r>
      <w:r w:rsidRPr="001E42CA">
        <w:t>tiska ambitioner för verksamheterna. Det kan således vara förknippat med betydande svårigheter att analysera vad ett dåligt ekonomiskt resultat beror på. Som framgått av kapitel 4 kan det många gånger bero på att verksamh</w:t>
      </w:r>
      <w:r w:rsidRPr="001E42CA">
        <w:t>e</w:t>
      </w:r>
      <w:r w:rsidRPr="001E42CA">
        <w:t>ten är för stor.</w:t>
      </w:r>
    </w:p>
    <w:p w:rsidR="00DC1575" w:rsidRPr="001E42CA" w:rsidRDefault="00DC1575">
      <w:pPr>
        <w:pStyle w:val="R4"/>
      </w:pPr>
      <w:r w:rsidRPr="001E42CA">
        <w:t>Kostnadsutjämningen kompenserar redan</w:t>
      </w:r>
    </w:p>
    <w:p w:rsidR="00DC1575" w:rsidRPr="001E42CA" w:rsidRDefault="00DC1575">
      <w:r w:rsidRPr="001E42CA">
        <w:t>Ett fjärde motiv är att kostnadsutjämningen redan kompenserar för vissa strukturella faktorer som angivits som förutsättning för att få stöd. Det gäller i huvudsak svagt befolkningsunderlag, befolkningsminskning och näring</w:t>
      </w:r>
      <w:r w:rsidRPr="001E42CA">
        <w:t>s</w:t>
      </w:r>
      <w:r w:rsidRPr="001E42CA">
        <w:t>livs- och sysselsättningsfrämjande åtgärder. Det bör påpekas att det komm</w:t>
      </w:r>
      <w:r w:rsidRPr="001E42CA">
        <w:t>u</w:t>
      </w:r>
      <w:r w:rsidRPr="001E42CA">
        <w:t>nala utjämningssystemet är föremål för utredning. Expertgruppen för fö</w:t>
      </w:r>
      <w:r w:rsidRPr="001E42CA">
        <w:t>r</w:t>
      </w:r>
      <w:r w:rsidRPr="001E42CA">
        <w:t>enklad kommunalutjämning (SOU 2000:120) pekar på att det i kostnadsu</w:t>
      </w:r>
      <w:r w:rsidRPr="001E42CA">
        <w:t>t</w:t>
      </w:r>
      <w:r w:rsidRPr="001E42CA">
        <w:t>jämningen finns ett antal delmodeller som måste bedömas ha mer eller min</w:t>
      </w:r>
      <w:r w:rsidRPr="001E42CA">
        <w:t>d</w:t>
      </w:r>
      <w:r w:rsidRPr="001E42CA">
        <w:t>re regionalpolitiska inslag och där ersättningsnivåerna i modellerna i allt väsentligt bygger på politiska bedömningar. Det gäller bl.a. faktorerna b</w:t>
      </w:r>
      <w:r w:rsidRPr="001E42CA">
        <w:t>e</w:t>
      </w:r>
      <w:r w:rsidRPr="001E42CA">
        <w:t>folkningsunderlag, befolkningsminskning, näringsliv och sysselsättning. Gr</w:t>
      </w:r>
      <w:r w:rsidRPr="001E42CA">
        <w:t>uppen föreslår att dessa delmodeller utgår ur utjämningssystemet. Motsv</w:t>
      </w:r>
      <w:r w:rsidRPr="001E42CA">
        <w:t>a</w:t>
      </w:r>
      <w:r w:rsidRPr="001E42CA">
        <w:t>rande ersättning till de berörda kommunerna och landstingen bör enligt gruppens mening i stället lämnas i form av regionalpolitiska statsbidrag. Även den andra utredningen, Utjämningsdelegationen (SOU 2000:127), föreslår förändringar. Enligt delegationen bör det göras en bred analys av hur små kommuner, med kraftig befolkningsminskning och ett regionalt utsatt läge, kan ges bra förutsättningar på längre sikt att tillhandahålla en likvär</w:t>
      </w:r>
      <w:r w:rsidRPr="001E42CA">
        <w:t>dig vård, omsorg och utbildning. Utjämningssystemet innehåller ett antal fakt</w:t>
      </w:r>
      <w:r w:rsidRPr="001E42CA">
        <w:t>o</w:t>
      </w:r>
      <w:r w:rsidRPr="001E42CA">
        <w:t>rer som ska kompensera för kostnader som hör till den geografiska och reg</w:t>
      </w:r>
      <w:r w:rsidRPr="001E42CA">
        <w:t>i</w:t>
      </w:r>
      <w:r w:rsidRPr="001E42CA">
        <w:t>onala strukturen. Därtill kommer att införandetilläggen har stor ekonomisk betydelse för de kommuner som har ett ogynnsamt geografiskt och regionalt läge. Delegationen föreslår därför att regeringen tillsätter en utredning med uppdrag att göra en samlad bedömning av vilket ekonomiskt stöd som kan behövas för att kommuner med långsiktigt vikande folkmängd och</w:t>
      </w:r>
      <w:r w:rsidRPr="001E42CA">
        <w:t xml:space="preserve"> en utsatt regional position ska kunna upprätthålla en godtagbar kvalitet i den komm</w:t>
      </w:r>
      <w:r w:rsidRPr="001E42CA">
        <w:t>u</w:t>
      </w:r>
      <w:r w:rsidRPr="001E42CA">
        <w:t>nala verksamheten. Delegationen vill också uppmärksamma att de delar av det kommunala utjämningssystemet som utredningen diskuterar till en del befinner sig i gränslandet mellan kommunal utjämning och regionalpolitik. Om det står klart att ett antal kommuner kommer att behöva ett permanent ekonomiskt stöd för att kunna tillhandahålla en likvärdig samhällsservice kan det finnas skäl för att hantera de nuvarande geografiska o</w:t>
      </w:r>
      <w:r w:rsidRPr="001E42CA">
        <w:t>ch regionala fakt</w:t>
      </w:r>
      <w:r w:rsidRPr="001E42CA">
        <w:t>o</w:t>
      </w:r>
      <w:r w:rsidRPr="001E42CA">
        <w:t>rerna i utjämningssystemet utanför systemet i form av ett särskilt regiona</w:t>
      </w:r>
      <w:r w:rsidRPr="001E42CA">
        <w:t>l</w:t>
      </w:r>
      <w:r w:rsidRPr="001E42CA">
        <w:t xml:space="preserve">politiskt stöd. </w:t>
      </w:r>
    </w:p>
    <w:p w:rsidR="00DC1575" w:rsidRPr="001E42CA" w:rsidRDefault="00DC1575">
      <w:pPr>
        <w:pStyle w:val="R4"/>
      </w:pPr>
      <w:r w:rsidRPr="001E42CA">
        <w:t>Statsbidragen bör ges i generella former</w:t>
      </w:r>
    </w:p>
    <w:p w:rsidR="00DC1575" w:rsidRPr="001E42CA" w:rsidRDefault="00DC1575">
      <w:r w:rsidRPr="001E42CA">
        <w:t>Ett femte motiv är att anslaget inte står i samklang med strävandena att st</w:t>
      </w:r>
      <w:r w:rsidRPr="001E42CA">
        <w:t>a</w:t>
      </w:r>
      <w:r w:rsidRPr="001E42CA">
        <w:t>tens bidragsgivning  till kommuner och landsting bör ske i generella former. Statsbidragen till kommuner och landsting förändrades kraftigt fr.o.m. 1993. Flertalet av de specialdestinerade statsbidragen avskaffades och ersattes av ett mer generellt regelsystem. Tanken var bl.a. att minska den statliga detal</w:t>
      </w:r>
      <w:r w:rsidRPr="001E42CA">
        <w:t>j</w:t>
      </w:r>
      <w:r w:rsidRPr="001E42CA">
        <w:t>styrningen och öka det kommunala ansvaret för verksamhetens utformning och prioritering. Anslaget för särskilda insatser i vissa kommuner och land</w:t>
      </w:r>
      <w:r w:rsidRPr="001E42CA">
        <w:t>s</w:t>
      </w:r>
      <w:r w:rsidRPr="001E42CA">
        <w:t>ting kan sägas avvika från intentionerna bakom den omlä</w:t>
      </w:r>
      <w:r w:rsidRPr="001E42CA">
        <w:t>ggning som skett av statsbidragen. Det är specialdestinerat och har inslag som knappast förbättrar planeringsförutsättningarna för kommunerna. Det senare beror naturligtvis framför allt på att kommunen/landstinget inte på förhand kan avgöra om det kommer att få bidrag eller inte. En orsak som ytterligare försvårar en sådan bedömning är att stora delar av hanteringen av anslaget inte regleras av n</w:t>
      </w:r>
      <w:r w:rsidRPr="001E42CA">
        <w:t>å</w:t>
      </w:r>
      <w:r w:rsidRPr="001E42CA">
        <w:t>gon förordning. Med andra ord är hanteringen inte transparent och förutsä</w:t>
      </w:r>
      <w:r w:rsidRPr="001E42CA">
        <w:t>g</w:t>
      </w:r>
      <w:r w:rsidRPr="001E42CA">
        <w:t xml:space="preserve">bar – ett förhållande som närmast kan </w:t>
      </w:r>
      <w:r w:rsidRPr="001E42CA">
        <w:t>få motsatt effekt, dvs. försena event</w:t>
      </w:r>
      <w:r w:rsidRPr="001E42CA">
        <w:t>u</w:t>
      </w:r>
      <w:r w:rsidRPr="001E42CA">
        <w:t>ella omstruktureringar och kostnadsneddragningar.</w:t>
      </w:r>
    </w:p>
    <w:p w:rsidR="00DC1575" w:rsidRPr="001E42CA" w:rsidRDefault="00DC1575">
      <w:pPr>
        <w:pStyle w:val="R4"/>
      </w:pPr>
      <w:r w:rsidRPr="001E42CA">
        <w:t>Nya ändamål har tillkommit</w:t>
      </w:r>
    </w:p>
    <w:p w:rsidR="00DC1575" w:rsidRPr="001E42CA" w:rsidRDefault="00DC1575">
      <w:r w:rsidRPr="001E42CA">
        <w:t>Ett sjätte motiv är att vissa delar av anslagets fördelning på ändamål inte anges i budgetpropositionen. Ett flertal användningsområden har tillkommit löpande under budgetåren, dvs. det har delvis använts som ett anslag för oförutsedda utgifter. Användningen har i och för sig anmälts till riksdagen, men det finns stor risk för att ändamål som inte genomgår en normal budge</w:t>
      </w:r>
      <w:r w:rsidRPr="001E42CA">
        <w:t>t</w:t>
      </w:r>
      <w:r w:rsidRPr="001E42CA">
        <w:t>prövning leder till ökade utgifter (förslag om detta redovisas nedan).</w:t>
      </w:r>
    </w:p>
    <w:p w:rsidR="00DC1575" w:rsidRPr="001E42CA" w:rsidRDefault="00DC1575">
      <w:pPr>
        <w:pStyle w:val="R4"/>
      </w:pPr>
      <w:r w:rsidRPr="001E42CA">
        <w:t>Liknande stöd har avvecklats</w:t>
      </w:r>
    </w:p>
    <w:p w:rsidR="00DC1575" w:rsidRPr="001E42CA" w:rsidRDefault="00DC1575">
      <w:r w:rsidRPr="001E42CA">
        <w:t>Ett sjunde motiv är att tidigare stöd av liknande typ avvecklats efter en rel</w:t>
      </w:r>
      <w:r w:rsidRPr="001E42CA">
        <w:t>a</w:t>
      </w:r>
      <w:r w:rsidRPr="001E42CA">
        <w:t>tivt kort period. Det gäller t.ex. stöd som fördelades av Bankstödsnämnden och den s.k. industriakuten. Vid bägge dessa stödtyper fördes en omfattande diskussion om stödens inverkan på incitamentsstrukturen. Bankstödsnäm</w:t>
      </w:r>
      <w:r w:rsidRPr="001E42CA">
        <w:t>n</w:t>
      </w:r>
      <w:r w:rsidRPr="001E42CA">
        <w:t>dens verksamhet följdes också av ett regelsystem för ökad kontroll och sy-stem för att påverka incitamenten i riktning mot en större grad av ansvarst</w:t>
      </w:r>
      <w:r w:rsidRPr="001E42CA">
        <w:t>a</w:t>
      </w:r>
      <w:r w:rsidRPr="001E42CA">
        <w:t xml:space="preserve">gande, t.ex. inlåningsförsäkring och kapitaltäckningsregler. </w:t>
      </w:r>
    </w:p>
    <w:p w:rsidR="00DC1575" w:rsidRPr="001E42CA" w:rsidRDefault="00DC1575">
      <w:pPr>
        <w:pStyle w:val="R4"/>
      </w:pPr>
      <w:r w:rsidRPr="001E42CA">
        <w:t>Finansieras av kommuner som anpassat verksamheten</w:t>
      </w:r>
    </w:p>
    <w:p w:rsidR="00DC1575" w:rsidRPr="001E42CA" w:rsidRDefault="00DC1575">
      <w:r w:rsidRPr="001E42CA">
        <w:t>Avslutningsvis kan det påpekas att anslaget finansieras med medel som i annan form skulle ha överförts till kommuner och landsting. Medborgare i kommuner och landsting som anpassat verksamheten till de rådande ekon</w:t>
      </w:r>
      <w:r w:rsidRPr="001E42CA">
        <w:t>o</w:t>
      </w:r>
      <w:r w:rsidRPr="001E42CA">
        <w:t xml:space="preserve">miska förhållandena kan således få finansiera kommuner och landsting där detta inte skett. </w:t>
      </w:r>
    </w:p>
    <w:p w:rsidR="00DC1575" w:rsidRPr="001E42CA" w:rsidRDefault="00DC1575">
      <w:pPr>
        <w:pStyle w:val="R3"/>
      </w:pPr>
      <w:r w:rsidRPr="001E42CA">
        <w:t>Öka det finansiella ansvaret och minska risktagandet</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Regeringen bör få i uppdrag att utreda alternativ som inte har p</w:t>
      </w:r>
      <w:r w:rsidRPr="001E42CA">
        <w:t>å</w:t>
      </w:r>
      <w:r w:rsidRPr="001E42CA">
        <w:t>tagliga budgetmässiga konsekvenser. Det gäller framför allt alternativ som kan öka kommunernas/landstingens finansiella ansvar och som leder till ett minskat risktagande.</w:t>
      </w:r>
    </w:p>
    <w:p w:rsidR="00DC1575" w:rsidRPr="001E42CA" w:rsidRDefault="00DC1575">
      <w:pPr>
        <w:pStyle w:val="Normaltindrag"/>
      </w:pPr>
    </w:p>
    <w:p w:rsidR="00DC1575" w:rsidRPr="001E42CA" w:rsidRDefault="00DC1575">
      <w:r w:rsidRPr="001E42CA">
        <w:t>Tillväxten i den svenska ekonomin har under senare år utvecklats gynnsamt. Under åren 1999 och 2000 har BNP ökat med 4,1 respektive 3,6 procent. Detta är historiskt sett en mycket god utveckling av tillväxten. Av budge</w:t>
      </w:r>
      <w:r w:rsidRPr="001E42CA">
        <w:t>t</w:t>
      </w:r>
      <w:r w:rsidRPr="001E42CA">
        <w:t>propositionen för 2001 framgår att återhämtningen i den svenska ekonomin bl.a. har inneburit att utrymme skapats för en höjning av statsbidragen till kommuner och landsting. Statsbidragen 2001, exklusive regleringar, har höjts med närmare 26 miljarder kronor i förhållande till 1996 års nivå. Det framgår vidare att de kommunala skatteintäkterna ökat förhållandevis kra</w:t>
      </w:r>
      <w:r w:rsidRPr="001E42CA">
        <w:t>f</w:t>
      </w:r>
      <w:r w:rsidRPr="001E42CA">
        <w:t>tigt under de senaste åren, inte minst tack vare den goda sysselsättningsu</w:t>
      </w:r>
      <w:r w:rsidRPr="001E42CA">
        <w:t>t</w:t>
      </w:r>
      <w:r w:rsidRPr="001E42CA">
        <w:t>vecklingen. Inkomsterna i kommunsektorn förväntas även öka relativ</w:t>
      </w:r>
      <w:r w:rsidRPr="001E42CA">
        <w:t>t kra</w:t>
      </w:r>
      <w:r w:rsidRPr="001E42CA">
        <w:t>f</w:t>
      </w:r>
      <w:r w:rsidRPr="001E42CA">
        <w:t>tigt de kommande åren. Det finansiella sparandet bedöms vara tillräckligt högt för att primärkommunerna ska klara balanskravet från 2000, medan landstingen beräknas uppfylla kr</w:t>
      </w:r>
      <w:r w:rsidRPr="001E42CA">
        <w:t>a</w:t>
      </w:r>
      <w:r w:rsidRPr="001E42CA">
        <w:t xml:space="preserve">ven på ekonomisk balans först 2001. </w:t>
      </w:r>
    </w:p>
    <w:p w:rsidR="00DC1575" w:rsidRPr="001E42CA" w:rsidRDefault="00DC1575">
      <w:pPr>
        <w:pStyle w:val="Normaltindrag"/>
      </w:pPr>
      <w:r w:rsidRPr="001E42CA">
        <w:t>Trots den goda ekonomiska utvecklingen har det emellertid funnits ett a</w:t>
      </w:r>
      <w:r w:rsidRPr="001E42CA">
        <w:t>n</w:t>
      </w:r>
      <w:r w:rsidRPr="001E42CA">
        <w:t>tal kommuner och landsting med ekonomiska problem som ansetts ha behov av statligt stöd. Under 2000 har ca 60 kommuner och landsting fått ekon</w:t>
      </w:r>
      <w:r w:rsidRPr="001E42CA">
        <w:t>o</w:t>
      </w:r>
      <w:r w:rsidRPr="001E42CA">
        <w:t>miskt stöd. Det gäller då kommuner och landsting som bedömts ha svåri</w:t>
      </w:r>
      <w:r w:rsidRPr="001E42CA">
        <w:t>g</w:t>
      </w:r>
      <w:r w:rsidRPr="001E42CA">
        <w:t>heter att uppnå balanskravet och kommuner som haft stora åtaganden i kommunala bostadsföretag.</w:t>
      </w:r>
    </w:p>
    <w:p w:rsidR="00DC1575" w:rsidRPr="001E42CA" w:rsidRDefault="00DC1575">
      <w:pPr>
        <w:pStyle w:val="Normaltindrag"/>
      </w:pPr>
      <w:r w:rsidRPr="001E42CA">
        <w:t>De statliga insatserna ska leda till besparingar och omstruktureringar som innebär en godtagbar och sund ekonomisk utveckling i de kommuner och landsting som fått stöd. De avtal som regeringen/Kommundele</w:t>
      </w:r>
      <w:r w:rsidRPr="001E42CA">
        <w:t>gationen slutit med kommuner/landsting är dock i många fall påfallande översiktliga och diffusa och kan leda till att det blir svårt att säkerställa att det faktiskt vidtas åtgärder som leder till varaktiga kostnadssänkningar. Det är naturligtvis inte heller osannolikt att en sämre ekonomisk utveckling kan leda till krav på ytterligare stödinsatser. Trots allt har de senaste årens höga tillväxttakt inn</w:t>
      </w:r>
      <w:r w:rsidRPr="001E42CA">
        <w:t>e</w:t>
      </w:r>
      <w:r w:rsidRPr="001E42CA">
        <w:t>burit att ett stort antal kommuner och landsting fått stöd.</w:t>
      </w:r>
    </w:p>
    <w:p w:rsidR="00DC1575" w:rsidRPr="001E42CA" w:rsidRDefault="00DC1575">
      <w:pPr>
        <w:pStyle w:val="Normaltindrag"/>
      </w:pPr>
      <w:r w:rsidRPr="001E42CA">
        <w:t>Enligt revisorernas bedömning behöver dock int</w:t>
      </w:r>
      <w:r w:rsidRPr="001E42CA">
        <w:t>e alltid ekonomiskt stöd vara en förstahandslösning. Som redan framgått är anslaget knappast före</w:t>
      </w:r>
      <w:r w:rsidRPr="001E42CA">
        <w:t>n</w:t>
      </w:r>
      <w:r w:rsidRPr="001E42CA">
        <w:t>ligt med idén om fullt kommunalt ansvarstagande. Det kan därmed också inbjuda till finansiellt risktagande. Det är inte ovanligt att olika former av statliga bidrag påverkar incitament och beteenden hos dem som får bidragen. En typ av incitamentsproblem hänger, som redan framgått, samman med att staten ställer ut olika former av garantier. Exempelvis kan anslaget för sä</w:t>
      </w:r>
      <w:r w:rsidRPr="001E42CA">
        <w:t>r</w:t>
      </w:r>
      <w:r w:rsidRPr="001E42CA">
        <w:t xml:space="preserve">skilda insatser uppfattas som en form av </w:t>
      </w:r>
      <w:r w:rsidRPr="001E42CA">
        <w:t>garanti för att täcka kommunala förluster. Vetskapen att staten explicit eller implicit ställer en sådan finansiell garanti kan öka kommunernas risktagande. Det förefaller också i viss mån ha skett. Framför allt gäller att kommuner med ett stort utbud har fått stöd.</w:t>
      </w:r>
    </w:p>
    <w:p w:rsidR="00DC1575" w:rsidRPr="001E42CA" w:rsidRDefault="00DC1575">
      <w:pPr>
        <w:pStyle w:val="Normaltindrag"/>
      </w:pPr>
      <w:r w:rsidRPr="001E42CA">
        <w:t>Det finns därför, enligt revisorernas mening, anledning att analysera det kommunala regelverket och dess effekter på det kommunala beteendet. Ett regelsystem som förbättrar incitamenten för kommuner/landsting att ta ett finansiellt ansvar och so</w:t>
      </w:r>
      <w:r w:rsidRPr="001E42CA">
        <w:t>m leder till ett minskat risktagande hos dessa är att för</w:t>
      </w:r>
      <w:r w:rsidRPr="001E42CA">
        <w:t>e</w:t>
      </w:r>
      <w:r w:rsidRPr="001E42CA">
        <w:t xml:space="preserve">dra. </w:t>
      </w:r>
    </w:p>
    <w:p w:rsidR="00DC1575" w:rsidRPr="001E42CA" w:rsidRDefault="00DC1575">
      <w:pPr>
        <w:pStyle w:val="Normaltindrag"/>
      </w:pPr>
      <w:r w:rsidRPr="001E42CA">
        <w:t>Ett område som är särskilt viktigt att analysera i detta sammanhang är kommunernas och landstingens ekonomiska förvaltning. I kommunallagen finns en bestämmelse om god ekonomisk hushållning. En budget i balans är minimikravet för ekonomin i en kommun eller ett landsting. För att motsvara kravet på god ekonomisk hushållning räcker det i de flesta fall inte med att intäkterna bara täcker kostnaderna. För att kravet på god ekonomisk hushål</w:t>
      </w:r>
      <w:r w:rsidRPr="001E42CA">
        <w:t>l</w:t>
      </w:r>
      <w:r w:rsidRPr="001E42CA">
        <w:t>ning ska uppfyllas bör resultatet i normalfallet ligga på en nivå som realt sett konsoliderar ekonomin. Om synnerliga skäl föreligger kan avsteg göras från kravet på en budget i balans. Det är dock upp till varje kommun eller land</w:t>
      </w:r>
      <w:r w:rsidRPr="001E42CA">
        <w:t>s</w:t>
      </w:r>
      <w:r w:rsidRPr="001E42CA">
        <w:t xml:space="preserve">ting att tolka vad som kan inrymmas i begreppet synnerliga skäl, och det finns vidare inga sanktionsmöjligheter mot kommuner eller landsting som inte lever upp till kravet på en ekonomi i balans. Regeringen tillkallade i april 2000 en utredare för att utreda vissa frågor rörande </w:t>
      </w:r>
      <w:r w:rsidRPr="001E42CA">
        <w:t>kommunernas och landstingens ekonomiska förvaltning (dir. 2000:30). Enligt direktiven ska utredaren bl.a. göra en översyn av bestämmelserna om god ekonomisk hu</w:t>
      </w:r>
      <w:r w:rsidRPr="001E42CA">
        <w:t>s</w:t>
      </w:r>
      <w:r w:rsidRPr="001E42CA">
        <w:t xml:space="preserve">hållning och dess tillämpning och utreda hur balanskravet kan förtydligas och modifieras. I det senare ligger bl.a. att utredaren ska överväga behovet av regler för en situation där en kommun eller ett landsting inte lever upp till kravet på en budget och ekonomi i balans. </w:t>
      </w:r>
    </w:p>
    <w:p w:rsidR="00DC1575" w:rsidRPr="001E42CA" w:rsidRDefault="00DC1575">
      <w:pPr>
        <w:pStyle w:val="Normaltindrag"/>
      </w:pPr>
      <w:r w:rsidRPr="001E42CA">
        <w:t xml:space="preserve">Enligt revisorernas uppfattning är det värdefullt att en utredning tillsatts </w:t>
      </w:r>
      <w:r w:rsidRPr="001E42CA">
        <w:t>som ska hantera dessa frågor. Kommuner och landsting som hittills inte levt upp till kravet på en ekonomi i balans har dock som framgått i många fall fått statligt stöd. Utredningen har dock inte i uppdrag att analysera hur dess fö</w:t>
      </w:r>
      <w:r w:rsidRPr="001E42CA">
        <w:t>r</w:t>
      </w:r>
      <w:r w:rsidRPr="001E42CA">
        <w:t>slag ställer sig till tidigare statliga ingrepp i form av t.ex. Kommundelegati</w:t>
      </w:r>
      <w:r w:rsidRPr="001E42CA">
        <w:t>o</w:t>
      </w:r>
      <w:r w:rsidRPr="001E42CA">
        <w:t xml:space="preserve">nens verksamhet. Den har inte heller i uppdrag att konkret lämna förslag på hur staten ska agera om det ånyo uppkommer en liknande situation, dvs. den situation som varit föremål för denna granskning. </w:t>
      </w:r>
      <w:r w:rsidRPr="001E42CA">
        <w:t>Enligt revisorernas b</w:t>
      </w:r>
      <w:r w:rsidRPr="001E42CA">
        <w:t>e</w:t>
      </w:r>
      <w:r w:rsidRPr="001E42CA">
        <w:t>dömning bör utredningen få tilläggsdirektiv där det ingår att analysera den typen av frågor och där utgångspunkten bör vara att statliga ingrepp inte bör få budgetmässiga konsekvenser. Ett alternativ är naturligtvis att tillsätta en särskild utredning.</w:t>
      </w:r>
    </w:p>
    <w:p w:rsidR="00DC1575" w:rsidRPr="001E42CA" w:rsidRDefault="00DC1575">
      <w:pPr>
        <w:pStyle w:val="Normaltindrag"/>
      </w:pPr>
      <w:r w:rsidRPr="001E42CA">
        <w:t>Den kommunala budgetprocessen är vidare relativt svagt reglerad. Det finns förvisso ett krav på ekonomisk balans. Balanskravet innebär att budg</w:t>
      </w:r>
      <w:r w:rsidRPr="001E42CA">
        <w:t>e</w:t>
      </w:r>
      <w:r w:rsidRPr="001E42CA">
        <w:t>ten varje år ska upprättas så att intäkterna överstiger kostnaderna. Ett event</w:t>
      </w:r>
      <w:r w:rsidRPr="001E42CA">
        <w:t>u</w:t>
      </w:r>
      <w:r w:rsidRPr="001E42CA">
        <w:t>ellt negativt resultat vid räkenskapsårets slut ska återställas inom två år. I övrigt innehåller dock inte kommunallagen mer än några paragrafer som i huvudsak reglerar tidtabellen för kommunens budgetarbete. Det finns dock mycket som tyder på att en stram budgetprocess leder till en starkare budge</w:t>
      </w:r>
      <w:r w:rsidRPr="001E42CA">
        <w:t>t</w:t>
      </w:r>
      <w:r w:rsidRPr="001E42CA">
        <w:t>disciplin, åtminstone på nationell nivå. Det finns därför skäl att överväga eller analysera om det inte är motiverat att reglera den</w:t>
      </w:r>
      <w:r w:rsidRPr="001E42CA">
        <w:t xml:space="preserve"> kommunala budge</w:t>
      </w:r>
      <w:r w:rsidRPr="001E42CA">
        <w:t>t</w:t>
      </w:r>
      <w:r w:rsidRPr="001E42CA">
        <w:t xml:space="preserve">processen noggrannare för att åstadkomma en starkare finansiell disciplin. </w:t>
      </w:r>
    </w:p>
    <w:p w:rsidR="00DC1575" w:rsidRPr="001E42CA" w:rsidRDefault="00DC1575">
      <w:pPr>
        <w:pStyle w:val="R3"/>
      </w:pPr>
      <w:r w:rsidRPr="001E42CA">
        <w:t>Utgiftsområde 25 bör renodlas</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Utgiftsområde 25 Allmänna bidrag till kommuner bör endast o</w:t>
      </w:r>
      <w:r w:rsidRPr="001E42CA">
        <w:t>m</w:t>
      </w:r>
      <w:r w:rsidRPr="001E42CA">
        <w:t>fatta anslagen 91:1 Generellt statsbidrag till kommuner och landsting, 91:3 Statligt utjämningsbidrag till kommuner och landsting och 91:4 Bidrag till Rådet för kommunal redovisning. Utgifter för ändamål som inte kan hänföras till dessa tre anslag bör äskas under respektive politiko</w:t>
      </w:r>
      <w:r w:rsidRPr="001E42CA">
        <w:t>m</w:t>
      </w:r>
      <w:r w:rsidRPr="001E42CA">
        <w:t>råde.</w:t>
      </w:r>
    </w:p>
    <w:p w:rsidR="00DC1575" w:rsidRPr="001E42CA" w:rsidRDefault="00DC1575">
      <w:pPr>
        <w:pStyle w:val="Normaltindrag"/>
      </w:pPr>
    </w:p>
    <w:p w:rsidR="00DC1575" w:rsidRPr="001E42CA" w:rsidRDefault="00DC1575">
      <w:r w:rsidRPr="001E42CA">
        <w:t>Anslaget 91:2 Bidrag till särskilda insatser i vissa kommuner och landsting har som tidigare framgått utnyttjats för 12 olika ändamål. Drygt 3,7 miljarder kronor, eller närmare 60 procent, har fördelats till kommuner med särskilt svåra ekonomiska problem och som ansökt om stöd. Det gäller stöd som fördelats av regeringen (efter särskild ansökan och efter särskild beredning av Kommundelegationen) och Bostadsdelegationen. Ungefär 2,7 miljarder kronor har fördelats till andra ändamål. Det gäller t.ex. utbildni</w:t>
      </w:r>
      <w:r w:rsidRPr="001E42CA">
        <w:t>ngsinsatser, insatser för flyktingar, hiv/aidsverksamhet, katastrofinsatser, stöd och service till funktionshindrade, nedläggningar i försvaret och konsumentåtgärder.</w:t>
      </w:r>
    </w:p>
    <w:p w:rsidR="00DC1575" w:rsidRPr="001E42CA" w:rsidRDefault="00DC1575">
      <w:pPr>
        <w:pStyle w:val="Normaltindrag"/>
      </w:pPr>
      <w:r w:rsidRPr="001E42CA">
        <w:t>Vissa delar av anslagets fördelning på ändamål anges inte i budgetprop</w:t>
      </w:r>
      <w:r w:rsidRPr="001E42CA">
        <w:t>o</w:t>
      </w:r>
      <w:r w:rsidRPr="001E42CA">
        <w:t>sitionen. Ett flertal användningsområden har därför tillkommit löpande under budgetåren, dvs. anslaget har delvis använts som ett anslag för oförutsedda utgifter. Användningen har i och för sig anmälts till riksdagen, men dessa utgifter har inte genomgått en normal budgetprövning. Dessa användning</w:t>
      </w:r>
      <w:r w:rsidRPr="001E42CA">
        <w:t>s</w:t>
      </w:r>
      <w:r w:rsidRPr="001E42CA">
        <w:t>områden ingår därmed inte i den årliga budgetprövningen på samma sätt som normala anslag. De aktualiseras således ej på samma sätt som andra u</w:t>
      </w:r>
      <w:r w:rsidRPr="001E42CA">
        <w:t>t</w:t>
      </w:r>
      <w:r w:rsidRPr="001E42CA">
        <w:t>giftsanslag i den årliga budgetprövningen och blir i princip inte för</w:t>
      </w:r>
      <w:r w:rsidRPr="001E42CA">
        <w:t xml:space="preserve">emål för förnyade beslut inför varje budgetår. </w:t>
      </w:r>
    </w:p>
    <w:p w:rsidR="00DC1575" w:rsidRPr="001E42CA" w:rsidRDefault="00DC1575">
      <w:pPr>
        <w:pStyle w:val="Normaltindrag"/>
      </w:pPr>
      <w:r w:rsidRPr="001E42CA">
        <w:t>Enligt revisorernas uppfattning finns det stor risk för att ändamål som inte genomgår en normal budgetprövning leder till ökade utgifter. Ett anslag som har karaktären av oförutsedda utgifter kan till och med skapa behov som inte annars skulle tillgodoses eller diskuteras. Det finns vidare inga egentliga skäl till varför användningsområden som t.ex. hiv/aidsverksamhet eller nedläg</w:t>
      </w:r>
      <w:r w:rsidRPr="001E42CA">
        <w:t>g</w:t>
      </w:r>
      <w:r w:rsidRPr="001E42CA">
        <w:t xml:space="preserve">ningar i försvaret inte bör äskas och prövas inom respektive politikområde. Enligt revisorernas bedömning bör därför utgiftsområde 25 koncentreras till generella statsbidrag, utjämningsbidrag och bidrag till Rådet för kommunal redovisning. Utgifter för ändamål som inte kan hänföras till dessa tre anslag bör äskas under respektive politikområde. </w:t>
      </w:r>
    </w:p>
    <w:p w:rsidR="00DC1575" w:rsidRPr="001E42CA" w:rsidRDefault="00DC1575">
      <w:pPr>
        <w:pStyle w:val="R3"/>
      </w:pPr>
      <w:r w:rsidRPr="001E42CA">
        <w:t xml:space="preserve">Uppföljningen bör preciseras och ske av en myndighet </w:t>
      </w:r>
    </w:p>
    <w:p w:rsidR="00DC1575" w:rsidRPr="001E42CA" w:rsidRDefault="00DC1575">
      <w:pPr>
        <w:pBdr>
          <w:top w:val="single" w:sz="4" w:space="1" w:color="auto"/>
          <w:left w:val="single" w:sz="4" w:space="4" w:color="auto"/>
          <w:bottom w:val="single" w:sz="4" w:space="1" w:color="auto"/>
          <w:right w:val="single" w:sz="4" w:space="4" w:color="auto"/>
        </w:pBdr>
      </w:pPr>
      <w:r w:rsidRPr="001E42CA">
        <w:rPr>
          <w:b/>
        </w:rPr>
        <w:t>Förslag</w:t>
      </w:r>
      <w:r w:rsidRPr="001E42CA">
        <w:t xml:space="preserve">: Uppföljningen av Kommundelegationens arbete bör ske av en myndighet. </w:t>
      </w:r>
    </w:p>
    <w:p w:rsidR="00DC1575" w:rsidRPr="001E42CA" w:rsidRDefault="00DC1575">
      <w:pPr>
        <w:pStyle w:val="Normaltindrag"/>
        <w:pBdr>
          <w:top w:val="single" w:sz="4" w:space="1" w:color="auto"/>
          <w:left w:val="single" w:sz="4" w:space="4" w:color="auto"/>
          <w:bottom w:val="single" w:sz="4" w:space="1" w:color="auto"/>
          <w:right w:val="single" w:sz="4" w:space="4" w:color="auto"/>
        </w:pBdr>
      </w:pPr>
      <w:r w:rsidRPr="001E42CA">
        <w:t>Regeringen bör redovisa hur uppföljningen av Bostadsdelegationens arbete ska organiseras.</w:t>
      </w:r>
    </w:p>
    <w:p w:rsidR="00DC1575" w:rsidRPr="001E42CA" w:rsidRDefault="00DC1575">
      <w:pPr>
        <w:pStyle w:val="Normaltindrag"/>
      </w:pPr>
    </w:p>
    <w:p w:rsidR="00DC1575" w:rsidRPr="001E42CA" w:rsidRDefault="00DC1575">
      <w:r w:rsidRPr="001E42CA">
        <w:t>Regeringen har tillkallat en särskild utredare med uppdrag att följa upp och stödja de kommuner och landsting vars ansökningar beretts av Kommund</w:t>
      </w:r>
      <w:r w:rsidRPr="001E42CA">
        <w:t>e</w:t>
      </w:r>
      <w:r w:rsidRPr="001E42CA">
        <w:t>legationen och som av regeringen beviljats bidrag. Enligt revisorernas up</w:t>
      </w:r>
      <w:r w:rsidRPr="001E42CA">
        <w:t>p</w:t>
      </w:r>
      <w:r w:rsidRPr="001E42CA">
        <w:t>fattning bör uppföljningen hanteras av en myndighet. Detta innebär en tydl</w:t>
      </w:r>
      <w:r w:rsidRPr="001E42CA">
        <w:t>i</w:t>
      </w:r>
      <w:r w:rsidRPr="001E42CA">
        <w:t>gare reglering av uppgiften och bidrar till att skapa större kontinuitet och en mer oberoende ställning i förhållande till uppgiften att säkerställa gjorda avtal och att bidra till att överenskomna kostnadssänkningar genomförs. Att hjälpa kommuner och landsting att komma till rätta med en för hög kos</w:t>
      </w:r>
      <w:r w:rsidRPr="001E42CA">
        <w:t>t</w:t>
      </w:r>
      <w:r w:rsidRPr="001E42CA">
        <w:t>nadsnivå kräver ett stort mått av tydlighet. En myndighet ha</w:t>
      </w:r>
      <w:r w:rsidRPr="001E42CA">
        <w:t>r sannolikt större möjligheter, utifrån sina instruktioner, att hantera denna process. Exempelvis lyckades inte Kommundelegationen, som hade formen av en kommitté, att presentera entydiga åtgärdsplaner.</w:t>
      </w:r>
    </w:p>
    <w:p w:rsidR="00DC1575" w:rsidRPr="001E42CA" w:rsidRDefault="00DC1575">
      <w:pPr>
        <w:pStyle w:val="Normaltindrag"/>
      </w:pPr>
      <w:r w:rsidRPr="001E42CA">
        <w:t>Bostadsdelegationen har också slutit ett stort antal avtal med kommuner. Det har dock hittills inte presenterats någon lösning för hur uppföljningen av dessa avtal ska organiseras. Regeringen bör därför presentera en sådan lö</w:t>
      </w:r>
      <w:r w:rsidRPr="001E42CA">
        <w:t>s</w:t>
      </w:r>
      <w:r w:rsidRPr="001E42CA">
        <w:t xml:space="preserve">ning. </w:t>
      </w:r>
    </w:p>
    <w:p w:rsidR="00DC1575" w:rsidRPr="001E42CA" w:rsidRDefault="00DC1575">
      <w:pPr>
        <w:pStyle w:val="R1"/>
      </w:pPr>
      <w:r w:rsidRPr="001E42CA">
        <w:br w:type="page"/>
      </w:r>
      <w:bookmarkStart w:id="67" w:name="_Toc475355993"/>
      <w:r w:rsidRPr="001E42CA">
        <w:t>Referenser</w:t>
      </w:r>
      <w:bookmarkEnd w:id="67"/>
    </w:p>
    <w:p w:rsidR="00DC1575" w:rsidRPr="001E42CA" w:rsidRDefault="00DC1575">
      <w:pPr>
        <w:rPr>
          <w:i/>
        </w:rPr>
      </w:pPr>
      <w:r w:rsidRPr="001E42CA">
        <w:t xml:space="preserve">Bostadsdelegationen (2000a), </w:t>
      </w:r>
      <w:r w:rsidRPr="001E42CA">
        <w:rPr>
          <w:i/>
        </w:rPr>
        <w:t>Årsredovisning 1999.</w:t>
      </w:r>
    </w:p>
    <w:p w:rsidR="00DC1575" w:rsidRPr="001E42CA" w:rsidRDefault="00DC1575">
      <w:pPr>
        <w:rPr>
          <w:i/>
        </w:rPr>
      </w:pPr>
      <w:r w:rsidRPr="001E42CA">
        <w:t xml:space="preserve">Bostadsdelegationen (2000b), </w:t>
      </w:r>
      <w:r w:rsidRPr="001E42CA">
        <w:rPr>
          <w:i/>
        </w:rPr>
        <w:t>Budgetunderlag för budgetåren 2001–2003.</w:t>
      </w:r>
    </w:p>
    <w:p w:rsidR="00DC1575" w:rsidRPr="001E42CA" w:rsidRDefault="00DC1575">
      <w:r w:rsidRPr="001E42CA">
        <w:t xml:space="preserve">Bostadsdelegationen (2001), </w:t>
      </w:r>
      <w:r w:rsidRPr="001E42CA">
        <w:rPr>
          <w:i/>
        </w:rPr>
        <w:t>Årsredovisning 2000.</w:t>
      </w:r>
    </w:p>
    <w:p w:rsidR="00DC1575" w:rsidRPr="001E42CA" w:rsidRDefault="00DC1575">
      <w:r w:rsidRPr="001E42CA">
        <w:t xml:space="preserve">Bostadsutskottets betänkande 1997/98:BoU10, </w:t>
      </w:r>
      <w:r w:rsidRPr="001E42CA">
        <w:rPr>
          <w:i/>
        </w:rPr>
        <w:t>Bostadspolitiken.</w:t>
      </w:r>
    </w:p>
    <w:p w:rsidR="00DC1575" w:rsidRPr="001E42CA" w:rsidRDefault="00DC1575">
      <w:r w:rsidRPr="001E42CA">
        <w:t xml:space="preserve">Bucht, C., Bylund, J. och Norlin, J. (2000), </w:t>
      </w:r>
      <w:r w:rsidRPr="001E42CA">
        <w:rPr>
          <w:i/>
        </w:rPr>
        <w:t>En åldrande befolkning – ko</w:t>
      </w:r>
      <w:r w:rsidRPr="001E42CA">
        <w:rPr>
          <w:i/>
        </w:rPr>
        <w:t>n</w:t>
      </w:r>
      <w:r w:rsidRPr="001E42CA">
        <w:rPr>
          <w:i/>
        </w:rPr>
        <w:t>sekvenser för svensk ekonomi,</w:t>
      </w:r>
      <w:r w:rsidRPr="001E42CA">
        <w:t xml:space="preserve"> Bilaga 9 till Långtidsutredningen 1999/2000, Fritzes, Stockholm. </w:t>
      </w:r>
    </w:p>
    <w:p w:rsidR="00DC1575" w:rsidRPr="001E42CA" w:rsidRDefault="00DC1575">
      <w:r w:rsidRPr="001E42CA">
        <w:t xml:space="preserve">Dahlberg, M. och Johansson, E. (1999), </w:t>
      </w:r>
      <w:r w:rsidRPr="001E42CA">
        <w:rPr>
          <w:i/>
        </w:rPr>
        <w:t>On the Vote Purchasing Behavior of Incumbent Governments,</w:t>
      </w:r>
      <w:r w:rsidRPr="001E42CA">
        <w:t xml:space="preserve"> Uppsala universitet, Nationalekonomiska instit</w:t>
      </w:r>
      <w:r w:rsidRPr="001E42CA">
        <w:t>u</w:t>
      </w:r>
      <w:r w:rsidRPr="001E42CA">
        <w:t>tionen, Working Paper 1999:24.</w:t>
      </w:r>
    </w:p>
    <w:p w:rsidR="00DC1575" w:rsidRPr="001E42CA" w:rsidRDefault="00DC1575">
      <w:r w:rsidRPr="001E42CA">
        <w:t xml:space="preserve">Dahlberg, M. och Pettersson, P. (1999), </w:t>
      </w:r>
      <w:r w:rsidRPr="001E42CA">
        <w:rPr>
          <w:i/>
        </w:rPr>
        <w:t xml:space="preserve">Decentralization, Fiscal Discipline, and the Bailout Problem. </w:t>
      </w:r>
      <w:r w:rsidRPr="001E42CA">
        <w:rPr>
          <w:i/>
        </w:rPr>
        <w:t>The Case of Sweden,</w:t>
      </w:r>
      <w:r w:rsidRPr="001E42CA">
        <w:t xml:space="preserve"> Uppsala universitet, Nati</w:t>
      </w:r>
      <w:r w:rsidRPr="001E42CA">
        <w:t>o</w:t>
      </w:r>
      <w:r w:rsidRPr="001E42CA">
        <w:t>nalekonomiska institutionen, stencil.</w:t>
      </w:r>
    </w:p>
    <w:p w:rsidR="00DC1575" w:rsidRPr="001E42CA" w:rsidRDefault="00DC1575">
      <w:pPr>
        <w:rPr>
          <w:i/>
        </w:rPr>
      </w:pPr>
      <w:r w:rsidRPr="001E42CA">
        <w:t xml:space="preserve">Ds 1998:39, </w:t>
      </w:r>
      <w:r w:rsidRPr="001E42CA">
        <w:rPr>
          <w:i/>
        </w:rPr>
        <w:t>Gula boken. Handläggningen av ärenden i Regeringskansl</w:t>
      </w:r>
      <w:r w:rsidRPr="001E42CA">
        <w:rPr>
          <w:i/>
        </w:rPr>
        <w:t>i</w:t>
      </w:r>
      <w:r w:rsidRPr="001E42CA">
        <w:rPr>
          <w:i/>
        </w:rPr>
        <w:t>et.</w:t>
      </w:r>
    </w:p>
    <w:p w:rsidR="00DC1575" w:rsidRPr="001E42CA" w:rsidRDefault="00DC1575">
      <w:pPr>
        <w:rPr>
          <w:i/>
        </w:rPr>
      </w:pPr>
      <w:r w:rsidRPr="001E42CA">
        <w:t xml:space="preserve">Ds 2000:27, </w:t>
      </w:r>
      <w:r w:rsidRPr="001E42CA">
        <w:rPr>
          <w:i/>
        </w:rPr>
        <w:t>Vad kostar det att regera? En studie av Regeringskansliets dimensionering nu– och i framtiden.</w:t>
      </w:r>
    </w:p>
    <w:p w:rsidR="00DC1575" w:rsidRPr="001E42CA" w:rsidRDefault="00DC1575">
      <w:pPr>
        <w:rPr>
          <w:i/>
        </w:rPr>
      </w:pPr>
      <w:r w:rsidRPr="001E42CA">
        <w:t xml:space="preserve">Ds 2000:48, </w:t>
      </w:r>
      <w:r w:rsidRPr="001E42CA">
        <w:rPr>
          <w:i/>
        </w:rPr>
        <w:t>Snabbt och riktigt, utvalt och viktigt – förslag till kommunal databas.</w:t>
      </w:r>
    </w:p>
    <w:p w:rsidR="00DC1575" w:rsidRPr="001E42CA" w:rsidRDefault="00DC1575">
      <w:r w:rsidRPr="001E42CA">
        <w:t xml:space="preserve">Finansutskottets betänkande 1996/97:FiU15, </w:t>
      </w:r>
      <w:r w:rsidRPr="001E42CA">
        <w:rPr>
          <w:i/>
        </w:rPr>
        <w:t>Den kommunala redovi</w:t>
      </w:r>
      <w:r w:rsidRPr="001E42CA">
        <w:rPr>
          <w:i/>
        </w:rPr>
        <w:t>s</w:t>
      </w:r>
      <w:r w:rsidRPr="001E42CA">
        <w:rPr>
          <w:i/>
        </w:rPr>
        <w:t>ningen</w:t>
      </w:r>
      <w:r w:rsidRPr="001E42CA">
        <w:t>.</w:t>
      </w:r>
    </w:p>
    <w:p w:rsidR="00DC1575" w:rsidRPr="001E42CA" w:rsidRDefault="00DC1575">
      <w:pPr>
        <w:rPr>
          <w:i/>
        </w:rPr>
      </w:pPr>
      <w:r w:rsidRPr="001E42CA">
        <w:t xml:space="preserve">Finansutskottets betänkande 1999/2000:FiU3, </w:t>
      </w:r>
      <w:r w:rsidRPr="001E42CA">
        <w:rPr>
          <w:i/>
        </w:rPr>
        <w:t>Utgiftsområde 25 Allmänna bidrag till kommuner.</w:t>
      </w:r>
    </w:p>
    <w:p w:rsidR="00DC1575" w:rsidRPr="001E42CA" w:rsidRDefault="00DC1575">
      <w:pPr>
        <w:rPr>
          <w:i/>
        </w:rPr>
      </w:pPr>
      <w:r w:rsidRPr="001E42CA">
        <w:t xml:space="preserve">Finansutskottets betänkande 1999/2000:FiU29, </w:t>
      </w:r>
      <w:r w:rsidRPr="001E42CA">
        <w:rPr>
          <w:i/>
        </w:rPr>
        <w:t>Utvecklingen inom den ko</w:t>
      </w:r>
      <w:r w:rsidRPr="001E42CA">
        <w:rPr>
          <w:i/>
        </w:rPr>
        <w:t>m</w:t>
      </w:r>
      <w:r w:rsidRPr="001E42CA">
        <w:rPr>
          <w:i/>
        </w:rPr>
        <w:t>munala sektorn.</w:t>
      </w:r>
    </w:p>
    <w:p w:rsidR="00DC1575" w:rsidRPr="001E42CA" w:rsidRDefault="00DC1575">
      <w:pPr>
        <w:rPr>
          <w:i/>
        </w:rPr>
      </w:pPr>
      <w:r w:rsidRPr="001E42CA">
        <w:t xml:space="preserve">Finansutskottets betänkande 2000/01:FiU3, </w:t>
      </w:r>
      <w:r w:rsidRPr="001E42CA">
        <w:rPr>
          <w:i/>
        </w:rPr>
        <w:t>Utgiftsområde 25 Allmänna bidrag till kommuner.</w:t>
      </w:r>
    </w:p>
    <w:p w:rsidR="00DC1575" w:rsidRPr="001E42CA" w:rsidRDefault="00DC1575">
      <w:r w:rsidRPr="001E42CA">
        <w:t xml:space="preserve">Jonsson, E. (2000), </w:t>
      </w:r>
      <w:r w:rsidRPr="001E42CA">
        <w:rPr>
          <w:i/>
        </w:rPr>
        <w:t>Kommun- eller bostadsakutens bidrag – är de förenliga med fiskal rättvisa?,</w:t>
      </w:r>
      <w:r w:rsidRPr="001E42CA">
        <w:t xml:space="preserve"> Institutet för kommunal ekonomi, IKE 2000:98.</w:t>
      </w:r>
    </w:p>
    <w:p w:rsidR="00DC1575" w:rsidRPr="001E42CA" w:rsidRDefault="00DC1575">
      <w:pPr>
        <w:rPr>
          <w:i/>
        </w:rPr>
      </w:pPr>
      <w:r w:rsidRPr="001E42CA">
        <w:t xml:space="preserve">Kommittédirektiv 1999:65, </w:t>
      </w:r>
      <w:r w:rsidRPr="001E42CA">
        <w:rPr>
          <w:i/>
        </w:rPr>
        <w:t>Delegation för stöd till vissa kommuner och landsting med svårigheter att klara balanskravet.</w:t>
      </w:r>
    </w:p>
    <w:p w:rsidR="00DC1575" w:rsidRPr="001E42CA" w:rsidRDefault="00DC1575">
      <w:pPr>
        <w:rPr>
          <w:i/>
        </w:rPr>
      </w:pPr>
      <w:r w:rsidRPr="001E42CA">
        <w:t xml:space="preserve">Kommittédirektiv 2000:30, </w:t>
      </w:r>
      <w:r w:rsidRPr="001E42CA">
        <w:rPr>
          <w:i/>
        </w:rPr>
        <w:t>Översyn av kommunernas och landstingens ekonomiska förvaltning m.m.</w:t>
      </w:r>
    </w:p>
    <w:p w:rsidR="00DC1575" w:rsidRPr="001E42CA" w:rsidRDefault="00DC1575">
      <w:r w:rsidRPr="001E42CA">
        <w:t xml:space="preserve">Kommittédirektiv 2000:71, </w:t>
      </w:r>
      <w:r w:rsidRPr="001E42CA">
        <w:rPr>
          <w:i/>
        </w:rPr>
        <w:t>Uppföljning av Kommundelegationens äre</w:t>
      </w:r>
      <w:r w:rsidRPr="001E42CA">
        <w:rPr>
          <w:i/>
        </w:rPr>
        <w:t>n</w:t>
      </w:r>
      <w:r w:rsidRPr="001E42CA">
        <w:rPr>
          <w:i/>
        </w:rPr>
        <w:t>den.</w:t>
      </w:r>
    </w:p>
    <w:p w:rsidR="00DC1575" w:rsidRPr="001E42CA" w:rsidRDefault="00DC1575">
      <w:pPr>
        <w:rPr>
          <w:i/>
        </w:rPr>
      </w:pPr>
      <w:r w:rsidRPr="001E42CA">
        <w:t>KommunAktuellt (2000</w:t>
      </w:r>
      <w:r w:rsidRPr="001E42CA">
        <w:rPr>
          <w:i/>
        </w:rPr>
        <w:t>), Balanskravet problem för var femte kommun.</w:t>
      </w:r>
    </w:p>
    <w:p w:rsidR="00DC1575" w:rsidRPr="001E42CA" w:rsidRDefault="00DC1575">
      <w:pPr>
        <w:rPr>
          <w:i/>
        </w:rPr>
      </w:pPr>
      <w:r w:rsidRPr="001E42CA">
        <w:t xml:space="preserve">Kommundelegationen (2000), </w:t>
      </w:r>
      <w:r w:rsidRPr="001E42CA">
        <w:rPr>
          <w:i/>
        </w:rPr>
        <w:t>Slutrapport från delegationen för stöd till vissa kommuner och landsting med svårigheter att klara balanskravet.</w:t>
      </w:r>
    </w:p>
    <w:p w:rsidR="00DC1575" w:rsidRPr="001E42CA" w:rsidRDefault="00DC1575">
      <w:r w:rsidRPr="001E42CA">
        <w:t xml:space="preserve">Konstitutionsutskottets betänkande 1996/97:KU25, </w:t>
      </w:r>
      <w:r w:rsidRPr="001E42CA">
        <w:rPr>
          <w:i/>
        </w:rPr>
        <w:t>Granskning av statsr</w:t>
      </w:r>
      <w:r w:rsidRPr="001E42CA">
        <w:rPr>
          <w:i/>
        </w:rPr>
        <w:t>å</w:t>
      </w:r>
      <w:r w:rsidRPr="001E42CA">
        <w:rPr>
          <w:i/>
        </w:rPr>
        <w:t>dens tjänsteutövning och regeringsärendenas handläggning.</w:t>
      </w:r>
    </w:p>
    <w:p w:rsidR="00DC1575" w:rsidRPr="001E42CA" w:rsidRDefault="00DC1575">
      <w:pPr>
        <w:rPr>
          <w:i/>
        </w:rPr>
      </w:pPr>
      <w:r w:rsidRPr="001E42CA">
        <w:t xml:space="preserve">Konstitutionsutskottets betänkande 1999/2000:KU20, </w:t>
      </w:r>
      <w:r w:rsidRPr="001E42CA">
        <w:rPr>
          <w:i/>
        </w:rPr>
        <w:t>Granskning av stat</w:t>
      </w:r>
      <w:r w:rsidRPr="001E42CA">
        <w:rPr>
          <w:i/>
        </w:rPr>
        <w:t>s</w:t>
      </w:r>
      <w:r w:rsidRPr="001E42CA">
        <w:rPr>
          <w:i/>
        </w:rPr>
        <w:t>rådens tjänsteutövning och regeringsärendenas handläggning.</w:t>
      </w:r>
    </w:p>
    <w:p w:rsidR="00DC1575" w:rsidRPr="001E42CA" w:rsidRDefault="00DC1575">
      <w:pPr>
        <w:rPr>
          <w:i/>
        </w:rPr>
      </w:pPr>
      <w:r w:rsidRPr="001E42CA">
        <w:t xml:space="preserve">Konstitutionsutskottets betänkande 2000/01:KU10, </w:t>
      </w:r>
      <w:r w:rsidRPr="001E42CA">
        <w:rPr>
          <w:i/>
        </w:rPr>
        <w:t>Granskning av statsr</w:t>
      </w:r>
      <w:r w:rsidRPr="001E42CA">
        <w:rPr>
          <w:i/>
        </w:rPr>
        <w:t>å</w:t>
      </w:r>
      <w:r w:rsidRPr="001E42CA">
        <w:rPr>
          <w:i/>
        </w:rPr>
        <w:t>dens tjänsteutövning och regeringsärendenas handläggning.</w:t>
      </w:r>
    </w:p>
    <w:p w:rsidR="00DC1575" w:rsidRPr="001E42CA" w:rsidRDefault="00DC1575">
      <w:r w:rsidRPr="001E42CA">
        <w:t xml:space="preserve">Lindbeck, A., Molander, P., Persson, T., Petersson, O. och Swedenborg, B. (2000), </w:t>
      </w:r>
      <w:r w:rsidRPr="001E42CA">
        <w:rPr>
          <w:i/>
        </w:rPr>
        <w:t>Politisk makt med oklart ansvar,</w:t>
      </w:r>
      <w:r w:rsidRPr="001E42CA">
        <w:t xml:space="preserve"> Ekonomirådets rapport 2000, SNS Förlag.</w:t>
      </w:r>
    </w:p>
    <w:p w:rsidR="00DC1575" w:rsidRPr="001E42CA" w:rsidRDefault="00DC1575">
      <w:r w:rsidRPr="001E42CA">
        <w:t xml:space="preserve">Pettersson Lidbom, P. (2000), </w:t>
      </w:r>
      <w:r w:rsidRPr="001E42CA">
        <w:rPr>
          <w:i/>
        </w:rPr>
        <w:t>Elections, Party Politics and Economic P</w:t>
      </w:r>
      <w:r w:rsidRPr="001E42CA">
        <w:rPr>
          <w:i/>
        </w:rPr>
        <w:t>o</w:t>
      </w:r>
      <w:r w:rsidRPr="001E42CA">
        <w:rPr>
          <w:i/>
        </w:rPr>
        <w:t>licy,</w:t>
      </w:r>
      <w:r w:rsidRPr="001E42CA">
        <w:t xml:space="preserve"> Institute for International Economic Studies, Stockholm University, Mon</w:t>
      </w:r>
      <w:r w:rsidRPr="001E42CA">
        <w:t>o</w:t>
      </w:r>
      <w:r w:rsidRPr="001E42CA">
        <w:t>graph Series No. 40.</w:t>
      </w:r>
    </w:p>
    <w:p w:rsidR="00DC1575" w:rsidRPr="001E42CA" w:rsidRDefault="00DC1575">
      <w:pPr>
        <w:rPr>
          <w:i/>
        </w:rPr>
      </w:pPr>
      <w:r w:rsidRPr="001E42CA">
        <w:t xml:space="preserve">Regeringens proposition 1994/95:150, </w:t>
      </w:r>
      <w:r w:rsidRPr="001E42CA">
        <w:rPr>
          <w:i/>
        </w:rPr>
        <w:t>Förslag till slutlig reglering av stat</w:t>
      </w:r>
      <w:r w:rsidRPr="001E42CA">
        <w:rPr>
          <w:i/>
        </w:rPr>
        <w:t>s</w:t>
      </w:r>
      <w:r w:rsidRPr="001E42CA">
        <w:rPr>
          <w:i/>
        </w:rPr>
        <w:t>budgeten för budgetåret 1995/96, m.m.</w:t>
      </w:r>
    </w:p>
    <w:p w:rsidR="00DC1575" w:rsidRPr="001E42CA" w:rsidRDefault="00DC1575">
      <w:pPr>
        <w:rPr>
          <w:i/>
        </w:rPr>
      </w:pPr>
      <w:r w:rsidRPr="001E42CA">
        <w:t xml:space="preserve">Regeringens proposition 1995/96:150, </w:t>
      </w:r>
      <w:r w:rsidRPr="001E42CA">
        <w:rPr>
          <w:i/>
        </w:rPr>
        <w:t>Ekonomisk vårproposition med fö</w:t>
      </w:r>
      <w:r w:rsidRPr="001E42CA">
        <w:rPr>
          <w:i/>
        </w:rPr>
        <w:t>r</w:t>
      </w:r>
      <w:r w:rsidRPr="001E42CA">
        <w:rPr>
          <w:i/>
        </w:rPr>
        <w:t>slag till riktlinjer för den ekonomiska politiken, utgiftstak, ändrade anslag för budgetåret 1995/96, m.m.</w:t>
      </w:r>
    </w:p>
    <w:p w:rsidR="00DC1575" w:rsidRPr="001E42CA" w:rsidRDefault="00DC1575">
      <w:pPr>
        <w:rPr>
          <w:i/>
        </w:rPr>
      </w:pPr>
      <w:r w:rsidRPr="001E42CA">
        <w:t xml:space="preserve">Regeringens proposition 1995/96:222, </w:t>
      </w:r>
      <w:r w:rsidRPr="001E42CA">
        <w:rPr>
          <w:i/>
        </w:rPr>
        <w:t>Vissa åtgärder för att halvera a</w:t>
      </w:r>
      <w:r w:rsidRPr="001E42CA">
        <w:rPr>
          <w:i/>
        </w:rPr>
        <w:t>r</w:t>
      </w:r>
      <w:r w:rsidRPr="001E42CA">
        <w:rPr>
          <w:i/>
        </w:rPr>
        <w:t>betslösheten till år 2000, ändrade anslag för budgetåret 1995/96, finansi</w:t>
      </w:r>
      <w:r w:rsidRPr="001E42CA">
        <w:rPr>
          <w:i/>
        </w:rPr>
        <w:t>e</w:t>
      </w:r>
      <w:r w:rsidRPr="001E42CA">
        <w:rPr>
          <w:i/>
        </w:rPr>
        <w:t>ring, m.m.</w:t>
      </w:r>
    </w:p>
    <w:p w:rsidR="00DC1575" w:rsidRPr="001E42CA" w:rsidRDefault="00DC1575">
      <w:pPr>
        <w:rPr>
          <w:i/>
        </w:rPr>
      </w:pPr>
      <w:r w:rsidRPr="001E42CA">
        <w:t xml:space="preserve">Regeringens proposition 1996/97:1, </w:t>
      </w:r>
      <w:r w:rsidRPr="001E42CA">
        <w:rPr>
          <w:i/>
        </w:rPr>
        <w:t>Budgetpropositionen för 1997.</w:t>
      </w:r>
    </w:p>
    <w:p w:rsidR="00DC1575" w:rsidRPr="001E42CA" w:rsidRDefault="00DC1575">
      <w:pPr>
        <w:rPr>
          <w:i/>
        </w:rPr>
      </w:pPr>
      <w:r w:rsidRPr="001E42CA">
        <w:t xml:space="preserve">Regeringens proposition 1996/97:52, </w:t>
      </w:r>
      <w:r w:rsidRPr="001E42CA">
        <w:rPr>
          <w:i/>
        </w:rPr>
        <w:t>Den kommunala redovisningen.</w:t>
      </w:r>
    </w:p>
    <w:p w:rsidR="00DC1575" w:rsidRPr="001E42CA" w:rsidRDefault="00DC1575">
      <w:pPr>
        <w:rPr>
          <w:i/>
        </w:rPr>
      </w:pPr>
      <w:r w:rsidRPr="001E42CA">
        <w:t xml:space="preserve">Regeringens proposition 1996/97:150, </w:t>
      </w:r>
      <w:r w:rsidRPr="001E42CA">
        <w:rPr>
          <w:i/>
        </w:rPr>
        <w:t>1997 års ekonomiska vårpropos</w:t>
      </w:r>
      <w:r w:rsidRPr="001E42CA">
        <w:rPr>
          <w:i/>
        </w:rPr>
        <w:t>i</w:t>
      </w:r>
      <w:r w:rsidRPr="001E42CA">
        <w:rPr>
          <w:i/>
        </w:rPr>
        <w:t>tion.</w:t>
      </w:r>
    </w:p>
    <w:p w:rsidR="00DC1575" w:rsidRPr="001E42CA" w:rsidRDefault="00DC1575">
      <w:pPr>
        <w:rPr>
          <w:i/>
        </w:rPr>
      </w:pPr>
      <w:r w:rsidRPr="001E42CA">
        <w:t xml:space="preserve">Regeringens proposition 1997/98:1, </w:t>
      </w:r>
      <w:r w:rsidRPr="001E42CA">
        <w:rPr>
          <w:i/>
        </w:rPr>
        <w:t>Budgetpropositionen för 1998.</w:t>
      </w:r>
    </w:p>
    <w:p w:rsidR="00DC1575" w:rsidRPr="001E42CA" w:rsidRDefault="00DC1575">
      <w:r w:rsidRPr="001E42CA">
        <w:t xml:space="preserve">Regeringens proposition 1997/98:119, </w:t>
      </w:r>
      <w:r w:rsidRPr="001E42CA">
        <w:rPr>
          <w:i/>
        </w:rPr>
        <w:t>Bostadspolitik för hållbar u</w:t>
      </w:r>
      <w:r w:rsidRPr="001E42CA">
        <w:rPr>
          <w:i/>
        </w:rPr>
        <w:t>t</w:t>
      </w:r>
      <w:r w:rsidRPr="001E42CA">
        <w:rPr>
          <w:i/>
        </w:rPr>
        <w:t>veckling.</w:t>
      </w:r>
    </w:p>
    <w:p w:rsidR="00DC1575" w:rsidRPr="001E42CA" w:rsidRDefault="00DC1575">
      <w:r w:rsidRPr="001E42CA">
        <w:t xml:space="preserve">Regeringens proposition 1997/98:150, </w:t>
      </w:r>
      <w:r w:rsidRPr="001E42CA">
        <w:rPr>
          <w:i/>
        </w:rPr>
        <w:t>1998 års ekonomiska vårpropos</w:t>
      </w:r>
      <w:r w:rsidRPr="001E42CA">
        <w:rPr>
          <w:i/>
        </w:rPr>
        <w:t>i</w:t>
      </w:r>
      <w:r w:rsidRPr="001E42CA">
        <w:rPr>
          <w:i/>
        </w:rPr>
        <w:t>tion.</w:t>
      </w:r>
    </w:p>
    <w:p w:rsidR="00DC1575" w:rsidRPr="001E42CA" w:rsidRDefault="00DC1575">
      <w:pPr>
        <w:rPr>
          <w:i/>
        </w:rPr>
      </w:pPr>
      <w:r w:rsidRPr="001E42CA">
        <w:t xml:space="preserve">Regeringens proposition 1998/99:1, </w:t>
      </w:r>
      <w:r w:rsidRPr="001E42CA">
        <w:rPr>
          <w:i/>
        </w:rPr>
        <w:t>Budgetpropositionen för 1999.</w:t>
      </w:r>
    </w:p>
    <w:p w:rsidR="00DC1575" w:rsidRPr="001E42CA" w:rsidRDefault="00DC1575">
      <w:r w:rsidRPr="001E42CA">
        <w:t xml:space="preserve">Regeringens proposition 1998/99:100, </w:t>
      </w:r>
      <w:r w:rsidRPr="001E42CA">
        <w:rPr>
          <w:i/>
        </w:rPr>
        <w:t>1999 års ekonomiska vårpropos</w:t>
      </w:r>
      <w:r w:rsidRPr="001E42CA">
        <w:rPr>
          <w:i/>
        </w:rPr>
        <w:t>i</w:t>
      </w:r>
      <w:r w:rsidRPr="001E42CA">
        <w:rPr>
          <w:i/>
        </w:rPr>
        <w:t>tion</w:t>
      </w:r>
      <w:r w:rsidRPr="001E42CA">
        <w:t>.</w:t>
      </w:r>
    </w:p>
    <w:p w:rsidR="00DC1575" w:rsidRPr="001E42CA" w:rsidRDefault="00DC1575">
      <w:pPr>
        <w:rPr>
          <w:i/>
        </w:rPr>
      </w:pPr>
      <w:r w:rsidRPr="001E42CA">
        <w:t xml:space="preserve">Regeringens proposition 1999/2000:1, </w:t>
      </w:r>
      <w:r w:rsidRPr="001E42CA">
        <w:rPr>
          <w:i/>
        </w:rPr>
        <w:t>Budgetpropositionen för 2000.</w:t>
      </w:r>
    </w:p>
    <w:p w:rsidR="00DC1575" w:rsidRPr="001E42CA" w:rsidRDefault="00DC1575">
      <w:pPr>
        <w:rPr>
          <w:i/>
        </w:rPr>
      </w:pPr>
      <w:r w:rsidRPr="001E42CA">
        <w:t xml:space="preserve">Regeringens proposition 1999/2000:100, </w:t>
      </w:r>
      <w:r w:rsidRPr="001E42CA">
        <w:rPr>
          <w:i/>
        </w:rPr>
        <w:t>2000 års ekonomiska vårpropos</w:t>
      </w:r>
      <w:r w:rsidRPr="001E42CA">
        <w:rPr>
          <w:i/>
        </w:rPr>
        <w:t>i</w:t>
      </w:r>
      <w:r w:rsidRPr="001E42CA">
        <w:rPr>
          <w:i/>
        </w:rPr>
        <w:t>tion.</w:t>
      </w:r>
    </w:p>
    <w:p w:rsidR="00DC1575" w:rsidRPr="001E42CA" w:rsidRDefault="00DC1575">
      <w:pPr>
        <w:rPr>
          <w:i/>
        </w:rPr>
      </w:pPr>
      <w:r w:rsidRPr="001E42CA">
        <w:t xml:space="preserve">Regeringens proposition 2000/01:1, </w:t>
      </w:r>
      <w:r w:rsidRPr="001E42CA">
        <w:rPr>
          <w:i/>
        </w:rPr>
        <w:t>Budgetpropositionen för 2001.</w:t>
      </w:r>
    </w:p>
    <w:p w:rsidR="00DC1575" w:rsidRPr="001E42CA" w:rsidRDefault="00DC1575">
      <w:pPr>
        <w:rPr>
          <w:i/>
        </w:rPr>
      </w:pPr>
      <w:r w:rsidRPr="001E42CA">
        <w:t xml:space="preserve">Regeringens skrivelse 1996/97:51, </w:t>
      </w:r>
      <w:r w:rsidRPr="001E42CA">
        <w:rPr>
          <w:i/>
        </w:rPr>
        <w:t>Vissa frågor om den kommunala ekon</w:t>
      </w:r>
      <w:r w:rsidRPr="001E42CA">
        <w:rPr>
          <w:i/>
        </w:rPr>
        <w:t>o</w:t>
      </w:r>
      <w:r w:rsidRPr="001E42CA">
        <w:rPr>
          <w:i/>
        </w:rPr>
        <w:t>min.</w:t>
      </w:r>
    </w:p>
    <w:p w:rsidR="00DC1575" w:rsidRPr="001E42CA" w:rsidRDefault="00DC1575">
      <w:pPr>
        <w:rPr>
          <w:i/>
        </w:rPr>
      </w:pPr>
      <w:r w:rsidRPr="001E42CA">
        <w:t xml:space="preserve">Regeringens skrivelse 1999/2000:102, </w:t>
      </w:r>
      <w:r w:rsidRPr="001E42CA">
        <w:rPr>
          <w:i/>
        </w:rPr>
        <w:t>Utvecklingen inom den kommunala sektorn.</w:t>
      </w:r>
    </w:p>
    <w:p w:rsidR="00DC1575" w:rsidRPr="001E42CA" w:rsidRDefault="00DC1575">
      <w:r w:rsidRPr="001E42CA">
        <w:t xml:space="preserve">Regeringens skrivelse 1999/2000:150, </w:t>
      </w:r>
      <w:r w:rsidRPr="001E42CA">
        <w:rPr>
          <w:i/>
        </w:rPr>
        <w:t>Årsredovisning för staten 1999.</w:t>
      </w:r>
    </w:p>
    <w:p w:rsidR="00DC1575" w:rsidRPr="001E42CA" w:rsidRDefault="00DC1575">
      <w:pPr>
        <w:rPr>
          <w:i/>
        </w:rPr>
      </w:pPr>
      <w:r w:rsidRPr="001E42CA">
        <w:t xml:space="preserve">Riksdagens revisorer (1999a), </w:t>
      </w:r>
      <w:r w:rsidRPr="001E42CA">
        <w:rPr>
          <w:i/>
        </w:rPr>
        <w:t>Anslag till regeringens och Regeringskansliets disposition, Förstudie 1999/2000:3.</w:t>
      </w:r>
    </w:p>
    <w:p w:rsidR="00DC1575" w:rsidRPr="001E42CA" w:rsidRDefault="00DC1575">
      <w:r w:rsidRPr="001E42CA">
        <w:t xml:space="preserve">Riksdagens revisorer (1999b), </w:t>
      </w:r>
      <w:r w:rsidRPr="001E42CA">
        <w:rPr>
          <w:i/>
        </w:rPr>
        <w:t>Statligt stöd till lokala investeringsprogram för en ekologiskt hållbar utveckling,</w:t>
      </w:r>
      <w:r w:rsidRPr="001E42CA">
        <w:t xml:space="preserve"> Rapport 1998/99:8.</w:t>
      </w:r>
    </w:p>
    <w:p w:rsidR="00DC1575" w:rsidRPr="001E42CA" w:rsidRDefault="00DC1575">
      <w:r w:rsidRPr="001E42CA">
        <w:t xml:space="preserve">Riksdagens revisorer (1999c), </w:t>
      </w:r>
      <w:r w:rsidRPr="001E42CA">
        <w:rPr>
          <w:i/>
        </w:rPr>
        <w:t>Svenska miljöinsatser i Baltikum</w:t>
      </w:r>
      <w:r w:rsidRPr="001E42CA">
        <w:t>, Grans</w:t>
      </w:r>
      <w:r w:rsidRPr="001E42CA">
        <w:t>k</w:t>
      </w:r>
      <w:r w:rsidRPr="001E42CA">
        <w:t>ningspromemoria 1998/99:1).</w:t>
      </w:r>
    </w:p>
    <w:p w:rsidR="00DC1575" w:rsidRPr="001E42CA" w:rsidRDefault="00DC1575">
      <w:r w:rsidRPr="001E42CA">
        <w:t xml:space="preserve">Riksdagens revisorer (2000a), </w:t>
      </w:r>
      <w:r w:rsidRPr="001E42CA">
        <w:rPr>
          <w:i/>
        </w:rPr>
        <w:t>Bidrag till särskilda insatser i vissa kommuner och landsting,</w:t>
      </w:r>
      <w:r w:rsidRPr="001E42CA">
        <w:t xml:space="preserve"> Förstudie 1999/2000:17.</w:t>
      </w:r>
    </w:p>
    <w:p w:rsidR="00DC1575" w:rsidRPr="001E42CA" w:rsidRDefault="00DC1575">
      <w:r w:rsidRPr="001E42CA">
        <w:t xml:space="preserve">RRV (1999a), </w:t>
      </w:r>
      <w:r w:rsidRPr="001E42CA">
        <w:rPr>
          <w:i/>
        </w:rPr>
        <w:t>De lokala investeringsprogrammen i praktiken – en uppföl</w:t>
      </w:r>
      <w:r w:rsidRPr="001E42CA">
        <w:rPr>
          <w:i/>
        </w:rPr>
        <w:t>j</w:t>
      </w:r>
      <w:r w:rsidRPr="001E42CA">
        <w:rPr>
          <w:i/>
        </w:rPr>
        <w:t>ning av kommunernas arbete,</w:t>
      </w:r>
      <w:r w:rsidRPr="001E42CA">
        <w:t xml:space="preserve"> RRV 1999:37.</w:t>
      </w:r>
    </w:p>
    <w:p w:rsidR="00DC1575" w:rsidRPr="001E42CA" w:rsidRDefault="00DC1575">
      <w:r w:rsidRPr="001E42CA">
        <w:t xml:space="preserve">RRV (1999b), </w:t>
      </w:r>
      <w:r w:rsidRPr="001E42CA">
        <w:rPr>
          <w:i/>
        </w:rPr>
        <w:t>Miljarden som försvann. En granskning av kretsloppspr</w:t>
      </w:r>
      <w:r w:rsidRPr="001E42CA">
        <w:rPr>
          <w:i/>
        </w:rPr>
        <w:t>o</w:t>
      </w:r>
      <w:r w:rsidRPr="001E42CA">
        <w:rPr>
          <w:i/>
        </w:rPr>
        <w:t>grammet</w:t>
      </w:r>
      <w:r w:rsidRPr="001E42CA">
        <w:t xml:space="preserve">, RRV 1999:28. </w:t>
      </w:r>
    </w:p>
    <w:p w:rsidR="00DC1575" w:rsidRPr="001E42CA" w:rsidRDefault="00DC1575">
      <w:r w:rsidRPr="001E42CA">
        <w:t xml:space="preserve">RRV (1999c), </w:t>
      </w:r>
      <w:r w:rsidRPr="001E42CA">
        <w:rPr>
          <w:i/>
        </w:rPr>
        <w:t>Riksrevisionsverkets årliga rapport 1999 till regeringen,</w:t>
      </w:r>
      <w:r w:rsidRPr="001E42CA">
        <w:t xml:space="preserve"> RRV 1999:22.</w:t>
      </w:r>
    </w:p>
    <w:p w:rsidR="00DC1575" w:rsidRPr="001E42CA" w:rsidRDefault="00DC1575">
      <w:r w:rsidRPr="001E42CA">
        <w:t xml:space="preserve">SOU 1995:93, </w:t>
      </w:r>
      <w:r w:rsidRPr="001E42CA">
        <w:rPr>
          <w:i/>
        </w:rPr>
        <w:t>Omprövning av statliga åtaganden,</w:t>
      </w:r>
      <w:r w:rsidRPr="001E42CA">
        <w:t xml:space="preserve"> Fritzes, Stockholm.</w:t>
      </w:r>
    </w:p>
    <w:p w:rsidR="00DC1575" w:rsidRPr="001E42CA" w:rsidRDefault="00DC1575">
      <w:r w:rsidRPr="001E42CA">
        <w:t xml:space="preserve">SOU 1998:91, </w:t>
      </w:r>
      <w:r w:rsidRPr="001E42CA">
        <w:rPr>
          <w:i/>
        </w:rPr>
        <w:t>Nya grepp – kommunal förnyelse och kompetensutveckling,</w:t>
      </w:r>
      <w:r w:rsidRPr="001E42CA">
        <w:t xml:space="preserve"> Fritzes, Stockholm.</w:t>
      </w:r>
    </w:p>
    <w:p w:rsidR="00DC1575" w:rsidRPr="001E42CA" w:rsidRDefault="00DC1575">
      <w:r w:rsidRPr="001E42CA">
        <w:t xml:space="preserve">SOU 2000:120, </w:t>
      </w:r>
      <w:r w:rsidRPr="001E42CA">
        <w:rPr>
          <w:i/>
        </w:rPr>
        <w:t>Förenklad kommunal utjämning,</w:t>
      </w:r>
      <w:r w:rsidRPr="001E42CA">
        <w:t xml:space="preserve"> Betänkande av Exper</w:t>
      </w:r>
      <w:r w:rsidRPr="001E42CA">
        <w:t>t</w:t>
      </w:r>
      <w:r w:rsidRPr="001E42CA">
        <w:t>gruppen för förenklad kommunal utjämning, Fritzes, Stockholm.</w:t>
      </w:r>
    </w:p>
    <w:p w:rsidR="00DC1575" w:rsidRPr="001E42CA" w:rsidRDefault="00DC1575">
      <w:r w:rsidRPr="001E42CA">
        <w:t xml:space="preserve">SOU 2000:127, </w:t>
      </w:r>
      <w:r w:rsidRPr="001E42CA">
        <w:rPr>
          <w:i/>
        </w:rPr>
        <w:t>Rättvis kommunal utjämning,</w:t>
      </w:r>
      <w:r w:rsidRPr="001E42CA">
        <w:t xml:space="preserve"> Slutbetänkande av Utjä</w:t>
      </w:r>
      <w:r w:rsidRPr="001E42CA">
        <w:t>m</w:t>
      </w:r>
      <w:r w:rsidRPr="001E42CA">
        <w:t>ningsdelegationen, Fritzes, Stockholm.</w:t>
      </w:r>
    </w:p>
    <w:p w:rsidR="00DC1575" w:rsidRPr="001E42CA" w:rsidRDefault="00DC1575">
      <w:r w:rsidRPr="001E42CA">
        <w:t xml:space="preserve">Statskontoret (1998), </w:t>
      </w:r>
      <w:r w:rsidRPr="001E42CA">
        <w:rPr>
          <w:i/>
        </w:rPr>
        <w:t xml:space="preserve">Kunskapslyftet som modell och metod – adhocrati eller byråkrati, </w:t>
      </w:r>
      <w:r w:rsidRPr="001E42CA">
        <w:t>1998:20.</w:t>
      </w:r>
    </w:p>
    <w:p w:rsidR="00DC1575" w:rsidRPr="001E42CA" w:rsidRDefault="00DC1575">
      <w:r w:rsidRPr="001E42CA">
        <w:t xml:space="preserve">Svenska kommunförbundet (2000a), </w:t>
      </w:r>
      <w:r w:rsidRPr="001E42CA">
        <w:rPr>
          <w:i/>
        </w:rPr>
        <w:t>Kommunernas ekonomiska läge</w:t>
      </w:r>
      <w:r w:rsidRPr="001E42CA">
        <w:t>, Okt</w:t>
      </w:r>
      <w:r w:rsidRPr="001E42CA">
        <w:t>o</w:t>
      </w:r>
      <w:r w:rsidRPr="001E42CA">
        <w:t>ber 2000.</w:t>
      </w:r>
    </w:p>
    <w:p w:rsidR="00DC1575" w:rsidRPr="001E42CA" w:rsidRDefault="00DC1575">
      <w:pPr>
        <w:rPr>
          <w:i/>
        </w:rPr>
      </w:pPr>
      <w:r w:rsidRPr="001E42CA">
        <w:t xml:space="preserve">Svenska kommunförbundet (2000b), </w:t>
      </w:r>
      <w:r w:rsidRPr="001E42CA">
        <w:rPr>
          <w:i/>
        </w:rPr>
        <w:t xml:space="preserve">Växa och krympa – flyttströmmarna, utjämningen och de kommunalekonomiska konsekvenserna. </w:t>
      </w:r>
    </w:p>
    <w:p w:rsidR="00DC1575" w:rsidRPr="001E42CA" w:rsidRDefault="00DC1575">
      <w:r w:rsidRPr="001E42CA">
        <w:t xml:space="preserve">Svenska Naturskyddsföreningen (1998), </w:t>
      </w:r>
      <w:r w:rsidRPr="001E42CA">
        <w:rPr>
          <w:i/>
        </w:rPr>
        <w:t>Konsten att använda 5,4 miljarder – En kritisk granskning av stödet till de lokala investeringsprogrammen för hållbar utveckling</w:t>
      </w:r>
      <w:r w:rsidRPr="001E42CA">
        <w:t xml:space="preserve">, Rapport 9423/98. </w:t>
      </w:r>
    </w:p>
    <w:p w:rsidR="00DC1575" w:rsidRPr="001E42CA" w:rsidRDefault="00DC1575">
      <w:pPr>
        <w:pStyle w:val="Normaltindrag"/>
      </w:pPr>
    </w:p>
    <w:p w:rsidR="00DC1575" w:rsidRPr="001E42CA" w:rsidRDefault="00DC1575">
      <w:pPr>
        <w:pStyle w:val="Normaltindrag"/>
      </w:pPr>
      <w:r w:rsidRPr="001E42CA">
        <w:br w:type="page"/>
      </w:r>
    </w:p>
    <w:p w:rsidR="00DC1575" w:rsidRPr="001E42CA" w:rsidRDefault="00DC1575">
      <w:pPr>
        <w:pStyle w:val="Normaltindrag"/>
      </w:pPr>
    </w:p>
    <w:p w:rsidR="00DC1575" w:rsidRPr="001E42CA" w:rsidRDefault="00DC1575">
      <w:pPr>
        <w:pStyle w:val="R1"/>
      </w:pPr>
      <w:r w:rsidRPr="001E42CA">
        <w:br w:type="page"/>
        <w:t>Bilaga 1 Anslagets omfattning och syfte</w:t>
      </w:r>
    </w:p>
    <w:p w:rsidR="00DC1575" w:rsidRPr="001E42CA" w:rsidRDefault="00DC1575">
      <w:pPr>
        <w:pStyle w:val="R2"/>
        <w:spacing w:before="123"/>
      </w:pPr>
      <w:r w:rsidRPr="001E42CA">
        <w:t>Omfattning</w:t>
      </w:r>
    </w:p>
    <w:p w:rsidR="00DC1575" w:rsidRPr="001E42CA" w:rsidRDefault="00DC1575">
      <w:r w:rsidRPr="001E42CA">
        <w:t xml:space="preserve">Anslaget för bidrag till särskilda insatser i vissa kommuner och landsting infördes ursprungligen som ett </w:t>
      </w:r>
      <w:r w:rsidRPr="001E42CA">
        <w:rPr>
          <w:i/>
        </w:rPr>
        <w:t>tillfälligt</w:t>
      </w:r>
      <w:r w:rsidRPr="001E42CA">
        <w:t xml:space="preserve"> stöd. Det har dock närmast fått karaktären av ett permanent anslag. Nedan redovisas kortfattat hur anslaget har utvec</w:t>
      </w:r>
      <w:r w:rsidRPr="001E42CA">
        <w:t>k</w:t>
      </w:r>
      <w:r w:rsidRPr="001E42CA">
        <w:t xml:space="preserve">lats. </w:t>
      </w:r>
    </w:p>
    <w:p w:rsidR="00DC1575" w:rsidRPr="001E42CA" w:rsidRDefault="00DC1575">
      <w:pPr>
        <w:pStyle w:val="Normaltindrag"/>
      </w:pPr>
      <w:r w:rsidRPr="001E42CA">
        <w:t>Inledningsvis avsattes 400 miljoner kronor för 1996. I 1996 års ekonomi</w:t>
      </w:r>
      <w:r w:rsidRPr="001E42CA">
        <w:t>s</w:t>
      </w:r>
      <w:r w:rsidRPr="001E42CA">
        <w:t>ka vårproposition (prop. 1995/96:150) gjordes bedömningen att regeringen även fortsättningsvis borde ha tillgång till de extra resurser som de särskilda medlen utgjorde, bl.a. mot bakgrund av de ekonomiska problem som vissa kommuner kunde få till följd av att stora borgensåtaga</w:t>
      </w:r>
      <w:r w:rsidRPr="001E42CA">
        <w:t>n</w:t>
      </w:r>
      <w:r w:rsidRPr="001E42CA">
        <w:t xml:space="preserve">den måste infrias. </w:t>
      </w:r>
    </w:p>
    <w:p w:rsidR="00DC1575" w:rsidRPr="001E42CA" w:rsidRDefault="00DC1575">
      <w:pPr>
        <w:pStyle w:val="Normaltindrag"/>
      </w:pPr>
      <w:r w:rsidRPr="001E42CA">
        <w:t>I budgetpropositionen för 1997 (prop. 1996/97:1) konkretiserades bedö</w:t>
      </w:r>
      <w:r w:rsidRPr="001E42CA">
        <w:t>m</w:t>
      </w:r>
      <w:r w:rsidRPr="001E42CA">
        <w:t>ningen i vårpropositionen, och det föreslogs att 400 miljoner kronor skulle avsättas till anslaget för budgetåret 1997. Regeringen bedömde att medel skulle b</w:t>
      </w:r>
      <w:r w:rsidRPr="001E42CA">
        <w:t>e</w:t>
      </w:r>
      <w:r w:rsidRPr="001E42CA">
        <w:t>höva anslås även för åren 1998 och 1999.</w:t>
      </w:r>
    </w:p>
    <w:p w:rsidR="00DC1575" w:rsidRPr="001E42CA" w:rsidRDefault="00DC1575">
      <w:pPr>
        <w:pStyle w:val="Normaltindrag"/>
      </w:pPr>
      <w:r w:rsidRPr="001E42CA">
        <w:t>I 1997 års ekonomiska vårproposition (prop. 1996/97:150) bedömde reg</w:t>
      </w:r>
      <w:r w:rsidRPr="001E42CA">
        <w:t>e</w:t>
      </w:r>
      <w:r w:rsidRPr="001E42CA">
        <w:t>ringen att det fortfarande fanns kommuner och landsting som på grund av speciella omständigheter kunde hamna i en särskilt svår ekonomisk situation. Regeringen föreslog i tilläggsbudget en ökning av anslaget med 200 miljoner kronor för år 1997. För åren 1998 och 1999 bedömdes behoven till 800 mi</w:t>
      </w:r>
      <w:r w:rsidRPr="001E42CA">
        <w:t>l</w:t>
      </w:r>
      <w:r w:rsidRPr="001E42CA">
        <w:t>joner kronor respektive 600 miljoner kronor, dvs. en höjning med 400 milj</w:t>
      </w:r>
      <w:r w:rsidRPr="001E42CA">
        <w:t>o</w:t>
      </w:r>
      <w:r w:rsidRPr="001E42CA">
        <w:t>ner kronor respektive 200 miljoner kronor. De ökade anslagen för 1997–1999 ingick som en del av höjningen av statsbidragen till kommuner och</w:t>
      </w:r>
      <w:r w:rsidRPr="001E42CA">
        <w:t xml:space="preserve"> land</w:t>
      </w:r>
      <w:r w:rsidRPr="001E42CA">
        <w:t>s</w:t>
      </w:r>
      <w:r w:rsidRPr="001E42CA">
        <w:t>ting. Av budgetpropositionen för 1998 (prop. 1997/98:1) framgick att ansl</w:t>
      </w:r>
      <w:r w:rsidRPr="001E42CA">
        <w:t>a</w:t>
      </w:r>
      <w:r w:rsidRPr="001E42CA">
        <w:t>get för 1998, på grund av olika omdisponeringar, kom att uppgå till 736,6 milj</w:t>
      </w:r>
      <w:r w:rsidRPr="001E42CA">
        <w:t>o</w:t>
      </w:r>
      <w:r w:rsidRPr="001E42CA">
        <w:t xml:space="preserve">ner kronor. </w:t>
      </w:r>
    </w:p>
    <w:p w:rsidR="00DC1575" w:rsidRPr="001E42CA" w:rsidRDefault="00DC1575">
      <w:pPr>
        <w:pStyle w:val="Normaltindrag"/>
      </w:pPr>
      <w:r w:rsidRPr="001E42CA">
        <w:t>I 1998 års ekonomiska vårproposition (prop. 1997/98:150) föreslogs en ytterligare ökning av statsbidragen för kommuner och landsting. Av bidrag</w:t>
      </w:r>
      <w:r w:rsidRPr="001E42CA">
        <w:t>s</w:t>
      </w:r>
      <w:r w:rsidRPr="001E42CA">
        <w:t>höjningen för 1998 avsattes 400 miljoner kronor för särskilda insatser. Det sammanlagda beloppet för särskilda insatser 1998 uppgick därigenom till 1 137 miljoner kronor. Regeringen ansåg att det även för 1999 borde avsättas 400 miljoner kronor för särskilda insatser, dvs. totalt 1 000 miljoner kronor. För åren 2000 och 2001 borde 700 miljoner kronor av tillskotten för respe</w:t>
      </w:r>
      <w:r w:rsidRPr="001E42CA">
        <w:t>k</w:t>
      </w:r>
      <w:r w:rsidRPr="001E42CA">
        <w:t>tive år (de ökade statsbidragen) avsättas för särskilda insatser. Därigenom skulle sammanlagt 1 100 miljoner kronor per år avsättas f</w:t>
      </w:r>
      <w:r w:rsidRPr="001E42CA">
        <w:t xml:space="preserve">ör ändamålet. </w:t>
      </w:r>
    </w:p>
    <w:p w:rsidR="00DC1575" w:rsidRPr="001E42CA" w:rsidRDefault="00DC1575">
      <w:pPr>
        <w:pStyle w:val="Normaltindrag"/>
      </w:pPr>
      <w:r w:rsidRPr="001E42CA">
        <w:t>I budgetpropositionen för 1999 (prop. 1998/99:1) ansåg regeringen fortf</w:t>
      </w:r>
      <w:r w:rsidRPr="001E42CA">
        <w:t>a</w:t>
      </w:r>
      <w:r w:rsidRPr="001E42CA">
        <w:t>rande att det fanns kommuner och landsting som på grund av speciella o</w:t>
      </w:r>
      <w:r w:rsidRPr="001E42CA">
        <w:t>m</w:t>
      </w:r>
      <w:r w:rsidRPr="001E42CA">
        <w:t>ständigheter kunde hamna i en särskilt svår ekonomisk situation. Regeringen ansåg att en stor del av medlen för särskilda insatser borde användas för stöd till kommuner med övermäktiga åtaganden för boendet. Totalt uppgick a</w:t>
      </w:r>
      <w:r w:rsidRPr="001E42CA">
        <w:t>n</w:t>
      </w:r>
      <w:r w:rsidRPr="001E42CA">
        <w:t>slaget för 1999 till 1 014 miljoner kronor. Riksdagen beslutade på tillägg</w:t>
      </w:r>
      <w:r w:rsidRPr="001E42CA">
        <w:t>s</w:t>
      </w:r>
      <w:r w:rsidRPr="001E42CA">
        <w:t xml:space="preserve">budget i samband med den ekonomiska vårpropositionen 1999 (1998/99:100) om en engångsvis minskning av anslaget med 40 miljoner kronor. </w:t>
      </w:r>
    </w:p>
    <w:p w:rsidR="00DC1575" w:rsidRPr="001E42CA" w:rsidRDefault="00DC1575">
      <w:pPr>
        <w:pStyle w:val="Normaltindrag"/>
      </w:pPr>
      <w:r w:rsidRPr="001E42CA">
        <w:t>Av 1</w:t>
      </w:r>
      <w:r w:rsidRPr="001E42CA">
        <w:t>999 års ekonomiska vårproposition (1998/99:100) framgår att reg</w:t>
      </w:r>
      <w:r w:rsidRPr="001E42CA">
        <w:t>e</w:t>
      </w:r>
      <w:r w:rsidRPr="001E42CA">
        <w:t>ringen betonade vikten av att balanskravet för kommuner och landsting up</w:t>
      </w:r>
      <w:r w:rsidRPr="001E42CA">
        <w:t>p</w:t>
      </w:r>
      <w:r w:rsidRPr="001E42CA">
        <w:t>nås redan från år 2000. De beslutade och i vårpropositionen aviserade ö</w:t>
      </w:r>
      <w:r w:rsidRPr="001E42CA">
        <w:t>k</w:t>
      </w:r>
      <w:r w:rsidRPr="001E42CA">
        <w:t xml:space="preserve">ningarna av statsbidragen, de ytterligare skatteinkomster som tillförs sektorn samt en förbättrad samhällsekonomisk utveckling lade, enligt regeringen, en god grund för kommuner och landsting att klara kravet på en ekonomi i balans utan att kommunernas och landstingens skatteuttag skulle behöva höjas. </w:t>
      </w:r>
      <w:r w:rsidRPr="001E42CA">
        <w:t>Det framgår vidare att regeringen även i fortsättningen avsåg att noga följa utvecklingen och inleda en dialog med de kommuner och landsting som av någon anledning kunde få problem att nå balans i ekonomin om vilka åtgä</w:t>
      </w:r>
      <w:r w:rsidRPr="001E42CA">
        <w:t>r</w:t>
      </w:r>
      <w:r w:rsidRPr="001E42CA">
        <w:t xml:space="preserve">der de kunde vidta. </w:t>
      </w:r>
    </w:p>
    <w:p w:rsidR="00DC1575" w:rsidRPr="001E42CA" w:rsidRDefault="00DC1575">
      <w:pPr>
        <w:pStyle w:val="Normaltindrag"/>
      </w:pPr>
      <w:r w:rsidRPr="001E42CA">
        <w:t>I budgetpropositionen för 2000 (prop. 1999/2000:1) betonades vikten av fortsatta omstruktureringar. Det pekades på att omstruktureringsarbetet även var av stor betydelse för möjligheterna att nå det lagstadgade balanskravet för kommuner och landsting (här redovisades att</w:t>
      </w:r>
      <w:r w:rsidRPr="001E42CA">
        <w:t xml:space="preserve"> regeringen tillsatt Ko</w:t>
      </w:r>
      <w:r w:rsidRPr="001E42CA">
        <w:t>m</w:t>
      </w:r>
      <w:r w:rsidRPr="001E42CA">
        <w:t>mundelegationen, se avsnitt 2.2). Regeringen gjorde bedömningen att det även under de närmaste åren fanns behov av särskilda medel för kommuner och landsting med en särskilt svår ekonomisk situation. De medel som a</w:t>
      </w:r>
      <w:r w:rsidRPr="001E42CA">
        <w:t>v</w:t>
      </w:r>
      <w:r w:rsidRPr="001E42CA">
        <w:t>sattes framöver för bidrag till särskilda insatser behövdes både för att stödja kommuner med övermäktiga åtaganden för boendet och för att stödja ko</w:t>
      </w:r>
      <w:r w:rsidRPr="001E42CA">
        <w:t>m</w:t>
      </w:r>
      <w:r w:rsidRPr="001E42CA">
        <w:t>muner och landsting som av andra yttre strukturella orsaker har svårt att nå balans i ekonomin. För 2000 föreslog regeringen</w:t>
      </w:r>
      <w:r w:rsidRPr="001E42CA">
        <w:t xml:space="preserve"> att anslaget skulle ökas med 117,5 miljoner kronor till 1 091,5 miljoner kronor. Regeringen avsåg att för 2001 engångsvis höja anslaget med 700 miljoner kronor, utöver vad som tidigare aviserats. För 2002 beräknades a</w:t>
      </w:r>
      <w:r w:rsidRPr="001E42CA">
        <w:t>n</w:t>
      </w:r>
      <w:r w:rsidRPr="001E42CA">
        <w:t xml:space="preserve">slaget till 671 miljoner kronor. </w:t>
      </w:r>
    </w:p>
    <w:p w:rsidR="00DC1575" w:rsidRPr="001E42CA" w:rsidRDefault="00DC1575">
      <w:pPr>
        <w:pStyle w:val="Normaltindrag"/>
      </w:pPr>
      <w:r w:rsidRPr="001E42CA">
        <w:t xml:space="preserve">I budgetpropositionen för 2001 (prop. 2000/01:1) bedömde regeringen att bidraget borde höjas engångsvis med 700 miljoner kronor under 2001 (till detta kommer en viss överföring från anslaget Generellt statsbidrag till kommuner och landsting, se avsnitt 2.2). </w:t>
      </w:r>
      <w:r w:rsidRPr="001E42CA">
        <w:t>För åren 2002 och 2003 beräknades anslaget 1 007 miljoner kronor respektive 665 miljoner kronor. I propositi</w:t>
      </w:r>
      <w:r w:rsidRPr="001E42CA">
        <w:t>o</w:t>
      </w:r>
      <w:r w:rsidRPr="001E42CA">
        <w:t>nen redovisades att Kommundelegationen upphört och att Bostadsdelegati</w:t>
      </w:r>
      <w:r w:rsidRPr="001E42CA">
        <w:t>o</w:t>
      </w:r>
      <w:r w:rsidRPr="001E42CA">
        <w:t xml:space="preserve">nen beräknades avslutas under 2001. </w:t>
      </w:r>
    </w:p>
    <w:p w:rsidR="00DC1575" w:rsidRPr="001E42CA" w:rsidRDefault="00DC1575">
      <w:pPr>
        <w:pStyle w:val="R2"/>
      </w:pPr>
      <w:r w:rsidRPr="001E42CA">
        <w:t>Syftet med anslaget</w:t>
      </w:r>
    </w:p>
    <w:p w:rsidR="00DC1575" w:rsidRPr="001E42CA" w:rsidRDefault="00DC1575">
      <w:r w:rsidRPr="001E42CA">
        <w:t>Anslaget infördes ursprungligen för att tillfälligt hantera problem i samband med införandet av det nya utjämningssystemet för kommunerna. Syftet har sedan dess ändrat karaktär och gått i riktning mot ett stöd till kommuner och landsting som på grund av speciella omständigheter kan hamna i en särskilt svår ekonomisk situation. Anslaget har dock även utnyttjats för ett flertal andra användningsområden. Nedan redovisas kortfattat hur anslaget har utnyttjats.</w:t>
      </w:r>
    </w:p>
    <w:p w:rsidR="00DC1575" w:rsidRPr="001E42CA" w:rsidRDefault="00DC1575">
      <w:pPr>
        <w:pStyle w:val="R3"/>
      </w:pPr>
      <w:r w:rsidRPr="001E42CA">
        <w:t>Omstruktureringsprojekt</w:t>
      </w:r>
    </w:p>
    <w:p w:rsidR="00DC1575" w:rsidRPr="001E42CA" w:rsidRDefault="00DC1575">
      <w:r w:rsidRPr="001E42CA">
        <w:t>I propositionen Vissa åtgärder för att halvera arbetslösheten till år 2000 (prop. 1995/96:222) ansåg regeringen att högst 200 miljoner kronor av de medel som avsatts för särskilda åtgärder för 1996 engångsvis även borde få användas för omstruktureringsprojekt. Det gällde projekt som kommuner och landsting genomför med syfte att underlätta den omstrukturering som måste ske för att åstadkomma en verksamhet som motsvarade den ekonomiska situationen. En kommitté skulle inom de ramar som regeringen angav beslut</w:t>
      </w:r>
      <w:r w:rsidRPr="001E42CA">
        <w:t>a om tilldelning av medel efter ansökningar från enskilda kommuner och landsting. Resultatet av denna projektverksamhet har avrapporterats i betä</w:t>
      </w:r>
      <w:r w:rsidRPr="001E42CA">
        <w:t>n</w:t>
      </w:r>
      <w:r w:rsidRPr="001E42CA">
        <w:t>kandet Nya grepp – kommunal förnyelse och kompetensutveckling (SOU 1998:91). De projekt som genomfördes omfattade enligt kommittén i stor utsträckning olika typer av kompetenshöjande insa</w:t>
      </w:r>
      <w:r w:rsidRPr="001E42CA">
        <w:t>t</w:t>
      </w:r>
      <w:r w:rsidRPr="001E42CA">
        <w:t>ser.</w:t>
      </w:r>
    </w:p>
    <w:p w:rsidR="00DC1575" w:rsidRPr="001E42CA" w:rsidRDefault="00DC1575">
      <w:pPr>
        <w:pStyle w:val="R3"/>
      </w:pPr>
      <w:r w:rsidRPr="001E42CA">
        <w:t>Insatser för flyktingar</w:t>
      </w:r>
    </w:p>
    <w:p w:rsidR="00DC1575" w:rsidRPr="001E42CA" w:rsidRDefault="00DC1575">
      <w:r w:rsidRPr="001E42CA">
        <w:t>I en skrivelse till riksdagen (skr. 1996/97:51) i oktober 1996 redovisade regeringen att den engångsvis skulle komma att göra vissa insatser för de kommuner som hade en särskilt stor andel flyktingar, bl.a. på grund av en stor sekundärinflyttning från andra kommuner. Dessa kommuner hade fått höga kostnader främst för socialbidrag till följd av att arbetslösheten drabbat flyktingar extra hårt. Det framgick av skrivelsen att regeringen ansåg att insatserna för kommuner som riskerade att få en särskilt svår e</w:t>
      </w:r>
      <w:r w:rsidRPr="001E42CA">
        <w:t>konomisk situation till följd av att de hade en mycket stor andel flyktingar och hög arbetslöshet bland dessa, låg inom ramen för ändamålet med anslaget för särskilda insatser. Insatserna finansierades dels med de 200 miljoner kronor som fanns avsatta för 1996, dels med högst hälften av de 400 miljoner kronor som föreslagits för 1997. Under 1998 utnyttjades ytterligare ca 250 miljoner kronor för detta ändamål.</w:t>
      </w:r>
    </w:p>
    <w:p w:rsidR="00DC1575" w:rsidRPr="001E42CA" w:rsidRDefault="00DC1575">
      <w:pPr>
        <w:pStyle w:val="R3"/>
      </w:pPr>
      <w:r w:rsidRPr="001E42CA">
        <w:t>Förebyggande hiv/aidsverksamhet</w:t>
      </w:r>
    </w:p>
    <w:p w:rsidR="00DC1575" w:rsidRPr="001E42CA" w:rsidRDefault="00DC1575">
      <w:r w:rsidRPr="001E42CA">
        <w:t>I budgetpropositionen för 1998 (prop. 1997/98:1) avsattes 90 miljoner kronor för att användas för bidrag till kommuner och landsting i storstadsområdena för förebyggande hiv/aidsverksamhet</w:t>
      </w:r>
      <w:r w:rsidRPr="001E42CA">
        <w:rPr>
          <w:rStyle w:val="Fotnotsreferens"/>
        </w:rPr>
        <w:footnoteReference w:id="20"/>
      </w:r>
      <w:r w:rsidRPr="001E42CA">
        <w:t xml:space="preserve"> (varav 20 miljoner kronor utgjorde en överföring från utgiftsområde 9). </w:t>
      </w:r>
    </w:p>
    <w:p w:rsidR="00DC1575" w:rsidRPr="001E42CA" w:rsidRDefault="00DC1575">
      <w:pPr>
        <w:pStyle w:val="Normaltindrag"/>
      </w:pPr>
      <w:r w:rsidRPr="001E42CA">
        <w:t>För budgetåret 1999 avsattes 84 miljoner kronor av anslaget för bidrag till förebyggande hiv/aidsverksamhet i kommuner och landsting i storstadso</w:t>
      </w:r>
      <w:r w:rsidRPr="001E42CA">
        <w:t>m</w:t>
      </w:r>
      <w:r w:rsidRPr="001E42CA">
        <w:t>rådena (14 miljoner överfördes från utgiftsområde 9). För år 2000 anvisades återigen 84 miljoner kronor. I regeringens budgetförslag för 2001 beräknades inte särskilda medel för detta ändamål. Finansutskottet ville dock även under 2001 värna om de verksamheter som byggts upp varför högst 84 miljoner kronor föreslogs få användas för det hivpreventiva arbetet i storstadsregi</w:t>
      </w:r>
      <w:r w:rsidRPr="001E42CA">
        <w:t>o</w:t>
      </w:r>
      <w:r w:rsidRPr="001E42CA">
        <w:t>nerna (2001/01:FiU3). Riksdagen beslutade i enlighet med utskottets förslag.</w:t>
      </w:r>
    </w:p>
    <w:p w:rsidR="00DC1575" w:rsidRPr="001E42CA" w:rsidRDefault="00DC1575">
      <w:pPr>
        <w:pStyle w:val="R3"/>
      </w:pPr>
      <w:r w:rsidRPr="001E42CA">
        <w:t>Bostadsdelegationen</w:t>
      </w:r>
    </w:p>
    <w:p w:rsidR="00DC1575" w:rsidRPr="001E42CA" w:rsidRDefault="00DC1575">
      <w:r w:rsidRPr="001E42CA">
        <w:t>Den 1 juli 1998 inrättade regeringen i enlighet med riksdagens beslut Del</w:t>
      </w:r>
      <w:r w:rsidRPr="001E42CA">
        <w:t>e</w:t>
      </w:r>
      <w:r w:rsidRPr="001E42CA">
        <w:t>gationen för stöd till vissa kommuner med bostadsåtaganden (prop. 1997/98:119, bet. 1997/98:BoU10, rskr. 1997/98:306). Bostadsdelegationen ska tillfälligtvis hantera frågor om stöd till kommuner med övermäktiga åtaganden för boendet. I delegationens uppgifter ingår att bereda ärenden om stöd, överlägga med enskilda kommuner om lämpliga åtgärder och krav samt samordna olika insatser. Delegationen och dess uppgifter beskrivs detaljerat i kapitel 3.</w:t>
      </w:r>
    </w:p>
    <w:p w:rsidR="00DC1575" w:rsidRPr="001E42CA" w:rsidRDefault="00DC1575">
      <w:pPr>
        <w:pStyle w:val="R3"/>
      </w:pPr>
      <w:r w:rsidRPr="001E42CA">
        <w:t>Kommundelegationen</w:t>
      </w:r>
    </w:p>
    <w:p w:rsidR="00DC1575" w:rsidRPr="001E42CA" w:rsidRDefault="00DC1575">
      <w:r w:rsidRPr="001E42CA">
        <w:t>I november 1999 tillkallade regeringen en särskild delegation (dir. 1999:65) för att hantera bidrag till kommuner och landsting. Delegationen för stöd till vissa kommuner och landsting med svårigheter att klara balanskravet (Ko</w:t>
      </w:r>
      <w:r w:rsidRPr="001E42CA">
        <w:t>m</w:t>
      </w:r>
      <w:r w:rsidRPr="001E42CA">
        <w:t>mundelegationen) fick till uppgift att inför regeringens beslut bereda ärenden om ekonomiskt stöd till vissa kommuner och landsting för åtgärder i syfte att nå ekonomisk balans. Medel under anslaget för särskilda insatser avsågs användas för att stödja de berörda kommunerna. Dessutom avsågs medel som skulle återvinnas genom försäljning av aktierna i Haninge Holding AB kunna användas för bl.a. detta ändamål.</w:t>
      </w:r>
      <w:r w:rsidRPr="001E42CA">
        <w:rPr>
          <w:rStyle w:val="Fotnotsreferens"/>
        </w:rPr>
        <w:footnoteReference w:id="21"/>
      </w:r>
      <w:r w:rsidRPr="001E42CA">
        <w:t xml:space="preserve"> Kommundelegationen lämnade sin slutrapport till regeringen den 30 juni 2000. Delegationen och dess uppgifter beskrivs närmare i kapitel 3.</w:t>
      </w:r>
    </w:p>
    <w:p w:rsidR="00DC1575" w:rsidRPr="001E42CA" w:rsidRDefault="00DC1575">
      <w:pPr>
        <w:pStyle w:val="R3"/>
      </w:pPr>
      <w:r w:rsidRPr="001E42CA">
        <w:t>Översvämningarna i juli 2000</w:t>
      </w:r>
    </w:p>
    <w:p w:rsidR="00DC1575" w:rsidRPr="001E42CA" w:rsidRDefault="00DC1575">
      <w:r w:rsidRPr="001E42CA">
        <w:t>I tilläggsbudget för 2000 (prop. 2000/01:1) bedömde regeringen att högst 100 miljoner kronor av anslaget behövde användas för att bistå kommuner som haft betydande kostnader till följd av översvämningarna i juli 2000. Utan ett sådant stöd fanns det enligt propositionen risk för att verksamheten i berörda kommuner kunde påverkas negativt. Regeringen fattade i december 2000 beslut om att fördela 49 miljoner kronor till 15 kommuner (beslut om ersät</w:t>
      </w:r>
      <w:r w:rsidRPr="001E42CA">
        <w:t>t</w:t>
      </w:r>
      <w:r w:rsidRPr="001E42CA">
        <w:t>ning till följd av räddningstjänstkostnader meddelas senare).</w:t>
      </w:r>
    </w:p>
    <w:p w:rsidR="00DC1575" w:rsidRPr="001E42CA" w:rsidRDefault="00DC1575">
      <w:pPr>
        <w:pStyle w:val="R3"/>
      </w:pPr>
      <w:r w:rsidRPr="001E42CA">
        <w:t>Andra katastrofer</w:t>
      </w:r>
    </w:p>
    <w:p w:rsidR="00DC1575" w:rsidRPr="001E42CA" w:rsidRDefault="00DC1575">
      <w:r w:rsidRPr="001E42CA">
        <w:t>Under första halvåret 2000 beslutade regeringen att Göteborgs kommun skulle erhålla 90 miljoner kronor för att täcka kostnader till följd av disk</w:t>
      </w:r>
      <w:r w:rsidRPr="001E42CA">
        <w:t>o</w:t>
      </w:r>
      <w:r w:rsidRPr="001E42CA">
        <w:t>tekbranden.</w:t>
      </w:r>
    </w:p>
    <w:p w:rsidR="00DC1575" w:rsidRPr="001E42CA" w:rsidRDefault="00DC1575">
      <w:pPr>
        <w:pStyle w:val="Normaltindrag"/>
      </w:pPr>
      <w:r w:rsidRPr="001E42CA">
        <w:t xml:space="preserve">Genom beslut av regeringen 1999 fick Trosa kommun 6,1 miljoner kronor i bidrag på grund av raset i Vagnhärad. </w:t>
      </w:r>
    </w:p>
    <w:p w:rsidR="00DC1575" w:rsidRPr="001E42CA" w:rsidRDefault="00DC1575">
      <w:pPr>
        <w:pStyle w:val="R3"/>
      </w:pPr>
      <w:r w:rsidRPr="001E42CA">
        <w:t>Kommunkontosystemet</w:t>
      </w:r>
    </w:p>
    <w:p w:rsidR="00DC1575" w:rsidRPr="001E42CA" w:rsidRDefault="00DC1575">
      <w:r w:rsidRPr="001E42CA">
        <w:t>Enligt tilläggsbudgeten för 2000 behöver det s.k. kommunkontosystemet (systemet reglerar kommuners och landstings ingående moms) analyseras ytterligare. Analysen gäller bl.a. att förklara de stora variationerna i utbeta</w:t>
      </w:r>
      <w:r w:rsidRPr="001E42CA">
        <w:t>l</w:t>
      </w:r>
      <w:r w:rsidRPr="001E42CA">
        <w:t>ningar som föreligger mellan olika kommuner. Ett utvecklingsarbete behöver vidare inledas i syfte att stärka möjligheterna till uppföljning och kontroll av systemet. För detta ändamål bedömdes 1,5 miljoner kronor av anslaget beh</w:t>
      </w:r>
      <w:r w:rsidRPr="001E42CA">
        <w:t>ö</w:t>
      </w:r>
      <w:r w:rsidRPr="001E42CA">
        <w:t>va användas.</w:t>
      </w:r>
    </w:p>
    <w:p w:rsidR="00DC1575" w:rsidRPr="001E42CA" w:rsidRDefault="00DC1575">
      <w:pPr>
        <w:pStyle w:val="R3"/>
      </w:pPr>
      <w:r w:rsidRPr="001E42CA">
        <w:t>Omställningsbidrag för landsting</w:t>
      </w:r>
    </w:p>
    <w:p w:rsidR="00DC1575" w:rsidRPr="001E42CA" w:rsidRDefault="00DC1575">
      <w:r w:rsidRPr="001E42CA">
        <w:t>I propositionen Vissa kommunalekonomiska frågor (prop. 1999/2000:115) föreslog regeringen att ett omställningsbidrag inrättas för de landsting som haft en stor befolkningsminskning under en femårsperiod. Omställningsb</w:t>
      </w:r>
      <w:r w:rsidRPr="001E42CA">
        <w:t>i</w:t>
      </w:r>
      <w:r w:rsidRPr="001E42CA">
        <w:t xml:space="preserve">draget ska finansieras med medel från anslaget Bidrag för särskilda insatser i vissa kommuner och landsting. Omställningsbidraget kommer att utgå 2001 och 2002 och beräknas uppgå till 150 miljoner kronor per år. Regeringen fattade i december beslut om att fördela drygt 153 miljoner kronor till 7 landsting för 2001. </w:t>
      </w:r>
    </w:p>
    <w:p w:rsidR="00DC1575" w:rsidRPr="001E42CA" w:rsidRDefault="00DC1575">
      <w:pPr>
        <w:pStyle w:val="R3"/>
      </w:pPr>
      <w:r w:rsidRPr="001E42CA">
        <w:t>Stöd och service till vissa funktionshindrade</w:t>
      </w:r>
    </w:p>
    <w:p w:rsidR="00DC1575" w:rsidRPr="001E42CA" w:rsidRDefault="00DC1575">
      <w:r w:rsidRPr="001E42CA">
        <w:t>Ett statsbidrag avses införas 2001 och 2002 som en övergångslösning, i avvaktan på en långsiktigt hållbar lösning, för att kompensera kommuner som har höga kostnader för verksamhet enligt lagen (1993:387) om stöd och service till vissa funktionshindrade, LSS (prop. 1999/2000:115). Statsbidr</w:t>
      </w:r>
      <w:r w:rsidRPr="001E42CA">
        <w:t>a</w:t>
      </w:r>
      <w:r w:rsidRPr="001E42CA">
        <w:t>get beräknas uppgå till 350 miljoner kronor per år och finansieras med medel från det anslag som är föremål för denna granskning. Samtidigt förs 350 miljoner kronor till detta anslag från anslaget Generellt statsbidrag till ko</w:t>
      </w:r>
      <w:r w:rsidRPr="001E42CA">
        <w:t>m</w:t>
      </w:r>
      <w:r w:rsidRPr="001E42CA">
        <w:t>muner och landsting. Statsbidraget fördelas av regeringen.</w:t>
      </w:r>
    </w:p>
    <w:p w:rsidR="00DC1575" w:rsidRPr="001E42CA" w:rsidRDefault="00DC1575">
      <w:pPr>
        <w:pStyle w:val="Normaltindrag"/>
      </w:pPr>
      <w:r w:rsidRPr="001E42CA">
        <w:t>För särskilt kostnadskrävande insatser enligt LSS avses vidare ett särskilt statsbidrag införas 2001 och 2002 som kommuner kan ansöka om (prop. 1999/2000:115). Det särskilda bidraget beräknas uppgå till 100 miljoner kronor pe</w:t>
      </w:r>
      <w:r w:rsidRPr="001E42CA">
        <w:t>r år och fördelas av Socialstyrelsen efter ansökan från kommuner.</w:t>
      </w:r>
    </w:p>
    <w:p w:rsidR="00DC1575" w:rsidRPr="001E42CA" w:rsidRDefault="00DC1575">
      <w:pPr>
        <w:pStyle w:val="Normaltindrag"/>
      </w:pPr>
      <w:r w:rsidRPr="001E42CA">
        <w:t>Statsbidragen är tillfälliga under 2001 och 2002. Regeringen avser att til</w:t>
      </w:r>
      <w:r w:rsidRPr="001E42CA">
        <w:t>l</w:t>
      </w:r>
      <w:r w:rsidRPr="001E42CA">
        <w:t>sätta en parlamentarisk utredning som ska lägga förslag om en permanent nationell utjämning av LSS-kostnader som kan träda i kraft 2003.</w:t>
      </w:r>
    </w:p>
    <w:p w:rsidR="00DC1575" w:rsidRPr="001E42CA" w:rsidRDefault="00DC1575">
      <w:pPr>
        <w:pStyle w:val="R3"/>
      </w:pPr>
      <w:r w:rsidRPr="001E42CA">
        <w:t>Konsumentåtgärder</w:t>
      </w:r>
    </w:p>
    <w:p w:rsidR="00DC1575" w:rsidRPr="001E42CA" w:rsidRDefault="00DC1575">
      <w:r w:rsidRPr="001E42CA">
        <w:t>Regeringen föreslog i budgetpropositionen för 2001 (prop. 2000/01:1) att 8 miljoner kronor från detta anslag tillfälligt för 2001 bör överföras till utgift</w:t>
      </w:r>
      <w:r w:rsidRPr="001E42CA">
        <w:t>s</w:t>
      </w:r>
      <w:r w:rsidRPr="001E42CA">
        <w:t>område 24 Näringsliv, anslaget 40:2 Konsumentverket. Åren 2002 och 2003 bör 6 miljoner kronor föras till samma anslag. Medlen ska bl.a. användas för att stödja den kommunala konsumentvägledningen.</w:t>
      </w:r>
    </w:p>
    <w:p w:rsidR="00DC1575" w:rsidRPr="001E42CA" w:rsidRDefault="00DC1575">
      <w:pPr>
        <w:pStyle w:val="Normaltindrag"/>
      </w:pPr>
      <w:r w:rsidRPr="001E42CA">
        <w:t xml:space="preserve">Ytterligare 3,8 miljoner kronor förs tillfälligt för 2001 till utgiftsområde 24 Näringsliv, anslaget 40:6 Konsumentbefrämjande åtgärder. Medlen ska användas dels till stöd till konsumentorganisationer, dels för projektstöd. </w:t>
      </w:r>
    </w:p>
    <w:p w:rsidR="00DC1575" w:rsidRPr="001E42CA" w:rsidRDefault="00DC1575">
      <w:pPr>
        <w:pStyle w:val="R3"/>
      </w:pPr>
      <w:r w:rsidRPr="001E42CA">
        <w:t>Nedläggningar i försvaret</w:t>
      </w:r>
    </w:p>
    <w:p w:rsidR="00DC1575" w:rsidRPr="001E42CA" w:rsidRDefault="00DC1575">
      <w:pPr>
        <w:pStyle w:val="Normaltindrag"/>
      </w:pPr>
      <w:r w:rsidRPr="001E42CA">
        <w:t>Regeringen beslöt den 8 december 2000 att bevilja Sollefteå kommun ett stöd på 95,4 miljoner kronor för kostnader i samband med nedläggningen av Sollefteå garnison.</w:t>
      </w:r>
    </w:p>
    <w:p w:rsidR="00DC1575" w:rsidRPr="001E42CA" w:rsidRDefault="00DC1575">
      <w:pPr>
        <w:pStyle w:val="Normaltindrag"/>
        <w:sectPr w:rsidR="00000000" w:rsidRPr="001E42CA">
          <w:headerReference w:type="default" r:id="rId25"/>
          <w:footerReference w:type="default" r:id="rId26"/>
          <w:pgSz w:w="11906" w:h="16838" w:code="9"/>
          <w:pgMar w:top="567" w:right="4876" w:bottom="4508" w:left="1134" w:header="227" w:footer="227" w:gutter="0"/>
          <w:cols w:space="720"/>
        </w:sectPr>
      </w:pPr>
    </w:p>
    <w:p w:rsidR="00DC1575" w:rsidRPr="001E42CA" w:rsidRDefault="00DC1575">
      <w:pPr>
        <w:pStyle w:val="RubrikUtanNr"/>
      </w:pPr>
      <w:bookmarkStart w:id="68" w:name="_Toc526302408"/>
      <w:r w:rsidRPr="001E42CA">
        <w:t>Sammanfattning av remissyttranden över rapport 2000/01:9 Akut- eller långvård? – statens stöd till kommuner med ekonomiska problem</w:t>
      </w:r>
      <w:bookmarkEnd w:id="68"/>
    </w:p>
    <w:p w:rsidR="00DC1575" w:rsidRPr="001E42CA" w:rsidRDefault="00DC1575">
      <w:pPr>
        <w:pStyle w:val="R3"/>
      </w:pPr>
      <w:r w:rsidRPr="001E42CA">
        <w:t>Följande remissinstanser har yttrat sig:</w:t>
      </w:r>
    </w:p>
    <w:p w:rsidR="00DC1575" w:rsidRPr="001E42CA" w:rsidRDefault="00DC1575">
      <w:r w:rsidRPr="001E42CA">
        <w:t>Regeringskansliet (Finansdepartementet), Statskontoret, Statens bostadskr</w:t>
      </w:r>
      <w:r w:rsidRPr="001E42CA">
        <w:t>e</w:t>
      </w:r>
      <w:r w:rsidRPr="001E42CA">
        <w:t>ditnämnd (BKN), Bostadsdelegationen, Institutet för kommunal ekonomi, Ekonomiförvaltningsutredningen, Svenska Kommunförbundet, Landsting</w:t>
      </w:r>
      <w:r w:rsidRPr="001E42CA">
        <w:t>s</w:t>
      </w:r>
      <w:r w:rsidRPr="001E42CA">
        <w:t>förbundet, Sveriges Allmännyttiga Bostadsföretag (SABO), Sveriges Fasti</w:t>
      </w:r>
      <w:r w:rsidRPr="001E42CA">
        <w:t>g</w:t>
      </w:r>
      <w:r w:rsidRPr="001E42CA">
        <w:t>hetsägareförbund, Arvidsjaurs kommun, Forshaga kommun, Gällivare ko</w:t>
      </w:r>
      <w:r w:rsidRPr="001E42CA">
        <w:t>m</w:t>
      </w:r>
      <w:r w:rsidRPr="001E42CA">
        <w:t xml:space="preserve">mun, Härnösands kommun och Malungs kommun. </w:t>
      </w:r>
    </w:p>
    <w:p w:rsidR="00DC1575" w:rsidRPr="001E42CA" w:rsidRDefault="00DC1575">
      <w:pPr>
        <w:pStyle w:val="R3"/>
      </w:pPr>
      <w:r w:rsidRPr="001E42CA">
        <w:t>Följande remissinstanser har inte yttrat sig:</w:t>
      </w:r>
    </w:p>
    <w:p w:rsidR="00DC1575" w:rsidRPr="001E42CA" w:rsidRDefault="00DC1575">
      <w:r w:rsidRPr="001E42CA">
        <w:t>Arjeplog kommun, Boxholms kommun, Nora kommun, Robertsfors ko</w:t>
      </w:r>
      <w:r w:rsidRPr="001E42CA">
        <w:t>m</w:t>
      </w:r>
      <w:r w:rsidRPr="001E42CA">
        <w:t>mun, Storfors kommun, Åtvidabergs kommun, Överkalix kommun och Kommunalekonomiska föreningen har beretts tillfälle att yttra sig men inte inkommit med något yttrande.</w:t>
      </w:r>
    </w:p>
    <w:p w:rsidR="00DC1575" w:rsidRPr="001E42CA" w:rsidRDefault="00DC1575">
      <w:r w:rsidRPr="001E42CA">
        <w:t xml:space="preserve">Härutöver har Svensk KommunRating AB inlämnat yttrande över rapporten. </w:t>
      </w:r>
    </w:p>
    <w:p w:rsidR="00DC1575" w:rsidRPr="001E42CA" w:rsidRDefault="00DC1575">
      <w:pPr>
        <w:pStyle w:val="Rubrik1"/>
        <w:numPr>
          <w:ilvl w:val="0"/>
          <w:numId w:val="14"/>
        </w:numPr>
      </w:pPr>
      <w:bookmarkStart w:id="69" w:name="_Toc526302409"/>
      <w:r w:rsidRPr="001E42CA">
        <w:t>Allmänna synpunkter</w:t>
      </w:r>
      <w:bookmarkEnd w:id="69"/>
      <w:r w:rsidRPr="001E42CA">
        <w:t xml:space="preserve"> </w:t>
      </w:r>
    </w:p>
    <w:p w:rsidR="00DC1575" w:rsidRPr="001E42CA" w:rsidRDefault="00DC1575">
      <w:r w:rsidRPr="001E42CA">
        <w:rPr>
          <w:i/>
        </w:rPr>
        <w:t>Statens bostadskreditnämnd (BKN)</w:t>
      </w:r>
      <w:r w:rsidRPr="001E42CA">
        <w:t xml:space="preserve"> instämmer i vad Bostadsdelegationen anför. Några BKN specifika synpunkter framförs inte.</w:t>
      </w:r>
    </w:p>
    <w:p w:rsidR="00DC1575" w:rsidRPr="001E42CA" w:rsidRDefault="00DC1575">
      <w:pPr>
        <w:pStyle w:val="Normaltindrag"/>
      </w:pPr>
      <w:r w:rsidRPr="001E42CA">
        <w:rPr>
          <w:i/>
        </w:rPr>
        <w:t>Bostadsdelegationen</w:t>
      </w:r>
      <w:r w:rsidRPr="001E42CA">
        <w:t xml:space="preserve"> har inga invändningar mot rapportens redovisning av delegationens uppdrag, organisation och arbetssätt, inklusive fördelningspr</w:t>
      </w:r>
      <w:r w:rsidRPr="001E42CA">
        <w:t>o</w:t>
      </w:r>
      <w:r w:rsidRPr="001E42CA">
        <w:t>cessen och avtalen (kapitel 5). Delegationen delar vidare revisorernas up</w:t>
      </w:r>
      <w:r w:rsidRPr="001E42CA">
        <w:t>p</w:t>
      </w:r>
      <w:r w:rsidRPr="001E42CA">
        <w:t>fattning att en bedömning av måluppfyllelsen sannolikt inte är möjlig att genomföra med enbart de data som myndigheten är skyldig att redovisa enligt årsredovisningsförordningen (1996:882) – för det krävs i stället spec</w:t>
      </w:r>
      <w:r w:rsidRPr="001E42CA">
        <w:t>i</w:t>
      </w:r>
      <w:r w:rsidRPr="001E42CA">
        <w:t>ella utvärderingar.</w:t>
      </w:r>
    </w:p>
    <w:p w:rsidR="00DC1575" w:rsidRPr="001E42CA" w:rsidRDefault="00DC1575">
      <w:pPr>
        <w:pStyle w:val="Normaltindrag"/>
      </w:pPr>
      <w:r w:rsidRPr="001E42CA">
        <w:rPr>
          <w:i/>
        </w:rPr>
        <w:t>Institutet för kommunal ekonomi (IHE)</w:t>
      </w:r>
      <w:r w:rsidRPr="001E42CA">
        <w:t xml:space="preserve"> instämmer i revisorernas slutsa</w:t>
      </w:r>
      <w:r w:rsidRPr="001E42CA">
        <w:t>t</w:t>
      </w:r>
      <w:r w:rsidRPr="001E42CA">
        <w:t xml:space="preserve">ser. </w:t>
      </w:r>
    </w:p>
    <w:p w:rsidR="00DC1575" w:rsidRPr="001E42CA" w:rsidRDefault="00DC1575">
      <w:pPr>
        <w:pStyle w:val="Normaltindrag"/>
      </w:pPr>
      <w:r w:rsidRPr="001E42CA">
        <w:rPr>
          <w:i/>
        </w:rPr>
        <w:t>Sveriges Fastighetsägareförbund</w:t>
      </w:r>
      <w:r w:rsidRPr="001E42CA">
        <w:t xml:space="preserve"> anser att privata företag för sin verksa</w:t>
      </w:r>
      <w:r w:rsidRPr="001E42CA">
        <w:t>m</w:t>
      </w:r>
      <w:r w:rsidRPr="001E42CA">
        <w:t>het är helt beroende av hur det kommunala bostadsföretaget styrs och sköts samt hur det sätter sina hyror. Därför är det av centralt intresse om det ko</w:t>
      </w:r>
      <w:r w:rsidRPr="001E42CA">
        <w:t>m</w:t>
      </w:r>
      <w:r w:rsidRPr="001E42CA">
        <w:t>munala företaget bedrivs med sådant offentligt stöd som inte tillkommer privata företag. Enligt förbundet påverkas kommunernas förutsättningar att ge sådana stöd i hög grad av de stöd som nämns i rapporten. Förbundet st</w:t>
      </w:r>
      <w:r w:rsidRPr="001E42CA">
        <w:t>ö</w:t>
      </w:r>
      <w:r w:rsidRPr="001E42CA">
        <w:t xml:space="preserve">der revisorernas förslag till åtgärder för att få en önskvärd hantering av de olika stödformerna. </w:t>
      </w:r>
      <w:r w:rsidRPr="001E42CA">
        <w:t>Förbundet vill dock framhålla att revisorernas förslag endast kan lösa vissa hanteringsproblem. För beslut om stödåtgärder av aktuellt slag borde kravet vara att syfte, mål, administration etc. ska anges så tydligt att det kan uttryckas i författningstext. Då kan domstolar eller my</w:t>
      </w:r>
      <w:r w:rsidRPr="001E42CA">
        <w:t>n</w:t>
      </w:r>
      <w:r w:rsidRPr="001E42CA">
        <w:t>digheter anförtros administrati</w:t>
      </w:r>
      <w:r w:rsidRPr="001E42CA">
        <w:t>o</w:t>
      </w:r>
      <w:r w:rsidRPr="001E42CA">
        <w:t xml:space="preserve">nen av stöden. </w:t>
      </w:r>
    </w:p>
    <w:p w:rsidR="00DC1575" w:rsidRPr="001E42CA" w:rsidRDefault="00DC1575">
      <w:pPr>
        <w:pStyle w:val="Rubrik1"/>
        <w:numPr>
          <w:ilvl w:val="0"/>
          <w:numId w:val="13"/>
        </w:numPr>
      </w:pPr>
      <w:bookmarkStart w:id="70" w:name="_Toc526302410"/>
      <w:r w:rsidRPr="001E42CA">
        <w:t>Avveckla anslaget successivt</w:t>
      </w:r>
      <w:bookmarkEnd w:id="70"/>
    </w:p>
    <w:p w:rsidR="00DC1575" w:rsidRPr="001E42CA" w:rsidRDefault="00DC1575">
      <w:r w:rsidRPr="001E42CA">
        <w:t>I rapporten föreslår Riksdagens revisorer att anslaget 91:2 Bidrag till särski</w:t>
      </w:r>
      <w:r w:rsidRPr="001E42CA">
        <w:t>l</w:t>
      </w:r>
      <w:r w:rsidRPr="001E42CA">
        <w:t>da insatser i vissa kommuner och landsting bör avvecklas fr.o.m. 2004.</w:t>
      </w:r>
    </w:p>
    <w:p w:rsidR="00DC1575" w:rsidRPr="001E42CA" w:rsidRDefault="00DC1575">
      <w:r w:rsidRPr="001E42CA">
        <w:t xml:space="preserve">Enligt </w:t>
      </w:r>
      <w:r w:rsidRPr="001E42CA">
        <w:rPr>
          <w:i/>
        </w:rPr>
        <w:t>Finansdepartementet</w:t>
      </w:r>
      <w:r w:rsidRPr="001E42CA">
        <w:t xml:space="preserve"> bedöms resultatutvecklingen för kommunse</w:t>
      </w:r>
      <w:r w:rsidRPr="001E42CA">
        <w:t>k</w:t>
      </w:r>
      <w:r w:rsidRPr="001E42CA">
        <w:t>torn som helhet ligga på en sådan nivå att flertalet kommuner och landsting bör klara balanskravet de närmaste åren. Departementet vill dock peka på att det finns en stor spridning i resultaten mellan enskilda kommuner och land</w:t>
      </w:r>
      <w:r w:rsidRPr="001E42CA">
        <w:t>s</w:t>
      </w:r>
      <w:r w:rsidRPr="001E42CA">
        <w:t xml:space="preserve">ting. Det är därför högst sannolikt att det även i framtiden kommer att finnas kommuner och landsting som, på grund av speciella omständigheter, kan hamna i en särskilt svår ekonomisk situation. Mot bakgrund av detta finns </w:t>
      </w:r>
      <w:r w:rsidRPr="001E42CA">
        <w:t>det, enligt Finansdepartementet, en påtaglig risk för att det även i framtiden kommer att finnas ett behov av att avsätta medel till särskilda insatser i kommuner och landsting. Finansdepartementet framhåller att det stora fle</w:t>
      </w:r>
      <w:r w:rsidRPr="001E42CA">
        <w:t>r</w:t>
      </w:r>
      <w:r w:rsidRPr="001E42CA">
        <w:t>talet kommuner som sökt stöd från anslaget har fått avslag på sin ansökan. Enligt departementet sker det en noggrann och restriktiv prövning innan ett eventuellt stöd betalas ut. En begäran om stöd prövas mot kommunens egna ekonomiska förutsättningar. Endast kommuner med en särskilt s</w:t>
      </w:r>
      <w:r w:rsidRPr="001E42CA">
        <w:t>vår ekon</w:t>
      </w:r>
      <w:r w:rsidRPr="001E42CA">
        <w:t>o</w:t>
      </w:r>
      <w:r w:rsidRPr="001E42CA">
        <w:t>misk situation kommer därför i fråga för stöd. En ytterligare förutsättning är att de förhållanden som ligger bakom kommunens svaga ekonomi inte är sådana att de på kort sikt kan påverkas av kommunen själv och att komm</w:t>
      </w:r>
      <w:r w:rsidRPr="001E42CA">
        <w:t>u</w:t>
      </w:r>
      <w:r w:rsidRPr="001E42CA">
        <w:t>nen vidtagit nödvändiga åtgärder för att komma till rätta med sin ekonomiska situation. Enligt departementet är vidare de avtalade bestämmelserna om under vilka förutsättningar det överenskomna bidraget ska utbetalas tydliga. För att bidrag ska utbetalas krävs ekonomisk balans i resp</w:t>
      </w:r>
      <w:r w:rsidRPr="001E42CA">
        <w:t>ektive ko</w:t>
      </w:r>
      <w:r w:rsidRPr="001E42CA">
        <w:t>m</w:t>
      </w:r>
      <w:r w:rsidRPr="001E42CA">
        <w:t xml:space="preserve">mun/landsting samt att en i avtalet exakt angiven, reglerad sänkning av bruttokostnaden genomförts. </w:t>
      </w:r>
    </w:p>
    <w:p w:rsidR="00DC1575" w:rsidRPr="001E42CA" w:rsidRDefault="00DC1575">
      <w:pPr>
        <w:pStyle w:val="Normaltindrag"/>
      </w:pPr>
      <w:r w:rsidRPr="001E42CA">
        <w:rPr>
          <w:i/>
        </w:rPr>
        <w:t>Statskontoret</w:t>
      </w:r>
      <w:r w:rsidRPr="001E42CA">
        <w:t xml:space="preserve"> tillstyrker revisorernas förslag att anslaget avvecklas fr.o.m. 2004.</w:t>
      </w:r>
    </w:p>
    <w:p w:rsidR="00DC1575" w:rsidRPr="001E42CA" w:rsidRDefault="00DC1575">
      <w:pPr>
        <w:pStyle w:val="Normaltindrag"/>
      </w:pPr>
      <w:r w:rsidRPr="001E42CA">
        <w:rPr>
          <w:i/>
        </w:rPr>
        <w:t>Bostadsdelegationen</w:t>
      </w:r>
      <w:r w:rsidRPr="001E42CA">
        <w:t xml:space="preserve"> anser att rapportens analys av kommunalekonomiska nyckeltal är alltför förenklad och i många fall också missvisande. I huvudsak avser detta rapportens kapitel 4 där det analyseras om det finns några påta</w:t>
      </w:r>
      <w:r w:rsidRPr="001E42CA">
        <w:t>g</w:t>
      </w:r>
      <w:r w:rsidRPr="001E42CA">
        <w:t xml:space="preserve">liga skillnader mellan kommuner som fått stöd och kommuner som inte fått stöd. Kritiken gäller främst i tre avseenden. </w:t>
      </w:r>
      <w:r w:rsidRPr="001E42CA">
        <w:rPr>
          <w:i/>
        </w:rPr>
        <w:t>För det första</w:t>
      </w:r>
      <w:r w:rsidRPr="001E42CA">
        <w:t xml:space="preserve"> förutsätter anal</w:t>
      </w:r>
      <w:r w:rsidRPr="001E42CA">
        <w:t>y</w:t>
      </w:r>
      <w:r w:rsidRPr="001E42CA">
        <w:t>sen enligt delegationen ett ja/nej-utfall. Enligt förutsättningarna för Bostad</w:t>
      </w:r>
      <w:r w:rsidRPr="001E42CA">
        <w:t>s</w:t>
      </w:r>
      <w:r w:rsidRPr="001E42CA">
        <w:t>delegationens verksamhet ska stöd lämnas endast i den omfattning som b</w:t>
      </w:r>
      <w:r w:rsidRPr="001E42CA">
        <w:t>e</w:t>
      </w:r>
      <w:r w:rsidRPr="001E42CA">
        <w:t>hövs f</w:t>
      </w:r>
      <w:r w:rsidRPr="001E42CA">
        <w:t>ör att kommunen ska kunna fullgöra sina förpliktelser. Det betyder att kommunens kostnader för rekonstruktionen ska relateras till kommunens egen ekonomiska styrka och att dessa två faktorer tillsammans avgör inte bara om staten kan lämna bidrag till kommunen, utan också – om bidrag över huvud taget lämnas – med hur mycket staten bidrar. Den kostnad som ko</w:t>
      </w:r>
      <w:r w:rsidRPr="001E42CA">
        <w:t>m</w:t>
      </w:r>
      <w:r w:rsidRPr="001E42CA">
        <w:t>munen slutligt har fått bära har för många av de kommuner som fått bidrag varit väsentligt högre än kostnaden för sådana sökande kommuner till vilka bidr</w:t>
      </w:r>
      <w:r w:rsidRPr="001E42CA">
        <w:t xml:space="preserve">ag inte har lämnats. </w:t>
      </w:r>
      <w:r w:rsidRPr="001E42CA">
        <w:rPr>
          <w:i/>
        </w:rPr>
        <w:t>För det andra</w:t>
      </w:r>
      <w:r w:rsidRPr="001E42CA">
        <w:t xml:space="preserve"> anser delegationen det missvisande att utgå från nyckeltal från 1999. För mer än hälften av de kommuner med vilka delegationen träffat avtal eller preliminära överenskommelser om en reko</w:t>
      </w:r>
      <w:r w:rsidRPr="001E42CA">
        <w:t>n</w:t>
      </w:r>
      <w:r w:rsidRPr="001E42CA">
        <w:t>struktion av kommunens bostadsföretag hade rekonstruktionen då ännu inte genomförts och således inte heller påverkat kommunens bokslut. Det innebär att den latenta bördan av rekonstruktionen inte syns i 1999 års nyckeltal för dessa kommuner. Enligt delegationen blir en utvärdering som inte</w:t>
      </w:r>
      <w:r w:rsidRPr="001E42CA">
        <w:t xml:space="preserve"> beaktar dessa bördor meningslös. </w:t>
      </w:r>
      <w:r w:rsidRPr="001E42CA">
        <w:rPr>
          <w:i/>
        </w:rPr>
        <w:t>För det tredje</w:t>
      </w:r>
      <w:r w:rsidRPr="001E42CA">
        <w:t xml:space="preserve"> anser delegationen att nyckeltalen borde ha avsett kommunkoncernen och inte begränsats till kommunerna. En sådan analys blir enligt delegationen missvisande eftersom kommunerna driver sin bostads- och fastighetsförvaltning i mycket skiftande former. Sammanfattningsvis ger enligt Bostadsdelegationens uppfattning de analyser som redovisas i rapporten inte tillräcklig grund för de slutsatser om stödda och icke stödda kommuners ekonomiska förhållanden som rapport</w:t>
      </w:r>
      <w:r w:rsidRPr="001E42CA">
        <w:t>en drar (avsnitt 4.6) – och således inte heller för konstaterandet att de kommuner som berörs av Bostadsdelegationens verksamhet redan i hög grad kompens</w:t>
      </w:r>
      <w:r w:rsidRPr="001E42CA">
        <w:t>e</w:t>
      </w:r>
      <w:r w:rsidRPr="001E42CA">
        <w:t>ras genom ersättning från kostnadsutjä</w:t>
      </w:r>
      <w:r w:rsidRPr="001E42CA">
        <w:t>m</w:t>
      </w:r>
      <w:r w:rsidRPr="001E42CA">
        <w:t xml:space="preserve">ningen. </w:t>
      </w:r>
    </w:p>
    <w:p w:rsidR="00DC1575" w:rsidRPr="001E42CA" w:rsidRDefault="00DC1575">
      <w:pPr>
        <w:pStyle w:val="Normaltindrag"/>
      </w:pPr>
      <w:r w:rsidRPr="001E42CA">
        <w:t xml:space="preserve">Enligt </w:t>
      </w:r>
      <w:r w:rsidRPr="001E42CA">
        <w:rPr>
          <w:i/>
        </w:rPr>
        <w:t>Ekonomiförvaltningsutredningen</w:t>
      </w:r>
      <w:r w:rsidRPr="001E42CA">
        <w:t xml:space="preserve"> finns det mot bakgrund av ko</w:t>
      </w:r>
      <w:r w:rsidRPr="001E42CA">
        <w:t>m</w:t>
      </w:r>
      <w:r w:rsidRPr="001E42CA">
        <w:t>munsektorns ekonomiska och strukturella problem anledning att anta att det för en relativt lång tid framöver kommer att behövas särskilt stöd till ko</w:t>
      </w:r>
      <w:r w:rsidRPr="001E42CA">
        <w:t>m</w:t>
      </w:r>
      <w:r w:rsidRPr="001E42CA">
        <w:t>muner med ekonomiska problem. Enligt utredningens mening har de åtgä</w:t>
      </w:r>
      <w:r w:rsidRPr="001E42CA">
        <w:t>r</w:t>
      </w:r>
      <w:r w:rsidRPr="001E42CA">
        <w:t>der som regeringen hittills vidtagit utförts på ett i stort sett adekvat och nö</w:t>
      </w:r>
      <w:r w:rsidRPr="001E42CA">
        <w:t>j</w:t>
      </w:r>
      <w:r w:rsidRPr="001E42CA">
        <w:t>aktigt sätt med hänsyn till problemens beskaffenhet, även om det i vissa avseenden kan finnas skäl till viss formell kritik. Utredningen kan dela rev</w:t>
      </w:r>
      <w:r w:rsidRPr="001E42CA">
        <w:t>i</w:t>
      </w:r>
      <w:r w:rsidRPr="001E42CA">
        <w:t>sor</w:t>
      </w:r>
      <w:r w:rsidRPr="001E42CA">
        <w:t>ernas uppfattning att det finns brister förknippade med den här aktuella verksamheten. Det gäller bl.a. oklarheten beträffande beslutskriterierna och den otydliga kopplingen mellan avtalen mellan regeringen och kommune</w:t>
      </w:r>
      <w:r w:rsidRPr="001E42CA">
        <w:t>r</w:t>
      </w:r>
      <w:r w:rsidRPr="001E42CA">
        <w:t>na/landstingen och de åtgärder som ska vidtas. Även det lämpliga i regerin</w:t>
      </w:r>
      <w:r w:rsidRPr="001E42CA">
        <w:t>g</w:t>
      </w:r>
      <w:r w:rsidRPr="001E42CA">
        <w:t>ens beslut om att betala ut en del av stödet i förskott kan diskuteras. I denna del finner utredningen att regeringens verksamhet varit till gagn för komm</w:t>
      </w:r>
      <w:r w:rsidRPr="001E42CA">
        <w:t>u</w:t>
      </w:r>
      <w:r w:rsidRPr="001E42CA">
        <w:t xml:space="preserve">ner och landsting med ekonomiska problem. </w:t>
      </w:r>
    </w:p>
    <w:p w:rsidR="00DC1575" w:rsidRPr="001E42CA" w:rsidRDefault="00DC1575">
      <w:pPr>
        <w:pStyle w:val="Normaltindrag"/>
      </w:pPr>
      <w:r w:rsidRPr="001E42CA">
        <w:rPr>
          <w:i/>
        </w:rPr>
        <w:t>Svenska Kommunförbun</w:t>
      </w:r>
      <w:r w:rsidRPr="001E42CA">
        <w:rPr>
          <w:i/>
        </w:rPr>
        <w:t>det</w:t>
      </w:r>
      <w:r w:rsidRPr="001E42CA">
        <w:t xml:space="preserve"> och </w:t>
      </w:r>
      <w:r w:rsidRPr="001E42CA">
        <w:rPr>
          <w:i/>
        </w:rPr>
        <w:t>Landstingsförbundet</w:t>
      </w:r>
      <w:r w:rsidRPr="001E42CA">
        <w:t xml:space="preserve"> delar i huvudsak r</w:t>
      </w:r>
      <w:r w:rsidRPr="001E42CA">
        <w:t>e</w:t>
      </w:r>
      <w:r w:rsidRPr="001E42CA">
        <w:t>visorernas bedömning. Förbunden vill särskilt understryka vad revisorerna anför om att anslaget inte står i samklang med strävandena att statens b</w:t>
      </w:r>
      <w:r w:rsidRPr="001E42CA">
        <w:t>i</w:t>
      </w:r>
      <w:r w:rsidRPr="001E42CA">
        <w:t>dragsgivning till kommuner och landsting bör ske i generella former. Utifrån dessa motiv, och då dessutom huvudsyftet med anslaget numera i det nä</w:t>
      </w:r>
      <w:r w:rsidRPr="001E42CA">
        <w:t>r</w:t>
      </w:r>
      <w:r w:rsidRPr="001E42CA">
        <w:t>maste är fullföljt, menar Kommun- och Landstingsförbunden att det kan vara läge att avveckla anslaget och överföra medlen till det generella bidraget för kommuner och land</w:t>
      </w:r>
      <w:r w:rsidRPr="001E42CA">
        <w:t>sting där det naturligt hör hemma. Kommun- och land</w:t>
      </w:r>
      <w:r w:rsidRPr="001E42CA">
        <w:t>s</w:t>
      </w:r>
      <w:r w:rsidRPr="001E42CA">
        <w:t>tingsförbunden vill samtidigt understryka att det även i fortsättningen ko</w:t>
      </w:r>
      <w:r w:rsidRPr="001E42CA">
        <w:t>m</w:t>
      </w:r>
      <w:r w:rsidRPr="001E42CA">
        <w:t>mer att finnas ett antal kommuner som kommer att drabbas av övermäktiga ekonomiska problem i bostadsföretagen. Dessa problem bör lösas inom bostadspolitikens ram. Ekonomiskt stöd till bostadssektorn bör, enligt fö</w:t>
      </w:r>
      <w:r w:rsidRPr="001E42CA">
        <w:t>r</w:t>
      </w:r>
      <w:r w:rsidRPr="001E42CA">
        <w:t>bunden, inte sammanblandas med de generella bidragen till kommunerna.</w:t>
      </w:r>
    </w:p>
    <w:p w:rsidR="00DC1575" w:rsidRPr="001E42CA" w:rsidRDefault="00DC1575">
      <w:pPr>
        <w:pStyle w:val="Normaltindrag"/>
      </w:pPr>
      <w:r w:rsidRPr="001E42CA">
        <w:rPr>
          <w:i/>
        </w:rPr>
        <w:t>Sveriges Allmännyttiga Bostadsföretag (SABO)</w:t>
      </w:r>
      <w:r w:rsidRPr="001E42CA">
        <w:t xml:space="preserve"> konstaterar att revisorerna inte redovisar någon analys av nyckeltal etc. där samspelet mellan olika faktorer belyses. Sambanden mellan de olika nyckeltalen redovisas enbart för varje studerad variabel var för sig utan samtidig kontroll av övriga variabler. Enligt SABO tolkas indikatorerna inledningsvis med försiktighet för att sedan i slutsatserna övergå till tvärsäkra påståenden. SABO vill med hänvi</w:t>
      </w:r>
      <w:r w:rsidRPr="001E42CA">
        <w:t>s</w:t>
      </w:r>
      <w:r w:rsidRPr="001E42CA">
        <w:t>ning till detta rekommendera revisorerna att vid utformningen av sin skrive</w:t>
      </w:r>
      <w:r w:rsidRPr="001E42CA">
        <w:t>l</w:t>
      </w:r>
      <w:r w:rsidRPr="001E42CA">
        <w:t>se till riksdagen tolka result</w:t>
      </w:r>
      <w:r w:rsidRPr="001E42CA">
        <w:t>aten från den genomförda undersökningen med något större ödmjukhet än vad som kommer till uttryck i den remitterade promemorian. Kommun- och Bostadsdelegationerna har enligt SABO varit nödvändiga som tillfälliga insatser under en tid då genomgripande struktu</w:t>
      </w:r>
      <w:r w:rsidRPr="001E42CA">
        <w:t>r</w:t>
      </w:r>
      <w:r w:rsidRPr="001E42CA">
        <w:t>förändringar skapat helt nya förutsättningar verksamheten i ett flertal i</w:t>
      </w:r>
      <w:r w:rsidRPr="001E42CA">
        <w:t>n</w:t>
      </w:r>
      <w:r w:rsidRPr="001E42CA">
        <w:t>dustrikommuner som under lång tid lagt grunden till dagens välstånd. SABO pekar på att det krävs ett fortsatt kraftfullt stöd till de kommuner som ko</w:t>
      </w:r>
      <w:r w:rsidRPr="001E42CA">
        <w:t>m</w:t>
      </w:r>
      <w:r w:rsidRPr="001E42CA">
        <w:t>mer att fortsätta att tappa i</w:t>
      </w:r>
      <w:r w:rsidRPr="001E42CA">
        <w:t xml:space="preserve"> befolkning. Det är enligt SABO:s uppfattning nödvändigt att de bägge delegationerna får en uppföljning. Denna fortsät</w:t>
      </w:r>
      <w:r w:rsidRPr="001E42CA">
        <w:t>t</w:t>
      </w:r>
      <w:r w:rsidRPr="001E42CA">
        <w:t xml:space="preserve">ning måste dock utformas så att kommunerna själva får besluta om hur den nödvändiga anpassningen till en ny situation ska genomföras. </w:t>
      </w:r>
    </w:p>
    <w:p w:rsidR="00DC1575" w:rsidRPr="001E42CA" w:rsidRDefault="00DC1575">
      <w:pPr>
        <w:pStyle w:val="Normaltindrag"/>
      </w:pPr>
      <w:r w:rsidRPr="001E42CA">
        <w:rPr>
          <w:i/>
        </w:rPr>
        <w:t>Sveriges Fastighetsägareförbund</w:t>
      </w:r>
      <w:r w:rsidRPr="001E42CA">
        <w:t xml:space="preserve"> har vid sin bevakning av hur de statliga stöden utformats och administrerats fått samma uppfattning om bristerna som de anser framkommer i revisorernas rapport. Förbundet anser  att det är en stor brist att förekommande stöd utformats och administrerats utan tillräckl</w:t>
      </w:r>
      <w:r w:rsidRPr="001E42CA">
        <w:t>i</w:t>
      </w:r>
      <w:r w:rsidRPr="001E42CA">
        <w:t>ga och mätbara mål, utan förordningar och med oklara beslutskriterier. Enligt förbundet förstärks dessa brister när den som administrerar stöden också är ansvarig för utvärderingen. En sådan ordning lämnar, enligt förbundet, alltför stort utr</w:t>
      </w:r>
      <w:r w:rsidRPr="001E42CA">
        <w:t>ymme för subjektiva bedömningar som avviker från riksdagsbeslutet. Därtill kommer att rättssäkerheten, dvs. enskilda kommuners förvissning om likabehandling, åsidosätts. Förbundet stöder revisorernas förslag.</w:t>
      </w:r>
    </w:p>
    <w:p w:rsidR="00DC1575" w:rsidRPr="001E42CA" w:rsidRDefault="00DC1575">
      <w:pPr>
        <w:pStyle w:val="Normaltindrag"/>
      </w:pPr>
      <w:r w:rsidRPr="001E42CA">
        <w:rPr>
          <w:i/>
        </w:rPr>
        <w:t>Arvidsjaurs kommun</w:t>
      </w:r>
      <w:r w:rsidRPr="001E42CA">
        <w:t xml:space="preserve"> anser att de stöd som rapporten behandlar i många avseenden har bidragit till att berörda kommuner vidtagit ytterligare åtgärder för att förbättra den kommunala ekonomin. Däremot så har, enligt komm</w:t>
      </w:r>
      <w:r w:rsidRPr="001E42CA">
        <w:t>u</w:t>
      </w:r>
      <w:r w:rsidRPr="001E42CA">
        <w:t>nen, beslutskriterierna varit otydligt formulerade, vilket kan ge till följd att inställningen till bidragen får en negativ effekt på den långsiktighet som kommunerna behöver för att klara en god ekonomisk hushållning. Komm</w:t>
      </w:r>
      <w:r w:rsidRPr="001E42CA">
        <w:t>u</w:t>
      </w:r>
      <w:r w:rsidRPr="001E42CA">
        <w:t>nen ser det ändock som en nödvändighet att vissa utsatta kommuner måste erhålla särskild</w:t>
      </w:r>
      <w:r w:rsidRPr="001E42CA">
        <w:t>a stöd, men för att effekten ska bli den som förutses ska m</w:t>
      </w:r>
      <w:r w:rsidRPr="001E42CA">
        <w:t>å</w:t>
      </w:r>
      <w:r w:rsidRPr="001E42CA">
        <w:t>len vara tydligt formulerade.</w:t>
      </w:r>
    </w:p>
    <w:p w:rsidR="00DC1575" w:rsidRPr="001E42CA" w:rsidRDefault="00DC1575">
      <w:pPr>
        <w:pStyle w:val="Normaltindrag"/>
      </w:pPr>
      <w:r w:rsidRPr="001E42CA">
        <w:rPr>
          <w:i/>
        </w:rPr>
        <w:t>Forshaga kommun</w:t>
      </w:r>
      <w:r w:rsidRPr="001E42CA">
        <w:t xml:space="preserve"> pekar på att ett saneringsarbete inleddes i början av 1990-talet och att kommunen tillskjutit belopp till det kommunala bostad</w:t>
      </w:r>
      <w:r w:rsidRPr="001E42CA">
        <w:t>s</w:t>
      </w:r>
      <w:r w:rsidRPr="001E42CA">
        <w:t>bolaget. Kommunen har ansökt om stöd hos Bostadsdelegationen, men fått avslag. Enligt kommunen var det kommunens egen vilja och förmåga att fatta nödvändiga beslut som resulterade i bedömningen att inga extra bidrag beviljades. Bland annat i anledning av detta har kommunen aldrig övervägt att söka stöd hos den s.k. kommunakuten. Nödvändiga omstruktureringar har i stället gjorts för</w:t>
      </w:r>
      <w:r w:rsidRPr="001E42CA">
        <w:t xml:space="preserve"> att hamna i ekonomisk balans. De fattade politiska besluten har varit nödvändiga för att anpassa den kommunala verksamheten till de ekonomiska ramarna. Trots de åtgärder som vidtagits för att anpassa ver</w:t>
      </w:r>
      <w:r w:rsidRPr="001E42CA">
        <w:t>k</w:t>
      </w:r>
      <w:r w:rsidRPr="001E42CA">
        <w:t>samheten till de ekonomiska realiteterna hävdar Forshaga kommun att man har en bra kommunal verksamhet som prioriterar barn, ungdomar, äldre och de svaga i kommunen. Kommunen anser att ekonomiskt stöd i den form som kommunakuten ger inte alltid bör vara en förstahandslösning.</w:t>
      </w:r>
    </w:p>
    <w:p w:rsidR="00DC1575" w:rsidRPr="001E42CA" w:rsidRDefault="00DC1575">
      <w:pPr>
        <w:pStyle w:val="Normaltindrag"/>
      </w:pPr>
      <w:r w:rsidRPr="001E42CA">
        <w:rPr>
          <w:i/>
        </w:rPr>
        <w:t>Gällivare kommun</w:t>
      </w:r>
      <w:r w:rsidRPr="001E42CA">
        <w:t xml:space="preserve"> anser inte att anslaget för bidrag till särskilda insatser i vissa kommuner och landsting kan avvecklas utifrån de kriterier som Rik</w:t>
      </w:r>
      <w:r w:rsidRPr="001E42CA">
        <w:t>s</w:t>
      </w:r>
      <w:r w:rsidRPr="001E42CA">
        <w:t>dagens revisorer föreslår. De lösningar som de bägge delegationerna har medverkat till är enligt kommunen av kortsiktig karaktär. Problemen som till stor del beror på de demografiska förändringarna torde, om inte andra mo</w:t>
      </w:r>
      <w:r w:rsidRPr="001E42CA">
        <w:t>t</w:t>
      </w:r>
      <w:r w:rsidRPr="001E42CA">
        <w:t>verkande åtgärder vidtas, även i framtiden komma att kräva statliga insatser. Enligt kommunen är det inte riktigt att anta att det stöd som kommunen fått, o</w:t>
      </w:r>
      <w:r w:rsidRPr="001E42CA">
        <w:t>ch eventuellt kan komma att få i framtiden, skulle leda till ett ökat finans</w:t>
      </w:r>
      <w:r w:rsidRPr="001E42CA">
        <w:t>i</w:t>
      </w:r>
      <w:r w:rsidRPr="001E42CA">
        <w:t xml:space="preserve">ellt risktagande. Kommunen är i dag väl medveten om det ekonomiska läget. </w:t>
      </w:r>
    </w:p>
    <w:p w:rsidR="00DC1575" w:rsidRPr="001E42CA" w:rsidRDefault="00DC1575">
      <w:pPr>
        <w:pStyle w:val="Normaltindrag"/>
      </w:pPr>
      <w:r w:rsidRPr="001E42CA">
        <w:rPr>
          <w:i/>
        </w:rPr>
        <w:t>Härnösands kommun</w:t>
      </w:r>
      <w:r w:rsidRPr="001E42CA">
        <w:t xml:space="preserve"> menar att stödformerna underlättar för kommunen att genomföra de nödvändiga åtgärderna för att få ekonomin i balans efter flera år av stora underskott. Stödet från Kommundelegationen används till olika åtgärder som leder till kostnadssänkningar i verksamheterna. Kommunens bedömning är att utan statens stöd skulle det blivit betydligt svårare att få genomslag politiskt och bland befolkningen för de nödvändiga neddragnin</w:t>
      </w:r>
      <w:r w:rsidRPr="001E42CA">
        <w:t>g</w:t>
      </w:r>
      <w:r w:rsidRPr="001E42CA">
        <w:t>arna i verksamheterna. Kommunen hade då riskerat att hamna i en ännu svårare ekonomisk s</w:t>
      </w:r>
      <w:r w:rsidRPr="001E42CA">
        <w:t>ituation. Härnösands kommun kan inte vidimera att stödet förändrar kommunens incitament negativt då det gäller att anpassa kommunens verksamhet till intäkterna så att budgeten kommer i balans. Enligt kommunen är förhållandet det motsatta – motivationen ökar i stället genom statens bidrag till finansieringen av de åtgärder som kommunen måste genomföra.</w:t>
      </w:r>
    </w:p>
    <w:p w:rsidR="00DC1575" w:rsidRPr="001E42CA" w:rsidRDefault="00DC1575">
      <w:pPr>
        <w:pStyle w:val="Normaltindrag"/>
      </w:pPr>
      <w:r w:rsidRPr="001E42CA">
        <w:rPr>
          <w:i/>
        </w:rPr>
        <w:t>Malungs kommun</w:t>
      </w:r>
      <w:r w:rsidRPr="001E42CA">
        <w:t xml:space="preserve"> finner skäl att framföra den bestämda uppfattningen att de extra stödåtgärder som kanaliserats till kommuner med bristande egen förmåga har varit nödvändiga i perspektivet av att upprätthålla förtroendet för samtliga delar av den svenska offentliga ekonomin. Enligt kommunen måste staten fortsatt ha ekonomiskt utrymme för akuthjälp till utsatta ko</w:t>
      </w:r>
      <w:r w:rsidRPr="001E42CA">
        <w:t>m</w:t>
      </w:r>
      <w:r w:rsidRPr="001E42CA">
        <w:t>muner och landsting. Anslaget bör dock enligt Malungs kommun bli föremål för en förändring, med en tydligare målformulering i syfte att verkligen åstadkomma de in</w:t>
      </w:r>
      <w:r w:rsidRPr="001E42CA">
        <w:t>citament till förändring som erfordras. Malungs kommun anser vidare att det inte kan uteslutas att bidrag lämnats till kommuner som inte med allvar tagit tag i den besvärliga anpassningsprocessen av ekonomin och att kommuner som liksom Malung tidigt initierat projekt i syfte att e</w:t>
      </w:r>
      <w:r w:rsidRPr="001E42CA">
        <w:t>f</w:t>
      </w:r>
      <w:r w:rsidRPr="001E42CA">
        <w:t xml:space="preserve">fektivisera verksamheterna har fått avslag på biståndsförfrågan. Därmed har passivitet premierats framför aktivt agerande. </w:t>
      </w:r>
    </w:p>
    <w:p w:rsidR="00DC1575" w:rsidRPr="001E42CA" w:rsidRDefault="00DC1575">
      <w:pPr>
        <w:pStyle w:val="Rubrik1"/>
        <w:numPr>
          <w:ilvl w:val="0"/>
          <w:numId w:val="10"/>
        </w:numPr>
      </w:pPr>
      <w:bookmarkStart w:id="71" w:name="_Toc526302411"/>
      <w:r w:rsidRPr="001E42CA">
        <w:t>Öka det finansiella ansvaret och minska risktagandet</w:t>
      </w:r>
      <w:bookmarkEnd w:id="71"/>
    </w:p>
    <w:p w:rsidR="00DC1575" w:rsidRPr="001E42CA" w:rsidRDefault="00DC1575">
      <w:r w:rsidRPr="001E42CA">
        <w:t>I rapporten föreslår Riksdagens revisorer att regeringen bör få i uppdrag att utreda alternativ som inte har påtagliga budgetmässiga konsekvenser. Det gäller framför allt alternativ som kan öka kommunernas/landstingens fina</w:t>
      </w:r>
      <w:r w:rsidRPr="001E42CA">
        <w:t>n</w:t>
      </w:r>
      <w:r w:rsidRPr="001E42CA">
        <w:t>siella ansvar och som leder till ett minskat risktagande.</w:t>
      </w:r>
    </w:p>
    <w:p w:rsidR="00DC1575" w:rsidRPr="001E42CA" w:rsidRDefault="00DC1575">
      <w:r w:rsidRPr="001E42CA">
        <w:rPr>
          <w:i/>
        </w:rPr>
        <w:t>Finansdepartementet</w:t>
      </w:r>
      <w:r w:rsidRPr="001E42CA">
        <w:t xml:space="preserve"> nämner att det har tillsatts en utredning, Ekonomifö</w:t>
      </w:r>
      <w:r w:rsidRPr="001E42CA">
        <w:t>r</w:t>
      </w:r>
      <w:r w:rsidRPr="001E42CA">
        <w:t>valtningsutredningen (dir. 2000:30), som bl.a. har i uppdrag att göra en öve</w:t>
      </w:r>
      <w:r w:rsidRPr="001E42CA">
        <w:t>r</w:t>
      </w:r>
      <w:r w:rsidRPr="001E42CA">
        <w:t xml:space="preserve">syn av bestämmelserna om god ekonomisk hushållning och dess tillämpning. Vid behov ska utredningen föreslå förändringar för att öka långsiktigheten i den ekonomiska och verksamhetsmässiga planeringen. I uppdraget ingår även att utreda hur balanskravet kan förtydligas och modifieras. </w:t>
      </w:r>
    </w:p>
    <w:p w:rsidR="00DC1575" w:rsidRPr="001E42CA" w:rsidRDefault="00DC1575">
      <w:pPr>
        <w:pStyle w:val="Normaltindrag"/>
      </w:pPr>
      <w:r w:rsidRPr="001E42CA">
        <w:rPr>
          <w:i/>
        </w:rPr>
        <w:t>Statskontoret</w:t>
      </w:r>
      <w:r w:rsidRPr="001E42CA">
        <w:t xml:space="preserve"> anser att det redan enligt nuvarande direktiv ingår i Ekon</w:t>
      </w:r>
      <w:r w:rsidRPr="001E42CA">
        <w:t>o</w:t>
      </w:r>
      <w:r w:rsidRPr="001E42CA">
        <w:t>miförvaltningsutredningens uppdrag att analysera och lämna förslag på hur staten ska agera om det uppkommer situationer där balanskravet inte efte</w:t>
      </w:r>
      <w:r w:rsidRPr="001E42CA">
        <w:t>r</w:t>
      </w:r>
      <w:r w:rsidRPr="001E42CA">
        <w:t>levs i kommuner och landsting. Kontoret anser det rimligt att utredningen ges utrymme att göra en bredare prövning än vad som vore möjligt om det huvudsakliga kriteriet för förslagen skulle vara att statliga ingrepp inte bör få budgetmässiga konsekvenser. Statskontoret avstyrker därför revisorernas försl</w:t>
      </w:r>
      <w:r w:rsidRPr="001E42CA">
        <w:t xml:space="preserve">ag om tilläggsdirektiv. </w:t>
      </w:r>
    </w:p>
    <w:p w:rsidR="00DC1575" w:rsidRPr="001E42CA" w:rsidRDefault="00DC1575">
      <w:pPr>
        <w:pStyle w:val="Normaltindrag"/>
      </w:pPr>
      <w:r w:rsidRPr="001E42CA">
        <w:rPr>
          <w:i/>
        </w:rPr>
        <w:t>Ekonomiförvaltningsutredningen</w:t>
      </w:r>
      <w:r w:rsidRPr="001E42CA">
        <w:t xml:space="preserve"> vill meddela att den arbetar med att ko</w:t>
      </w:r>
      <w:r w:rsidRPr="001E42CA">
        <w:t>n</w:t>
      </w:r>
      <w:r w:rsidRPr="001E42CA">
        <w:t>struera sådana regler för en god ekonomisk hushållning som är ägnade att skapa en delvis ny och tydligare incitamentsstruktur för kommuner och landsting. Mot denna bakgrund är det lämpligt att regeringen avvaktar Ek</w:t>
      </w:r>
      <w:r w:rsidRPr="001E42CA">
        <w:t>o</w:t>
      </w:r>
      <w:r w:rsidRPr="001E42CA">
        <w:t xml:space="preserve">nomiförvaltningsutredningens betänkande hösten 2001 och vidtar lämpliga åtgärder med anledning av detta och de synpunkter revisorerna framfört. </w:t>
      </w:r>
    </w:p>
    <w:p w:rsidR="00DC1575" w:rsidRPr="001E42CA" w:rsidRDefault="00DC1575">
      <w:pPr>
        <w:pStyle w:val="Normaltindrag"/>
      </w:pPr>
      <w:r w:rsidRPr="001E42CA">
        <w:rPr>
          <w:i/>
        </w:rPr>
        <w:t>Svenska Kommunförbundet</w:t>
      </w:r>
      <w:r w:rsidRPr="001E42CA">
        <w:t xml:space="preserve"> och </w:t>
      </w:r>
      <w:r w:rsidRPr="001E42CA">
        <w:rPr>
          <w:i/>
        </w:rPr>
        <w:t>Landstingsförbundet</w:t>
      </w:r>
      <w:r w:rsidRPr="001E42CA">
        <w:t xml:space="preserve"> anser att Ekonom</w:t>
      </w:r>
      <w:r w:rsidRPr="001E42CA">
        <w:t>i</w:t>
      </w:r>
      <w:r w:rsidRPr="001E42CA">
        <w:t>förvaltningsutredningens arbete bör avvaktas innan ytterligare utredningar och eventuella regelverk tillsätts. Revisorernas synpunkter bör kunna täckas inom ramen för befintliga direktiv. Förbunden pekar på att flertalet komm</w:t>
      </w:r>
      <w:r w:rsidRPr="001E42CA">
        <w:t>u</w:t>
      </w:r>
      <w:r w:rsidRPr="001E42CA">
        <w:t>ner och landsting har utvecklat sina budget- och styrprocesser mycket under de senaste tjugo trettio åren och det är högst tveksamt om ytterligare detal</w:t>
      </w:r>
      <w:r w:rsidRPr="001E42CA">
        <w:t>j</w:t>
      </w:r>
      <w:r w:rsidRPr="001E42CA">
        <w:t>reglering skulle innebära någon förbättring – snarare kan det bli hinder för en kommun- res</w:t>
      </w:r>
      <w:r w:rsidRPr="001E42CA">
        <w:t>pektive landstingsanpassad process. Förbunden framhåller att mycket arbete läggs ned ute i kommuner och landsting, och av de båda fö</w:t>
      </w:r>
      <w:r w:rsidRPr="001E42CA">
        <w:t>r</w:t>
      </w:r>
      <w:r w:rsidRPr="001E42CA">
        <w:t>bunden, på förebyggande insatser för att slippa ekonomisk såväl akut- som långvård.</w:t>
      </w:r>
    </w:p>
    <w:p w:rsidR="00DC1575" w:rsidRPr="001E42CA" w:rsidRDefault="00DC1575">
      <w:pPr>
        <w:pStyle w:val="Normaltindrag"/>
      </w:pPr>
      <w:r w:rsidRPr="001E42CA">
        <w:rPr>
          <w:i/>
        </w:rPr>
        <w:t>Forshaga kommun</w:t>
      </w:r>
      <w:r w:rsidRPr="001E42CA">
        <w:t xml:space="preserve"> anser att ekonomiskt stöd i den form som kommun</w:t>
      </w:r>
      <w:r w:rsidRPr="001E42CA">
        <w:t>a</w:t>
      </w:r>
      <w:r w:rsidRPr="001E42CA">
        <w:t>kuten ger inte alltid bör vara en förstahandslösning. Kommunen tillstyrker därför att en analys görs av det kommunala regelverket och dess effekter på kommunernas beteende. Denna analys bör också innehålla en redovisning av konsekvenser för kommunerna av de beslut om lagändringar m.m. som g</w:t>
      </w:r>
      <w:r w:rsidRPr="001E42CA">
        <w:t>e</w:t>
      </w:r>
      <w:r w:rsidRPr="001E42CA">
        <w:t xml:space="preserve">nomförs och som påverkat den kommunala ekonomin. </w:t>
      </w:r>
    </w:p>
    <w:p w:rsidR="00DC1575" w:rsidRPr="001E42CA" w:rsidRDefault="00DC1575">
      <w:pPr>
        <w:pStyle w:val="Rubrik1"/>
      </w:pPr>
      <w:bookmarkStart w:id="72" w:name="_Toc526302412"/>
      <w:r w:rsidRPr="001E42CA">
        <w:t>Renodla utgiftsområdet</w:t>
      </w:r>
      <w:bookmarkEnd w:id="72"/>
    </w:p>
    <w:p w:rsidR="00DC1575" w:rsidRPr="001E42CA" w:rsidRDefault="00DC1575">
      <w:r w:rsidRPr="001E42CA">
        <w:t>I rapporten föreslår Riksdagens revisorer att utgiftsområde 25 Allmänna bidrag till kommuner endast bör omfatta anslagen 91:1 Generellt statsbidrag till kommuner och landsting, 91:3 Statligt utjämningsbidrag till kommuner och landsting och 91:4 Bidrag till Rådet för kommunal redovisning. Utgifter för ändamål som inte kan hänföras till dessa tre anslag bör äskas under r</w:t>
      </w:r>
      <w:r w:rsidRPr="001E42CA">
        <w:t>e</w:t>
      </w:r>
      <w:r w:rsidRPr="001E42CA">
        <w:t xml:space="preserve">spektive politikområde. </w:t>
      </w:r>
    </w:p>
    <w:p w:rsidR="00DC1575" w:rsidRPr="001E42CA" w:rsidRDefault="00DC1575">
      <w:pPr>
        <w:pStyle w:val="Normaltindrag"/>
      </w:pPr>
      <w:r w:rsidRPr="001E42CA">
        <w:rPr>
          <w:i/>
        </w:rPr>
        <w:t>Statskontoret</w:t>
      </w:r>
      <w:r w:rsidRPr="001E42CA">
        <w:t xml:space="preserve"> tillstyrker i princip revisorernas förslag. Statskontoret har dock förståelse för att statsmakterna behöver ha möjlighet att stödja komm</w:t>
      </w:r>
      <w:r w:rsidRPr="001E42CA">
        <w:t>u</w:t>
      </w:r>
      <w:r w:rsidRPr="001E42CA">
        <w:t>ner och landsting som drabbats av plötsliga och/eller omfattande problem. Eventuella anslag som inrättas i samband med sådant stöd bör enligt Statskontorets mening vara tillfälliga. Kontoret vill dock understryka bet</w:t>
      </w:r>
      <w:r w:rsidRPr="001E42CA">
        <w:t>y</w:t>
      </w:r>
      <w:r w:rsidRPr="001E42CA">
        <w:t xml:space="preserve">delsen av att det statliga stödet till kommuner och landsting normalt ges i generella former. </w:t>
      </w:r>
    </w:p>
    <w:p w:rsidR="00DC1575" w:rsidRPr="001E42CA" w:rsidRDefault="00DC1575">
      <w:pPr>
        <w:pStyle w:val="Normaltindrag"/>
      </w:pPr>
      <w:r w:rsidRPr="001E42CA">
        <w:rPr>
          <w:i/>
        </w:rPr>
        <w:t>Ekonomiförvaltningsutredningen</w:t>
      </w:r>
      <w:r w:rsidRPr="001E42CA">
        <w:t xml:space="preserve"> finner, mot bakgrund av kommunse</w:t>
      </w:r>
      <w:r w:rsidRPr="001E42CA">
        <w:t>k</w:t>
      </w:r>
      <w:r w:rsidRPr="001E42CA">
        <w:t>torns ekonomiska och strukturella problem, revisorernas förslag väl drastiskt och kan därför inte ge det sitt stöd, även om det från budgetteknisk synpunkt har vissa förtjänster. De politiska och praktiska fördelarna med den nuvara</w:t>
      </w:r>
      <w:r w:rsidRPr="001E42CA">
        <w:t>n</w:t>
      </w:r>
      <w:r w:rsidRPr="001E42CA">
        <w:t>de ordningen överväger enligt utredningens mening.</w:t>
      </w:r>
    </w:p>
    <w:p w:rsidR="00DC1575" w:rsidRPr="001E42CA" w:rsidRDefault="00DC1575">
      <w:pPr>
        <w:pStyle w:val="Normaltindrag"/>
      </w:pPr>
      <w:r w:rsidRPr="001E42CA">
        <w:rPr>
          <w:i/>
        </w:rPr>
        <w:t>Svenska Kommunförbundet</w:t>
      </w:r>
      <w:r w:rsidRPr="001E42CA">
        <w:t xml:space="preserve"> och </w:t>
      </w:r>
      <w:r w:rsidRPr="001E42CA">
        <w:rPr>
          <w:i/>
        </w:rPr>
        <w:t>Landstingsförbundet</w:t>
      </w:r>
      <w:r w:rsidRPr="001E42CA">
        <w:t xml:space="preserve"> pekar på att det inom ramen för anslaget har finansierats vissa akuta behov som inte rimligen kan förutses och därmed beaktas inom ramen för en ordinär kommunal budget. Dit hör t.ex. hjälp vid översvämningarna. Sådana insatser kan, enligt förbu</w:t>
      </w:r>
      <w:r w:rsidRPr="001E42CA">
        <w:t>n</w:t>
      </w:r>
      <w:r w:rsidRPr="001E42CA">
        <w:t>den, endast regeringen klara och det bör finnas en finansiell beredskap för detta. Om det ska vara ett särskilt öronmärkt anslag – som ju är svårt att beräkna – eller lösas på annat sätt när det inträffar är, enligt förbunden, en fråga för re</w:t>
      </w:r>
      <w:r w:rsidRPr="001E42CA">
        <w:t>geringen att pröva.</w:t>
      </w:r>
    </w:p>
    <w:p w:rsidR="00DC1575" w:rsidRPr="001E42CA" w:rsidRDefault="00DC1575">
      <w:pPr>
        <w:pStyle w:val="Normaltindrag"/>
      </w:pPr>
      <w:r w:rsidRPr="001E42CA">
        <w:rPr>
          <w:i/>
        </w:rPr>
        <w:t>Forshaga kommun</w:t>
      </w:r>
      <w:r w:rsidRPr="001E42CA">
        <w:t xml:space="preserve"> tillstyrker revisorernas förslag. </w:t>
      </w:r>
    </w:p>
    <w:p w:rsidR="00DC1575" w:rsidRPr="001E42CA" w:rsidRDefault="00DC1575">
      <w:pPr>
        <w:pStyle w:val="Normaltindrag"/>
      </w:pPr>
      <w:r w:rsidRPr="001E42CA">
        <w:rPr>
          <w:i/>
        </w:rPr>
        <w:t>Malungs kommun</w:t>
      </w:r>
      <w:r w:rsidRPr="001E42CA">
        <w:t xml:space="preserve"> anser att statens budget bör innehålla ett särskilt anslag för akut ekonomiskt bistånd till oförskyllt drabbad kommun vid yttre hände</w:t>
      </w:r>
      <w:r w:rsidRPr="001E42CA">
        <w:t>l</w:t>
      </w:r>
      <w:r w:rsidRPr="001E42CA">
        <w:t xml:space="preserve">se av naturkatastrofkaraktär eller annan likvärdig händelse. </w:t>
      </w:r>
    </w:p>
    <w:p w:rsidR="00DC1575" w:rsidRPr="001E42CA" w:rsidRDefault="00DC1575">
      <w:pPr>
        <w:pStyle w:val="Rubrik1"/>
      </w:pPr>
      <w:bookmarkStart w:id="73" w:name="_Toc524493448"/>
      <w:bookmarkStart w:id="74" w:name="_Toc526302413"/>
      <w:r w:rsidRPr="001E42CA">
        <w:t>Uppföljningen bör preciseras och ske av en myndighet</w:t>
      </w:r>
      <w:bookmarkEnd w:id="73"/>
      <w:bookmarkEnd w:id="74"/>
    </w:p>
    <w:p w:rsidR="00DC1575" w:rsidRPr="001E42CA" w:rsidRDefault="00DC1575">
      <w:r w:rsidRPr="001E42CA">
        <w:t>I rapporten föreslår Riksdagens revisorer att uppföljningen av Kommundel</w:t>
      </w:r>
      <w:r w:rsidRPr="001E42CA">
        <w:t>e</w:t>
      </w:r>
      <w:r w:rsidRPr="001E42CA">
        <w:t>gationens arbete bör ske av en myndighet. Regeringen bör redovisa hur up</w:t>
      </w:r>
      <w:r w:rsidRPr="001E42CA">
        <w:t>p</w:t>
      </w:r>
      <w:r w:rsidRPr="001E42CA">
        <w:t>följningen av Bostadsdelegationens arbete ska organiseras.</w:t>
      </w:r>
    </w:p>
    <w:p w:rsidR="00DC1575" w:rsidRPr="001E42CA" w:rsidRDefault="00DC1575">
      <w:r w:rsidRPr="001E42CA">
        <w:rPr>
          <w:i/>
        </w:rPr>
        <w:t>Finansdepartementet</w:t>
      </w:r>
      <w:r w:rsidRPr="001E42CA">
        <w:t xml:space="preserve"> redovisar att en särskild utredare har fått i uppdrag att följa upp och stödja de kommuner och landsting vars ansökningar beretts av Kommundelegationen och som av regeringen beviljats bidrag. De kommuner och landsting som har träffat överenskommelser med regeringen har i april 2001 lämnat en utförlig lägesrapport till utredaren. Det finns, enligt Finan</w:t>
      </w:r>
      <w:r w:rsidRPr="001E42CA">
        <w:t>s</w:t>
      </w:r>
      <w:r w:rsidRPr="001E42CA">
        <w:t>departementet, anledning att påpeka att det för närvarande inte finns någon myndighet som har kompetens att göra en granskning av de kommuner som fått stöd.</w:t>
      </w:r>
      <w:r w:rsidRPr="001E42CA">
        <w:t xml:space="preserve"> Möjligheten finns ju att inrätta en sådan myndighet eller att tillföra kompetens till en redan befintlig myndighet. I det sammanhanget bör dock, enligt departementet, beaktas att den aktuella uppgiften vad gäller uppföl</w:t>
      </w:r>
      <w:r w:rsidRPr="001E42CA">
        <w:t>j</w:t>
      </w:r>
      <w:r w:rsidRPr="001E42CA">
        <w:t>ning av Kommundelegationens arbete är av helt tillfällig karaktär. Finansd</w:t>
      </w:r>
      <w:r w:rsidRPr="001E42CA">
        <w:t>e</w:t>
      </w:r>
      <w:r w:rsidRPr="001E42CA">
        <w:t>partementet pekar vidare på att regeringen aviserade i 2001 års ekonomiska vårproposition att den avser att låta Bostadsdelegationen fortsätta sitt arbete även under 2002. Av propositionen framgår att uppföljningen a</w:t>
      </w:r>
      <w:r w:rsidRPr="001E42CA">
        <w:t>v ingångna avtal inledningsvis kommer att ske av Bostadsdelegationen. Uppföljningen bör även innefatta studier av hur de kommuner som sökt stöd men inte har något avtal med delegationen har hanterat sina svårigheter. Syftet är att an</w:t>
      </w:r>
      <w:r w:rsidRPr="001E42CA">
        <w:t>a</w:t>
      </w:r>
      <w:r w:rsidRPr="001E42CA">
        <w:t>lysera vilka effekter omfattande engångsåtgärder har på kommunernas ver</w:t>
      </w:r>
      <w:r w:rsidRPr="001E42CA">
        <w:t>k</w:t>
      </w:r>
      <w:r w:rsidRPr="001E42CA">
        <w:t>samhet samt vilken inverkan avtalen och denna typ av statligt stöd har på kommunernas ekonomi och anpassningsförmåga. Regeringen avser att åte</w:t>
      </w:r>
      <w:r w:rsidRPr="001E42CA">
        <w:t>r</w:t>
      </w:r>
      <w:r w:rsidRPr="001E42CA">
        <w:t>komma avseende hur den fortsatta uppföljningen ska ske efter at</w:t>
      </w:r>
      <w:r w:rsidRPr="001E42CA">
        <w:t>t Bostad</w:t>
      </w:r>
      <w:r w:rsidRPr="001E42CA">
        <w:t>s</w:t>
      </w:r>
      <w:r w:rsidRPr="001E42CA">
        <w:t xml:space="preserve">delegationen har upphört. </w:t>
      </w:r>
    </w:p>
    <w:p w:rsidR="00DC1575" w:rsidRPr="001E42CA" w:rsidRDefault="00DC1575">
      <w:pPr>
        <w:pStyle w:val="Normaltindrag"/>
      </w:pPr>
      <w:r w:rsidRPr="001E42CA">
        <w:rPr>
          <w:i/>
        </w:rPr>
        <w:t>Statskontoret</w:t>
      </w:r>
      <w:r w:rsidRPr="001E42CA">
        <w:t xml:space="preserve"> konstaterar att det saknas en lämplig central funktion för en sådan uppföljning men delar vad kontoret anser vara rapportens uppfattning om att en sådan funktion bör finnas. Statskontoret vill i sammanhanget erinra om att frågan om att inrätta ett organ för statlig uppföljning av kommuner och landsting aktualiserats i flera andra sammanhang utifrån skilda perspe</w:t>
      </w:r>
      <w:r w:rsidRPr="001E42CA">
        <w:t>k</w:t>
      </w:r>
      <w:r w:rsidRPr="001E42CA">
        <w:t xml:space="preserve">tiv. Det har handlat om uppföljning av prestationer och kostnader, av styr-, organisations- och verksamhetsformer samt av uppgifter med betydelse </w:t>
      </w:r>
      <w:r w:rsidRPr="001E42CA">
        <w:t>för utjämningssystemet. Frågan har behandlats tidigare av bl.a. Utredningen om statens uppgiftsinsamlig från kommuner och landsting (SOU 1976:179) och nyligen av Delegationen för fortsatt utveckling av utjämningssystemet för kommuner och landsting (SOU 2000:127). Statskontoret kan konstatera att inget av utredningarnas förslag om inrättande av ett uppföljningsorgan fö</w:t>
      </w:r>
      <w:r w:rsidRPr="001E42CA">
        <w:t>r</w:t>
      </w:r>
      <w:r w:rsidRPr="001E42CA">
        <w:t>verkligats. Kontoret anser att ett och samma organ bör kunna hantera samtl</w:t>
      </w:r>
      <w:r w:rsidRPr="001E42CA">
        <w:t>i</w:t>
      </w:r>
      <w:r w:rsidRPr="001E42CA">
        <w:t>ga här nämnda typer av statlig uppföljning av kommuner och landsti</w:t>
      </w:r>
      <w:r w:rsidRPr="001E42CA">
        <w:t xml:space="preserve">ng. </w:t>
      </w:r>
    </w:p>
    <w:p w:rsidR="00DC1575" w:rsidRPr="001E42CA" w:rsidRDefault="00DC1575">
      <w:pPr>
        <w:pStyle w:val="Normaltindrag"/>
      </w:pPr>
      <w:r w:rsidRPr="001E42CA">
        <w:t xml:space="preserve">Enligt </w:t>
      </w:r>
      <w:r w:rsidRPr="001E42CA">
        <w:rPr>
          <w:i/>
        </w:rPr>
        <w:t>Ekonomiförvaltningsutredningens</w:t>
      </w:r>
      <w:r w:rsidRPr="001E42CA">
        <w:t xml:space="preserve"> mening förefaller revisorerna inte ha gjort klart för sig att en kommitté, som också innefattar formen särskild utredare, formellt sett utgör en myndighet under regeringen. Någon avgöra</w:t>
      </w:r>
      <w:r w:rsidRPr="001E42CA">
        <w:t>n</w:t>
      </w:r>
      <w:r w:rsidRPr="001E42CA">
        <w:t>de innehållslig skillnad vad gäller styrningen av en kommitté eller liknande respektive en myndighet med reguljär verksamhet finns inte enligt utre</w:t>
      </w:r>
      <w:r w:rsidRPr="001E42CA">
        <w:t>d</w:t>
      </w:r>
      <w:r w:rsidRPr="001E42CA">
        <w:t>ningen, och de fördelar som revisorerna anför till förmån för en myndighet i den meningen revisorerna lägger i begreppet har enligt utredningen in</w:t>
      </w:r>
      <w:r w:rsidRPr="001E42CA">
        <w:t>gen större tyngd. Enligt utredningens mening bör det stå regeringen fritt att välja i vilka former en uppföljning av Bostadsdelegationens och Kommundeleg</w:t>
      </w:r>
      <w:r w:rsidRPr="001E42CA">
        <w:t>a</w:t>
      </w:r>
      <w:r w:rsidRPr="001E42CA">
        <w:t>tionens arbete ska ske.</w:t>
      </w:r>
    </w:p>
    <w:p w:rsidR="00DC1575" w:rsidRPr="001E42CA" w:rsidRDefault="00DC1575">
      <w:pPr>
        <w:pStyle w:val="Normaltindrag"/>
      </w:pPr>
      <w:r w:rsidRPr="001E42CA">
        <w:rPr>
          <w:i/>
        </w:rPr>
        <w:t>Svenska Kommunförbundet</w:t>
      </w:r>
      <w:r w:rsidRPr="001E42CA">
        <w:t xml:space="preserve"> och </w:t>
      </w:r>
      <w:r w:rsidRPr="001E42CA">
        <w:rPr>
          <w:i/>
        </w:rPr>
        <w:t>Landstingsförbundet</w:t>
      </w:r>
      <w:r w:rsidRPr="001E42CA">
        <w:t xml:space="preserve"> ser inget skäl att ha synpunkter på detta då det är en intern fråga för staten.</w:t>
      </w:r>
    </w:p>
    <w:p w:rsidR="00DC1575" w:rsidRPr="001E42CA" w:rsidRDefault="00DC1575">
      <w:pPr>
        <w:pStyle w:val="Normaltindrag"/>
      </w:pPr>
      <w:r w:rsidRPr="001E42CA">
        <w:rPr>
          <w:i/>
        </w:rPr>
        <w:t>Forshaga kommun</w:t>
      </w:r>
      <w:r w:rsidRPr="001E42CA">
        <w:t xml:space="preserve"> tillstyrker revisorernas förslag.</w:t>
      </w: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sectPr w:rsidR="00000000" w:rsidRPr="001E42CA">
          <w:headerReference w:type="default" r:id="rId27"/>
          <w:footerReference w:type="default" r:id="rId28"/>
          <w:pgSz w:w="11906" w:h="16838" w:code="9"/>
          <w:pgMar w:top="567" w:right="4876" w:bottom="4508" w:left="1134" w:header="227" w:footer="227" w:gutter="0"/>
          <w:cols w:space="720"/>
        </w:sectPr>
      </w:pPr>
    </w:p>
    <w:p w:rsidR="00DC1575" w:rsidRPr="001E42CA" w:rsidRDefault="00DC1575">
      <w:pPr>
        <w:pStyle w:val="Innehll"/>
        <w:outlineLvl w:val="1"/>
      </w:pPr>
      <w:r w:rsidRPr="001E42CA">
        <w:t>Innehållsförteckning</w:t>
      </w:r>
    </w:p>
    <w:p w:rsidR="00DC1575" w:rsidRPr="001E42CA" w:rsidRDefault="00DC1575">
      <w:pPr>
        <w:pStyle w:val="Innehll1"/>
        <w:rPr>
          <w:noProof w:val="0"/>
        </w:rPr>
      </w:pPr>
    </w:p>
    <w:p w:rsidR="00DC1575" w:rsidRPr="001E42CA" w:rsidRDefault="00DC1575">
      <w:pPr>
        <w:pStyle w:val="Innehll1"/>
        <w:rPr>
          <w:noProof w:val="0"/>
        </w:rPr>
      </w:pPr>
      <w:r w:rsidRPr="001E42CA">
        <w:rPr>
          <w:noProof w:val="0"/>
        </w:rPr>
        <w:t>1</w:t>
      </w:r>
      <w:r w:rsidRPr="001E42CA">
        <w:rPr>
          <w:noProof w:val="0"/>
        </w:rPr>
        <w:tab/>
        <w:t>Inledning</w:t>
      </w:r>
      <w:r w:rsidRPr="001E42CA">
        <w:rPr>
          <w:noProof w:val="0"/>
        </w:rPr>
        <w:tab/>
        <w:t>1</w:t>
      </w:r>
    </w:p>
    <w:p w:rsidR="00DC1575" w:rsidRPr="001E42CA" w:rsidRDefault="00DC1575">
      <w:pPr>
        <w:pStyle w:val="Innehll2"/>
        <w:rPr>
          <w:noProof w:val="0"/>
        </w:rPr>
      </w:pPr>
      <w:r w:rsidRPr="001E42CA">
        <w:rPr>
          <w:noProof w:val="0"/>
        </w:rPr>
        <w:t>1.1</w:t>
      </w:r>
      <w:r w:rsidRPr="001E42CA">
        <w:rPr>
          <w:noProof w:val="0"/>
        </w:rPr>
        <w:tab/>
        <w:t>Bakgrund</w:t>
      </w:r>
      <w:r w:rsidRPr="001E42CA">
        <w:rPr>
          <w:noProof w:val="0"/>
        </w:rPr>
        <w:tab/>
        <w:t>1</w:t>
      </w:r>
    </w:p>
    <w:p w:rsidR="00DC1575" w:rsidRPr="001E42CA" w:rsidRDefault="00DC1575">
      <w:pPr>
        <w:pStyle w:val="Innehll2"/>
        <w:rPr>
          <w:noProof w:val="0"/>
        </w:rPr>
      </w:pPr>
      <w:r w:rsidRPr="001E42CA">
        <w:rPr>
          <w:noProof w:val="0"/>
        </w:rPr>
        <w:t>1.2</w:t>
      </w:r>
      <w:r w:rsidRPr="001E42CA">
        <w:rPr>
          <w:noProof w:val="0"/>
        </w:rPr>
        <w:tab/>
        <w:t>Stödet till kommuner och landsting</w:t>
      </w:r>
      <w:r w:rsidRPr="001E42CA">
        <w:rPr>
          <w:noProof w:val="0"/>
        </w:rPr>
        <w:tab/>
        <w:t>1</w:t>
      </w:r>
    </w:p>
    <w:p w:rsidR="00DC1575" w:rsidRPr="001E42CA" w:rsidRDefault="00DC1575">
      <w:pPr>
        <w:pStyle w:val="Innehll1"/>
        <w:rPr>
          <w:noProof w:val="0"/>
        </w:rPr>
      </w:pPr>
      <w:r w:rsidRPr="001E42CA">
        <w:rPr>
          <w:noProof w:val="0"/>
        </w:rPr>
        <w:t>2</w:t>
      </w:r>
      <w:r w:rsidRPr="001E42CA">
        <w:rPr>
          <w:noProof w:val="0"/>
        </w:rPr>
        <w:tab/>
        <w:t>Revisorernas överväganden</w:t>
      </w:r>
      <w:r w:rsidRPr="001E42CA">
        <w:rPr>
          <w:noProof w:val="0"/>
        </w:rPr>
        <w:tab/>
        <w:t>2</w:t>
      </w:r>
    </w:p>
    <w:p w:rsidR="00DC1575" w:rsidRPr="001E42CA" w:rsidRDefault="00DC1575">
      <w:pPr>
        <w:pStyle w:val="Innehll2"/>
        <w:rPr>
          <w:noProof w:val="0"/>
        </w:rPr>
      </w:pPr>
      <w:r w:rsidRPr="001E42CA">
        <w:rPr>
          <w:noProof w:val="0"/>
        </w:rPr>
        <w:t>2.1</w:t>
      </w:r>
      <w:r w:rsidRPr="001E42CA">
        <w:rPr>
          <w:noProof w:val="0"/>
        </w:rPr>
        <w:tab/>
        <w:t>Avveckla anslaget successivt</w:t>
      </w:r>
      <w:r w:rsidRPr="001E42CA">
        <w:rPr>
          <w:noProof w:val="0"/>
        </w:rPr>
        <w:tab/>
        <w:t>3</w:t>
      </w:r>
    </w:p>
    <w:p w:rsidR="00DC1575" w:rsidRPr="001E42CA" w:rsidRDefault="00DC1575">
      <w:pPr>
        <w:pStyle w:val="Innehll2"/>
        <w:rPr>
          <w:noProof w:val="0"/>
        </w:rPr>
      </w:pPr>
      <w:r w:rsidRPr="001E42CA">
        <w:rPr>
          <w:noProof w:val="0"/>
        </w:rPr>
        <w:t>2.2</w:t>
      </w:r>
      <w:r w:rsidRPr="001E42CA">
        <w:rPr>
          <w:noProof w:val="0"/>
        </w:rPr>
        <w:tab/>
        <w:t>Det finansiella ansvaret och risktagandet</w:t>
      </w:r>
      <w:r w:rsidRPr="001E42CA">
        <w:rPr>
          <w:noProof w:val="0"/>
        </w:rPr>
        <w:tab/>
        <w:t>10</w:t>
      </w:r>
    </w:p>
    <w:p w:rsidR="00DC1575" w:rsidRPr="001E42CA" w:rsidRDefault="00DC1575">
      <w:pPr>
        <w:pStyle w:val="Innehll2"/>
        <w:rPr>
          <w:noProof w:val="0"/>
        </w:rPr>
      </w:pPr>
      <w:r w:rsidRPr="001E42CA">
        <w:rPr>
          <w:noProof w:val="0"/>
        </w:rPr>
        <w:t>2.3</w:t>
      </w:r>
      <w:r w:rsidRPr="001E42CA">
        <w:rPr>
          <w:noProof w:val="0"/>
        </w:rPr>
        <w:tab/>
        <w:t>Renodla utgiftsområdet</w:t>
      </w:r>
      <w:r w:rsidRPr="001E42CA">
        <w:rPr>
          <w:noProof w:val="0"/>
        </w:rPr>
        <w:tab/>
        <w:t>13</w:t>
      </w:r>
    </w:p>
    <w:p w:rsidR="00DC1575" w:rsidRPr="001E42CA" w:rsidRDefault="00DC1575">
      <w:pPr>
        <w:pStyle w:val="Innehll2"/>
        <w:rPr>
          <w:noProof w:val="0"/>
        </w:rPr>
      </w:pPr>
      <w:r w:rsidRPr="001E42CA">
        <w:rPr>
          <w:noProof w:val="0"/>
        </w:rPr>
        <w:t>2.4</w:t>
      </w:r>
      <w:r w:rsidRPr="001E42CA">
        <w:rPr>
          <w:noProof w:val="0"/>
        </w:rPr>
        <w:tab/>
        <w:t>Uppföljning</w:t>
      </w:r>
      <w:r w:rsidRPr="001E42CA">
        <w:rPr>
          <w:noProof w:val="0"/>
        </w:rPr>
        <w:tab/>
        <w:t>15</w:t>
      </w:r>
    </w:p>
    <w:p w:rsidR="00DC1575" w:rsidRPr="001E42CA" w:rsidRDefault="00DC1575">
      <w:pPr>
        <w:pStyle w:val="Innehll1"/>
        <w:rPr>
          <w:noProof w:val="0"/>
        </w:rPr>
      </w:pPr>
      <w:r w:rsidRPr="001E42CA">
        <w:rPr>
          <w:noProof w:val="0"/>
        </w:rPr>
        <w:t>3</w:t>
      </w:r>
      <w:r w:rsidRPr="001E42CA">
        <w:rPr>
          <w:noProof w:val="0"/>
        </w:rPr>
        <w:tab/>
        <w:t>Revisorernas förslag</w:t>
      </w:r>
      <w:r w:rsidRPr="001E42CA">
        <w:rPr>
          <w:noProof w:val="0"/>
        </w:rPr>
        <w:tab/>
        <w:t>16</w:t>
      </w:r>
    </w:p>
    <w:p w:rsidR="00DC1575" w:rsidRPr="001E42CA" w:rsidRDefault="00DC1575">
      <w:pPr>
        <w:pStyle w:val="Innehll1"/>
        <w:rPr>
          <w:noProof w:val="0"/>
        </w:rPr>
      </w:pPr>
    </w:p>
    <w:p w:rsidR="00DC1575" w:rsidRPr="001E42CA" w:rsidRDefault="00DC1575">
      <w:pPr>
        <w:pStyle w:val="Innehll1"/>
        <w:rPr>
          <w:i/>
          <w:noProof w:val="0"/>
        </w:rPr>
      </w:pPr>
      <w:r w:rsidRPr="001E42CA">
        <w:rPr>
          <w:i/>
          <w:noProof w:val="0"/>
        </w:rPr>
        <w:t xml:space="preserve">Bilaga 1 </w:t>
      </w:r>
    </w:p>
    <w:p w:rsidR="00DC1575" w:rsidRPr="001E42CA" w:rsidRDefault="00DC1575">
      <w:pPr>
        <w:pStyle w:val="Innehll1"/>
        <w:rPr>
          <w:noProof w:val="0"/>
        </w:rPr>
      </w:pPr>
      <w:r w:rsidRPr="001E42CA">
        <w:rPr>
          <w:noProof w:val="0"/>
        </w:rPr>
        <w:t>Akut- eller långvård? – statens stöd till kommuner med ekonomiska</w:t>
      </w:r>
    </w:p>
    <w:p w:rsidR="00DC1575" w:rsidRPr="001E42CA" w:rsidRDefault="00DC1575">
      <w:pPr>
        <w:pStyle w:val="Innehll1"/>
        <w:rPr>
          <w:noProof w:val="0"/>
        </w:rPr>
      </w:pPr>
      <w:r w:rsidRPr="001E42CA">
        <w:rPr>
          <w:noProof w:val="0"/>
        </w:rPr>
        <w:t>problem</w:t>
      </w:r>
      <w:r w:rsidRPr="001E42CA">
        <w:rPr>
          <w:noProof w:val="0"/>
        </w:rPr>
        <w:tab/>
        <w:t>19</w:t>
      </w:r>
    </w:p>
    <w:p w:rsidR="00DC1575" w:rsidRPr="001E42CA" w:rsidRDefault="00DC1575">
      <w:pPr>
        <w:pStyle w:val="Innehll1"/>
        <w:rPr>
          <w:noProof w:val="0"/>
        </w:rPr>
      </w:pPr>
      <w:r w:rsidRPr="001E42CA">
        <w:rPr>
          <w:noProof w:val="0"/>
        </w:rPr>
        <w:t>1</w:t>
      </w:r>
      <w:r w:rsidRPr="001E42CA">
        <w:rPr>
          <w:noProof w:val="0"/>
        </w:rPr>
        <w:tab/>
        <w:t>Granskningens bakgrund och inriktning</w:t>
      </w:r>
      <w:r w:rsidRPr="001E42CA">
        <w:rPr>
          <w:noProof w:val="0"/>
        </w:rPr>
        <w:tab/>
      </w:r>
      <w:bookmarkStart w:id="75" w:name="_Hlt526304665"/>
      <w:r w:rsidRPr="001E42CA">
        <w:rPr>
          <w:noProof w:val="0"/>
        </w:rPr>
        <w:t>29</w:t>
      </w:r>
      <w:bookmarkEnd w:id="75"/>
    </w:p>
    <w:p w:rsidR="00DC1575" w:rsidRPr="001E42CA" w:rsidRDefault="00DC1575">
      <w:pPr>
        <w:pStyle w:val="Innehll1"/>
        <w:rPr>
          <w:noProof w:val="0"/>
        </w:rPr>
      </w:pPr>
      <w:r w:rsidRPr="001E42CA">
        <w:rPr>
          <w:noProof w:val="0"/>
        </w:rPr>
        <w:t>2</w:t>
      </w:r>
      <w:r w:rsidRPr="001E42CA">
        <w:rPr>
          <w:noProof w:val="0"/>
        </w:rPr>
        <w:tab/>
        <w:t>Anslaget för bidrag till särskilda insatser i vissa kommuner och landsting</w:t>
      </w:r>
      <w:r w:rsidRPr="001E42CA">
        <w:rPr>
          <w:noProof w:val="0"/>
        </w:rPr>
        <w:tab/>
        <w:t>31</w:t>
      </w:r>
    </w:p>
    <w:p w:rsidR="00DC1575" w:rsidRPr="001E42CA" w:rsidRDefault="00DC1575">
      <w:pPr>
        <w:pStyle w:val="Innehll2"/>
        <w:rPr>
          <w:noProof w:val="0"/>
        </w:rPr>
      </w:pPr>
      <w:r w:rsidRPr="001E42CA">
        <w:rPr>
          <w:noProof w:val="0"/>
        </w:rPr>
        <w:t>2.1</w:t>
      </w:r>
      <w:r w:rsidRPr="001E42CA">
        <w:rPr>
          <w:noProof w:val="0"/>
        </w:rPr>
        <w:tab/>
        <w:t>Omfattning</w:t>
      </w:r>
      <w:r w:rsidRPr="001E42CA">
        <w:rPr>
          <w:noProof w:val="0"/>
        </w:rPr>
        <w:tab/>
        <w:t>31</w:t>
      </w:r>
    </w:p>
    <w:p w:rsidR="00DC1575" w:rsidRPr="001E42CA" w:rsidRDefault="00DC1575">
      <w:pPr>
        <w:pStyle w:val="Innehll2"/>
        <w:rPr>
          <w:noProof w:val="0"/>
        </w:rPr>
      </w:pPr>
      <w:r w:rsidRPr="001E42CA">
        <w:rPr>
          <w:noProof w:val="0"/>
        </w:rPr>
        <w:t>2.2</w:t>
      </w:r>
      <w:r w:rsidRPr="001E42CA">
        <w:rPr>
          <w:noProof w:val="0"/>
        </w:rPr>
        <w:tab/>
        <w:t>Syftet med anslaget</w:t>
      </w:r>
      <w:r w:rsidRPr="001E42CA">
        <w:rPr>
          <w:noProof w:val="0"/>
        </w:rPr>
        <w:tab/>
        <w:t>32</w:t>
      </w:r>
    </w:p>
    <w:p w:rsidR="00DC1575" w:rsidRPr="001E42CA" w:rsidRDefault="00DC1575">
      <w:pPr>
        <w:pStyle w:val="Innehll2"/>
        <w:rPr>
          <w:noProof w:val="0"/>
        </w:rPr>
      </w:pPr>
      <w:r w:rsidRPr="001E42CA">
        <w:rPr>
          <w:noProof w:val="0"/>
        </w:rPr>
        <w:t>2.3</w:t>
      </w:r>
      <w:r w:rsidRPr="001E42CA">
        <w:rPr>
          <w:noProof w:val="0"/>
        </w:rPr>
        <w:tab/>
        <w:t>Finansiering</w:t>
      </w:r>
      <w:r w:rsidRPr="001E42CA">
        <w:rPr>
          <w:noProof w:val="0"/>
        </w:rPr>
        <w:tab/>
        <w:t>33</w:t>
      </w:r>
    </w:p>
    <w:p w:rsidR="00DC1575" w:rsidRPr="001E42CA" w:rsidRDefault="00DC1575">
      <w:pPr>
        <w:pStyle w:val="Innehll2"/>
        <w:rPr>
          <w:noProof w:val="0"/>
        </w:rPr>
      </w:pPr>
      <w:r w:rsidRPr="001E42CA">
        <w:rPr>
          <w:noProof w:val="0"/>
        </w:rPr>
        <w:t>2.4</w:t>
      </w:r>
      <w:r w:rsidRPr="001E42CA">
        <w:rPr>
          <w:noProof w:val="0"/>
        </w:rPr>
        <w:tab/>
        <w:t>Riksdagens behandling</w:t>
      </w:r>
      <w:r w:rsidRPr="001E42CA">
        <w:rPr>
          <w:noProof w:val="0"/>
        </w:rPr>
        <w:tab/>
        <w:t>33</w:t>
      </w:r>
    </w:p>
    <w:p w:rsidR="00DC1575" w:rsidRPr="001E42CA" w:rsidRDefault="00DC1575">
      <w:pPr>
        <w:pStyle w:val="Innehll2"/>
        <w:rPr>
          <w:noProof w:val="0"/>
        </w:rPr>
      </w:pPr>
      <w:r w:rsidRPr="001E42CA">
        <w:rPr>
          <w:noProof w:val="0"/>
        </w:rPr>
        <w:t>2.5</w:t>
      </w:r>
      <w:r w:rsidRPr="001E42CA">
        <w:rPr>
          <w:noProof w:val="0"/>
        </w:rPr>
        <w:tab/>
        <w:t>Sammanfattning</w:t>
      </w:r>
      <w:r w:rsidRPr="001E42CA">
        <w:rPr>
          <w:noProof w:val="0"/>
        </w:rPr>
        <w:tab/>
        <w:t>34</w:t>
      </w:r>
    </w:p>
    <w:p w:rsidR="00DC1575" w:rsidRPr="001E42CA" w:rsidRDefault="00DC1575">
      <w:pPr>
        <w:pStyle w:val="Innehll1"/>
        <w:rPr>
          <w:noProof w:val="0"/>
        </w:rPr>
      </w:pPr>
      <w:r w:rsidRPr="001E42CA">
        <w:rPr>
          <w:noProof w:val="0"/>
        </w:rPr>
        <w:t>3</w:t>
      </w:r>
      <w:r w:rsidRPr="001E42CA">
        <w:rPr>
          <w:noProof w:val="0"/>
        </w:rPr>
        <w:tab/>
        <w:t>Organisation och handläggning</w:t>
      </w:r>
      <w:r w:rsidRPr="001E42CA">
        <w:rPr>
          <w:noProof w:val="0"/>
        </w:rPr>
        <w:tab/>
        <w:t>35</w:t>
      </w:r>
    </w:p>
    <w:p w:rsidR="00DC1575" w:rsidRPr="001E42CA" w:rsidRDefault="00DC1575">
      <w:pPr>
        <w:pStyle w:val="Innehll2"/>
        <w:rPr>
          <w:noProof w:val="0"/>
        </w:rPr>
      </w:pPr>
      <w:r w:rsidRPr="001E42CA">
        <w:rPr>
          <w:noProof w:val="0"/>
        </w:rPr>
        <w:t>3.1</w:t>
      </w:r>
      <w:r w:rsidRPr="001E42CA">
        <w:rPr>
          <w:noProof w:val="0"/>
        </w:rPr>
        <w:tab/>
        <w:t>Regeringen</w:t>
      </w:r>
      <w:r w:rsidRPr="001E42CA">
        <w:rPr>
          <w:noProof w:val="0"/>
        </w:rPr>
        <w:tab/>
        <w:t>35</w:t>
      </w:r>
    </w:p>
    <w:p w:rsidR="00DC1575" w:rsidRPr="001E42CA" w:rsidRDefault="00DC1575">
      <w:pPr>
        <w:pStyle w:val="Innehll2"/>
        <w:rPr>
          <w:noProof w:val="0"/>
        </w:rPr>
      </w:pPr>
      <w:r w:rsidRPr="001E42CA">
        <w:rPr>
          <w:noProof w:val="0"/>
        </w:rPr>
        <w:t>3.2</w:t>
      </w:r>
      <w:r w:rsidRPr="001E42CA">
        <w:rPr>
          <w:noProof w:val="0"/>
        </w:rPr>
        <w:tab/>
        <w:t>Kommundelegationen</w:t>
      </w:r>
      <w:r w:rsidRPr="001E42CA">
        <w:rPr>
          <w:noProof w:val="0"/>
        </w:rPr>
        <w:tab/>
        <w:t>36</w:t>
      </w:r>
    </w:p>
    <w:p w:rsidR="00DC1575" w:rsidRPr="001E42CA" w:rsidRDefault="00DC1575">
      <w:pPr>
        <w:pStyle w:val="Innehll2"/>
        <w:rPr>
          <w:noProof w:val="0"/>
        </w:rPr>
      </w:pPr>
      <w:r w:rsidRPr="001E42CA">
        <w:rPr>
          <w:noProof w:val="0"/>
        </w:rPr>
        <w:t>3.3</w:t>
      </w:r>
      <w:r w:rsidRPr="001E42CA">
        <w:rPr>
          <w:noProof w:val="0"/>
        </w:rPr>
        <w:tab/>
        <w:t>Bostadsdelegationen</w:t>
      </w:r>
      <w:r w:rsidRPr="001E42CA">
        <w:rPr>
          <w:noProof w:val="0"/>
        </w:rPr>
        <w:tab/>
        <w:t>42</w:t>
      </w:r>
    </w:p>
    <w:p w:rsidR="00DC1575" w:rsidRPr="001E42CA" w:rsidRDefault="00DC1575">
      <w:pPr>
        <w:pStyle w:val="Innehll1"/>
        <w:rPr>
          <w:noProof w:val="0"/>
        </w:rPr>
      </w:pPr>
      <w:r w:rsidRPr="001E42CA">
        <w:rPr>
          <w:noProof w:val="0"/>
        </w:rPr>
        <w:t>4</w:t>
      </w:r>
      <w:r w:rsidRPr="001E42CA">
        <w:rPr>
          <w:noProof w:val="0"/>
        </w:rPr>
        <w:tab/>
        <w:t>Några jämförelser mellan stödkommuner och andra kommuner</w:t>
      </w:r>
      <w:r w:rsidRPr="001E42CA">
        <w:rPr>
          <w:noProof w:val="0"/>
        </w:rPr>
        <w:tab/>
        <w:t>45</w:t>
      </w:r>
    </w:p>
    <w:p w:rsidR="00DC1575" w:rsidRPr="001E42CA" w:rsidRDefault="00DC1575">
      <w:pPr>
        <w:pStyle w:val="Innehll2"/>
        <w:rPr>
          <w:noProof w:val="0"/>
        </w:rPr>
      </w:pPr>
      <w:r w:rsidRPr="001E42CA">
        <w:rPr>
          <w:noProof w:val="0"/>
        </w:rPr>
        <w:t>4.1</w:t>
      </w:r>
      <w:r w:rsidRPr="001E42CA">
        <w:rPr>
          <w:noProof w:val="0"/>
        </w:rPr>
        <w:tab/>
        <w:t>Kort om data och metod</w:t>
      </w:r>
      <w:r w:rsidRPr="001E42CA">
        <w:rPr>
          <w:noProof w:val="0"/>
        </w:rPr>
        <w:tab/>
        <w:t>45</w:t>
      </w:r>
    </w:p>
    <w:p w:rsidR="00DC1575" w:rsidRPr="001E42CA" w:rsidRDefault="00DC1575">
      <w:pPr>
        <w:pStyle w:val="Innehll2"/>
        <w:rPr>
          <w:noProof w:val="0"/>
        </w:rPr>
      </w:pPr>
      <w:r w:rsidRPr="001E42CA">
        <w:rPr>
          <w:noProof w:val="0"/>
        </w:rPr>
        <w:t>4.2</w:t>
      </w:r>
      <w:r w:rsidRPr="001E42CA">
        <w:rPr>
          <w:noProof w:val="0"/>
        </w:rPr>
        <w:tab/>
        <w:t>Bakgrundsdata</w:t>
      </w:r>
      <w:r w:rsidRPr="001E42CA">
        <w:rPr>
          <w:noProof w:val="0"/>
        </w:rPr>
        <w:tab/>
        <w:t>47</w:t>
      </w:r>
    </w:p>
    <w:p w:rsidR="00DC1575" w:rsidRPr="001E42CA" w:rsidRDefault="00DC1575">
      <w:pPr>
        <w:pStyle w:val="Innehll2"/>
        <w:rPr>
          <w:noProof w:val="0"/>
        </w:rPr>
      </w:pPr>
      <w:r w:rsidRPr="001E42CA">
        <w:rPr>
          <w:noProof w:val="0"/>
        </w:rPr>
        <w:t>4.3</w:t>
      </w:r>
      <w:r w:rsidRPr="001E42CA">
        <w:rPr>
          <w:noProof w:val="0"/>
        </w:rPr>
        <w:tab/>
        <w:t>Finansiella nyckeltal</w:t>
      </w:r>
      <w:r w:rsidRPr="001E42CA">
        <w:rPr>
          <w:noProof w:val="0"/>
        </w:rPr>
        <w:tab/>
        <w:t>50</w:t>
      </w:r>
    </w:p>
    <w:p w:rsidR="00DC1575" w:rsidRPr="001E42CA" w:rsidRDefault="00DC1575">
      <w:pPr>
        <w:pStyle w:val="Innehll2"/>
        <w:rPr>
          <w:noProof w:val="0"/>
        </w:rPr>
      </w:pPr>
      <w:r w:rsidRPr="001E42CA">
        <w:rPr>
          <w:noProof w:val="0"/>
        </w:rPr>
        <w:t>4.4</w:t>
      </w:r>
      <w:r w:rsidRPr="001E42CA">
        <w:rPr>
          <w:noProof w:val="0"/>
        </w:rPr>
        <w:tab/>
        <w:t>Nyckeltal för verksamheten</w:t>
      </w:r>
      <w:r w:rsidRPr="001E42CA">
        <w:rPr>
          <w:noProof w:val="0"/>
        </w:rPr>
        <w:tab/>
        <w:t>55</w:t>
      </w:r>
    </w:p>
    <w:p w:rsidR="00DC1575" w:rsidRPr="001E42CA" w:rsidRDefault="00DC1575">
      <w:pPr>
        <w:pStyle w:val="Innehll2"/>
        <w:rPr>
          <w:noProof w:val="0"/>
        </w:rPr>
      </w:pPr>
      <w:r w:rsidRPr="001E42CA">
        <w:rPr>
          <w:noProof w:val="0"/>
        </w:rPr>
        <w:t>4.5</w:t>
      </w:r>
      <w:r w:rsidRPr="001E42CA">
        <w:rPr>
          <w:noProof w:val="0"/>
        </w:rPr>
        <w:tab/>
        <w:t>Politiska majoritetsförhållanden</w:t>
      </w:r>
      <w:r w:rsidRPr="001E42CA">
        <w:rPr>
          <w:noProof w:val="0"/>
        </w:rPr>
        <w:tab/>
        <w:t>60</w:t>
      </w:r>
    </w:p>
    <w:p w:rsidR="00DC1575" w:rsidRPr="001E42CA" w:rsidRDefault="00DC1575">
      <w:pPr>
        <w:pStyle w:val="Innehll2"/>
        <w:rPr>
          <w:noProof w:val="0"/>
        </w:rPr>
      </w:pPr>
      <w:r w:rsidRPr="001E42CA">
        <w:rPr>
          <w:noProof w:val="0"/>
        </w:rPr>
        <w:t>4.6</w:t>
      </w:r>
      <w:r w:rsidRPr="001E42CA">
        <w:rPr>
          <w:noProof w:val="0"/>
        </w:rPr>
        <w:tab/>
        <w:t>Sammanfattande slutsatser</w:t>
      </w:r>
      <w:r w:rsidRPr="001E42CA">
        <w:rPr>
          <w:noProof w:val="0"/>
        </w:rPr>
        <w:tab/>
        <w:t>62</w:t>
      </w:r>
    </w:p>
    <w:p w:rsidR="00DC1575" w:rsidRPr="001E42CA" w:rsidRDefault="00DC1575">
      <w:pPr>
        <w:pStyle w:val="Innehll1"/>
        <w:rPr>
          <w:noProof w:val="0"/>
        </w:rPr>
      </w:pPr>
      <w:r w:rsidRPr="001E42CA">
        <w:rPr>
          <w:noProof w:val="0"/>
        </w:rPr>
        <w:t>5</w:t>
      </w:r>
      <w:r w:rsidRPr="001E42CA">
        <w:rPr>
          <w:noProof w:val="0"/>
        </w:rPr>
        <w:tab/>
        <w:t>Fördelningsprocessen och avtalen</w:t>
      </w:r>
      <w:r w:rsidRPr="001E42CA">
        <w:rPr>
          <w:noProof w:val="0"/>
        </w:rPr>
        <w:tab/>
        <w:t>65</w:t>
      </w:r>
    </w:p>
    <w:p w:rsidR="00DC1575" w:rsidRPr="001E42CA" w:rsidRDefault="00DC1575">
      <w:pPr>
        <w:pStyle w:val="Innehll2"/>
        <w:rPr>
          <w:noProof w:val="0"/>
        </w:rPr>
      </w:pPr>
      <w:r w:rsidRPr="001E42CA">
        <w:rPr>
          <w:noProof w:val="0"/>
        </w:rPr>
        <w:t>5.1</w:t>
      </w:r>
      <w:r w:rsidRPr="001E42CA">
        <w:rPr>
          <w:noProof w:val="0"/>
        </w:rPr>
        <w:tab/>
        <w:t>Inledning</w:t>
      </w:r>
      <w:r w:rsidRPr="001E42CA">
        <w:rPr>
          <w:noProof w:val="0"/>
        </w:rPr>
        <w:tab/>
        <w:t>65</w:t>
      </w:r>
    </w:p>
    <w:p w:rsidR="00DC1575" w:rsidRPr="001E42CA" w:rsidRDefault="00DC1575">
      <w:pPr>
        <w:pStyle w:val="Innehll2"/>
        <w:rPr>
          <w:noProof w:val="0"/>
        </w:rPr>
      </w:pPr>
      <w:r w:rsidRPr="001E42CA">
        <w:rPr>
          <w:noProof w:val="0"/>
        </w:rPr>
        <w:t>5.2</w:t>
      </w:r>
      <w:r w:rsidRPr="001E42CA">
        <w:rPr>
          <w:noProof w:val="0"/>
        </w:rPr>
        <w:tab/>
        <w:t>Beslutsunderlag</w:t>
      </w:r>
      <w:r w:rsidRPr="001E42CA">
        <w:rPr>
          <w:noProof w:val="0"/>
        </w:rPr>
        <w:tab/>
        <w:t>66</w:t>
      </w:r>
    </w:p>
    <w:p w:rsidR="00DC1575" w:rsidRPr="001E42CA" w:rsidRDefault="00DC1575">
      <w:pPr>
        <w:pStyle w:val="Innehll2"/>
        <w:rPr>
          <w:noProof w:val="0"/>
        </w:rPr>
      </w:pPr>
      <w:r w:rsidRPr="001E42CA">
        <w:rPr>
          <w:noProof w:val="0"/>
        </w:rPr>
        <w:t>5.3</w:t>
      </w:r>
      <w:r w:rsidRPr="001E42CA">
        <w:rPr>
          <w:noProof w:val="0"/>
        </w:rPr>
        <w:tab/>
        <w:t>Beslutskriterier</w:t>
      </w:r>
      <w:r w:rsidRPr="001E42CA">
        <w:rPr>
          <w:noProof w:val="0"/>
        </w:rPr>
        <w:tab/>
        <w:t>71</w:t>
      </w:r>
    </w:p>
    <w:p w:rsidR="00DC1575" w:rsidRPr="001E42CA" w:rsidRDefault="00DC1575">
      <w:pPr>
        <w:pStyle w:val="Innehll2"/>
        <w:rPr>
          <w:noProof w:val="0"/>
        </w:rPr>
      </w:pPr>
      <w:r w:rsidRPr="001E42CA">
        <w:rPr>
          <w:noProof w:val="0"/>
        </w:rPr>
        <w:t>5.4</w:t>
      </w:r>
      <w:r w:rsidRPr="001E42CA">
        <w:rPr>
          <w:noProof w:val="0"/>
        </w:rPr>
        <w:tab/>
        <w:t>Avtalen</w:t>
      </w:r>
      <w:r w:rsidRPr="001E42CA">
        <w:rPr>
          <w:noProof w:val="0"/>
        </w:rPr>
        <w:tab/>
        <w:t>73</w:t>
      </w:r>
    </w:p>
    <w:p w:rsidR="00DC1575" w:rsidRPr="001E42CA" w:rsidRDefault="00DC1575">
      <w:pPr>
        <w:pStyle w:val="Innehll2"/>
        <w:rPr>
          <w:noProof w:val="0"/>
        </w:rPr>
      </w:pPr>
      <w:r w:rsidRPr="001E42CA">
        <w:rPr>
          <w:noProof w:val="0"/>
        </w:rPr>
        <w:t>5.5</w:t>
      </w:r>
      <w:r w:rsidRPr="001E42CA">
        <w:rPr>
          <w:noProof w:val="0"/>
        </w:rPr>
        <w:tab/>
        <w:t>Ernst &amp; Youngs sammanfattande slutsatser</w:t>
      </w:r>
      <w:r w:rsidRPr="001E42CA">
        <w:rPr>
          <w:noProof w:val="0"/>
        </w:rPr>
        <w:tab/>
        <w:t>77</w:t>
      </w:r>
    </w:p>
    <w:p w:rsidR="00DC1575" w:rsidRPr="001E42CA" w:rsidRDefault="00DC1575">
      <w:pPr>
        <w:pStyle w:val="Innehll1"/>
        <w:rPr>
          <w:noProof w:val="0"/>
        </w:rPr>
      </w:pPr>
      <w:r w:rsidRPr="001E42CA">
        <w:rPr>
          <w:noProof w:val="0"/>
        </w:rPr>
        <w:t>6</w:t>
      </w:r>
      <w:r w:rsidRPr="001E42CA">
        <w:rPr>
          <w:noProof w:val="0"/>
        </w:rPr>
        <w:tab/>
        <w:t>Målformulering och resultatredovisning</w:t>
      </w:r>
      <w:r w:rsidRPr="001E42CA">
        <w:rPr>
          <w:noProof w:val="0"/>
        </w:rPr>
        <w:tab/>
        <w:t>79</w:t>
      </w:r>
    </w:p>
    <w:p w:rsidR="00DC1575" w:rsidRPr="001E42CA" w:rsidRDefault="00DC1575">
      <w:pPr>
        <w:pStyle w:val="Innehll2"/>
        <w:rPr>
          <w:noProof w:val="0"/>
        </w:rPr>
      </w:pPr>
      <w:r w:rsidRPr="001E42CA">
        <w:rPr>
          <w:noProof w:val="0"/>
        </w:rPr>
        <w:t>6.1</w:t>
      </w:r>
      <w:r w:rsidRPr="001E42CA">
        <w:rPr>
          <w:noProof w:val="0"/>
        </w:rPr>
        <w:tab/>
        <w:t>Regeringen</w:t>
      </w:r>
      <w:r w:rsidRPr="001E42CA">
        <w:rPr>
          <w:noProof w:val="0"/>
        </w:rPr>
        <w:tab/>
        <w:t>79</w:t>
      </w:r>
    </w:p>
    <w:p w:rsidR="00DC1575" w:rsidRPr="001E42CA" w:rsidRDefault="00DC1575">
      <w:pPr>
        <w:pStyle w:val="Innehll2"/>
        <w:rPr>
          <w:noProof w:val="0"/>
        </w:rPr>
      </w:pPr>
      <w:r w:rsidRPr="001E42CA">
        <w:rPr>
          <w:noProof w:val="0"/>
        </w:rPr>
        <w:t>6.2</w:t>
      </w:r>
      <w:r w:rsidRPr="001E42CA">
        <w:rPr>
          <w:noProof w:val="0"/>
        </w:rPr>
        <w:tab/>
        <w:t>Bostadsdelegationen</w:t>
      </w:r>
      <w:r w:rsidRPr="001E42CA">
        <w:rPr>
          <w:noProof w:val="0"/>
        </w:rPr>
        <w:tab/>
        <w:t>80</w:t>
      </w:r>
    </w:p>
    <w:p w:rsidR="00DC1575" w:rsidRPr="001E42CA" w:rsidRDefault="00DC1575">
      <w:pPr>
        <w:pStyle w:val="Innehll2"/>
        <w:rPr>
          <w:noProof w:val="0"/>
        </w:rPr>
      </w:pPr>
      <w:r w:rsidRPr="001E42CA">
        <w:rPr>
          <w:noProof w:val="0"/>
        </w:rPr>
        <w:t>6.3</w:t>
      </w:r>
      <w:r w:rsidRPr="001E42CA">
        <w:rPr>
          <w:noProof w:val="0"/>
        </w:rPr>
        <w:tab/>
        <w:t>Kommundelegationen</w:t>
      </w:r>
      <w:r w:rsidRPr="001E42CA">
        <w:rPr>
          <w:noProof w:val="0"/>
        </w:rPr>
        <w:tab/>
        <w:t>82</w:t>
      </w:r>
    </w:p>
    <w:p w:rsidR="00DC1575" w:rsidRPr="001E42CA" w:rsidRDefault="00DC1575">
      <w:pPr>
        <w:pStyle w:val="Innehll2"/>
        <w:rPr>
          <w:noProof w:val="0"/>
        </w:rPr>
      </w:pPr>
      <w:r w:rsidRPr="001E42CA">
        <w:rPr>
          <w:noProof w:val="0"/>
        </w:rPr>
        <w:t>6.4</w:t>
      </w:r>
      <w:r w:rsidRPr="001E42CA">
        <w:rPr>
          <w:noProof w:val="0"/>
        </w:rPr>
        <w:tab/>
        <w:t>Principiella skillnader i kraven på resultatredovisning mellan regering och myndigheter</w:t>
      </w:r>
      <w:r w:rsidRPr="001E42CA">
        <w:rPr>
          <w:noProof w:val="0"/>
        </w:rPr>
        <w:tab/>
        <w:t>83</w:t>
      </w:r>
    </w:p>
    <w:p w:rsidR="00DC1575" w:rsidRPr="001E42CA" w:rsidRDefault="00DC1575">
      <w:pPr>
        <w:pStyle w:val="Innehll2"/>
        <w:rPr>
          <w:noProof w:val="0"/>
        </w:rPr>
      </w:pPr>
      <w:r w:rsidRPr="001E42CA">
        <w:rPr>
          <w:noProof w:val="0"/>
        </w:rPr>
        <w:t>6.5</w:t>
      </w:r>
      <w:r w:rsidRPr="001E42CA">
        <w:rPr>
          <w:noProof w:val="0"/>
        </w:rPr>
        <w:tab/>
        <w:t>Pågående utvecklingsarbete</w:t>
      </w:r>
      <w:r w:rsidRPr="001E42CA">
        <w:rPr>
          <w:noProof w:val="0"/>
        </w:rPr>
        <w:tab/>
        <w:t>84</w:t>
      </w:r>
    </w:p>
    <w:p w:rsidR="00DC1575" w:rsidRPr="001E42CA" w:rsidRDefault="00DC1575">
      <w:pPr>
        <w:pStyle w:val="Innehll2"/>
        <w:rPr>
          <w:noProof w:val="0"/>
        </w:rPr>
      </w:pPr>
      <w:r w:rsidRPr="001E42CA">
        <w:rPr>
          <w:noProof w:val="0"/>
        </w:rPr>
        <w:t>6.6</w:t>
      </w:r>
      <w:r w:rsidRPr="001E42CA">
        <w:rPr>
          <w:noProof w:val="0"/>
        </w:rPr>
        <w:tab/>
        <w:t>Anslagets revidering</w:t>
      </w:r>
      <w:r w:rsidRPr="001E42CA">
        <w:rPr>
          <w:noProof w:val="0"/>
        </w:rPr>
        <w:tab/>
        <w:t>84</w:t>
      </w:r>
    </w:p>
    <w:p w:rsidR="00DC1575" w:rsidRPr="001E42CA" w:rsidRDefault="00DC1575">
      <w:pPr>
        <w:pStyle w:val="Innehll1"/>
        <w:rPr>
          <w:noProof w:val="0"/>
        </w:rPr>
      </w:pPr>
      <w:r w:rsidRPr="001E42CA">
        <w:rPr>
          <w:noProof w:val="0"/>
        </w:rPr>
        <w:t>7</w:t>
      </w:r>
      <w:r w:rsidRPr="001E42CA">
        <w:rPr>
          <w:noProof w:val="0"/>
        </w:rPr>
        <w:tab/>
        <w:t>Tidigare analyser av anslag till regeringens disposition</w:t>
      </w:r>
      <w:r w:rsidRPr="001E42CA">
        <w:rPr>
          <w:noProof w:val="0"/>
        </w:rPr>
        <w:tab/>
        <w:t>87</w:t>
      </w:r>
    </w:p>
    <w:p w:rsidR="00DC1575" w:rsidRPr="001E42CA" w:rsidRDefault="00DC1575">
      <w:pPr>
        <w:pStyle w:val="Innehll2"/>
        <w:rPr>
          <w:noProof w:val="0"/>
        </w:rPr>
      </w:pPr>
      <w:r w:rsidRPr="001E42CA">
        <w:rPr>
          <w:noProof w:val="0"/>
        </w:rPr>
        <w:t>7.1</w:t>
      </w:r>
      <w:r w:rsidRPr="001E42CA">
        <w:rPr>
          <w:noProof w:val="0"/>
        </w:rPr>
        <w:tab/>
        <w:t>Analyser av anslaget för bidrag till särskilda insatser i vissa kommuner och landsting</w:t>
      </w:r>
      <w:r w:rsidRPr="001E42CA">
        <w:rPr>
          <w:noProof w:val="0"/>
        </w:rPr>
        <w:tab/>
        <w:t>87</w:t>
      </w:r>
    </w:p>
    <w:p w:rsidR="00DC1575" w:rsidRPr="001E42CA" w:rsidRDefault="00DC1575">
      <w:pPr>
        <w:pStyle w:val="Innehll2"/>
        <w:rPr>
          <w:noProof w:val="0"/>
        </w:rPr>
      </w:pPr>
      <w:r w:rsidRPr="001E42CA">
        <w:rPr>
          <w:noProof w:val="0"/>
        </w:rPr>
        <w:t>7.2</w:t>
      </w:r>
      <w:r w:rsidRPr="001E42CA">
        <w:rPr>
          <w:noProof w:val="0"/>
        </w:rPr>
        <w:tab/>
        <w:t>Analyser av andra anslag till regeringens disposition</w:t>
      </w:r>
      <w:r w:rsidRPr="001E42CA">
        <w:rPr>
          <w:noProof w:val="0"/>
        </w:rPr>
        <w:tab/>
        <w:t>90</w:t>
      </w:r>
    </w:p>
    <w:p w:rsidR="00DC1575" w:rsidRPr="001E42CA" w:rsidRDefault="00DC1575">
      <w:pPr>
        <w:pStyle w:val="Innehll2"/>
        <w:rPr>
          <w:noProof w:val="0"/>
        </w:rPr>
      </w:pPr>
      <w:r w:rsidRPr="001E42CA">
        <w:rPr>
          <w:noProof w:val="0"/>
        </w:rPr>
        <w:t>7.3</w:t>
      </w:r>
      <w:r w:rsidRPr="001E42CA">
        <w:rPr>
          <w:noProof w:val="0"/>
        </w:rPr>
        <w:tab/>
        <w:t>Tillfälliga organisationslösningar</w:t>
      </w:r>
      <w:r w:rsidRPr="001E42CA">
        <w:rPr>
          <w:noProof w:val="0"/>
        </w:rPr>
        <w:tab/>
        <w:t>94</w:t>
      </w:r>
    </w:p>
    <w:p w:rsidR="00DC1575" w:rsidRPr="001E42CA" w:rsidRDefault="00DC1575">
      <w:pPr>
        <w:pStyle w:val="Innehll2"/>
        <w:rPr>
          <w:noProof w:val="0"/>
        </w:rPr>
      </w:pPr>
      <w:r w:rsidRPr="001E42CA">
        <w:rPr>
          <w:noProof w:val="0"/>
        </w:rPr>
        <w:t>7.4</w:t>
      </w:r>
      <w:r w:rsidRPr="001E42CA">
        <w:rPr>
          <w:noProof w:val="0"/>
        </w:rPr>
        <w:tab/>
        <w:t>Regeringens ställningstaganden till anslag till regeringens eller Regeringskansliets disposition</w:t>
      </w:r>
      <w:r w:rsidRPr="001E42CA">
        <w:rPr>
          <w:noProof w:val="0"/>
        </w:rPr>
        <w:tab/>
        <w:t>95</w:t>
      </w:r>
    </w:p>
    <w:p w:rsidR="00DC1575" w:rsidRPr="001E42CA" w:rsidRDefault="00DC1575">
      <w:pPr>
        <w:pStyle w:val="Innehll1"/>
        <w:rPr>
          <w:noProof w:val="0"/>
        </w:rPr>
      </w:pPr>
      <w:r w:rsidRPr="001E42CA">
        <w:rPr>
          <w:noProof w:val="0"/>
        </w:rPr>
        <w:t>8</w:t>
      </w:r>
      <w:r w:rsidRPr="001E42CA">
        <w:rPr>
          <w:noProof w:val="0"/>
        </w:rPr>
        <w:tab/>
        <w:t>Revisorernas bedömningar och förslag</w:t>
      </w:r>
      <w:r w:rsidRPr="001E42CA">
        <w:rPr>
          <w:noProof w:val="0"/>
        </w:rPr>
        <w:tab/>
        <w:t>97</w:t>
      </w:r>
    </w:p>
    <w:p w:rsidR="00DC1575" w:rsidRPr="001E42CA" w:rsidRDefault="00DC1575">
      <w:pPr>
        <w:pStyle w:val="Innehll2"/>
        <w:rPr>
          <w:noProof w:val="0"/>
        </w:rPr>
      </w:pPr>
      <w:r w:rsidRPr="001E42CA">
        <w:rPr>
          <w:noProof w:val="0"/>
        </w:rPr>
        <w:t>8.1</w:t>
      </w:r>
      <w:r w:rsidRPr="001E42CA">
        <w:rPr>
          <w:noProof w:val="0"/>
        </w:rPr>
        <w:tab/>
        <w:t>Bedömningar</w:t>
      </w:r>
      <w:r w:rsidRPr="001E42CA">
        <w:rPr>
          <w:noProof w:val="0"/>
        </w:rPr>
        <w:tab/>
        <w:t>97</w:t>
      </w:r>
    </w:p>
    <w:p w:rsidR="00DC1575" w:rsidRPr="001E42CA" w:rsidRDefault="00DC1575">
      <w:pPr>
        <w:pStyle w:val="Innehll2"/>
        <w:rPr>
          <w:noProof w:val="0"/>
        </w:rPr>
      </w:pPr>
      <w:r w:rsidRPr="001E42CA">
        <w:rPr>
          <w:noProof w:val="0"/>
        </w:rPr>
        <w:t>8.2</w:t>
      </w:r>
      <w:r w:rsidRPr="001E42CA">
        <w:rPr>
          <w:noProof w:val="0"/>
        </w:rPr>
        <w:tab/>
        <w:t>Revisorernas förslag</w:t>
      </w:r>
      <w:r w:rsidRPr="001E42CA">
        <w:rPr>
          <w:noProof w:val="0"/>
        </w:rPr>
        <w:tab/>
        <w:t>101</w:t>
      </w:r>
    </w:p>
    <w:p w:rsidR="00DC1575" w:rsidRPr="001E42CA" w:rsidRDefault="00DC1575">
      <w:pPr>
        <w:pStyle w:val="Innehll1"/>
        <w:rPr>
          <w:noProof w:val="0"/>
        </w:rPr>
      </w:pPr>
    </w:p>
    <w:p w:rsidR="00DC1575" w:rsidRPr="001E42CA" w:rsidRDefault="00DC1575">
      <w:pPr>
        <w:pStyle w:val="Innehll1"/>
        <w:rPr>
          <w:i/>
          <w:noProof w:val="0"/>
        </w:rPr>
      </w:pPr>
      <w:r w:rsidRPr="001E42CA">
        <w:rPr>
          <w:i/>
          <w:noProof w:val="0"/>
        </w:rPr>
        <w:t>Bilaga 2</w:t>
      </w:r>
    </w:p>
    <w:p w:rsidR="00DC1575" w:rsidRPr="001E42CA" w:rsidRDefault="00DC1575">
      <w:pPr>
        <w:pStyle w:val="Innehll1"/>
        <w:rPr>
          <w:noProof w:val="0"/>
        </w:rPr>
      </w:pPr>
      <w:r w:rsidRPr="001E42CA">
        <w:rPr>
          <w:noProof w:val="0"/>
        </w:rPr>
        <w:t>Sammanfattning av remissyttranden över rapport 2000/01:9 Akut- eller långvård? – statens stöd till kommuner med ekonomiska problem</w:t>
      </w:r>
      <w:r w:rsidRPr="001E42CA">
        <w:rPr>
          <w:noProof w:val="0"/>
        </w:rPr>
        <w:tab/>
        <w:t>121</w:t>
      </w:r>
    </w:p>
    <w:p w:rsidR="00DC1575" w:rsidRPr="001E42CA" w:rsidRDefault="00DC1575">
      <w:pPr>
        <w:pStyle w:val="Innehll1"/>
        <w:rPr>
          <w:noProof w:val="0"/>
        </w:rPr>
      </w:pPr>
      <w:r w:rsidRPr="001E42CA">
        <w:rPr>
          <w:noProof w:val="0"/>
        </w:rPr>
        <w:t>1</w:t>
      </w:r>
      <w:r w:rsidRPr="001E42CA">
        <w:rPr>
          <w:noProof w:val="0"/>
        </w:rPr>
        <w:tab/>
        <w:t>Allmänna synpunkter</w:t>
      </w:r>
      <w:r w:rsidRPr="001E42CA">
        <w:rPr>
          <w:noProof w:val="0"/>
        </w:rPr>
        <w:tab/>
        <w:t>121</w:t>
      </w:r>
    </w:p>
    <w:p w:rsidR="00DC1575" w:rsidRPr="001E42CA" w:rsidRDefault="00DC1575">
      <w:pPr>
        <w:pStyle w:val="Innehll1"/>
        <w:rPr>
          <w:noProof w:val="0"/>
        </w:rPr>
      </w:pPr>
      <w:r w:rsidRPr="001E42CA">
        <w:rPr>
          <w:noProof w:val="0"/>
        </w:rPr>
        <w:t>2</w:t>
      </w:r>
      <w:r w:rsidRPr="001E42CA">
        <w:rPr>
          <w:noProof w:val="0"/>
        </w:rPr>
        <w:tab/>
        <w:t>Avveckla anslaget successivt</w:t>
      </w:r>
      <w:r w:rsidRPr="001E42CA">
        <w:rPr>
          <w:noProof w:val="0"/>
        </w:rPr>
        <w:tab/>
        <w:t>122</w:t>
      </w:r>
    </w:p>
    <w:p w:rsidR="00DC1575" w:rsidRPr="001E42CA" w:rsidRDefault="00DC1575">
      <w:pPr>
        <w:pStyle w:val="Innehll1"/>
        <w:rPr>
          <w:noProof w:val="0"/>
        </w:rPr>
      </w:pPr>
      <w:r w:rsidRPr="001E42CA">
        <w:rPr>
          <w:noProof w:val="0"/>
        </w:rPr>
        <w:t>3</w:t>
      </w:r>
      <w:r w:rsidRPr="001E42CA">
        <w:rPr>
          <w:noProof w:val="0"/>
        </w:rPr>
        <w:tab/>
        <w:t>Öka det finansiella ansvaret och minska risktagandet</w:t>
      </w:r>
      <w:r w:rsidRPr="001E42CA">
        <w:rPr>
          <w:noProof w:val="0"/>
        </w:rPr>
        <w:tab/>
        <w:t>125</w:t>
      </w:r>
    </w:p>
    <w:p w:rsidR="00DC1575" w:rsidRPr="001E42CA" w:rsidRDefault="00DC1575">
      <w:pPr>
        <w:pStyle w:val="Innehll1"/>
        <w:rPr>
          <w:noProof w:val="0"/>
        </w:rPr>
      </w:pPr>
      <w:r w:rsidRPr="001E42CA">
        <w:rPr>
          <w:noProof w:val="0"/>
        </w:rPr>
        <w:t>4</w:t>
      </w:r>
      <w:r w:rsidRPr="001E42CA">
        <w:rPr>
          <w:noProof w:val="0"/>
        </w:rPr>
        <w:tab/>
        <w:t>Renodla utgiftsområdet</w:t>
      </w:r>
      <w:r w:rsidRPr="001E42CA">
        <w:rPr>
          <w:noProof w:val="0"/>
        </w:rPr>
        <w:tab/>
        <w:t>126</w:t>
      </w:r>
    </w:p>
    <w:p w:rsidR="00DC1575" w:rsidRPr="001E42CA" w:rsidRDefault="00DC1575">
      <w:pPr>
        <w:pStyle w:val="Innehll1"/>
        <w:rPr>
          <w:noProof w:val="0"/>
        </w:rPr>
      </w:pPr>
      <w:r w:rsidRPr="001E42CA">
        <w:rPr>
          <w:noProof w:val="0"/>
        </w:rPr>
        <w:t>5</w:t>
      </w:r>
      <w:r w:rsidRPr="001E42CA">
        <w:rPr>
          <w:noProof w:val="0"/>
        </w:rPr>
        <w:tab/>
        <w:t>Uppföljningen bör preciseras och ske av en myndighet</w:t>
      </w:r>
      <w:r w:rsidRPr="001E42CA">
        <w:rPr>
          <w:noProof w:val="0"/>
        </w:rPr>
        <w:tab/>
        <w:t>127</w:t>
      </w:r>
    </w:p>
    <w:p w:rsidR="00DC1575" w:rsidRPr="001E42CA" w:rsidRDefault="00DC1575"/>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Normaltindrag"/>
      </w:pPr>
    </w:p>
    <w:p w:rsidR="00DC1575" w:rsidRPr="001E42CA" w:rsidRDefault="00DC1575">
      <w:pPr>
        <w:pStyle w:val="Tryckort"/>
        <w:framePr w:wrap="around"/>
      </w:pPr>
      <w:r w:rsidRPr="001E42CA">
        <w:t>Elanders Gotab, Stockholm  2001</w:t>
      </w:r>
    </w:p>
    <w:p w:rsidR="00DC1575" w:rsidRPr="001E42CA" w:rsidRDefault="00DC1575">
      <w:pPr>
        <w:pStyle w:val="Normaltindrag"/>
      </w:pPr>
    </w:p>
    <w:sectPr w:rsidR="00DC1575" w:rsidRPr="001E42CA">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575" w:rsidRPr="001E42CA" w:rsidRDefault="00DC1575">
      <w:pPr>
        <w:spacing w:before="0" w:line="240" w:lineRule="auto"/>
      </w:pPr>
      <w:r w:rsidRPr="001E42CA">
        <w:separator/>
      </w:r>
    </w:p>
  </w:endnote>
  <w:endnote w:type="continuationSeparator" w:id="0">
    <w:p w:rsidR="00DC1575" w:rsidRPr="001E42CA" w:rsidRDefault="00DC1575">
      <w:pPr>
        <w:spacing w:before="0" w:line="240" w:lineRule="auto"/>
      </w:pPr>
      <w:r w:rsidRPr="001E4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1</w:t>
    </w:r>
    <w:r w:rsidRPr="001E42CA">
      <w:fldChar w:fldCharType="end"/>
    </w:r>
  </w:p>
  <w:p w:rsidR="00DC1575" w:rsidRPr="001E42CA" w:rsidRDefault="00DC157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128</w:t>
    </w:r>
    <w:r w:rsidRPr="001E42CA">
      <w:fldChar w:fldCharType="end"/>
    </w:r>
  </w:p>
  <w:p w:rsidR="00DC1575" w:rsidRPr="001E42CA" w:rsidRDefault="00DC157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130</w:t>
    </w:r>
    <w:r w:rsidRPr="001E42CA">
      <w:fldChar w:fldCharType="end"/>
    </w:r>
  </w:p>
  <w:p w:rsidR="00DC1575" w:rsidRPr="001E42CA" w:rsidRDefault="00DC15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18</w:t>
    </w:r>
    <w:r w:rsidRPr="001E42CA">
      <w:fldChar w:fldCharType="end"/>
    </w:r>
  </w:p>
  <w:p w:rsidR="00DC1575" w:rsidRPr="001E42CA" w:rsidRDefault="00DC15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19</w:t>
    </w:r>
    <w:r w:rsidRPr="001E42CA">
      <w:fldChar w:fldCharType="end"/>
    </w:r>
  </w:p>
  <w:p w:rsidR="00DC1575" w:rsidRPr="001E42CA" w:rsidRDefault="00DC15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20</w:t>
    </w:r>
    <w:r w:rsidRPr="001E42CA">
      <w:fldChar w:fldCharType="end"/>
    </w:r>
  </w:p>
  <w:p w:rsidR="00DC1575" w:rsidRPr="001E42CA" w:rsidRDefault="00DC15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21</w:t>
    </w:r>
    <w:r w:rsidRPr="001E42CA">
      <w:fldChar w:fldCharType="end"/>
    </w:r>
  </w:p>
  <w:p w:rsidR="00DC1575" w:rsidRPr="001E42CA" w:rsidRDefault="00DC15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22</w:t>
    </w:r>
    <w:r w:rsidRPr="001E42CA">
      <w:fldChar w:fldCharType="end"/>
    </w:r>
  </w:p>
  <w:p w:rsidR="00DC1575" w:rsidRPr="001E42CA" w:rsidRDefault="00DC157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27</w:t>
    </w:r>
    <w:r w:rsidRPr="001E42CA">
      <w:fldChar w:fldCharType="end"/>
    </w:r>
  </w:p>
  <w:p w:rsidR="00DC1575" w:rsidRPr="001E42CA" w:rsidRDefault="00DC157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28</w:t>
    </w:r>
    <w:r w:rsidRPr="001E42CA">
      <w:fldChar w:fldCharType="end"/>
    </w:r>
  </w:p>
  <w:p w:rsidR="00DC1575" w:rsidRPr="001E42CA" w:rsidRDefault="00DC157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fotH"/>
      <w:framePr w:wrap="around"/>
    </w:pPr>
    <w:r w:rsidRPr="001E42CA">
      <w:fldChar w:fldCharType="begin" w:fldLock="1"/>
    </w:r>
    <w:r w:rsidRPr="001E42CA">
      <w:instrText xml:space="preserve"> P</w:instrText>
    </w:r>
    <w:r w:rsidRPr="001E42CA">
      <w:instrText>A</w:instrText>
    </w:r>
    <w:r w:rsidRPr="001E42CA">
      <w:instrText xml:space="preserve">GE </w:instrText>
    </w:r>
    <w:r w:rsidRPr="001E42CA">
      <w:fldChar w:fldCharType="separate"/>
    </w:r>
    <w:r w:rsidRPr="001E42CA">
      <w:t>86</w:t>
    </w:r>
    <w:r w:rsidRPr="001E42CA">
      <w:fldChar w:fldCharType="end"/>
    </w:r>
  </w:p>
  <w:p w:rsidR="00DC1575" w:rsidRPr="001E42CA" w:rsidRDefault="00DC1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575" w:rsidRPr="001E42CA" w:rsidRDefault="00DC1575">
      <w:pPr>
        <w:pStyle w:val="Sidfot"/>
      </w:pPr>
    </w:p>
  </w:footnote>
  <w:footnote w:type="continuationSeparator" w:id="0">
    <w:p w:rsidR="00DC1575" w:rsidRPr="001E42CA" w:rsidRDefault="00DC1575">
      <w:pPr>
        <w:spacing w:before="0" w:line="240" w:lineRule="auto"/>
      </w:pPr>
      <w:r w:rsidRPr="001E42CA">
        <w:continuationSeparator/>
      </w:r>
    </w:p>
  </w:footnote>
  <w:footnote w:id="1">
    <w:p w:rsidR="00DC1575" w:rsidRPr="001E42CA" w:rsidRDefault="00DC1575">
      <w:pPr>
        <w:pStyle w:val="Fotnotstext"/>
      </w:pPr>
      <w:r w:rsidRPr="001E42CA">
        <w:rPr>
          <w:rStyle w:val="Fotnotsreferens"/>
        </w:rPr>
        <w:footnoteRef/>
      </w:r>
      <w:r w:rsidRPr="001E42CA">
        <w:t xml:space="preserve"> Bakgrund och inriktning redovisas mer i detalj i Riksdagens revisorer (2000a).</w:t>
      </w:r>
    </w:p>
  </w:footnote>
  <w:footnote w:id="2">
    <w:p w:rsidR="00DC1575" w:rsidRPr="001E42CA" w:rsidRDefault="00DC1575">
      <w:pPr>
        <w:pStyle w:val="Fotnotstext"/>
      </w:pPr>
      <w:r w:rsidRPr="001E42CA">
        <w:rPr>
          <w:rStyle w:val="Fotnotsreferens"/>
        </w:rPr>
        <w:footnoteRef/>
      </w:r>
      <w:r w:rsidRPr="001E42CA">
        <w:t xml:space="preserve"> Det bör dock betonas att för att undvika drastiska effekter för enskilda kommuner och landsting infördes det nya bidrags- och utjämningssystemet successivt under en längre period och innehöll begränsningar av bidragsförändringarna. Systemet var således förenat med särskilda införanderegler. Det genomfördes också vissa ändringar i kostnadsutjämningen i syfte att minska omfördelningseffekterna (prop. 1994/95:150).</w:t>
      </w:r>
    </w:p>
  </w:footnote>
  <w:footnote w:id="3">
    <w:p w:rsidR="00DC1575" w:rsidRPr="001E42CA" w:rsidRDefault="00DC1575">
      <w:pPr>
        <w:pStyle w:val="Fotnotstext"/>
      </w:pPr>
      <w:r w:rsidRPr="001E42CA">
        <w:rPr>
          <w:rStyle w:val="Fotnotsreferens"/>
        </w:rPr>
        <w:footnoteRef/>
      </w:r>
      <w:r w:rsidRPr="001E42CA">
        <w:t xml:space="preserve"> Egentligen infördes anslaget fr.o.m. den 1 juli 1995 och avsåg budgetåret 1995/96 (18 månader). För andra halvåret 1995 avsattes 1 420 miljoner kronor som avsåg särskilda insatser för Haninge och Göteborgs kommuner. För 1996 avsattes de ovan nämnda 400 miljoner kr</w:t>
      </w:r>
      <w:r w:rsidRPr="001E42CA">
        <w:t>o</w:t>
      </w:r>
      <w:r w:rsidRPr="001E42CA">
        <w:t>norna.</w:t>
      </w:r>
    </w:p>
  </w:footnote>
  <w:footnote w:id="4">
    <w:p w:rsidR="00DC1575" w:rsidRPr="001E42CA" w:rsidRDefault="00DC1575">
      <w:pPr>
        <w:pStyle w:val="Fotnotstext"/>
      </w:pPr>
      <w:r w:rsidRPr="001E42CA">
        <w:rPr>
          <w:rStyle w:val="Fotnotsreferens"/>
        </w:rPr>
        <w:footnoteRef/>
      </w:r>
      <w:r w:rsidRPr="001E42CA">
        <w:t xml:space="preserve"> Ledamöterna utgjordes av f.d. ordföranden i Svenska Kommunförbundet Margot Wikström (ordförande), kommunalrådet Anders Svärd och f.d. landstingsrådet Karl-Gunnar Hol</w:t>
      </w:r>
      <w:r w:rsidRPr="001E42CA">
        <w:t>m</w:t>
      </w:r>
      <w:r w:rsidRPr="001E42CA">
        <w:t>qvist.</w:t>
      </w:r>
    </w:p>
  </w:footnote>
  <w:footnote w:id="5">
    <w:p w:rsidR="00DC1575" w:rsidRPr="001E42CA" w:rsidRDefault="00DC1575">
      <w:pPr>
        <w:pStyle w:val="Fotnotstext"/>
      </w:pPr>
      <w:r w:rsidRPr="001E42CA">
        <w:rPr>
          <w:rStyle w:val="Fotnotsreferens"/>
        </w:rPr>
        <w:footnoteRef/>
      </w:r>
      <w:r w:rsidRPr="001E42CA">
        <w:t xml:space="preserve"> Behovet av ekonomisk balans uppmärksammades redan tidigare. Av 1999 års ek</w:t>
      </w:r>
      <w:r w:rsidRPr="001E42CA">
        <w:t>o</w:t>
      </w:r>
      <w:r w:rsidRPr="001E42CA">
        <w:t>nomiska vårproposition (1998/99:100) framgår att regeringen betonar vikten av att balanskravet för kommuner och landsting uppnås redan från år 2000. De beslutade och i vårpropositionen aviserade ökningarna av statsbidragen, de ytterligare skattei</w:t>
      </w:r>
      <w:r w:rsidRPr="001E42CA">
        <w:t>n</w:t>
      </w:r>
      <w:r w:rsidRPr="001E42CA">
        <w:t xml:space="preserve">komster som tillförs sektorn samt en förbättrad samhällsekonomisk utveckling lägger, enligt regeringen, en god grund för kommuner och landsting att klara kravet på en ekonomi i balans utan </w:t>
      </w:r>
      <w:r w:rsidRPr="001E42CA">
        <w:t>att kommunernas och landstingens skatteuttag höjs. Det fra</w:t>
      </w:r>
      <w:r w:rsidRPr="001E42CA">
        <w:t>m</w:t>
      </w:r>
      <w:r w:rsidRPr="001E42CA">
        <w:t xml:space="preserve">går vidare att regeringen även i fortsättningen avser att noga följa utvecklingen och kommer att inleda en dialog med de kommuner och landsting som av någon anledning kan få problem att nå balans i ekonomin om vilka åtgärder de kan vidta. </w:t>
      </w:r>
    </w:p>
    <w:p w:rsidR="00DC1575" w:rsidRPr="001E42CA" w:rsidRDefault="00DC1575">
      <w:pPr>
        <w:pStyle w:val="Fotnotstext"/>
      </w:pPr>
    </w:p>
  </w:footnote>
  <w:footnote w:id="6">
    <w:p w:rsidR="00DC1575" w:rsidRPr="001E42CA" w:rsidRDefault="00DC1575">
      <w:pPr>
        <w:pStyle w:val="Fotnotstext"/>
      </w:pPr>
      <w:r w:rsidRPr="001E42CA">
        <w:rPr>
          <w:rStyle w:val="Fotnotsreferens"/>
        </w:rPr>
        <w:footnoteRef/>
      </w:r>
      <w:r w:rsidRPr="001E42CA">
        <w:t xml:space="preserve"> Bostadsdelegationen sluter avtal med kommuner och bostadsföretag där kommunen åläggs ett finansiellt åtagande. I detta fall föreligger inget sådant finansiellt åtagande.</w:t>
      </w:r>
    </w:p>
  </w:footnote>
  <w:footnote w:id="7">
    <w:p w:rsidR="00DC1575" w:rsidRPr="001E42CA" w:rsidRDefault="00DC1575">
      <w:pPr>
        <w:pStyle w:val="Fotnotstext"/>
      </w:pPr>
      <w:r w:rsidRPr="001E42CA">
        <w:rPr>
          <w:rStyle w:val="Fotnotsreferens"/>
        </w:rPr>
        <w:footnoteRef/>
      </w:r>
      <w:r w:rsidRPr="001E42CA">
        <w:t xml:space="preserve"> Avsnittet bygger på Kommundelegationen (2000).</w:t>
      </w:r>
    </w:p>
  </w:footnote>
  <w:footnote w:id="8">
    <w:p w:rsidR="00DC1575" w:rsidRPr="001E42CA" w:rsidRDefault="00DC1575">
      <w:pPr>
        <w:pStyle w:val="Fotnotstext"/>
      </w:pPr>
      <w:r w:rsidRPr="001E42CA">
        <w:rPr>
          <w:rStyle w:val="Fotnotsreferens"/>
        </w:rPr>
        <w:footnoteRef/>
      </w:r>
      <w:r w:rsidRPr="001E42CA">
        <w:t xml:space="preserve"> Ett ärende överlämnades till regeringen utan förslag eftersom beredningen inte kunnat slutföras.</w:t>
      </w:r>
    </w:p>
  </w:footnote>
  <w:footnote w:id="9">
    <w:p w:rsidR="00DC1575" w:rsidRPr="001E42CA" w:rsidRDefault="00DC1575">
      <w:pPr>
        <w:pStyle w:val="Fotnotstext"/>
      </w:pPr>
      <w:r w:rsidRPr="001E42CA">
        <w:rPr>
          <w:rStyle w:val="Fotnotsreferens"/>
        </w:rPr>
        <w:footnoteRef/>
      </w:r>
      <w:r w:rsidRPr="001E42CA">
        <w:t xml:space="preserve"> För närvarande utgörs styrelsen av f.d. förbundordföranden Curt Persson (ordföra</w:t>
      </w:r>
      <w:r w:rsidRPr="001E42CA">
        <w:t>n</w:t>
      </w:r>
      <w:r w:rsidRPr="001E42CA">
        <w:t>de), statssekreteraren Sören Häggroth, departementsrådet Ulf Bengtsson och genera</w:t>
      </w:r>
      <w:r w:rsidRPr="001E42CA">
        <w:t>l</w:t>
      </w:r>
      <w:r w:rsidRPr="001E42CA">
        <w:t>direktören Göran Carnhagen.</w:t>
      </w:r>
    </w:p>
  </w:footnote>
  <w:footnote w:id="10">
    <w:p w:rsidR="00DC1575" w:rsidRPr="001E42CA" w:rsidRDefault="00DC1575">
      <w:pPr>
        <w:pStyle w:val="Fotnotstext"/>
      </w:pPr>
      <w:r w:rsidRPr="001E42CA">
        <w:rPr>
          <w:rStyle w:val="Fotnotsreferens"/>
        </w:rPr>
        <w:footnoteRef/>
      </w:r>
      <w:r w:rsidRPr="001E42CA">
        <w:t xml:space="preserve"> Däremot så analyseras inte beslut som fattades av regeringen innan de bägge del</w:t>
      </w:r>
      <w:r w:rsidRPr="001E42CA">
        <w:t>e</w:t>
      </w:r>
      <w:r w:rsidRPr="001E42CA">
        <w:t>gationerna tillsattes. Sådana beslut har endast sammanställts i kapitel 2.</w:t>
      </w:r>
    </w:p>
  </w:footnote>
  <w:footnote w:id="11">
    <w:p w:rsidR="00DC1575" w:rsidRPr="001E42CA" w:rsidRDefault="00DC1575">
      <w:pPr>
        <w:pStyle w:val="Fotnotstext"/>
      </w:pPr>
      <w:r w:rsidRPr="001E42CA">
        <w:rPr>
          <w:rStyle w:val="Fotnotsreferens"/>
        </w:rPr>
        <w:footnoteRef/>
      </w:r>
      <w:r w:rsidRPr="001E42CA">
        <w:t xml:space="preserve"> Totalt har 24 ansökningar beretts gemensamt av de bägge delegationerna. I 10 fall avslogs den del av ansökningarna som avsåg Bostadsdelegationens del direkt av Bostadsdelegationen. Senare fick även dessa 10 kommuner avslag av regeringen på den del som avsåg Kommundelegationens verksamhet. Dessa kommuner har därför hänförts till grupp 2 och 4. Övriga 14 kommuner har hänförts till grupp 5 och hant</w:t>
      </w:r>
      <w:r w:rsidRPr="001E42CA">
        <w:t>e</w:t>
      </w:r>
      <w:r w:rsidRPr="001E42CA">
        <w:t>rats av regeringen. Regeringen bemyndigade i och för sig Bostadsdelegationen att fatta beslut i de ärenden som r</w:t>
      </w:r>
      <w:r w:rsidRPr="001E42CA">
        <w:t>örde delegationens del. Besluten skulle dock ske i enlighet med de överlämnade förslagen. Därför har även dessa beslut hänförts till grupp 5.</w:t>
      </w:r>
    </w:p>
  </w:footnote>
  <w:footnote w:id="12">
    <w:p w:rsidR="00DC1575" w:rsidRPr="001E42CA" w:rsidRDefault="00DC1575">
      <w:pPr>
        <w:pStyle w:val="Fotnotstext"/>
      </w:pPr>
      <w:r w:rsidRPr="001E42CA">
        <w:rPr>
          <w:rStyle w:val="Fotnotsreferens"/>
        </w:rPr>
        <w:footnoteRef/>
      </w:r>
      <w:r w:rsidRPr="001E42CA">
        <w:t xml:space="preserve"> Landsbygdskommun definieras som kommun med tätortsgrad under 70 procent samt med mer än 6,4 procent sysselsatta inom jord- och skogsbruk och som ej är glesbygdskommun. </w:t>
      </w:r>
    </w:p>
  </w:footnote>
  <w:footnote w:id="13">
    <w:p w:rsidR="00DC1575" w:rsidRPr="001E42CA" w:rsidRDefault="00DC1575">
      <w:pPr>
        <w:pStyle w:val="Fotnotstext"/>
      </w:pPr>
      <w:r w:rsidRPr="001E42CA">
        <w:rPr>
          <w:rStyle w:val="Fotnotsreferens"/>
        </w:rPr>
        <w:footnoteRef/>
      </w:r>
      <w:r w:rsidRPr="001E42CA">
        <w:t xml:space="preserve"> Kravet på ekonomisk balans gäller från 2000. Ett eventuellt negativt resultat vid räkenskapsårets slut ska återställas inom två år.</w:t>
      </w:r>
    </w:p>
  </w:footnote>
  <w:footnote w:id="14">
    <w:p w:rsidR="00DC1575" w:rsidRPr="001E42CA" w:rsidRDefault="00DC1575">
      <w:pPr>
        <w:pStyle w:val="Fotnotstext"/>
      </w:pPr>
      <w:r w:rsidRPr="001E42CA">
        <w:rPr>
          <w:rStyle w:val="Fotnotsreferens"/>
        </w:rPr>
        <w:footnoteRef/>
      </w:r>
      <w:r w:rsidRPr="001E42CA">
        <w:t xml:space="preserve"> Kostnadsutjämningen består av ett antal olika delmodeller, bl.a. för barnomsorg och äldreomsorg. En strukturkostnad beräknas utifrån opåverkbara faktorer (se även avsnitt 4.4).  </w:t>
      </w:r>
    </w:p>
  </w:footnote>
  <w:footnote w:id="15">
    <w:p w:rsidR="00DC1575" w:rsidRPr="001E42CA" w:rsidRDefault="00DC1575">
      <w:pPr>
        <w:pStyle w:val="Fotnotstext"/>
      </w:pPr>
      <w:r w:rsidRPr="001E42CA">
        <w:rPr>
          <w:rStyle w:val="Fotnotsreferens"/>
        </w:rPr>
        <w:footnoteRef/>
      </w:r>
      <w:r w:rsidRPr="001E42CA">
        <w:t xml:space="preserve"> Från och med 2001 styrs redovisningen av förordningen (2000:605) om årsredovi</w:t>
      </w:r>
      <w:r w:rsidRPr="001E42CA">
        <w:t>s</w:t>
      </w:r>
      <w:r w:rsidRPr="001E42CA">
        <w:t xml:space="preserve">ning och budgetunderlag. Kraven på resultatredovisningen är dock likartade i de bägge förordningarna. </w:t>
      </w:r>
    </w:p>
  </w:footnote>
  <w:footnote w:id="16">
    <w:p w:rsidR="00DC1575" w:rsidRPr="001E42CA" w:rsidRDefault="00DC1575">
      <w:pPr>
        <w:pStyle w:val="Fotnotstext"/>
      </w:pPr>
      <w:r w:rsidRPr="001E42CA">
        <w:rPr>
          <w:rStyle w:val="Fotnotsreferens"/>
        </w:rPr>
        <w:footnoteRef/>
      </w:r>
      <w:r w:rsidRPr="001E42CA">
        <w:t xml:space="preserve"> Statskontoret har fått i uppdrag att utarbeta förslag till hur ett system för kontinue</w:t>
      </w:r>
      <w:r w:rsidRPr="001E42CA">
        <w:t>r</w:t>
      </w:r>
      <w:r w:rsidRPr="001E42CA">
        <w:t>lig nationell uppföljning av väsentliga nyckeltal kan utformas inom områdena organ</w:t>
      </w:r>
      <w:r w:rsidRPr="001E42CA">
        <w:t>i</w:t>
      </w:r>
      <w:r w:rsidRPr="001E42CA">
        <w:t>sations-, styr- och verksamhetsformer, demokrati och rättssäkerhet.</w:t>
      </w:r>
    </w:p>
  </w:footnote>
  <w:footnote w:id="17">
    <w:p w:rsidR="00DC1575" w:rsidRPr="001E42CA" w:rsidRDefault="00DC1575">
      <w:pPr>
        <w:pStyle w:val="Fotnotstext"/>
      </w:pPr>
      <w:r w:rsidRPr="001E42CA">
        <w:rPr>
          <w:rStyle w:val="Fotnotsreferens"/>
        </w:rPr>
        <w:footnoteRef/>
      </w:r>
      <w:r w:rsidRPr="001E42CA">
        <w:t xml:space="preserve"> Problemet förekommer i federala strukturer världen över. Inom EU har man sökt eliminera problemet genom att i grundfördragen skriva in ett förbud mot finaniell rekonstruktion i en stat genom andra staters medverkan (Lindbeck m.fl., 2000).</w:t>
      </w:r>
    </w:p>
  </w:footnote>
  <w:footnote w:id="18">
    <w:p w:rsidR="00DC1575" w:rsidRPr="001E42CA" w:rsidRDefault="00DC1575">
      <w:pPr>
        <w:pStyle w:val="Fotnotstext"/>
      </w:pPr>
      <w:r w:rsidRPr="001E42CA">
        <w:rPr>
          <w:rStyle w:val="Fotnotsreferens"/>
        </w:rPr>
        <w:footnoteRef/>
      </w:r>
      <w:r w:rsidRPr="001E42CA">
        <w:t xml:space="preserve"> Det finns flera teorier som behandlar problem med finansiella rekonstruktioner och dessas bestämningsfaktorer. I många fall finns det motstridiga hypoteser. Det är därför snarast en empirisk fråga att försöka fastställa vilka faktorer som leder fram till fina</w:t>
      </w:r>
      <w:r w:rsidRPr="001E42CA">
        <w:t>n</w:t>
      </w:r>
      <w:r w:rsidRPr="001E42CA">
        <w:t>siella rekonstruktioner.</w:t>
      </w:r>
    </w:p>
  </w:footnote>
  <w:footnote w:id="19">
    <w:p w:rsidR="00DC1575" w:rsidRPr="001E42CA" w:rsidRDefault="00DC1575">
      <w:pPr>
        <w:pStyle w:val="Fotnotstext"/>
      </w:pPr>
      <w:r w:rsidRPr="001E42CA">
        <w:rPr>
          <w:rStyle w:val="Fotnotsreferens"/>
        </w:rPr>
        <w:footnoteRef/>
      </w:r>
      <w:r w:rsidRPr="001E42CA">
        <w:t xml:space="preserve"> Undersökningen omfattade inte samtliga anslag till regeringens disposition. De anslag som gällde kommittéerna, internationellt samarbete och den interna verksa</w:t>
      </w:r>
      <w:r w:rsidRPr="001E42CA">
        <w:t>m</w:t>
      </w:r>
      <w:r w:rsidRPr="001E42CA">
        <w:t>heten i Regeringskansliet undantogs från undersökningen, liksom vissa andra anslag där dispos</w:t>
      </w:r>
      <w:r w:rsidRPr="001E42CA">
        <w:t>i</w:t>
      </w:r>
      <w:r w:rsidRPr="001E42CA">
        <w:t>tionen av medlen uppfattades som självklar.</w:t>
      </w:r>
    </w:p>
  </w:footnote>
  <w:footnote w:id="20">
    <w:p w:rsidR="00DC1575" w:rsidRPr="001E42CA" w:rsidRDefault="00DC1575">
      <w:pPr>
        <w:pStyle w:val="Fotnotstext"/>
      </w:pPr>
      <w:r w:rsidRPr="001E42CA">
        <w:rPr>
          <w:rStyle w:val="Fotnotsreferens"/>
        </w:rPr>
        <w:footnoteRef/>
      </w:r>
      <w:r w:rsidRPr="001E42CA">
        <w:t xml:space="preserve"> I den ekonomiska vårpropositionen aviserades att utgifterna för insatserna mot aids inom utgiftsområde 9 skulle reduceras med 70 miljoner kronor fr.o.m. 1998. Reg</w:t>
      </w:r>
      <w:r w:rsidRPr="001E42CA">
        <w:t>e</w:t>
      </w:r>
      <w:r w:rsidRPr="001E42CA">
        <w:t>ringen uttalade också att statens stöd till kommunernas och landstingens hiv-preventiva arbete skulle anses ingå i det generella statsbidraget. Av budgetpropositi</w:t>
      </w:r>
      <w:r w:rsidRPr="001E42CA">
        <w:t>o</w:t>
      </w:r>
      <w:r w:rsidRPr="001E42CA">
        <w:t>nen för 1998 framgår emellertid att för att underlätta avvecklingen av en del av det specialdestinerade bidraget och för att värna den verksamhet som byggts upp i sama</w:t>
      </w:r>
      <w:r w:rsidRPr="001E42CA">
        <w:t>r</w:t>
      </w:r>
      <w:r w:rsidRPr="001E42CA">
        <w:t>bete mellan kommu</w:t>
      </w:r>
      <w:r w:rsidRPr="001E42CA">
        <w:t>ner, landsting och frivilliga organisationer föreslås för 1998 att 90 miljoner kronor avsätts av anslaget för särskilda insatser, för att användas för bidrag till kommuner och landsting i storstadsområdena för förebyggande hiv/aidsverk-samhet.</w:t>
      </w:r>
    </w:p>
  </w:footnote>
  <w:footnote w:id="21">
    <w:p w:rsidR="00DC1575" w:rsidRPr="001E42CA" w:rsidRDefault="00DC1575">
      <w:pPr>
        <w:pStyle w:val="Fotnotstext"/>
      </w:pPr>
      <w:r w:rsidRPr="001E42CA">
        <w:rPr>
          <w:rStyle w:val="Fotnotsreferens"/>
        </w:rPr>
        <w:footnoteRef/>
      </w:r>
      <w:r w:rsidRPr="001E42CA">
        <w:t xml:space="preserve"> I budgetpropositionen (prop. 1999/2000:1) redovisas att enligt lagen (1996:1059) om statsbudgeten ska en försäljningsinkomst av detta slag redovisas mot en inkoms</w:t>
      </w:r>
      <w:r w:rsidRPr="001E42CA">
        <w:t>t</w:t>
      </w:r>
      <w:r w:rsidRPr="001E42CA">
        <w:t>titel om inte riksdagen beslutar annat (30 §). Vidare ska en utdelningsinkomst som beräknas av riksdagen redovisas mot en inkomsttitel (9 §). Det framgår vidare att regeringen med avsteg från de normala förfarandena föreslår att försäljningsinkom</w:t>
      </w:r>
      <w:r w:rsidRPr="001E42CA">
        <w:t>s</w:t>
      </w:r>
      <w:r w:rsidRPr="001E42CA">
        <w:t>terna vid försäljningen och utdelning av det överskott som kan uppkomma vid a</w:t>
      </w:r>
      <w:r w:rsidRPr="001E42CA">
        <w:t>v</w:t>
      </w:r>
      <w:r w:rsidRPr="001E42CA">
        <w:t>vecklingen av fastighet</w:t>
      </w:r>
      <w:r w:rsidRPr="001E42CA">
        <w:t>er i stället redovisas mot anslaget A2 Bidrag till särskilda insatser i vissa kommuner och landsting eftersom bidraget till Haninge kommun utbetalats från detta anslag. Medlen kan på så sätt, i enlighet med vad regeringen tidigare aviserat, återföras till kommunsektorn. Förfarandet mötte viss kritik vid behandlingen i finansutskottet. Utskottet tillstyrkte emellertid förslaget i propositionen (1999/2000:FiU3).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t>2001/02:RR3</w:t>
    </w:r>
  </w:p>
  <w:p w:rsidR="00DC1575" w:rsidRPr="001E42CA" w:rsidRDefault="00DC1575">
    <w:pPr>
      <w:pStyle w:val="SidhuvudKantBilaga"/>
      <w:framePr w:w="1758" w:h="2744" w:hRule="exact" w:wrap="around" w:vAnchor="page" w:hAnchor="page" w:x="7372" w:y="568" w:anchorLock="0"/>
    </w:pPr>
  </w:p>
  <w:p w:rsidR="00DC1575" w:rsidRPr="001E42CA" w:rsidRDefault="00DC1575">
    <w:pPr>
      <w:pStyle w:val="SidhuvudKant"/>
      <w:framePr w:w="1758" w:h="2744" w:hRule="exact" w:wrap="around" w:vAnchor="page" w:hAnchor="page" w:x="7372" w:y="568" w:anchorLock="0"/>
    </w:pPr>
  </w:p>
  <w:p w:rsidR="00DC1575" w:rsidRPr="001E42CA" w:rsidRDefault="00DC1575">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128</w:instrText>
    </w:r>
    <w:r w:rsidRPr="001E42CA">
      <w:fldChar w:fldCharType="end"/>
    </w:r>
    <w:r w:rsidRPr="001E42CA">
      <w:instrText xml:space="preserve"> &gt; 2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r w:rsidRPr="001E42CA">
      <w:instrText>Bilaga 2</w:instrText>
    </w: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separate"/>
    </w:r>
    <w:r w:rsidRPr="001E42CA">
      <w:fldChar w:fldCharType="begin" w:fldLock="1"/>
    </w:r>
    <w:r w:rsidRPr="001E42CA">
      <w:instrText xml:space="preserve"> DOCPROPERTY BetänkandeÅr</w:instrText>
    </w:r>
    <w:r w:rsidRPr="001E42CA">
      <w:fldChar w:fldCharType="separate"/>
    </w:r>
    <w:r w:rsidRPr="001E42CA">
      <w:t>2001/02</w:t>
    </w:r>
    <w:r w:rsidRPr="001E42CA">
      <w:fldChar w:fldCharType="end"/>
    </w:r>
    <w:r w:rsidRPr="001E42CA">
      <w:t>:</w: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t>RR3</w:t>
    </w:r>
    <w:r w:rsidRPr="001E42CA">
      <w:fldChar w:fldCharType="end"/>
    </w:r>
  </w:p>
  <w:p w:rsidR="00DC1575" w:rsidRPr="001E42CA" w:rsidRDefault="00DC1575">
    <w:pPr>
      <w:pStyle w:val="SidhuvudKantBilaga"/>
      <w:framePr w:w="1758" w:h="2744" w:hRule="exact" w:wrap="around" w:vAnchor="page" w:hAnchor="page" w:x="7372" w:y="568" w:anchorLock="0"/>
    </w:pPr>
    <w:r w:rsidRPr="001E42CA">
      <w:t>Bilaga 2</w:t>
    </w:r>
  </w:p>
  <w:p w:rsidR="00DC1575" w:rsidRPr="001E42CA" w:rsidRDefault="00DC1575">
    <w:pPr>
      <w:pStyle w:val="SidhuvudKant"/>
      <w:framePr w:w="1758" w:h="2744" w:hRule="exact" w:wrap="around" w:vAnchor="page" w:hAnchor="page" w:x="7372" w:y="568" w:anchorLock="0"/>
    </w:pPr>
    <w:r w:rsidRPr="001E42CA">
      <w:fldChar w:fldCharType="end"/>
    </w:r>
  </w:p>
  <w:p w:rsidR="00DC1575" w:rsidRPr="001E42CA" w:rsidRDefault="00DC1575">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130</w:instrText>
    </w:r>
    <w:r w:rsidRPr="001E42CA">
      <w:fldChar w:fldCharType="end"/>
    </w:r>
    <w:r w:rsidRPr="001E42CA">
      <w:instrText xml:space="preserve"> &gt; 2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separate"/>
    </w:r>
    <w:r w:rsidRPr="001E42CA">
      <w:fldChar w:fldCharType="begin" w:fldLock="1"/>
    </w:r>
    <w:r w:rsidRPr="001E42CA">
      <w:instrText xml:space="preserve"> DOCPROPERTY BetänkandeÅr</w:instrText>
    </w:r>
    <w:r w:rsidRPr="001E42CA">
      <w:fldChar w:fldCharType="separate"/>
    </w:r>
    <w:r w:rsidRPr="001E42CA">
      <w:t>2001/02</w:t>
    </w:r>
    <w:r w:rsidRPr="001E42CA">
      <w:fldChar w:fldCharType="end"/>
    </w:r>
    <w:r w:rsidRPr="001E42CA">
      <w:t>:</w: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t>RR3</w:t>
    </w:r>
    <w:r w:rsidRPr="001E42CA">
      <w:fldChar w:fldCharType="end"/>
    </w:r>
  </w:p>
  <w:p w:rsidR="00DC1575" w:rsidRPr="001E42CA" w:rsidRDefault="00DC1575">
    <w:pPr>
      <w:pStyle w:val="SidhuvudKantBilaga"/>
      <w:framePr w:w="1758" w:h="2744" w:hRule="exact" w:wrap="around" w:vAnchor="page" w:hAnchor="page" w:x="7372" w:y="568" w:anchorLock="0"/>
    </w:pPr>
  </w:p>
  <w:p w:rsidR="00DC1575" w:rsidRPr="001E42CA" w:rsidRDefault="00DC1575">
    <w:pPr>
      <w:pStyle w:val="SidhuvudKant"/>
      <w:framePr w:w="1758" w:h="2744" w:hRule="exact" w:wrap="around" w:vAnchor="page" w:hAnchor="page" w:x="7372" w:y="568" w:anchorLock="0"/>
    </w:pPr>
    <w:r w:rsidRPr="001E42CA">
      <w:fldChar w:fldCharType="end"/>
    </w:r>
  </w:p>
  <w:p w:rsidR="00DC1575" w:rsidRPr="001E42CA" w:rsidRDefault="00DC15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7" w:h="2744" w:hRule="exact" w:wrap="around" w:vAnchor="page" w:hAnchor="page" w:x="7371" w:y="567" w:anchorLock="0"/>
    </w:pPr>
  </w:p>
  <w:p w:rsidR="00DC1575" w:rsidRPr="001E42CA" w:rsidRDefault="00DC157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1</w:instrText>
    </w:r>
    <w:r w:rsidRPr="001E42CA">
      <w:fldChar w:fldCharType="end"/>
    </w:r>
    <w:r w:rsidRPr="001E42CA">
      <w:instrText xml:space="preserve"> &gt; 1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r w:rsidRPr="001E42CA">
      <w:instrText>Bilaga 1</w:instrText>
    </w: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end"/>
    </w:r>
  </w:p>
  <w:p w:rsidR="00DC1575" w:rsidRPr="001E42CA" w:rsidRDefault="00DC157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7" w:h="2744" w:hRule="exact" w:wrap="around" w:vAnchor="page" w:hAnchor="page" w:x="7371" w:y="567" w:anchorLock="0"/>
    </w:pPr>
  </w:p>
  <w:p w:rsidR="00DC1575" w:rsidRPr="001E42CA" w:rsidRDefault="00DC157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21</w:instrText>
    </w:r>
    <w:r w:rsidRPr="001E42CA">
      <w:fldChar w:fldCharType="end"/>
    </w:r>
    <w:r w:rsidRPr="001E42CA">
      <w:instrText xml:space="preserve"> &gt; 1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r w:rsidRPr="001E42CA">
      <w:instrText>Bilaga 1</w:instrText>
    </w: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separate"/>
    </w:r>
    <w:r w:rsidRPr="001E42CA">
      <w:fldChar w:fldCharType="begin" w:fldLock="1"/>
    </w:r>
    <w:r w:rsidRPr="001E42CA">
      <w:instrText xml:space="preserve"> DOCPROPERTY BetänkandeÅr</w:instrText>
    </w:r>
    <w:r w:rsidRPr="001E42CA">
      <w:fldChar w:fldCharType="separate"/>
    </w:r>
    <w:r w:rsidRPr="001E42CA">
      <w:t>2001/02</w:t>
    </w:r>
    <w:r w:rsidRPr="001E42CA">
      <w:fldChar w:fldCharType="end"/>
    </w:r>
    <w:r w:rsidRPr="001E42CA">
      <w:t>:</w: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t>RR3</w:t>
    </w:r>
    <w:r w:rsidRPr="001E42CA">
      <w:fldChar w:fldCharType="end"/>
    </w:r>
  </w:p>
  <w:p w:rsidR="00DC1575" w:rsidRPr="001E42CA" w:rsidRDefault="00DC1575">
    <w:pPr>
      <w:pStyle w:val="SidhuvudKantBilaga"/>
      <w:framePr w:w="1758" w:h="2744" w:hRule="exact" w:wrap="around" w:vAnchor="page" w:hAnchor="page" w:x="7372" w:y="568" w:anchorLock="0"/>
    </w:pPr>
    <w:r w:rsidRPr="001E42CA">
      <w:t>Bilaga 1</w:t>
    </w:r>
  </w:p>
  <w:p w:rsidR="00DC1575" w:rsidRPr="001E42CA" w:rsidRDefault="00DC1575">
    <w:pPr>
      <w:pStyle w:val="SidhuvudKant"/>
      <w:framePr w:w="1758" w:h="2744" w:hRule="exact" w:wrap="around" w:vAnchor="page" w:hAnchor="page" w:x="7372" w:y="568" w:anchorLock="0"/>
    </w:pPr>
    <w:r w:rsidRPr="001E42CA">
      <w:fldChar w:fldCharType="end"/>
    </w:r>
  </w:p>
  <w:p w:rsidR="00DC1575" w:rsidRPr="001E42CA" w:rsidRDefault="00DC157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7" w:h="2744" w:hRule="exact" w:wrap="around" w:vAnchor="page" w:hAnchor="page" w:x="7371" w:y="567" w:anchorLock="0"/>
    </w:pPr>
  </w:p>
  <w:p w:rsidR="00DC1575" w:rsidRPr="001E42CA" w:rsidRDefault="00DC1575">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27</w:instrText>
    </w:r>
    <w:r w:rsidRPr="001E42CA">
      <w:fldChar w:fldCharType="end"/>
    </w:r>
    <w:r w:rsidRPr="001E42CA">
      <w:instrText xml:space="preserve"> &gt; 1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r w:rsidRPr="001E42CA">
      <w:instrText>Bilaga 1</w:instrText>
    </w: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separate"/>
    </w:r>
    <w:r w:rsidRPr="001E42CA">
      <w:fldChar w:fldCharType="begin" w:fldLock="1"/>
    </w:r>
    <w:r w:rsidRPr="001E42CA">
      <w:instrText xml:space="preserve"> DOCPROPERTY BetänkandeÅr</w:instrText>
    </w:r>
    <w:r w:rsidRPr="001E42CA">
      <w:fldChar w:fldCharType="separate"/>
    </w:r>
    <w:r w:rsidRPr="001E42CA">
      <w:t>2001/02</w:t>
    </w:r>
    <w:r w:rsidRPr="001E42CA">
      <w:fldChar w:fldCharType="end"/>
    </w:r>
    <w:r w:rsidRPr="001E42CA">
      <w:t>:</w: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t>RR3</w:t>
    </w:r>
    <w:r w:rsidRPr="001E42CA">
      <w:fldChar w:fldCharType="end"/>
    </w:r>
  </w:p>
  <w:p w:rsidR="00DC1575" w:rsidRPr="001E42CA" w:rsidRDefault="00DC1575">
    <w:pPr>
      <w:pStyle w:val="SidhuvudKantBilaga"/>
      <w:framePr w:w="1758" w:h="2744" w:hRule="exact" w:wrap="around" w:vAnchor="page" w:hAnchor="page" w:x="7372" w:y="568" w:anchorLock="0"/>
    </w:pPr>
    <w:r w:rsidRPr="001E42CA">
      <w:t>Bilaga 1</w:t>
    </w:r>
  </w:p>
  <w:p w:rsidR="00DC1575" w:rsidRPr="001E42CA" w:rsidRDefault="00DC1575">
    <w:pPr>
      <w:pStyle w:val="SidhuvudKant"/>
      <w:framePr w:w="1758" w:h="2744" w:hRule="exact" w:wrap="around" w:vAnchor="page" w:hAnchor="page" w:x="7372" w:y="568" w:anchorLock="0"/>
    </w:pPr>
    <w:r w:rsidRPr="001E42CA">
      <w:fldChar w:fldCharType="end"/>
    </w:r>
  </w:p>
  <w:p w:rsidR="00DC1575" w:rsidRPr="001E42CA" w:rsidRDefault="00DC1575">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7" w:h="2744" w:hRule="exact" w:wrap="around" w:vAnchor="page" w:hAnchor="page" w:x="7371" w:y="567" w:anchorLock="0"/>
    </w:pPr>
  </w:p>
  <w:p w:rsidR="00DC1575" w:rsidRPr="001E42CA" w:rsidRDefault="00DC1575">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5" w:rsidRPr="001E42CA" w:rsidRDefault="00DC1575">
    <w:pPr>
      <w:pStyle w:val="SidhuvudKant"/>
      <w:framePr w:w="1758" w:h="2744" w:hRule="exact" w:wrap="around" w:vAnchor="page" w:hAnchor="page" w:x="7372" w:y="568" w:anchorLock="0"/>
    </w:pPr>
    <w:r w:rsidRPr="001E42CA">
      <w:fldChar w:fldCharType="begin" w:fldLock="1"/>
    </w:r>
    <w:r w:rsidRPr="001E42CA">
      <w:instrText xml:space="preserve"> if </w:instrText>
    </w:r>
    <w:r w:rsidRPr="001E42CA">
      <w:fldChar w:fldCharType="begin" w:fldLock="1"/>
    </w:r>
    <w:r w:rsidRPr="001E42CA">
      <w:instrText xml:space="preserve"> page</w:instrText>
    </w:r>
    <w:r w:rsidRPr="001E42CA">
      <w:fldChar w:fldCharType="separate"/>
    </w:r>
    <w:r w:rsidRPr="001E42CA">
      <w:instrText>86</w:instrText>
    </w:r>
    <w:r w:rsidRPr="001E42CA">
      <w:fldChar w:fldCharType="end"/>
    </w:r>
    <w:r w:rsidRPr="001E42CA">
      <w:instrText xml:space="preserve"> &gt; 1 "</w:instrText>
    </w:r>
    <w:r w:rsidRPr="001E42CA">
      <w:fldChar w:fldCharType="begin" w:fldLock="1"/>
    </w:r>
    <w:r w:rsidRPr="001E42CA">
      <w:instrText xml:space="preserve"> DOCPROPERTY BetänkandeÅr</w:instrText>
    </w:r>
    <w:r w:rsidRPr="001E42CA">
      <w:fldChar w:fldCharType="separate"/>
    </w:r>
    <w:r w:rsidRPr="001E42CA">
      <w:instrText>2001/02</w:instrText>
    </w:r>
    <w:r w:rsidRPr="001E42CA">
      <w:fldChar w:fldCharType="end"/>
    </w:r>
    <w:r w:rsidRPr="001E42CA">
      <w:instrText>:</w:instrTex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instrText>RR3</w:instrText>
    </w:r>
    <w:r w:rsidRPr="001E42CA">
      <w:fldChar w:fldCharType="end"/>
    </w:r>
  </w:p>
  <w:p w:rsidR="00DC1575" w:rsidRPr="001E42CA" w:rsidRDefault="00DC1575">
    <w:pPr>
      <w:pStyle w:val="SidhuvudKantBilaga"/>
      <w:framePr w:w="1758" w:h="2744" w:hRule="exact" w:wrap="around" w:vAnchor="page" w:hAnchor="page" w:x="7372" w:y="568" w:anchorLock="0"/>
    </w:pPr>
    <w:r w:rsidRPr="001E42CA">
      <w:instrText>Bilaga 1</w:instrText>
    </w:r>
  </w:p>
  <w:p w:rsidR="00DC1575" w:rsidRPr="001E42CA" w:rsidRDefault="00DC1575">
    <w:pPr>
      <w:pStyle w:val="SidhuvudKant"/>
      <w:framePr w:w="1758" w:h="2744" w:hRule="exact" w:wrap="around" w:vAnchor="page" w:hAnchor="page" w:x="7372" w:y="568" w:anchorLock="0"/>
    </w:pPr>
    <w:r w:rsidRPr="001E42CA">
      <w:instrText>"</w:instrText>
    </w:r>
    <w:r w:rsidRPr="001E42CA">
      <w:fldChar w:fldCharType="separate"/>
    </w:r>
    <w:r w:rsidRPr="001E42CA">
      <w:fldChar w:fldCharType="begin" w:fldLock="1"/>
    </w:r>
    <w:r w:rsidRPr="001E42CA">
      <w:instrText xml:space="preserve"> DOCPROPERTY BetänkandeÅr</w:instrText>
    </w:r>
    <w:r w:rsidRPr="001E42CA">
      <w:fldChar w:fldCharType="separate"/>
    </w:r>
    <w:r w:rsidRPr="001E42CA">
      <w:t>2001/02</w:t>
    </w:r>
    <w:r w:rsidRPr="001E42CA">
      <w:fldChar w:fldCharType="end"/>
    </w:r>
    <w:r w:rsidRPr="001E42CA">
      <w:t>:</w:t>
    </w:r>
    <w:r w:rsidRPr="001E42CA">
      <w:fldChar w:fldCharType="begin" w:fldLock="1"/>
    </w:r>
    <w:r w:rsidRPr="001E42CA">
      <w:instrText xml:space="preserve"> DOCPROPERTY Betä</w:instrText>
    </w:r>
    <w:r w:rsidRPr="001E42CA">
      <w:instrText>n</w:instrText>
    </w:r>
    <w:r w:rsidRPr="001E42CA">
      <w:instrText>kandeNr</w:instrText>
    </w:r>
    <w:r w:rsidRPr="001E42CA">
      <w:fldChar w:fldCharType="separate"/>
    </w:r>
    <w:r w:rsidRPr="001E42CA">
      <w:t>RR3</w:t>
    </w:r>
    <w:r w:rsidRPr="001E42CA">
      <w:fldChar w:fldCharType="end"/>
    </w:r>
  </w:p>
  <w:p w:rsidR="00DC1575" w:rsidRPr="001E42CA" w:rsidRDefault="00DC1575">
    <w:pPr>
      <w:pStyle w:val="SidhuvudKantBilaga"/>
      <w:framePr w:w="1758" w:h="2744" w:hRule="exact" w:wrap="around" w:vAnchor="page" w:hAnchor="page" w:x="7372" w:y="568" w:anchorLock="0"/>
    </w:pPr>
    <w:r w:rsidRPr="001E42CA">
      <w:t>Bilaga 1</w:t>
    </w:r>
  </w:p>
  <w:p w:rsidR="00DC1575" w:rsidRPr="001E42CA" w:rsidRDefault="00DC1575">
    <w:pPr>
      <w:pStyle w:val="SidhuvudKant"/>
      <w:framePr w:w="1758" w:h="2744" w:hRule="exact" w:wrap="around" w:vAnchor="page" w:hAnchor="page" w:x="7372" w:y="568" w:anchorLock="0"/>
    </w:pPr>
    <w:r w:rsidRPr="001E42CA">
      <w:fldChar w:fldCharType="end"/>
    </w:r>
  </w:p>
  <w:p w:rsidR="00DC1575" w:rsidRPr="001E42CA" w:rsidRDefault="00DC15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AAA8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936252C"/>
    <w:lvl w:ilvl="0">
      <w:start w:val="1"/>
      <w:numFmt w:val="decimal"/>
      <w:lvlText w:val="%1."/>
      <w:lvlJc w:val="left"/>
      <w:pPr>
        <w:tabs>
          <w:tab w:val="num" w:pos="360"/>
        </w:tabs>
        <w:ind w:left="360" w:hanging="360"/>
      </w:pPr>
    </w:lvl>
  </w:abstractNum>
  <w:abstractNum w:abstractNumId="2" w15:restartNumberingAfterBreak="0">
    <w:nsid w:val="008178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56F2A"/>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3FE628A"/>
    <w:multiLevelType w:val="multilevel"/>
    <w:tmpl w:val="295879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90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B95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A53434"/>
    <w:multiLevelType w:val="multilevel"/>
    <w:tmpl w:val="BDDAF3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9113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AB1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753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510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341C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6F5A07"/>
    <w:multiLevelType w:val="multilevel"/>
    <w:tmpl w:val="A718E9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4D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291D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1C322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4D7E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5DA00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0" w15:restartNumberingAfterBreak="0">
    <w:nsid w:val="162F3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6A57C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9EB0389"/>
    <w:multiLevelType w:val="multilevel"/>
    <w:tmpl w:val="4E4C35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210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CF22CC6"/>
    <w:multiLevelType w:val="multilevel"/>
    <w:tmpl w:val="E83242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B42A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F8577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8" w15:restartNumberingAfterBreak="0">
    <w:nsid w:val="1FD72B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30" w15:restartNumberingAfterBreak="0">
    <w:nsid w:val="247E37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5AA20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5EB6C47"/>
    <w:multiLevelType w:val="multilevel"/>
    <w:tmpl w:val="503212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AF1D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98926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3D2D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ABC2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CB42951"/>
    <w:multiLevelType w:val="multilevel"/>
    <w:tmpl w:val="6348245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1C91D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32A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452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4AE3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ED0F49"/>
    <w:multiLevelType w:val="multilevel"/>
    <w:tmpl w:val="48428B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611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8BE06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C085241"/>
    <w:multiLevelType w:val="multilevel"/>
    <w:tmpl w:val="88745B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DA4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D1A4F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F380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50" w15:restartNumberingAfterBreak="0">
    <w:nsid w:val="404F6724"/>
    <w:multiLevelType w:val="multilevel"/>
    <w:tmpl w:val="3C2A9D9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0ED74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11212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3E90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6974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6D17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82461E6"/>
    <w:multiLevelType w:val="multilevel"/>
    <w:tmpl w:val="0958BC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3E3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8D436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8F94F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AD459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B6771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C162E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CB80402"/>
    <w:multiLevelType w:val="singleLevel"/>
    <w:tmpl w:val="041D000F"/>
    <w:lvl w:ilvl="0">
      <w:start w:val="1"/>
      <w:numFmt w:val="decimal"/>
      <w:lvlText w:val="%1."/>
      <w:lvlJc w:val="left"/>
      <w:pPr>
        <w:tabs>
          <w:tab w:val="num" w:pos="360"/>
        </w:tabs>
        <w:ind w:left="360" w:hanging="360"/>
      </w:pPr>
    </w:lvl>
  </w:abstractNum>
  <w:abstractNum w:abstractNumId="64" w15:restartNumberingAfterBreak="0">
    <w:nsid w:val="54D82731"/>
    <w:multiLevelType w:val="multilevel"/>
    <w:tmpl w:val="914805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DD5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63E5F62"/>
    <w:multiLevelType w:val="multilevel"/>
    <w:tmpl w:val="1160E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3F022B"/>
    <w:multiLevelType w:val="multilevel"/>
    <w:tmpl w:val="BEF44C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9956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09A40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34C3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6504EFD"/>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67167176"/>
    <w:multiLevelType w:val="multilevel"/>
    <w:tmpl w:val="0170A2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CE148F0"/>
    <w:multiLevelType w:val="singleLevel"/>
    <w:tmpl w:val="041D000F"/>
    <w:lvl w:ilvl="0">
      <w:start w:val="1"/>
      <w:numFmt w:val="decimal"/>
      <w:lvlText w:val="%1."/>
      <w:lvlJc w:val="left"/>
      <w:pPr>
        <w:tabs>
          <w:tab w:val="num" w:pos="360"/>
        </w:tabs>
        <w:ind w:left="360" w:hanging="360"/>
      </w:pPr>
    </w:lvl>
  </w:abstractNum>
  <w:abstractNum w:abstractNumId="76" w15:restartNumberingAfterBreak="0">
    <w:nsid w:val="6E283A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EE04835"/>
    <w:multiLevelType w:val="multilevel"/>
    <w:tmpl w:val="B94AEC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5301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1050F62"/>
    <w:multiLevelType w:val="singleLevel"/>
    <w:tmpl w:val="041D000F"/>
    <w:lvl w:ilvl="0">
      <w:start w:val="1"/>
      <w:numFmt w:val="decimal"/>
      <w:lvlText w:val="%1."/>
      <w:lvlJc w:val="left"/>
      <w:pPr>
        <w:tabs>
          <w:tab w:val="num" w:pos="360"/>
        </w:tabs>
        <w:ind w:left="360" w:hanging="360"/>
      </w:pPr>
    </w:lvl>
  </w:abstractNum>
  <w:abstractNum w:abstractNumId="80" w15:restartNumberingAfterBreak="0">
    <w:nsid w:val="724335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2CF3792"/>
    <w:multiLevelType w:val="multilevel"/>
    <w:tmpl w:val="345C33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3F0E11"/>
    <w:multiLevelType w:val="multilevel"/>
    <w:tmpl w:val="8EAA7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5AF7E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5FF17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79D21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87620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8C85F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9905C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B246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D660B79"/>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7DC426E4"/>
    <w:multiLevelType w:val="multilevel"/>
    <w:tmpl w:val="6C60F8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E101081"/>
    <w:multiLevelType w:val="multilevel"/>
    <w:tmpl w:val="D5E445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3610648">
    <w:abstractNumId w:val="74"/>
  </w:num>
  <w:num w:numId="2" w16cid:durableId="506748581">
    <w:abstractNumId w:val="74"/>
  </w:num>
  <w:num w:numId="3" w16cid:durableId="916670309">
    <w:abstractNumId w:val="74"/>
  </w:num>
  <w:num w:numId="4" w16cid:durableId="1127964456">
    <w:abstractNumId w:val="74"/>
  </w:num>
  <w:num w:numId="5" w16cid:durableId="1563757149">
    <w:abstractNumId w:val="74"/>
  </w:num>
  <w:num w:numId="6" w16cid:durableId="1063793608">
    <w:abstractNumId w:val="74"/>
  </w:num>
  <w:num w:numId="7" w16cid:durableId="878393073">
    <w:abstractNumId w:val="74"/>
  </w:num>
  <w:num w:numId="8" w16cid:durableId="216279312">
    <w:abstractNumId w:val="74"/>
  </w:num>
  <w:num w:numId="9" w16cid:durableId="64573475">
    <w:abstractNumId w:val="75"/>
  </w:num>
  <w:num w:numId="10" w16cid:durableId="181405677">
    <w:abstractNumId w:val="74"/>
    <w:lvlOverride w:ilvl="0">
      <w:startOverride w:val="3"/>
    </w:lvlOverride>
  </w:num>
  <w:num w:numId="11" w16cid:durableId="809248261">
    <w:abstractNumId w:val="57"/>
  </w:num>
  <w:num w:numId="12" w16cid:durableId="1216313721">
    <w:abstractNumId w:val="46"/>
  </w:num>
  <w:num w:numId="13" w16cid:durableId="1817988432">
    <w:abstractNumId w:val="74"/>
    <w:lvlOverride w:ilvl="0">
      <w:startOverride w:val="2"/>
    </w:lvlOverride>
  </w:num>
  <w:num w:numId="14" w16cid:durableId="803885895">
    <w:abstractNumId w:val="74"/>
    <w:lvlOverride w:ilvl="0">
      <w:startOverride w:val="1"/>
    </w:lvlOverride>
  </w:num>
  <w:num w:numId="15" w16cid:durableId="31004860">
    <w:abstractNumId w:val="71"/>
  </w:num>
  <w:num w:numId="16" w16cid:durableId="599989806">
    <w:abstractNumId w:val="27"/>
  </w:num>
  <w:num w:numId="17" w16cid:durableId="271866843">
    <w:abstractNumId w:val="19"/>
  </w:num>
  <w:num w:numId="18" w16cid:durableId="468787313">
    <w:abstractNumId w:val="1"/>
  </w:num>
  <w:num w:numId="19" w16cid:durableId="1386562262">
    <w:abstractNumId w:val="0"/>
  </w:num>
  <w:num w:numId="20" w16cid:durableId="1467968455">
    <w:abstractNumId w:val="49"/>
  </w:num>
  <w:num w:numId="21" w16cid:durableId="1909606904">
    <w:abstractNumId w:val="29"/>
  </w:num>
  <w:num w:numId="22" w16cid:durableId="7603791">
    <w:abstractNumId w:val="38"/>
  </w:num>
  <w:num w:numId="23" w16cid:durableId="654800523">
    <w:abstractNumId w:val="44"/>
  </w:num>
  <w:num w:numId="24" w16cid:durableId="286855319">
    <w:abstractNumId w:val="72"/>
  </w:num>
  <w:num w:numId="25" w16cid:durableId="433522895">
    <w:abstractNumId w:val="2"/>
  </w:num>
  <w:num w:numId="26" w16cid:durableId="552473066">
    <w:abstractNumId w:val="34"/>
  </w:num>
  <w:num w:numId="27" w16cid:durableId="1913538639">
    <w:abstractNumId w:val="53"/>
  </w:num>
  <w:num w:numId="28" w16cid:durableId="880173156">
    <w:abstractNumId w:val="40"/>
  </w:num>
  <w:num w:numId="29" w16cid:durableId="650791921">
    <w:abstractNumId w:val="88"/>
  </w:num>
  <w:num w:numId="30" w16cid:durableId="425463446">
    <w:abstractNumId w:val="15"/>
  </w:num>
  <w:num w:numId="31" w16cid:durableId="963081118">
    <w:abstractNumId w:val="23"/>
  </w:num>
  <w:num w:numId="32" w16cid:durableId="861017476">
    <w:abstractNumId w:val="39"/>
  </w:num>
  <w:num w:numId="33" w16cid:durableId="178587419">
    <w:abstractNumId w:val="52"/>
  </w:num>
  <w:num w:numId="34" w16cid:durableId="882063048">
    <w:abstractNumId w:val="28"/>
  </w:num>
  <w:num w:numId="35" w16cid:durableId="1475369096">
    <w:abstractNumId w:val="10"/>
  </w:num>
  <w:num w:numId="36" w16cid:durableId="593972421">
    <w:abstractNumId w:val="86"/>
  </w:num>
  <w:num w:numId="37" w16cid:durableId="1478835696">
    <w:abstractNumId w:val="61"/>
  </w:num>
  <w:num w:numId="38" w16cid:durableId="1948849513">
    <w:abstractNumId w:val="9"/>
  </w:num>
  <w:num w:numId="39" w16cid:durableId="67725901">
    <w:abstractNumId w:val="21"/>
  </w:num>
  <w:num w:numId="40" w16cid:durableId="1801344645">
    <w:abstractNumId w:val="30"/>
  </w:num>
  <w:num w:numId="41" w16cid:durableId="1798991495">
    <w:abstractNumId w:val="5"/>
  </w:num>
  <w:num w:numId="42" w16cid:durableId="1883521579">
    <w:abstractNumId w:val="65"/>
  </w:num>
  <w:num w:numId="43" w16cid:durableId="902521524">
    <w:abstractNumId w:val="25"/>
  </w:num>
  <w:num w:numId="44" w16cid:durableId="1564752427">
    <w:abstractNumId w:val="54"/>
  </w:num>
  <w:num w:numId="45" w16cid:durableId="948121883">
    <w:abstractNumId w:val="6"/>
  </w:num>
  <w:num w:numId="46" w16cid:durableId="358238261">
    <w:abstractNumId w:val="43"/>
  </w:num>
  <w:num w:numId="47" w16cid:durableId="1510363639">
    <w:abstractNumId w:val="12"/>
  </w:num>
  <w:num w:numId="48" w16cid:durableId="1175341034">
    <w:abstractNumId w:val="41"/>
  </w:num>
  <w:num w:numId="49" w16cid:durableId="342325092">
    <w:abstractNumId w:val="26"/>
  </w:num>
  <w:num w:numId="50" w16cid:durableId="2086611311">
    <w:abstractNumId w:val="63"/>
  </w:num>
  <w:num w:numId="51" w16cid:durableId="1072192384">
    <w:abstractNumId w:val="78"/>
  </w:num>
  <w:num w:numId="52" w16cid:durableId="435946776">
    <w:abstractNumId w:val="33"/>
  </w:num>
  <w:num w:numId="53" w16cid:durableId="194660543">
    <w:abstractNumId w:val="59"/>
  </w:num>
  <w:num w:numId="54" w16cid:durableId="79061458">
    <w:abstractNumId w:val="70"/>
  </w:num>
  <w:num w:numId="55" w16cid:durableId="2094742324">
    <w:abstractNumId w:val="87"/>
  </w:num>
  <w:num w:numId="56" w16cid:durableId="2019696893">
    <w:abstractNumId w:val="51"/>
  </w:num>
  <w:num w:numId="57" w16cid:durableId="847135113">
    <w:abstractNumId w:val="16"/>
  </w:num>
  <w:num w:numId="58" w16cid:durableId="1433236619">
    <w:abstractNumId w:val="20"/>
  </w:num>
  <w:num w:numId="59" w16cid:durableId="1172724107">
    <w:abstractNumId w:val="60"/>
  </w:num>
  <w:num w:numId="60" w16cid:durableId="36586787">
    <w:abstractNumId w:val="50"/>
  </w:num>
  <w:num w:numId="61" w16cid:durableId="269241838">
    <w:abstractNumId w:val="81"/>
  </w:num>
  <w:num w:numId="62" w16cid:durableId="1798601027">
    <w:abstractNumId w:val="42"/>
  </w:num>
  <w:num w:numId="63" w16cid:durableId="1341393090">
    <w:abstractNumId w:val="4"/>
  </w:num>
  <w:num w:numId="64" w16cid:durableId="922765911">
    <w:abstractNumId w:val="7"/>
  </w:num>
  <w:num w:numId="65" w16cid:durableId="968441510">
    <w:abstractNumId w:val="45"/>
  </w:num>
  <w:num w:numId="66" w16cid:durableId="762144127">
    <w:abstractNumId w:val="32"/>
  </w:num>
  <w:num w:numId="67" w16cid:durableId="105273658">
    <w:abstractNumId w:val="24"/>
  </w:num>
  <w:num w:numId="68" w16cid:durableId="1477457364">
    <w:abstractNumId w:val="67"/>
  </w:num>
  <w:num w:numId="69" w16cid:durableId="1115172212">
    <w:abstractNumId w:val="11"/>
  </w:num>
  <w:num w:numId="70" w16cid:durableId="74517054">
    <w:abstractNumId w:val="62"/>
  </w:num>
  <w:num w:numId="71" w16cid:durableId="710804146">
    <w:abstractNumId w:val="69"/>
  </w:num>
  <w:num w:numId="72" w16cid:durableId="576014793">
    <w:abstractNumId w:val="84"/>
  </w:num>
  <w:num w:numId="73" w16cid:durableId="1446581247">
    <w:abstractNumId w:val="76"/>
  </w:num>
  <w:num w:numId="74" w16cid:durableId="1574192604">
    <w:abstractNumId w:val="48"/>
  </w:num>
  <w:num w:numId="75" w16cid:durableId="1120876675">
    <w:abstractNumId w:val="13"/>
  </w:num>
  <w:num w:numId="76" w16cid:durableId="1147012114">
    <w:abstractNumId w:val="77"/>
  </w:num>
  <w:num w:numId="77" w16cid:durableId="1591501904">
    <w:abstractNumId w:val="64"/>
  </w:num>
  <w:num w:numId="78" w16cid:durableId="490099481">
    <w:abstractNumId w:val="82"/>
  </w:num>
  <w:num w:numId="79" w16cid:durableId="516847657">
    <w:abstractNumId w:val="56"/>
  </w:num>
  <w:num w:numId="80" w16cid:durableId="525140631">
    <w:abstractNumId w:val="85"/>
  </w:num>
  <w:num w:numId="81" w16cid:durableId="95446336">
    <w:abstractNumId w:val="47"/>
  </w:num>
  <w:num w:numId="82" w16cid:durableId="374544478">
    <w:abstractNumId w:val="14"/>
  </w:num>
  <w:num w:numId="83" w16cid:durableId="177543112">
    <w:abstractNumId w:val="80"/>
  </w:num>
  <w:num w:numId="84" w16cid:durableId="5861848">
    <w:abstractNumId w:val="89"/>
  </w:num>
  <w:num w:numId="85" w16cid:durableId="912006169">
    <w:abstractNumId w:val="73"/>
  </w:num>
  <w:num w:numId="86" w16cid:durableId="264994690">
    <w:abstractNumId w:val="66"/>
  </w:num>
  <w:num w:numId="87" w16cid:durableId="1665207258">
    <w:abstractNumId w:val="92"/>
  </w:num>
  <w:num w:numId="88" w16cid:durableId="1312518561">
    <w:abstractNumId w:val="22"/>
  </w:num>
  <w:num w:numId="89" w16cid:durableId="97530461">
    <w:abstractNumId w:val="17"/>
  </w:num>
  <w:num w:numId="90" w16cid:durableId="1415277436">
    <w:abstractNumId w:val="58"/>
  </w:num>
  <w:num w:numId="91" w16cid:durableId="1424568132">
    <w:abstractNumId w:val="91"/>
  </w:num>
  <w:num w:numId="92" w16cid:durableId="2110391951">
    <w:abstractNumId w:val="37"/>
  </w:num>
  <w:num w:numId="93" w16cid:durableId="1215507708">
    <w:abstractNumId w:val="36"/>
  </w:num>
  <w:num w:numId="94" w16cid:durableId="2012297449">
    <w:abstractNumId w:val="55"/>
  </w:num>
  <w:num w:numId="95" w16cid:durableId="2098166974">
    <w:abstractNumId w:val="8"/>
  </w:num>
  <w:num w:numId="96" w16cid:durableId="1516921964">
    <w:abstractNumId w:val="31"/>
  </w:num>
  <w:num w:numId="97" w16cid:durableId="1469938675">
    <w:abstractNumId w:val="68"/>
  </w:num>
  <w:num w:numId="98" w16cid:durableId="1651595190">
    <w:abstractNumId w:val="35"/>
  </w:num>
  <w:num w:numId="99" w16cid:durableId="444884030">
    <w:abstractNumId w:val="18"/>
  </w:num>
  <w:num w:numId="100" w16cid:durableId="1799059621">
    <w:abstractNumId w:val="3"/>
  </w:num>
  <w:num w:numId="101" w16cid:durableId="564993392">
    <w:abstractNumId w:val="79"/>
  </w:num>
  <w:num w:numId="102" w16cid:durableId="326981386">
    <w:abstractNumId w:val="83"/>
  </w:num>
  <w:num w:numId="103" w16cid:durableId="1359813121">
    <w:abstractNumId w:val="90"/>
  </w:num>
  <w:num w:numId="104" w16cid:durableId="13513715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013EE8"/>
    <w:rsid w:val="00013EE8"/>
    <w:rsid w:val="001E42CA"/>
    <w:rsid w:val="00DC1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E9ABB0-6C5B-4EC5-9905-9AD7520B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760"/>
        <w:tab w:val="right" w:leader="dot" w:pos="5886"/>
      </w:tabs>
      <w:spacing w:before="0"/>
      <w:ind w:left="193"/>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41995</Words>
  <Characters>262049</Characters>
  <Application>Microsoft Office Word</Application>
  <DocSecurity>4</DocSecurity>
  <Lines>5955</Lines>
  <Paragraphs>2286</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Förslag till riksdagen</vt:lpstr>
      <vt:lpstr>Inledning</vt:lpstr>
      <vt:lpstr>    Bakgrund</vt:lpstr>
      <vt:lpstr>    Stödet till kommuner och landsting</vt:lpstr>
      <vt:lpstr>Revisorernas överväganden</vt:lpstr>
      <vt:lpstr>    Avveckla anslaget successivt</vt:lpstr>
      <vt:lpstr>    Det finansiella ansvaret och risktagandet</vt:lpstr>
      <vt:lpstr>    Renodla utgiftsområdet</vt:lpstr>
      <vt:lpstr>    Uppföljning</vt:lpstr>
      <vt:lpstr>Revisorernas förslag</vt:lpstr>
      <vt:lpstr>Granskningens bakgrund och inriktning</vt:lpstr>
      <vt:lpstr>Anslaget för bidrag till särskilda insatser i vissa kommuner och landsting</vt:lpstr>
      <vt:lpstr>    Omfattning</vt:lpstr>
      <vt:lpstr>    Syftet med anslaget</vt:lpstr>
      <vt:lpstr>    Finansiering</vt:lpstr>
      <vt:lpstr>    Riksdagens behandling</vt:lpstr>
      <vt:lpstr>    Sammanfattning</vt:lpstr>
      <vt:lpstr>Organisation och handläggning</vt:lpstr>
      <vt:lpstr>    Regeringen</vt:lpstr>
      <vt:lpstr>    Kommundelegationen</vt:lpstr>
      <vt:lpstr>    Bostadsdelegationen</vt:lpstr>
      <vt:lpstr>Några jämförelser mellan stödkommuner och andra kommuner</vt:lpstr>
      <vt:lpstr>    Kort om data och metod</vt:lpstr>
    </vt:vector>
  </TitlesOfParts>
  <Company>Riksdagen</Company>
  <LinksUpToDate>false</LinksUpToDate>
  <CharactersWithSpaces>301758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2001-10-08T12:07:00Z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RR3</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 ">
    <vt:lpwstr> </vt:lpwstr>
  </property>
  <property fmtid="{D5CDD505-2E9C-101B-9397-08002B2CF9AE}" pid="8" name="Utskott">
    <vt:lpwstr>RR</vt:lpwstr>
  </property>
</Properties>
</file>