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5A4ADE10" w:rsidR="0096348C" w:rsidRPr="00BA38FB" w:rsidRDefault="00FE0D25" w:rsidP="0096348C">
            <w:pPr>
              <w:rPr>
                <w:b/>
                <w:szCs w:val="24"/>
              </w:rPr>
            </w:pPr>
            <w:r>
              <w:rPr>
                <w:b/>
                <w:szCs w:val="24"/>
              </w:rPr>
              <w:t>UTSKOTTSSAMMANTRÄDE 20</w:t>
            </w:r>
            <w:r w:rsidR="00BB1303">
              <w:rPr>
                <w:b/>
                <w:szCs w:val="24"/>
              </w:rPr>
              <w:t>2</w:t>
            </w:r>
            <w:r w:rsidR="00DB135D">
              <w:rPr>
                <w:b/>
                <w:szCs w:val="24"/>
              </w:rPr>
              <w:t>2</w:t>
            </w:r>
            <w:r w:rsidR="00723D66" w:rsidRPr="00BA38FB">
              <w:rPr>
                <w:b/>
                <w:szCs w:val="24"/>
              </w:rPr>
              <w:t>/</w:t>
            </w:r>
            <w:r w:rsidR="009D3BD1">
              <w:rPr>
                <w:b/>
                <w:szCs w:val="24"/>
              </w:rPr>
              <w:t>2</w:t>
            </w:r>
            <w:r w:rsidR="00DB135D">
              <w:rPr>
                <w:b/>
                <w:szCs w:val="24"/>
              </w:rPr>
              <w:t>3</w:t>
            </w:r>
            <w:r w:rsidR="0096348C" w:rsidRPr="00BA38FB">
              <w:rPr>
                <w:b/>
                <w:szCs w:val="24"/>
              </w:rPr>
              <w:t>:</w:t>
            </w:r>
            <w:r w:rsidR="00812339">
              <w:rPr>
                <w:b/>
                <w:szCs w:val="24"/>
              </w:rPr>
              <w:t>1</w:t>
            </w:r>
            <w:r w:rsidR="00A743C2">
              <w:rPr>
                <w:b/>
                <w:szCs w:val="24"/>
              </w:rPr>
              <w:t>4</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3484C770" w:rsidR="008E11E0" w:rsidRPr="00BA38FB" w:rsidRDefault="00C26E45" w:rsidP="0096348C">
            <w:pPr>
              <w:rPr>
                <w:szCs w:val="24"/>
              </w:rPr>
            </w:pPr>
            <w:r w:rsidRPr="00F27916">
              <w:rPr>
                <w:szCs w:val="24"/>
              </w:rPr>
              <w:t>20</w:t>
            </w:r>
            <w:r w:rsidR="00B27A57">
              <w:rPr>
                <w:szCs w:val="24"/>
              </w:rPr>
              <w:t>2</w:t>
            </w:r>
            <w:r w:rsidR="00812339">
              <w:rPr>
                <w:szCs w:val="24"/>
              </w:rPr>
              <w:t>3</w:t>
            </w:r>
            <w:r w:rsidR="00B27A57">
              <w:rPr>
                <w:szCs w:val="24"/>
              </w:rPr>
              <w:t>-</w:t>
            </w:r>
            <w:r w:rsidR="00812339">
              <w:rPr>
                <w:szCs w:val="24"/>
              </w:rPr>
              <w:t>0</w:t>
            </w:r>
            <w:r w:rsidR="00FF7FA5">
              <w:rPr>
                <w:szCs w:val="24"/>
              </w:rPr>
              <w:t>2</w:t>
            </w:r>
            <w:r w:rsidR="00B27A57">
              <w:rPr>
                <w:szCs w:val="24"/>
              </w:rPr>
              <w:t>-</w:t>
            </w:r>
            <w:r w:rsidR="00A743C2">
              <w:rPr>
                <w:szCs w:val="24"/>
              </w:rPr>
              <w:t>21</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33120953" w:rsidR="0096348C" w:rsidRPr="00BA38FB" w:rsidRDefault="00A743C2" w:rsidP="0096348C">
            <w:pPr>
              <w:rPr>
                <w:szCs w:val="24"/>
              </w:rPr>
            </w:pPr>
            <w:r>
              <w:rPr>
                <w:szCs w:val="24"/>
              </w:rPr>
              <w:t>11</w:t>
            </w:r>
            <w:r w:rsidR="00B22051" w:rsidRPr="005874BB">
              <w:rPr>
                <w:szCs w:val="24"/>
              </w:rPr>
              <w:t>.</w:t>
            </w:r>
            <w:r>
              <w:rPr>
                <w:szCs w:val="24"/>
              </w:rPr>
              <w:t>0</w:t>
            </w:r>
            <w:r w:rsidR="00C72D4B">
              <w:rPr>
                <w:szCs w:val="24"/>
              </w:rPr>
              <w:t>0</w:t>
            </w:r>
            <w:r w:rsidR="00615E83" w:rsidRPr="005874BB">
              <w:rPr>
                <w:szCs w:val="24"/>
              </w:rPr>
              <w:t>–</w:t>
            </w:r>
            <w:r w:rsidR="0018128E">
              <w:rPr>
                <w:szCs w:val="24"/>
              </w:rPr>
              <w:t>11.35</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50231ABA" w:rsidR="0096348C" w:rsidRPr="00BA38FB" w:rsidRDefault="0096348C" w:rsidP="0096348C">
            <w:pPr>
              <w:rPr>
                <w:szCs w:val="24"/>
              </w:rPr>
            </w:pPr>
            <w:r w:rsidRPr="00BA38FB">
              <w:rPr>
                <w:szCs w:val="24"/>
              </w:rPr>
              <w:t>Se bilaga</w:t>
            </w:r>
          </w:p>
        </w:tc>
      </w:tr>
    </w:tbl>
    <w:p w14:paraId="740CABDF" w14:textId="77777777"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A17785" w:rsidRPr="00BA38FB" w14:paraId="49EBD3BA" w14:textId="77777777" w:rsidTr="003D626A">
        <w:tc>
          <w:tcPr>
            <w:tcW w:w="636" w:type="dxa"/>
          </w:tcPr>
          <w:p w14:paraId="16ADA831" w14:textId="5DBA74B9" w:rsidR="00A17785" w:rsidRDefault="00A17785" w:rsidP="003B35EB">
            <w:pPr>
              <w:tabs>
                <w:tab w:val="left" w:pos="1701"/>
              </w:tabs>
              <w:rPr>
                <w:b/>
                <w:snapToGrid w:val="0"/>
                <w:szCs w:val="24"/>
              </w:rPr>
            </w:pPr>
            <w:r>
              <w:rPr>
                <w:b/>
                <w:snapToGrid w:val="0"/>
                <w:szCs w:val="24"/>
              </w:rPr>
              <w:t>§ 1</w:t>
            </w:r>
          </w:p>
        </w:tc>
        <w:tc>
          <w:tcPr>
            <w:tcW w:w="6947" w:type="dxa"/>
          </w:tcPr>
          <w:p w14:paraId="7713E650" w14:textId="0FB9F8EF" w:rsidR="00A17785" w:rsidRDefault="00A17785" w:rsidP="003B35EB">
            <w:pPr>
              <w:tabs>
                <w:tab w:val="left" w:pos="1701"/>
              </w:tabs>
              <w:rPr>
                <w:b/>
                <w:snapToGrid w:val="0"/>
                <w:szCs w:val="24"/>
              </w:rPr>
            </w:pPr>
            <w:r>
              <w:rPr>
                <w:b/>
                <w:snapToGrid w:val="0"/>
                <w:szCs w:val="24"/>
              </w:rPr>
              <w:t xml:space="preserve">Förslag till direktiv om </w:t>
            </w:r>
            <w:r w:rsidR="002E23B9">
              <w:rPr>
                <w:b/>
              </w:rPr>
              <w:t xml:space="preserve">aktiestrukturer med olika röstvärden för vissa företag </w:t>
            </w:r>
          </w:p>
          <w:p w14:paraId="05099B2D" w14:textId="5C92C1A5" w:rsidR="00200252" w:rsidRDefault="00200252" w:rsidP="003B35EB">
            <w:pPr>
              <w:tabs>
                <w:tab w:val="left" w:pos="1701"/>
              </w:tabs>
              <w:rPr>
                <w:b/>
                <w:snapToGrid w:val="0"/>
                <w:szCs w:val="24"/>
              </w:rPr>
            </w:pPr>
          </w:p>
          <w:p w14:paraId="4F280B3A" w14:textId="440E08C3" w:rsidR="009D7260" w:rsidRDefault="009D7260" w:rsidP="009D7260">
            <w:pPr>
              <w:tabs>
                <w:tab w:val="left" w:pos="1701"/>
              </w:tabs>
              <w:rPr>
                <w:bCs/>
                <w:szCs w:val="24"/>
              </w:rPr>
            </w:pPr>
            <w:r w:rsidRPr="00DB3DC5">
              <w:rPr>
                <w:bCs/>
                <w:szCs w:val="24"/>
              </w:rPr>
              <w:t xml:space="preserve">Utskottet överlade med </w:t>
            </w:r>
            <w:r>
              <w:rPr>
                <w:bCs/>
                <w:szCs w:val="24"/>
              </w:rPr>
              <w:t>statssekreterare Mikael Kullberg, biträdd</w:t>
            </w:r>
            <w:r w:rsidRPr="00DB3DC5">
              <w:rPr>
                <w:bCs/>
                <w:szCs w:val="24"/>
              </w:rPr>
              <w:t xml:space="preserve"> av medarbetare från </w:t>
            </w:r>
            <w:r>
              <w:rPr>
                <w:bCs/>
                <w:szCs w:val="24"/>
              </w:rPr>
              <w:t>Justitie</w:t>
            </w:r>
            <w:r w:rsidRPr="00DB3DC5">
              <w:rPr>
                <w:bCs/>
                <w:szCs w:val="24"/>
              </w:rPr>
              <w:t xml:space="preserve">departementet. </w:t>
            </w:r>
          </w:p>
          <w:p w14:paraId="4E43838A" w14:textId="77777777" w:rsidR="009D7260" w:rsidRDefault="009D7260" w:rsidP="009D7260">
            <w:pPr>
              <w:tabs>
                <w:tab w:val="left" w:pos="1701"/>
              </w:tabs>
            </w:pPr>
          </w:p>
          <w:p w14:paraId="0F1A2C50" w14:textId="37E9A55E" w:rsidR="009D7260" w:rsidRDefault="009D7260" w:rsidP="009D7260">
            <w:pPr>
              <w:tabs>
                <w:tab w:val="left" w:pos="1701"/>
              </w:tabs>
              <w:rPr>
                <w:bCs/>
                <w:szCs w:val="24"/>
              </w:rPr>
            </w:pPr>
            <w:r w:rsidRPr="00DB3DC5">
              <w:rPr>
                <w:bCs/>
                <w:szCs w:val="24"/>
              </w:rPr>
              <w:t xml:space="preserve">Underlaget utgjordes av kommissionens förslag </w:t>
            </w:r>
            <w:proofErr w:type="gramStart"/>
            <w:r w:rsidRPr="00DB3DC5">
              <w:rPr>
                <w:bCs/>
                <w:szCs w:val="24"/>
              </w:rPr>
              <w:t>COM</w:t>
            </w:r>
            <w:r>
              <w:rPr>
                <w:bCs/>
                <w:szCs w:val="24"/>
              </w:rPr>
              <w:t>(</w:t>
            </w:r>
            <w:proofErr w:type="gramEnd"/>
            <w:r>
              <w:rPr>
                <w:bCs/>
                <w:szCs w:val="24"/>
              </w:rPr>
              <w:t xml:space="preserve">2022) 761 </w:t>
            </w:r>
            <w:r w:rsidRPr="00DB3DC5">
              <w:rPr>
                <w:bCs/>
                <w:szCs w:val="24"/>
              </w:rPr>
              <w:t xml:space="preserve">och Regeringskansliets </w:t>
            </w:r>
            <w:r>
              <w:rPr>
                <w:bCs/>
                <w:szCs w:val="24"/>
              </w:rPr>
              <w:t xml:space="preserve">faktapromemoria 2022/23:FPM47. </w:t>
            </w:r>
          </w:p>
          <w:p w14:paraId="7A22B11B" w14:textId="77777777" w:rsidR="009D7260" w:rsidRPr="00DB3DC5" w:rsidRDefault="009D7260" w:rsidP="009D7260">
            <w:pPr>
              <w:tabs>
                <w:tab w:val="left" w:pos="1701"/>
              </w:tabs>
              <w:rPr>
                <w:bCs/>
                <w:szCs w:val="24"/>
              </w:rPr>
            </w:pPr>
          </w:p>
          <w:p w14:paraId="1C296205" w14:textId="68502800" w:rsidR="009D7260" w:rsidRDefault="009D7260" w:rsidP="009D7260">
            <w:pPr>
              <w:tabs>
                <w:tab w:val="left" w:pos="1701"/>
              </w:tabs>
              <w:rPr>
                <w:bCs/>
                <w:szCs w:val="24"/>
              </w:rPr>
            </w:pPr>
            <w:r>
              <w:rPr>
                <w:bCs/>
                <w:szCs w:val="24"/>
              </w:rPr>
              <w:t xml:space="preserve">Statssekreterare Mikael Kullberg </w:t>
            </w:r>
            <w:r w:rsidRPr="00DB3DC5">
              <w:rPr>
                <w:bCs/>
                <w:szCs w:val="24"/>
              </w:rPr>
              <w:t xml:space="preserve">redogjorde för regeringens ståndpunkt i enlighet med </w:t>
            </w:r>
            <w:r>
              <w:rPr>
                <w:bCs/>
                <w:szCs w:val="24"/>
              </w:rPr>
              <w:t xml:space="preserve">faktapromemorian: </w:t>
            </w:r>
          </w:p>
          <w:p w14:paraId="1D6E0FF3" w14:textId="148594E2" w:rsidR="009D7260" w:rsidRDefault="009D7260" w:rsidP="009D7260">
            <w:pPr>
              <w:pStyle w:val="Citat"/>
              <w:jc w:val="both"/>
              <w:rPr>
                <w:i w:val="0"/>
                <w:iCs w:val="0"/>
                <w:color w:val="auto"/>
              </w:rPr>
            </w:pPr>
            <w:r w:rsidRPr="009D7260">
              <w:rPr>
                <w:i w:val="0"/>
                <w:iCs w:val="0"/>
                <w:color w:val="auto"/>
              </w:rPr>
              <w:t xml:space="preserve">Regeringen välkomnar kommissionens förslag om aktiestrukturer med olika röstvärden. Bruket av aktier med olika röstvärden har en lång tradition i Sverige. Genom aktier med olika röstvärden möjliggörs en stark och stabil ägarfunktion i företag. Detta skapar förutsättningar för en effektiv drift och långsiktig </w:t>
            </w:r>
            <w:r>
              <w:rPr>
                <w:i w:val="0"/>
                <w:iCs w:val="0"/>
                <w:color w:val="auto"/>
              </w:rPr>
              <w:br/>
            </w:r>
            <w:r w:rsidRPr="009D7260">
              <w:rPr>
                <w:i w:val="0"/>
                <w:iCs w:val="0"/>
                <w:color w:val="auto"/>
              </w:rPr>
              <w:t>planering av företagens verksamhet. Röstvärdes</w:t>
            </w:r>
            <w:r>
              <w:rPr>
                <w:i w:val="0"/>
                <w:iCs w:val="0"/>
                <w:color w:val="auto"/>
              </w:rPr>
              <w:t>-</w:t>
            </w:r>
            <w:r>
              <w:rPr>
                <w:i w:val="0"/>
                <w:iCs w:val="0"/>
                <w:color w:val="auto"/>
              </w:rPr>
              <w:br/>
            </w:r>
            <w:r w:rsidRPr="009D7260">
              <w:rPr>
                <w:i w:val="0"/>
                <w:iCs w:val="0"/>
                <w:color w:val="auto"/>
              </w:rPr>
              <w:t xml:space="preserve">differentiering gör det dessutom möjligt för expanderande företag att få tillgång till kapital utan att de </w:t>
            </w:r>
            <w:r>
              <w:rPr>
                <w:i w:val="0"/>
                <w:iCs w:val="0"/>
                <w:color w:val="auto"/>
              </w:rPr>
              <w:br/>
            </w:r>
            <w:r w:rsidRPr="009D7260">
              <w:rPr>
                <w:i w:val="0"/>
                <w:iCs w:val="0"/>
                <w:color w:val="auto"/>
              </w:rPr>
              <w:t xml:space="preserve">ursprungliga ägarna tappar kontrollen över företaget. Det finns i Sverige inget som tyder på att bruket av olika röstvärden har medfört några beaktansvärda </w:t>
            </w:r>
            <w:r>
              <w:rPr>
                <w:i w:val="0"/>
                <w:iCs w:val="0"/>
                <w:color w:val="auto"/>
              </w:rPr>
              <w:br/>
            </w:r>
            <w:r w:rsidRPr="009D7260">
              <w:rPr>
                <w:i w:val="0"/>
                <w:iCs w:val="0"/>
                <w:color w:val="auto"/>
              </w:rPr>
              <w:t xml:space="preserve">negativa konsekvenser. </w:t>
            </w:r>
          </w:p>
          <w:p w14:paraId="558999BD" w14:textId="05125F1C" w:rsidR="009D7260" w:rsidRDefault="009D7260" w:rsidP="009D7260">
            <w:pPr>
              <w:pStyle w:val="Citat"/>
              <w:jc w:val="both"/>
              <w:rPr>
                <w:i w:val="0"/>
                <w:iCs w:val="0"/>
                <w:color w:val="auto"/>
              </w:rPr>
            </w:pPr>
            <w:r w:rsidRPr="009D7260">
              <w:rPr>
                <w:i w:val="0"/>
                <w:iCs w:val="0"/>
                <w:color w:val="auto"/>
              </w:rPr>
              <w:t xml:space="preserve">Det är viktigt att de slutliga reglerna inte utformas så att de hamnar i strid med svenska bolagsrättsliga </w:t>
            </w:r>
            <w:r>
              <w:rPr>
                <w:i w:val="0"/>
                <w:iCs w:val="0"/>
                <w:color w:val="auto"/>
              </w:rPr>
              <w:br/>
            </w:r>
            <w:r w:rsidRPr="009D7260">
              <w:rPr>
                <w:i w:val="0"/>
                <w:iCs w:val="0"/>
                <w:color w:val="auto"/>
              </w:rPr>
              <w:t xml:space="preserve">principer. Den svenska bolagsstyrningsmodellen ska värnas. Ett fullgott skydd för minoritetsaktieägare </w:t>
            </w:r>
            <w:r>
              <w:rPr>
                <w:i w:val="0"/>
                <w:iCs w:val="0"/>
                <w:color w:val="auto"/>
              </w:rPr>
              <w:br/>
            </w:r>
            <w:r w:rsidRPr="009D7260">
              <w:rPr>
                <w:i w:val="0"/>
                <w:iCs w:val="0"/>
                <w:color w:val="auto"/>
              </w:rPr>
              <w:t xml:space="preserve">behöver upprätthållas. </w:t>
            </w:r>
          </w:p>
          <w:p w14:paraId="4A5EC0CF" w14:textId="139F68E0" w:rsidR="009D7260" w:rsidRPr="009D7260" w:rsidRDefault="009D7260" w:rsidP="009D7260">
            <w:pPr>
              <w:pStyle w:val="Citat"/>
              <w:jc w:val="both"/>
              <w:rPr>
                <w:bCs/>
                <w:i w:val="0"/>
                <w:iCs w:val="0"/>
                <w:color w:val="auto"/>
                <w:szCs w:val="24"/>
              </w:rPr>
            </w:pPr>
            <w:r w:rsidRPr="009D7260">
              <w:rPr>
                <w:i w:val="0"/>
                <w:iCs w:val="0"/>
                <w:color w:val="auto"/>
              </w:rPr>
              <w:t xml:space="preserve">Regelverket bör inte utformas så att det skapar </w:t>
            </w:r>
            <w:r>
              <w:rPr>
                <w:i w:val="0"/>
                <w:iCs w:val="0"/>
                <w:color w:val="auto"/>
              </w:rPr>
              <w:br/>
            </w:r>
            <w:r w:rsidRPr="009D7260">
              <w:rPr>
                <w:i w:val="0"/>
                <w:iCs w:val="0"/>
                <w:color w:val="auto"/>
              </w:rPr>
              <w:t xml:space="preserve">omotiverade kostnader eller administrativa bördor för </w:t>
            </w:r>
            <w:r>
              <w:rPr>
                <w:i w:val="0"/>
                <w:iCs w:val="0"/>
                <w:color w:val="auto"/>
              </w:rPr>
              <w:br/>
            </w:r>
            <w:r w:rsidRPr="009D7260">
              <w:rPr>
                <w:i w:val="0"/>
                <w:iCs w:val="0"/>
                <w:color w:val="auto"/>
              </w:rPr>
              <w:t>företagen.</w:t>
            </w:r>
          </w:p>
          <w:p w14:paraId="7AA218E7" w14:textId="77777777" w:rsidR="009D7260" w:rsidRDefault="009D7260" w:rsidP="009D7260">
            <w:pPr>
              <w:tabs>
                <w:tab w:val="left" w:pos="1701"/>
              </w:tabs>
            </w:pPr>
          </w:p>
          <w:p w14:paraId="37A253E0" w14:textId="77777777" w:rsidR="009D7260" w:rsidRDefault="009D7260" w:rsidP="009D7260">
            <w:pPr>
              <w:tabs>
                <w:tab w:val="left" w:pos="1701"/>
              </w:tabs>
            </w:pPr>
            <w:r>
              <w:t xml:space="preserve">Ordföranden konstaterade att det fanns stöd för regeringens ståndpunkt. </w:t>
            </w:r>
          </w:p>
          <w:p w14:paraId="3A832604" w14:textId="77777777" w:rsidR="009D7260" w:rsidRDefault="009D7260" w:rsidP="009D7260">
            <w:pPr>
              <w:tabs>
                <w:tab w:val="left" w:pos="1701"/>
              </w:tabs>
            </w:pPr>
          </w:p>
          <w:p w14:paraId="54562A23" w14:textId="718E4CC5" w:rsidR="009D7260" w:rsidRDefault="009D7260" w:rsidP="009D7260">
            <w:pPr>
              <w:tabs>
                <w:tab w:val="left" w:pos="1701"/>
              </w:tabs>
              <w:rPr>
                <w:bCs/>
                <w:szCs w:val="24"/>
              </w:rPr>
            </w:pPr>
            <w:r w:rsidRPr="00DB3DC5">
              <w:rPr>
                <w:bCs/>
                <w:szCs w:val="24"/>
              </w:rPr>
              <w:t>Denna paragraf förklarades omedelbart justerad</w:t>
            </w:r>
            <w:r>
              <w:rPr>
                <w:bCs/>
                <w:szCs w:val="24"/>
              </w:rPr>
              <w:t>.</w:t>
            </w:r>
          </w:p>
          <w:p w14:paraId="7B241A33" w14:textId="330E0173" w:rsidR="009D7260" w:rsidRDefault="009D7260" w:rsidP="009D7260">
            <w:pPr>
              <w:tabs>
                <w:tab w:val="left" w:pos="1701"/>
              </w:tabs>
              <w:rPr>
                <w:bCs/>
                <w:szCs w:val="24"/>
              </w:rPr>
            </w:pPr>
          </w:p>
          <w:p w14:paraId="1916DBA0" w14:textId="77777777" w:rsidR="009D7260" w:rsidRPr="009D7260" w:rsidRDefault="009D7260" w:rsidP="009D7260">
            <w:pPr>
              <w:tabs>
                <w:tab w:val="left" w:pos="1701"/>
              </w:tabs>
              <w:rPr>
                <w:bCs/>
              </w:rPr>
            </w:pPr>
            <w:r w:rsidRPr="0009073A">
              <w:rPr>
                <w:bCs/>
                <w:szCs w:val="24"/>
              </w:rPr>
              <w:t xml:space="preserve">Under </w:t>
            </w:r>
            <w:r>
              <w:rPr>
                <w:bCs/>
                <w:szCs w:val="24"/>
              </w:rPr>
              <w:t xml:space="preserve">överläggningen </w:t>
            </w:r>
            <w:r w:rsidRPr="0009073A">
              <w:rPr>
                <w:bCs/>
                <w:szCs w:val="24"/>
              </w:rPr>
              <w:t xml:space="preserve">närvarade en tjänsteman från </w:t>
            </w:r>
            <w:r w:rsidRPr="0054494E">
              <w:rPr>
                <w:bCs/>
              </w:rPr>
              <w:t>EU-</w:t>
            </w:r>
            <w:r>
              <w:rPr>
                <w:bCs/>
              </w:rPr>
              <w:t>nämndens kansli.</w:t>
            </w:r>
            <w:r w:rsidRPr="009D7260">
              <w:rPr>
                <w:bCs/>
              </w:rPr>
              <w:t xml:space="preserve"> </w:t>
            </w:r>
          </w:p>
          <w:p w14:paraId="1F1A2AE2" w14:textId="2AC23264" w:rsidR="00A17785" w:rsidRDefault="00A17785" w:rsidP="003B35EB">
            <w:pPr>
              <w:tabs>
                <w:tab w:val="left" w:pos="1701"/>
              </w:tabs>
              <w:rPr>
                <w:b/>
                <w:snapToGrid w:val="0"/>
                <w:szCs w:val="24"/>
              </w:rPr>
            </w:pPr>
          </w:p>
        </w:tc>
      </w:tr>
      <w:tr w:rsidR="00200252" w:rsidRPr="00BA38FB" w14:paraId="1BC9A15D" w14:textId="77777777" w:rsidTr="003D626A">
        <w:tc>
          <w:tcPr>
            <w:tcW w:w="636" w:type="dxa"/>
          </w:tcPr>
          <w:p w14:paraId="056D1830" w14:textId="5D4236BE" w:rsidR="00200252" w:rsidRDefault="00200252" w:rsidP="003B35EB">
            <w:pPr>
              <w:tabs>
                <w:tab w:val="left" w:pos="1701"/>
              </w:tabs>
              <w:rPr>
                <w:b/>
                <w:snapToGrid w:val="0"/>
                <w:szCs w:val="24"/>
              </w:rPr>
            </w:pPr>
            <w:r>
              <w:rPr>
                <w:b/>
                <w:snapToGrid w:val="0"/>
                <w:szCs w:val="24"/>
              </w:rPr>
              <w:lastRenderedPageBreak/>
              <w:t>§ 2</w:t>
            </w:r>
          </w:p>
        </w:tc>
        <w:tc>
          <w:tcPr>
            <w:tcW w:w="6947" w:type="dxa"/>
          </w:tcPr>
          <w:p w14:paraId="6709BE53" w14:textId="06CF9E2F" w:rsidR="00200252" w:rsidRDefault="00200252" w:rsidP="003B35EB">
            <w:pPr>
              <w:tabs>
                <w:tab w:val="left" w:pos="1701"/>
              </w:tabs>
              <w:rPr>
                <w:b/>
              </w:rPr>
            </w:pPr>
            <w:r>
              <w:rPr>
                <w:b/>
              </w:rPr>
              <w:t xml:space="preserve">Förslag till </w:t>
            </w:r>
            <w:r w:rsidR="002E23B9">
              <w:rPr>
                <w:b/>
              </w:rPr>
              <w:t xml:space="preserve">direktiv om </w:t>
            </w:r>
            <w:r w:rsidR="002E23B9">
              <w:rPr>
                <w:b/>
                <w:snapToGrid w:val="0"/>
                <w:szCs w:val="24"/>
              </w:rPr>
              <w:t>harmonisering av vissa delar av insolvensrätten</w:t>
            </w:r>
            <w:r w:rsidR="002E23B9">
              <w:rPr>
                <w:b/>
              </w:rPr>
              <w:t xml:space="preserve"> </w:t>
            </w:r>
          </w:p>
          <w:p w14:paraId="11E1C9E2" w14:textId="77777777" w:rsidR="00200252" w:rsidRDefault="00200252" w:rsidP="003B35EB">
            <w:pPr>
              <w:tabs>
                <w:tab w:val="left" w:pos="1701"/>
              </w:tabs>
              <w:rPr>
                <w:b/>
              </w:rPr>
            </w:pPr>
          </w:p>
          <w:p w14:paraId="16BC47F6" w14:textId="77777777" w:rsidR="009D7260" w:rsidRDefault="009D7260" w:rsidP="009D7260">
            <w:pPr>
              <w:tabs>
                <w:tab w:val="left" w:pos="1701"/>
              </w:tabs>
              <w:rPr>
                <w:bCs/>
                <w:szCs w:val="24"/>
              </w:rPr>
            </w:pPr>
            <w:r w:rsidRPr="00DB3DC5">
              <w:rPr>
                <w:bCs/>
                <w:szCs w:val="24"/>
              </w:rPr>
              <w:t xml:space="preserve">Utskottet överlade med </w:t>
            </w:r>
            <w:r>
              <w:rPr>
                <w:bCs/>
                <w:szCs w:val="24"/>
              </w:rPr>
              <w:t>statssekreterare Mikael Kullberg, biträdd</w:t>
            </w:r>
            <w:r w:rsidRPr="00DB3DC5">
              <w:rPr>
                <w:bCs/>
                <w:szCs w:val="24"/>
              </w:rPr>
              <w:t xml:space="preserve"> av medarbetare från </w:t>
            </w:r>
            <w:r>
              <w:rPr>
                <w:bCs/>
                <w:szCs w:val="24"/>
              </w:rPr>
              <w:t>Justitie</w:t>
            </w:r>
            <w:r w:rsidRPr="00DB3DC5">
              <w:rPr>
                <w:bCs/>
                <w:szCs w:val="24"/>
              </w:rPr>
              <w:t xml:space="preserve">departementet. </w:t>
            </w:r>
          </w:p>
          <w:p w14:paraId="502158D8" w14:textId="77777777" w:rsidR="009D7260" w:rsidRDefault="009D7260" w:rsidP="009D7260">
            <w:pPr>
              <w:tabs>
                <w:tab w:val="left" w:pos="1701"/>
              </w:tabs>
            </w:pPr>
          </w:p>
          <w:p w14:paraId="2A5A4451" w14:textId="308292CA" w:rsidR="009D7260" w:rsidRDefault="009D7260" w:rsidP="009D7260">
            <w:pPr>
              <w:tabs>
                <w:tab w:val="left" w:pos="1701"/>
              </w:tabs>
              <w:rPr>
                <w:bCs/>
                <w:szCs w:val="24"/>
              </w:rPr>
            </w:pPr>
            <w:r w:rsidRPr="00DB3DC5">
              <w:rPr>
                <w:bCs/>
                <w:szCs w:val="24"/>
              </w:rPr>
              <w:t xml:space="preserve">Underlaget utgjordes av kommissionens förslag </w:t>
            </w:r>
            <w:proofErr w:type="gramStart"/>
            <w:r w:rsidRPr="00DB3DC5">
              <w:rPr>
                <w:bCs/>
                <w:szCs w:val="24"/>
              </w:rPr>
              <w:t>COM</w:t>
            </w:r>
            <w:r>
              <w:rPr>
                <w:bCs/>
                <w:szCs w:val="24"/>
              </w:rPr>
              <w:t>(</w:t>
            </w:r>
            <w:proofErr w:type="gramEnd"/>
            <w:r>
              <w:rPr>
                <w:bCs/>
                <w:szCs w:val="24"/>
              </w:rPr>
              <w:t xml:space="preserve">2022) 702 </w:t>
            </w:r>
            <w:r w:rsidRPr="00DB3DC5">
              <w:rPr>
                <w:bCs/>
                <w:szCs w:val="24"/>
              </w:rPr>
              <w:t xml:space="preserve">och Regeringskansliets </w:t>
            </w:r>
            <w:r>
              <w:rPr>
                <w:bCs/>
                <w:szCs w:val="24"/>
              </w:rPr>
              <w:t xml:space="preserve">faktapromemoria 2022/23:FPM48. </w:t>
            </w:r>
          </w:p>
          <w:p w14:paraId="63FB95D7" w14:textId="77777777" w:rsidR="009D7260" w:rsidRPr="00DB3DC5" w:rsidRDefault="009D7260" w:rsidP="009D7260">
            <w:pPr>
              <w:tabs>
                <w:tab w:val="left" w:pos="1701"/>
              </w:tabs>
              <w:rPr>
                <w:bCs/>
                <w:szCs w:val="24"/>
              </w:rPr>
            </w:pPr>
          </w:p>
          <w:p w14:paraId="1F9E5DE2" w14:textId="5D9E647B" w:rsidR="009D7260" w:rsidRDefault="009D7260" w:rsidP="009D7260">
            <w:pPr>
              <w:tabs>
                <w:tab w:val="left" w:pos="1701"/>
              </w:tabs>
              <w:rPr>
                <w:bCs/>
                <w:szCs w:val="24"/>
              </w:rPr>
            </w:pPr>
            <w:r>
              <w:rPr>
                <w:bCs/>
                <w:szCs w:val="24"/>
              </w:rPr>
              <w:t xml:space="preserve">Statssekreterare Mikael Kullberg </w:t>
            </w:r>
            <w:r w:rsidRPr="00DB3DC5">
              <w:rPr>
                <w:bCs/>
                <w:szCs w:val="24"/>
              </w:rPr>
              <w:t xml:space="preserve">redogjorde för regeringens ståndpunkt i enlighet med </w:t>
            </w:r>
            <w:r>
              <w:rPr>
                <w:bCs/>
                <w:szCs w:val="24"/>
              </w:rPr>
              <w:t>faktapromemorian:</w:t>
            </w:r>
          </w:p>
          <w:p w14:paraId="675D6819" w14:textId="09F2C93F" w:rsidR="009D7260" w:rsidRPr="009D7260" w:rsidRDefault="009D7260" w:rsidP="009D7260">
            <w:pPr>
              <w:pStyle w:val="Citat"/>
              <w:jc w:val="both"/>
              <w:rPr>
                <w:i w:val="0"/>
                <w:iCs w:val="0"/>
                <w:color w:val="auto"/>
              </w:rPr>
            </w:pPr>
            <w:r w:rsidRPr="009D7260">
              <w:rPr>
                <w:i w:val="0"/>
                <w:iCs w:val="0"/>
                <w:color w:val="auto"/>
              </w:rPr>
              <w:t xml:space="preserve">Sverige välkomnar målsättningen att underlätta för gränsöverskridande investeringar för att utveckla </w:t>
            </w:r>
            <w:r>
              <w:rPr>
                <w:i w:val="0"/>
                <w:iCs w:val="0"/>
                <w:color w:val="auto"/>
              </w:rPr>
              <w:br/>
            </w:r>
            <w:r w:rsidRPr="009D7260">
              <w:rPr>
                <w:i w:val="0"/>
                <w:iCs w:val="0"/>
                <w:color w:val="auto"/>
              </w:rPr>
              <w:t xml:space="preserve">kapitalmarknadsunionen. Det är viktigt att medlemsstaterna har effektiva insolvensförfaranden. Ett </w:t>
            </w:r>
            <w:r>
              <w:rPr>
                <w:i w:val="0"/>
                <w:iCs w:val="0"/>
                <w:color w:val="auto"/>
              </w:rPr>
              <w:br/>
            </w:r>
            <w:r w:rsidRPr="009D7260">
              <w:rPr>
                <w:i w:val="0"/>
                <w:iCs w:val="0"/>
                <w:color w:val="auto"/>
              </w:rPr>
              <w:t xml:space="preserve">välövervägt regelverk på detta område kan leda till större förutsebarhet och bättre möjligheter att </w:t>
            </w:r>
            <w:r>
              <w:rPr>
                <w:i w:val="0"/>
                <w:iCs w:val="0"/>
                <w:color w:val="auto"/>
              </w:rPr>
              <w:br/>
            </w:r>
            <w:r w:rsidRPr="009D7260">
              <w:rPr>
                <w:i w:val="0"/>
                <w:iCs w:val="0"/>
                <w:color w:val="auto"/>
              </w:rPr>
              <w:t xml:space="preserve">tillvarata värden när företag går i konkurs. </w:t>
            </w:r>
          </w:p>
          <w:p w14:paraId="056F7F1F" w14:textId="77777777" w:rsidR="009D7260" w:rsidRPr="009D7260" w:rsidRDefault="009D7260" w:rsidP="009D7260">
            <w:pPr>
              <w:pStyle w:val="Citat"/>
              <w:jc w:val="both"/>
              <w:rPr>
                <w:i w:val="0"/>
                <w:iCs w:val="0"/>
                <w:color w:val="auto"/>
              </w:rPr>
            </w:pPr>
            <w:r w:rsidRPr="009D7260">
              <w:rPr>
                <w:i w:val="0"/>
                <w:iCs w:val="0"/>
                <w:color w:val="auto"/>
              </w:rPr>
              <w:t xml:space="preserve">När materiella konkursregler harmoniseras är det viktigt att ta hänsyn till att medlemsstaternas konkursregler är nära sammankopplade med andra nationella regelsystem inom till exempel avtals-, bolags- och skatterätten. Det bör vara en strävan att de gemensamma reglerna inte negativt påverkar eller kommer i konflikt med redan existerande och väl fungerande nationella system. Bestämmelserna bör utformas på ett sätt som går att förena med grundläggande svenska civil- och processrättsliga regler och principer. </w:t>
            </w:r>
          </w:p>
          <w:p w14:paraId="45B03EB5" w14:textId="074AA7CD" w:rsidR="009D7260" w:rsidRPr="009D7260" w:rsidRDefault="009D7260" w:rsidP="009D7260">
            <w:pPr>
              <w:pStyle w:val="Citat"/>
              <w:jc w:val="both"/>
              <w:rPr>
                <w:i w:val="0"/>
                <w:iCs w:val="0"/>
              </w:rPr>
            </w:pPr>
            <w:r w:rsidRPr="009D7260">
              <w:rPr>
                <w:i w:val="0"/>
                <w:iCs w:val="0"/>
                <w:color w:val="auto"/>
              </w:rPr>
              <w:t xml:space="preserve">Det är vidare betydelsefullt att ansvarsfördelningen mellan domstolar, förvaltningsmyndigheter och konkursförvaltare blir ändamålsenlig och att det finns en väl avvägd balans mellan intresset av att maximera utdelningen till borgenärerna och andra intressen, till exempel intresset av att ge möjligheter för verksamheten att drivas vidare. De harmoniserade reglerna bör inte bli mer långtgående och detaljerade än vad som är nödvändigt. </w:t>
            </w:r>
          </w:p>
          <w:p w14:paraId="47B4A0D7" w14:textId="77777777" w:rsidR="009D7260" w:rsidRPr="00DB3DC5" w:rsidRDefault="009D7260" w:rsidP="009D7260">
            <w:pPr>
              <w:tabs>
                <w:tab w:val="left" w:pos="1701"/>
              </w:tabs>
              <w:rPr>
                <w:bCs/>
                <w:szCs w:val="24"/>
              </w:rPr>
            </w:pPr>
          </w:p>
          <w:p w14:paraId="72087B2F" w14:textId="3026C712" w:rsidR="009D7260" w:rsidRDefault="009D7260" w:rsidP="009D7260">
            <w:pPr>
              <w:tabs>
                <w:tab w:val="left" w:pos="1701"/>
              </w:tabs>
            </w:pPr>
            <w:r>
              <w:t xml:space="preserve">Ordföranden konstaterade att det fanns stöd för regeringens ståndpunkt. </w:t>
            </w:r>
          </w:p>
          <w:p w14:paraId="5AAFD7AD" w14:textId="26F1F565" w:rsidR="007958DC" w:rsidRDefault="007958DC" w:rsidP="009D7260">
            <w:pPr>
              <w:tabs>
                <w:tab w:val="left" w:pos="1701"/>
              </w:tabs>
            </w:pPr>
          </w:p>
          <w:p w14:paraId="0D677D65" w14:textId="29B17CB8" w:rsidR="007958DC" w:rsidRDefault="007958DC" w:rsidP="007958DC">
            <w:pPr>
              <w:tabs>
                <w:tab w:val="left" w:pos="1701"/>
              </w:tabs>
            </w:pPr>
            <w:r>
              <w:t xml:space="preserve">Utskottet kommer att begära en </w:t>
            </w:r>
            <w:r w:rsidR="00602425">
              <w:t xml:space="preserve">ytterligare </w:t>
            </w:r>
            <w:r>
              <w:t xml:space="preserve">överläggning med regeringen efter remisstidens utgång, vilket föreslogs av S-ledamöterna. </w:t>
            </w:r>
          </w:p>
          <w:p w14:paraId="4A6ABEFF" w14:textId="77777777" w:rsidR="009D7260" w:rsidRDefault="009D7260" w:rsidP="009D7260">
            <w:pPr>
              <w:tabs>
                <w:tab w:val="left" w:pos="1701"/>
              </w:tabs>
            </w:pPr>
          </w:p>
          <w:p w14:paraId="34A3E7B1" w14:textId="0F322011" w:rsidR="009D7260" w:rsidRDefault="009D7260" w:rsidP="009D7260">
            <w:pPr>
              <w:tabs>
                <w:tab w:val="left" w:pos="1701"/>
              </w:tabs>
              <w:rPr>
                <w:bCs/>
                <w:szCs w:val="24"/>
              </w:rPr>
            </w:pPr>
            <w:r w:rsidRPr="00DB3DC5">
              <w:rPr>
                <w:bCs/>
                <w:szCs w:val="24"/>
              </w:rPr>
              <w:t>Denna paragraf förklarades omedelbart justerad</w:t>
            </w:r>
            <w:r>
              <w:rPr>
                <w:bCs/>
                <w:szCs w:val="24"/>
              </w:rPr>
              <w:t>.</w:t>
            </w:r>
          </w:p>
          <w:p w14:paraId="2479D933" w14:textId="77777777" w:rsidR="009D7260" w:rsidRDefault="009D7260" w:rsidP="009D7260">
            <w:pPr>
              <w:tabs>
                <w:tab w:val="left" w:pos="1701"/>
              </w:tabs>
              <w:rPr>
                <w:bCs/>
                <w:szCs w:val="24"/>
              </w:rPr>
            </w:pPr>
          </w:p>
          <w:p w14:paraId="5FB77DC6" w14:textId="1A8ADAA8" w:rsidR="009D7260" w:rsidRDefault="009D7260" w:rsidP="009D7260">
            <w:pPr>
              <w:tabs>
                <w:tab w:val="left" w:pos="1701"/>
              </w:tabs>
              <w:rPr>
                <w:bCs/>
              </w:rPr>
            </w:pPr>
            <w:r w:rsidRPr="0009073A">
              <w:rPr>
                <w:bCs/>
                <w:szCs w:val="24"/>
              </w:rPr>
              <w:t xml:space="preserve">Under </w:t>
            </w:r>
            <w:r>
              <w:rPr>
                <w:bCs/>
                <w:szCs w:val="24"/>
              </w:rPr>
              <w:t xml:space="preserve">överläggningen </w:t>
            </w:r>
            <w:r w:rsidRPr="0009073A">
              <w:rPr>
                <w:bCs/>
                <w:szCs w:val="24"/>
              </w:rPr>
              <w:t xml:space="preserve">närvarade en tjänsteman från </w:t>
            </w:r>
            <w:r w:rsidRPr="0054494E">
              <w:rPr>
                <w:bCs/>
              </w:rPr>
              <w:t>EU-</w:t>
            </w:r>
            <w:r>
              <w:rPr>
                <w:bCs/>
              </w:rPr>
              <w:t>nämndens kansli.</w:t>
            </w:r>
          </w:p>
          <w:p w14:paraId="4545A4A1" w14:textId="7BD768F0" w:rsidR="00200252" w:rsidRDefault="00200252" w:rsidP="003B35EB">
            <w:pPr>
              <w:tabs>
                <w:tab w:val="left" w:pos="1701"/>
              </w:tabs>
              <w:rPr>
                <w:b/>
                <w:snapToGrid w:val="0"/>
                <w:szCs w:val="24"/>
              </w:rPr>
            </w:pPr>
          </w:p>
        </w:tc>
      </w:tr>
    </w:tbl>
    <w:p w14:paraId="0F1771F6" w14:textId="77777777" w:rsidR="003D626A" w:rsidRDefault="003D626A">
      <w:r>
        <w:br w:type="page"/>
      </w: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200252" w:rsidRPr="00BA38FB" w14:paraId="6A21DAEF" w14:textId="77777777" w:rsidTr="00812339">
        <w:trPr>
          <w:gridBefore w:val="1"/>
          <w:wBefore w:w="1206" w:type="dxa"/>
        </w:trPr>
        <w:tc>
          <w:tcPr>
            <w:tcW w:w="636" w:type="dxa"/>
          </w:tcPr>
          <w:p w14:paraId="0D13518C" w14:textId="5D9097AB" w:rsidR="00200252" w:rsidRDefault="00200252" w:rsidP="003B35EB">
            <w:pPr>
              <w:tabs>
                <w:tab w:val="left" w:pos="1701"/>
              </w:tabs>
              <w:rPr>
                <w:b/>
                <w:snapToGrid w:val="0"/>
                <w:szCs w:val="24"/>
              </w:rPr>
            </w:pPr>
            <w:r>
              <w:rPr>
                <w:b/>
                <w:snapToGrid w:val="0"/>
                <w:szCs w:val="24"/>
              </w:rPr>
              <w:lastRenderedPageBreak/>
              <w:t>§ 3</w:t>
            </w:r>
          </w:p>
        </w:tc>
        <w:tc>
          <w:tcPr>
            <w:tcW w:w="6947" w:type="dxa"/>
          </w:tcPr>
          <w:p w14:paraId="21094005" w14:textId="17207B18" w:rsidR="00200252" w:rsidRDefault="00200252" w:rsidP="003B35EB">
            <w:pPr>
              <w:tabs>
                <w:tab w:val="left" w:pos="1701"/>
              </w:tabs>
              <w:rPr>
                <w:b/>
              </w:rPr>
            </w:pPr>
            <w:r>
              <w:rPr>
                <w:b/>
              </w:rPr>
              <w:t xml:space="preserve">Förslag </w:t>
            </w:r>
            <w:r w:rsidR="002E23B9">
              <w:rPr>
                <w:b/>
              </w:rPr>
              <w:t>till EU:s föräldraskapsförordning</w:t>
            </w:r>
          </w:p>
          <w:p w14:paraId="7436A2E7" w14:textId="77777777" w:rsidR="00200252" w:rsidRDefault="00200252" w:rsidP="003B35EB">
            <w:pPr>
              <w:tabs>
                <w:tab w:val="left" w:pos="1701"/>
              </w:tabs>
              <w:rPr>
                <w:b/>
              </w:rPr>
            </w:pPr>
          </w:p>
          <w:p w14:paraId="119A7331" w14:textId="77777777" w:rsidR="009D7260" w:rsidRDefault="009D7260" w:rsidP="009D7260">
            <w:pPr>
              <w:tabs>
                <w:tab w:val="left" w:pos="1701"/>
              </w:tabs>
              <w:rPr>
                <w:bCs/>
                <w:szCs w:val="24"/>
              </w:rPr>
            </w:pPr>
            <w:r w:rsidRPr="00DB3DC5">
              <w:rPr>
                <w:bCs/>
                <w:szCs w:val="24"/>
              </w:rPr>
              <w:t xml:space="preserve">Utskottet överlade med </w:t>
            </w:r>
            <w:r>
              <w:rPr>
                <w:bCs/>
                <w:szCs w:val="24"/>
              </w:rPr>
              <w:t>statssekreterare Mikael Kullberg, biträdd</w:t>
            </w:r>
            <w:r w:rsidRPr="00DB3DC5">
              <w:rPr>
                <w:bCs/>
                <w:szCs w:val="24"/>
              </w:rPr>
              <w:t xml:space="preserve"> av medarbetare från </w:t>
            </w:r>
            <w:r>
              <w:rPr>
                <w:bCs/>
                <w:szCs w:val="24"/>
              </w:rPr>
              <w:t>Justitie</w:t>
            </w:r>
            <w:r w:rsidRPr="00DB3DC5">
              <w:rPr>
                <w:bCs/>
                <w:szCs w:val="24"/>
              </w:rPr>
              <w:t xml:space="preserve">departementet. </w:t>
            </w:r>
          </w:p>
          <w:p w14:paraId="6D41C96F" w14:textId="77777777" w:rsidR="009D7260" w:rsidRDefault="009D7260" w:rsidP="009D7260">
            <w:pPr>
              <w:tabs>
                <w:tab w:val="left" w:pos="1701"/>
              </w:tabs>
            </w:pPr>
          </w:p>
          <w:p w14:paraId="0FD98EBB" w14:textId="262257FE" w:rsidR="009D7260" w:rsidRDefault="009D7260" w:rsidP="009D7260">
            <w:pPr>
              <w:tabs>
                <w:tab w:val="left" w:pos="1701"/>
              </w:tabs>
              <w:rPr>
                <w:bCs/>
                <w:szCs w:val="24"/>
              </w:rPr>
            </w:pPr>
            <w:r w:rsidRPr="00DB3DC5">
              <w:rPr>
                <w:bCs/>
                <w:szCs w:val="24"/>
              </w:rPr>
              <w:t xml:space="preserve">Underlaget utgjordes av kommissionens förslag </w:t>
            </w:r>
            <w:proofErr w:type="gramStart"/>
            <w:r w:rsidRPr="00DB3DC5">
              <w:rPr>
                <w:bCs/>
                <w:szCs w:val="24"/>
              </w:rPr>
              <w:t>COM</w:t>
            </w:r>
            <w:r>
              <w:rPr>
                <w:bCs/>
                <w:szCs w:val="24"/>
              </w:rPr>
              <w:t>(</w:t>
            </w:r>
            <w:proofErr w:type="gramEnd"/>
            <w:r>
              <w:rPr>
                <w:bCs/>
                <w:szCs w:val="24"/>
              </w:rPr>
              <w:t xml:space="preserve">2022) 695 </w:t>
            </w:r>
            <w:r w:rsidRPr="00DB3DC5">
              <w:rPr>
                <w:bCs/>
                <w:szCs w:val="24"/>
              </w:rPr>
              <w:t xml:space="preserve">och Regeringskansliets </w:t>
            </w:r>
            <w:r>
              <w:rPr>
                <w:bCs/>
                <w:szCs w:val="24"/>
              </w:rPr>
              <w:t xml:space="preserve">faktapromemoria 2022/23:FPM42. </w:t>
            </w:r>
          </w:p>
          <w:p w14:paraId="28454286" w14:textId="77777777" w:rsidR="009D7260" w:rsidRPr="00DB3DC5" w:rsidRDefault="009D7260" w:rsidP="009D7260">
            <w:pPr>
              <w:tabs>
                <w:tab w:val="left" w:pos="1701"/>
              </w:tabs>
              <w:rPr>
                <w:bCs/>
                <w:szCs w:val="24"/>
              </w:rPr>
            </w:pPr>
          </w:p>
          <w:p w14:paraId="011CA734" w14:textId="02CA0701" w:rsidR="009D7260" w:rsidRDefault="009D7260" w:rsidP="009D7260">
            <w:pPr>
              <w:tabs>
                <w:tab w:val="left" w:pos="1701"/>
              </w:tabs>
              <w:rPr>
                <w:bCs/>
                <w:szCs w:val="24"/>
              </w:rPr>
            </w:pPr>
            <w:r>
              <w:rPr>
                <w:bCs/>
                <w:szCs w:val="24"/>
              </w:rPr>
              <w:t xml:space="preserve">Statssekreterare Mikael Kullberg </w:t>
            </w:r>
            <w:r w:rsidRPr="00DB3DC5">
              <w:rPr>
                <w:bCs/>
                <w:szCs w:val="24"/>
              </w:rPr>
              <w:t xml:space="preserve">redogjorde för regeringens ståndpunkt i enlighet med </w:t>
            </w:r>
            <w:r>
              <w:rPr>
                <w:bCs/>
                <w:szCs w:val="24"/>
              </w:rPr>
              <w:t>faktapromemorian:</w:t>
            </w:r>
          </w:p>
          <w:p w14:paraId="3F048BDA" w14:textId="77777777" w:rsidR="009D7260" w:rsidRDefault="009D7260" w:rsidP="009D7260">
            <w:pPr>
              <w:pStyle w:val="Citat"/>
              <w:jc w:val="both"/>
              <w:rPr>
                <w:i w:val="0"/>
                <w:iCs w:val="0"/>
                <w:color w:val="auto"/>
              </w:rPr>
            </w:pPr>
            <w:r w:rsidRPr="009D7260">
              <w:rPr>
                <w:i w:val="0"/>
                <w:iCs w:val="0"/>
                <w:color w:val="auto"/>
              </w:rPr>
              <w:t xml:space="preserve">Regeringen bedömer att det finns ett verkligt behov av EU-gemensamma internationellt privat- och processrättsliga regler om föräldraskap. Gemensamma regler på området kan stärka skyddet och rättssäkerheten för barn och familjer. Regeringen välkomnar därför att ett EU-förslag har lagts fram. </w:t>
            </w:r>
          </w:p>
          <w:p w14:paraId="1C21CBCA" w14:textId="5F32F89F" w:rsidR="009D7260" w:rsidRPr="009D7260" w:rsidRDefault="009D7260" w:rsidP="009D7260">
            <w:pPr>
              <w:pStyle w:val="Citat"/>
              <w:jc w:val="both"/>
              <w:rPr>
                <w:bCs/>
                <w:i w:val="0"/>
                <w:iCs w:val="0"/>
                <w:color w:val="auto"/>
                <w:szCs w:val="24"/>
              </w:rPr>
            </w:pPr>
            <w:r w:rsidRPr="009D7260">
              <w:rPr>
                <w:i w:val="0"/>
                <w:iCs w:val="0"/>
                <w:color w:val="auto"/>
              </w:rPr>
              <w:t>Regeringen avser att verka för lösningar som motsvarar de behov som finns och som leder till att syftet med förslaget uppnås, dvs. att skapa en klar och tydlig EU-rättslig ram som gör det möjligt att på ett ändamålsenligt sätt bestämma behörig myndighet och tillämplig lag och som underlättar för familjer att göra föräldraskap gällande i andra medlemsstater. Förslaget rymmer flera komplicerade frågeställningar som kommer att kräva närmare granskning och överväganden. Det är vidare angeläget att bevaka att unionsrättsakten inte leder till diskriminering på grund av kön eller sexuell läggning</w:t>
            </w:r>
            <w:r w:rsidR="000D08E1">
              <w:rPr>
                <w:i w:val="0"/>
                <w:iCs w:val="0"/>
                <w:color w:val="auto"/>
              </w:rPr>
              <w:t xml:space="preserve">. </w:t>
            </w:r>
          </w:p>
          <w:p w14:paraId="048CC739" w14:textId="26BBDECE" w:rsidR="009D7260" w:rsidRDefault="009D7260" w:rsidP="009D7260">
            <w:pPr>
              <w:tabs>
                <w:tab w:val="left" w:pos="1701"/>
              </w:tabs>
            </w:pPr>
            <w:r>
              <w:t xml:space="preserve">Ordföranden konstaterade att det fanns stöd för regeringens ståndpunkt. </w:t>
            </w:r>
          </w:p>
          <w:p w14:paraId="27C37EC5" w14:textId="77777777" w:rsidR="009D7260" w:rsidRDefault="009D7260" w:rsidP="009D7260">
            <w:pPr>
              <w:tabs>
                <w:tab w:val="left" w:pos="1701"/>
              </w:tabs>
            </w:pPr>
          </w:p>
          <w:p w14:paraId="11E313BA" w14:textId="0CA7491E" w:rsidR="009D7260" w:rsidRDefault="009D7260" w:rsidP="009D7260">
            <w:pPr>
              <w:tabs>
                <w:tab w:val="left" w:pos="1701"/>
              </w:tabs>
            </w:pPr>
            <w:r>
              <w:t xml:space="preserve">SD-ledamöterna anmälde följande avvikande ståndpunkt: </w:t>
            </w:r>
          </w:p>
          <w:p w14:paraId="67F4588C" w14:textId="50BA966B" w:rsidR="009D7260" w:rsidRPr="009D7260" w:rsidRDefault="009D7260" w:rsidP="009D7260">
            <w:pPr>
              <w:pStyle w:val="Citat"/>
              <w:jc w:val="both"/>
              <w:rPr>
                <w:i w:val="0"/>
                <w:iCs w:val="0"/>
                <w:color w:val="auto"/>
                <w:sz w:val="22"/>
              </w:rPr>
            </w:pPr>
            <w:r w:rsidRPr="009D7260">
              <w:rPr>
                <w:i w:val="0"/>
                <w:iCs w:val="0"/>
                <w:color w:val="auto"/>
              </w:rPr>
              <w:t>Precis som flera instanser uttryckt känner Sverige</w:t>
            </w:r>
            <w:r>
              <w:rPr>
                <w:i w:val="0"/>
                <w:iCs w:val="0"/>
                <w:color w:val="auto"/>
              </w:rPr>
              <w:t>-</w:t>
            </w:r>
            <w:r>
              <w:rPr>
                <w:i w:val="0"/>
                <w:iCs w:val="0"/>
                <w:color w:val="auto"/>
              </w:rPr>
              <w:br/>
            </w:r>
            <w:r w:rsidRPr="009D7260">
              <w:rPr>
                <w:i w:val="0"/>
                <w:iCs w:val="0"/>
                <w:color w:val="auto"/>
              </w:rPr>
              <w:t xml:space="preserve">demokraterna en farhåga över att kommissionens förslag kommer innebära en förenkling av möjligheten att använda kvinnors kroppar som handelsvara genom </w:t>
            </w:r>
            <w:proofErr w:type="spellStart"/>
            <w:r w:rsidRPr="009D7260">
              <w:rPr>
                <w:i w:val="0"/>
                <w:iCs w:val="0"/>
                <w:color w:val="auto"/>
              </w:rPr>
              <w:t>surrogatmödraskap</w:t>
            </w:r>
            <w:proofErr w:type="spellEnd"/>
            <w:r w:rsidRPr="009D7260">
              <w:rPr>
                <w:i w:val="0"/>
                <w:iCs w:val="0"/>
                <w:color w:val="auto"/>
              </w:rPr>
              <w:t>. Det är inte ett förförande som vi har accepterat i Sverige och inte heller något som är önskvärt. Med kommissionens förslag som det ligger anser vi att risken är stor att barnets rättigheter inte tillvaratas i tillräcklig utsträckning utan att fokus i</w:t>
            </w:r>
            <w:r>
              <w:rPr>
                <w:i w:val="0"/>
                <w:iCs w:val="0"/>
                <w:color w:val="auto"/>
              </w:rPr>
              <w:t> </w:t>
            </w:r>
            <w:r w:rsidRPr="009D7260">
              <w:rPr>
                <w:i w:val="0"/>
                <w:iCs w:val="0"/>
                <w:color w:val="auto"/>
              </w:rPr>
              <w:t xml:space="preserve">stället hamnar på vuxnas rättigheter. Vi anser därför att regeringens ståndpunkt bör vara att ansluta sig till de invändningar som några länder har haft emot att förslaget omfattar barn som tillkommit </w:t>
            </w:r>
            <w:r>
              <w:rPr>
                <w:i w:val="0"/>
                <w:iCs w:val="0"/>
                <w:color w:val="auto"/>
              </w:rPr>
              <w:br/>
            </w:r>
            <w:r w:rsidRPr="009D7260">
              <w:rPr>
                <w:i w:val="0"/>
                <w:iCs w:val="0"/>
                <w:color w:val="auto"/>
              </w:rPr>
              <w:t xml:space="preserve">genom surrogatarrangemang. </w:t>
            </w:r>
          </w:p>
          <w:p w14:paraId="7AFEAF66" w14:textId="1B7B5927" w:rsidR="009D7260" w:rsidRDefault="009D7260" w:rsidP="009D7260">
            <w:pPr>
              <w:tabs>
                <w:tab w:val="left" w:pos="1701"/>
              </w:tabs>
            </w:pPr>
            <w:r>
              <w:t xml:space="preserve">C-ledamoten anmälde följande avvikande ståndpunkt: </w:t>
            </w:r>
          </w:p>
          <w:p w14:paraId="55330274" w14:textId="36A84C9C" w:rsidR="000E4135" w:rsidRPr="000E4135" w:rsidRDefault="000E4135" w:rsidP="000E4135">
            <w:pPr>
              <w:pStyle w:val="Citat"/>
              <w:jc w:val="both"/>
              <w:rPr>
                <w:i w:val="0"/>
                <w:iCs w:val="0"/>
                <w:color w:val="auto"/>
                <w:sz w:val="22"/>
              </w:rPr>
            </w:pPr>
            <w:r w:rsidRPr="000E4135">
              <w:rPr>
                <w:i w:val="0"/>
                <w:iCs w:val="0"/>
                <w:color w:val="auto"/>
              </w:rPr>
              <w:t xml:space="preserve">Jag anser att regeringen på ett tydligare sätt bör framhålla barnperspektivet och principen om barnets bästa. Det är barnet som har rätt till sina föräldrar även vid en flytt inom EU, inte tvärtom. Vidare bör </w:t>
            </w:r>
            <w:r w:rsidRPr="000E4135">
              <w:rPr>
                <w:i w:val="0"/>
                <w:iCs w:val="0"/>
                <w:color w:val="auto"/>
              </w:rPr>
              <w:lastRenderedPageBreak/>
              <w:t>regeringen betona att förordningen inte får leda till någon inskränkning av barnets rättigheter enligt FN:s barnkonvention (t.ex. barnets rätt till familj och privatliv).</w:t>
            </w:r>
            <w:r>
              <w:rPr>
                <w:i w:val="0"/>
                <w:iCs w:val="0"/>
                <w:color w:val="auto"/>
              </w:rPr>
              <w:t xml:space="preserve"> </w:t>
            </w:r>
          </w:p>
          <w:p w14:paraId="7884C476" w14:textId="77953D52" w:rsidR="009D7260" w:rsidRDefault="009D7260" w:rsidP="009D7260">
            <w:pPr>
              <w:tabs>
                <w:tab w:val="left" w:pos="1701"/>
              </w:tabs>
            </w:pPr>
          </w:p>
          <w:p w14:paraId="1B01E36F" w14:textId="72EB6B9B" w:rsidR="007958DC" w:rsidRDefault="007958DC" w:rsidP="007958DC">
            <w:pPr>
              <w:tabs>
                <w:tab w:val="left" w:pos="1701"/>
              </w:tabs>
            </w:pPr>
            <w:r>
              <w:t xml:space="preserve">Utskottet kommer att begära en </w:t>
            </w:r>
            <w:r w:rsidR="00602425">
              <w:t xml:space="preserve">ytterligare </w:t>
            </w:r>
            <w:r>
              <w:t xml:space="preserve">överläggning med regeringen efter remisstidens utgång, vilket föreslogs av S-ledamöterna. </w:t>
            </w:r>
          </w:p>
          <w:p w14:paraId="77DDEEEC" w14:textId="1823CE8B" w:rsidR="009D7260" w:rsidRDefault="009D7260" w:rsidP="009D7260">
            <w:pPr>
              <w:tabs>
                <w:tab w:val="left" w:pos="1701"/>
              </w:tabs>
            </w:pPr>
          </w:p>
          <w:p w14:paraId="5B791555" w14:textId="09B33C0F" w:rsidR="009D7260" w:rsidRDefault="009D7260" w:rsidP="009D7260">
            <w:pPr>
              <w:tabs>
                <w:tab w:val="left" w:pos="1701"/>
              </w:tabs>
              <w:rPr>
                <w:bCs/>
                <w:szCs w:val="24"/>
              </w:rPr>
            </w:pPr>
            <w:r w:rsidRPr="00DB3DC5">
              <w:rPr>
                <w:bCs/>
                <w:szCs w:val="24"/>
              </w:rPr>
              <w:t>Denna paragraf förklarades omedelbart justerad</w:t>
            </w:r>
            <w:r>
              <w:rPr>
                <w:bCs/>
                <w:szCs w:val="24"/>
              </w:rPr>
              <w:t>.</w:t>
            </w:r>
          </w:p>
          <w:p w14:paraId="4F3446C7" w14:textId="3A617198" w:rsidR="009D7260" w:rsidRDefault="009D7260" w:rsidP="009D7260">
            <w:pPr>
              <w:tabs>
                <w:tab w:val="left" w:pos="1701"/>
              </w:tabs>
            </w:pPr>
          </w:p>
          <w:p w14:paraId="63FB9D0A" w14:textId="718FDF6D" w:rsidR="009D7260" w:rsidRPr="009D7260" w:rsidRDefault="009D7260" w:rsidP="003B35EB">
            <w:pPr>
              <w:tabs>
                <w:tab w:val="left" w:pos="1701"/>
              </w:tabs>
              <w:rPr>
                <w:bCs/>
              </w:rPr>
            </w:pPr>
            <w:r w:rsidRPr="0009073A">
              <w:rPr>
                <w:bCs/>
                <w:szCs w:val="24"/>
              </w:rPr>
              <w:t xml:space="preserve">Under </w:t>
            </w:r>
            <w:r>
              <w:rPr>
                <w:bCs/>
                <w:szCs w:val="24"/>
              </w:rPr>
              <w:t xml:space="preserve">överläggningen </w:t>
            </w:r>
            <w:r w:rsidRPr="0009073A">
              <w:rPr>
                <w:bCs/>
                <w:szCs w:val="24"/>
              </w:rPr>
              <w:t xml:space="preserve">närvarade en tjänsteman från </w:t>
            </w:r>
            <w:r w:rsidRPr="0054494E">
              <w:rPr>
                <w:bCs/>
              </w:rPr>
              <w:t>EU-</w:t>
            </w:r>
            <w:r>
              <w:rPr>
                <w:bCs/>
              </w:rPr>
              <w:t>nämndens kansli.</w:t>
            </w:r>
            <w:r w:rsidRPr="009D7260">
              <w:rPr>
                <w:bCs/>
              </w:rPr>
              <w:t xml:space="preserve"> </w:t>
            </w:r>
          </w:p>
          <w:p w14:paraId="392C0E00" w14:textId="6EEE336C" w:rsidR="009D7260" w:rsidRDefault="009D7260" w:rsidP="003B35EB">
            <w:pPr>
              <w:tabs>
                <w:tab w:val="left" w:pos="1701"/>
              </w:tabs>
              <w:rPr>
                <w:b/>
              </w:rPr>
            </w:pPr>
          </w:p>
        </w:tc>
      </w:tr>
      <w:tr w:rsidR="008E6CB8" w:rsidRPr="00BA38FB" w14:paraId="10E38E08" w14:textId="77777777" w:rsidTr="00812339">
        <w:trPr>
          <w:gridBefore w:val="1"/>
          <w:wBefore w:w="1206" w:type="dxa"/>
        </w:trPr>
        <w:tc>
          <w:tcPr>
            <w:tcW w:w="636" w:type="dxa"/>
          </w:tcPr>
          <w:p w14:paraId="09F2ADFE" w14:textId="7CB98B30" w:rsidR="008E6CB8" w:rsidRDefault="008E6CB8" w:rsidP="003B35EB">
            <w:pPr>
              <w:tabs>
                <w:tab w:val="left" w:pos="1701"/>
              </w:tabs>
              <w:rPr>
                <w:b/>
                <w:snapToGrid w:val="0"/>
                <w:szCs w:val="24"/>
              </w:rPr>
            </w:pPr>
            <w:r>
              <w:rPr>
                <w:b/>
                <w:snapToGrid w:val="0"/>
                <w:szCs w:val="24"/>
              </w:rPr>
              <w:lastRenderedPageBreak/>
              <w:t>§ 4</w:t>
            </w:r>
          </w:p>
        </w:tc>
        <w:tc>
          <w:tcPr>
            <w:tcW w:w="6947" w:type="dxa"/>
          </w:tcPr>
          <w:p w14:paraId="52C9EE4E" w14:textId="5466B582" w:rsidR="008E6CB8" w:rsidRDefault="009D7260" w:rsidP="003B35EB">
            <w:pPr>
              <w:tabs>
                <w:tab w:val="left" w:pos="1701"/>
              </w:tabs>
              <w:rPr>
                <w:b/>
              </w:rPr>
            </w:pPr>
            <w:r>
              <w:rPr>
                <w:b/>
              </w:rPr>
              <w:t>Direktivet om distansförsäljning av finansiella tjänster</w:t>
            </w:r>
          </w:p>
          <w:p w14:paraId="42844470" w14:textId="77777777" w:rsidR="008E6CB8" w:rsidRDefault="008E6CB8" w:rsidP="003B35EB">
            <w:pPr>
              <w:tabs>
                <w:tab w:val="left" w:pos="1701"/>
              </w:tabs>
              <w:rPr>
                <w:b/>
              </w:rPr>
            </w:pPr>
          </w:p>
          <w:p w14:paraId="66DDAB51" w14:textId="2073E15A" w:rsidR="009D7260" w:rsidRDefault="008E6CB8" w:rsidP="003B35EB">
            <w:pPr>
              <w:tabs>
                <w:tab w:val="left" w:pos="1701"/>
              </w:tabs>
              <w:rPr>
                <w:bCs/>
              </w:rPr>
            </w:pPr>
            <w:r w:rsidRPr="008E6CB8">
              <w:rPr>
                <w:bCs/>
              </w:rPr>
              <w:t xml:space="preserve">Statssekreterare Mikael Kullberg, </w:t>
            </w:r>
            <w:r>
              <w:rPr>
                <w:bCs/>
              </w:rPr>
              <w:t>biträdd av</w:t>
            </w:r>
            <w:r w:rsidRPr="008E6CB8">
              <w:rPr>
                <w:bCs/>
              </w:rPr>
              <w:t xml:space="preserve"> </w:t>
            </w:r>
            <w:r>
              <w:rPr>
                <w:bCs/>
              </w:rPr>
              <w:t xml:space="preserve">medarbetare från Justitiedepartementet, </w:t>
            </w:r>
            <w:r w:rsidR="009D7260">
              <w:rPr>
                <w:bCs/>
              </w:rPr>
              <w:t xml:space="preserve">lämnade information inför KKR-rådet den 2 mars 2023 </w:t>
            </w:r>
            <w:r w:rsidR="002E23B9">
              <w:rPr>
                <w:bCs/>
              </w:rPr>
              <w:t>(</w:t>
            </w:r>
            <w:proofErr w:type="gramStart"/>
            <w:r w:rsidR="009D7260">
              <w:rPr>
                <w:bCs/>
              </w:rPr>
              <w:t>COM(</w:t>
            </w:r>
            <w:proofErr w:type="gramEnd"/>
            <w:r w:rsidR="009D7260">
              <w:rPr>
                <w:bCs/>
              </w:rPr>
              <w:t xml:space="preserve">2022) 204). </w:t>
            </w:r>
          </w:p>
          <w:p w14:paraId="2EB76CAE" w14:textId="77777777" w:rsidR="009D7260" w:rsidRDefault="009D7260" w:rsidP="003B35EB">
            <w:pPr>
              <w:tabs>
                <w:tab w:val="left" w:pos="1701"/>
              </w:tabs>
              <w:rPr>
                <w:bCs/>
              </w:rPr>
            </w:pPr>
          </w:p>
          <w:p w14:paraId="654B8C1D" w14:textId="4FD6BFCD" w:rsidR="008E6CB8" w:rsidRDefault="009D7260" w:rsidP="003B35EB">
            <w:pPr>
              <w:tabs>
                <w:tab w:val="left" w:pos="1701"/>
              </w:tabs>
              <w:rPr>
                <w:bCs/>
              </w:rPr>
            </w:pPr>
            <w:r w:rsidRPr="0009073A">
              <w:rPr>
                <w:bCs/>
                <w:szCs w:val="24"/>
              </w:rPr>
              <w:t xml:space="preserve">Under </w:t>
            </w:r>
            <w:r>
              <w:rPr>
                <w:bCs/>
                <w:szCs w:val="24"/>
              </w:rPr>
              <w:t xml:space="preserve">informationen </w:t>
            </w:r>
            <w:r w:rsidRPr="0009073A">
              <w:rPr>
                <w:bCs/>
                <w:szCs w:val="24"/>
              </w:rPr>
              <w:t xml:space="preserve">närvarade en tjänsteman från </w:t>
            </w:r>
            <w:r w:rsidRPr="0054494E">
              <w:rPr>
                <w:bCs/>
              </w:rPr>
              <w:t>EU-</w:t>
            </w:r>
            <w:r>
              <w:rPr>
                <w:bCs/>
              </w:rPr>
              <w:t>nämndens kansli.</w:t>
            </w:r>
          </w:p>
          <w:p w14:paraId="3E09969B" w14:textId="692FAEA3" w:rsidR="008E6CB8" w:rsidRPr="008E6CB8" w:rsidRDefault="008E6CB8" w:rsidP="003B35EB">
            <w:pPr>
              <w:tabs>
                <w:tab w:val="left" w:pos="1701"/>
              </w:tabs>
              <w:rPr>
                <w:bCs/>
              </w:rPr>
            </w:pPr>
          </w:p>
        </w:tc>
      </w:tr>
      <w:tr w:rsidR="003B35EB" w:rsidRPr="00BA38FB" w14:paraId="425ED225" w14:textId="77777777" w:rsidTr="00812339">
        <w:trPr>
          <w:gridBefore w:val="1"/>
          <w:wBefore w:w="1206" w:type="dxa"/>
        </w:trPr>
        <w:tc>
          <w:tcPr>
            <w:tcW w:w="636" w:type="dxa"/>
          </w:tcPr>
          <w:p w14:paraId="64CC5587" w14:textId="422836E4" w:rsidR="003B35EB" w:rsidRDefault="003B35EB" w:rsidP="003B35EB">
            <w:pPr>
              <w:tabs>
                <w:tab w:val="left" w:pos="1701"/>
              </w:tabs>
              <w:rPr>
                <w:b/>
                <w:snapToGrid w:val="0"/>
                <w:szCs w:val="24"/>
              </w:rPr>
            </w:pPr>
            <w:r>
              <w:rPr>
                <w:b/>
                <w:snapToGrid w:val="0"/>
                <w:szCs w:val="24"/>
              </w:rPr>
              <w:t xml:space="preserve">§ </w:t>
            </w:r>
            <w:r w:rsidR="008E6CB8">
              <w:rPr>
                <w:b/>
                <w:snapToGrid w:val="0"/>
                <w:szCs w:val="24"/>
              </w:rPr>
              <w:t>5</w:t>
            </w:r>
          </w:p>
        </w:tc>
        <w:tc>
          <w:tcPr>
            <w:tcW w:w="6947" w:type="dxa"/>
          </w:tcPr>
          <w:p w14:paraId="040C5C69" w14:textId="77777777" w:rsidR="003B35EB" w:rsidRDefault="003B35EB" w:rsidP="003B35EB">
            <w:pPr>
              <w:tabs>
                <w:tab w:val="left" w:pos="1701"/>
              </w:tabs>
              <w:rPr>
                <w:b/>
                <w:snapToGrid w:val="0"/>
                <w:szCs w:val="24"/>
              </w:rPr>
            </w:pPr>
            <w:r>
              <w:rPr>
                <w:b/>
                <w:snapToGrid w:val="0"/>
                <w:szCs w:val="24"/>
              </w:rPr>
              <w:t>Justering av protokoll</w:t>
            </w:r>
          </w:p>
          <w:p w14:paraId="6941E8F5" w14:textId="77777777" w:rsidR="003B35EB" w:rsidRDefault="003B35EB" w:rsidP="003B35EB">
            <w:pPr>
              <w:tabs>
                <w:tab w:val="left" w:pos="1701"/>
              </w:tabs>
              <w:rPr>
                <w:b/>
                <w:snapToGrid w:val="0"/>
                <w:szCs w:val="24"/>
              </w:rPr>
            </w:pPr>
          </w:p>
          <w:p w14:paraId="2092DD6A" w14:textId="036BA5EE" w:rsidR="003B35EB" w:rsidRDefault="003B35EB" w:rsidP="003B35EB">
            <w:pPr>
              <w:tabs>
                <w:tab w:val="left" w:pos="1701"/>
              </w:tabs>
              <w:rPr>
                <w:snapToGrid w:val="0"/>
                <w:szCs w:val="24"/>
              </w:rPr>
            </w:pPr>
            <w:r>
              <w:rPr>
                <w:snapToGrid w:val="0"/>
                <w:szCs w:val="24"/>
              </w:rPr>
              <w:t>Utskottet justerade protokoll 2022/23:</w:t>
            </w:r>
            <w:r w:rsidR="00812339">
              <w:rPr>
                <w:snapToGrid w:val="0"/>
                <w:szCs w:val="24"/>
              </w:rPr>
              <w:t>1</w:t>
            </w:r>
            <w:r w:rsidR="003E6AFC">
              <w:rPr>
                <w:snapToGrid w:val="0"/>
                <w:szCs w:val="24"/>
              </w:rPr>
              <w:t>3</w:t>
            </w:r>
            <w:r>
              <w:rPr>
                <w:snapToGrid w:val="0"/>
                <w:szCs w:val="24"/>
              </w:rPr>
              <w:t xml:space="preserve">. </w:t>
            </w:r>
          </w:p>
          <w:p w14:paraId="484962C4" w14:textId="77777777" w:rsidR="003B35EB" w:rsidRDefault="003B35EB" w:rsidP="003B35EB">
            <w:pPr>
              <w:tabs>
                <w:tab w:val="left" w:pos="1701"/>
              </w:tabs>
              <w:rPr>
                <w:b/>
                <w:snapToGrid w:val="0"/>
                <w:szCs w:val="24"/>
              </w:rPr>
            </w:pPr>
          </w:p>
        </w:tc>
      </w:tr>
      <w:tr w:rsidR="003B35EB" w:rsidRPr="00BA38FB" w14:paraId="524FC077" w14:textId="77777777" w:rsidTr="00812339">
        <w:trPr>
          <w:gridBefore w:val="1"/>
          <w:wBefore w:w="1206" w:type="dxa"/>
        </w:trPr>
        <w:tc>
          <w:tcPr>
            <w:tcW w:w="636" w:type="dxa"/>
          </w:tcPr>
          <w:p w14:paraId="01F07617" w14:textId="2E6FE388" w:rsidR="003B35EB" w:rsidRDefault="003B35EB" w:rsidP="003B35EB">
            <w:pPr>
              <w:tabs>
                <w:tab w:val="left" w:pos="1701"/>
              </w:tabs>
              <w:rPr>
                <w:b/>
                <w:snapToGrid w:val="0"/>
                <w:szCs w:val="24"/>
              </w:rPr>
            </w:pPr>
            <w:r>
              <w:rPr>
                <w:b/>
                <w:snapToGrid w:val="0"/>
                <w:szCs w:val="24"/>
              </w:rPr>
              <w:t xml:space="preserve">§ </w:t>
            </w:r>
            <w:r w:rsidR="000F6AF7">
              <w:rPr>
                <w:b/>
                <w:snapToGrid w:val="0"/>
                <w:szCs w:val="24"/>
              </w:rPr>
              <w:t>6</w:t>
            </w:r>
          </w:p>
        </w:tc>
        <w:tc>
          <w:tcPr>
            <w:tcW w:w="6947" w:type="dxa"/>
          </w:tcPr>
          <w:p w14:paraId="00EF0BA1" w14:textId="50C1E734" w:rsidR="003B35EB" w:rsidRDefault="003B35EB" w:rsidP="003B35EB">
            <w:pPr>
              <w:tabs>
                <w:tab w:val="left" w:pos="1701"/>
              </w:tabs>
              <w:rPr>
                <w:b/>
                <w:bCs/>
                <w:szCs w:val="24"/>
              </w:rPr>
            </w:pPr>
            <w:r>
              <w:rPr>
                <w:b/>
                <w:bCs/>
                <w:szCs w:val="24"/>
              </w:rPr>
              <w:t>Nästa sammanträde</w:t>
            </w:r>
            <w:r w:rsidR="002C4383">
              <w:rPr>
                <w:b/>
                <w:bCs/>
                <w:szCs w:val="24"/>
              </w:rPr>
              <w:t xml:space="preserve"> </w:t>
            </w:r>
          </w:p>
          <w:p w14:paraId="6D9DC69A" w14:textId="77777777" w:rsidR="003B35EB" w:rsidRDefault="003B35EB" w:rsidP="003B35EB">
            <w:pPr>
              <w:rPr>
                <w:bCs/>
                <w:szCs w:val="24"/>
              </w:rPr>
            </w:pPr>
          </w:p>
          <w:p w14:paraId="58D8EBBD" w14:textId="07FABAAB" w:rsidR="003B35EB" w:rsidRDefault="001E2F65" w:rsidP="003B35EB">
            <w:pPr>
              <w:rPr>
                <w:bCs/>
                <w:szCs w:val="24"/>
              </w:rPr>
            </w:pPr>
            <w:r>
              <w:rPr>
                <w:bCs/>
                <w:szCs w:val="24"/>
              </w:rPr>
              <w:t xml:space="preserve">Nästa </w:t>
            </w:r>
            <w:r w:rsidR="003B35EB">
              <w:rPr>
                <w:bCs/>
                <w:szCs w:val="24"/>
              </w:rPr>
              <w:t>sammanträde äg</w:t>
            </w:r>
            <w:r>
              <w:rPr>
                <w:bCs/>
                <w:szCs w:val="24"/>
              </w:rPr>
              <w:t>er</w:t>
            </w:r>
            <w:r w:rsidR="003B35EB">
              <w:rPr>
                <w:bCs/>
                <w:szCs w:val="24"/>
              </w:rPr>
              <w:t xml:space="preserve"> rum </w:t>
            </w:r>
            <w:r w:rsidR="00F41E78">
              <w:rPr>
                <w:bCs/>
                <w:szCs w:val="24"/>
              </w:rPr>
              <w:t>t</w:t>
            </w:r>
            <w:r w:rsidR="00200252">
              <w:rPr>
                <w:bCs/>
                <w:szCs w:val="24"/>
              </w:rPr>
              <w:t>or</w:t>
            </w:r>
            <w:r w:rsidR="00F41E78">
              <w:rPr>
                <w:bCs/>
                <w:szCs w:val="24"/>
              </w:rPr>
              <w:t xml:space="preserve">sdagen </w:t>
            </w:r>
            <w:r w:rsidR="003B35EB">
              <w:rPr>
                <w:bCs/>
                <w:szCs w:val="24"/>
              </w:rPr>
              <w:t xml:space="preserve">den </w:t>
            </w:r>
            <w:r w:rsidR="00A743C2">
              <w:rPr>
                <w:bCs/>
                <w:szCs w:val="24"/>
              </w:rPr>
              <w:t>23</w:t>
            </w:r>
            <w:r w:rsidR="00812339">
              <w:rPr>
                <w:bCs/>
                <w:szCs w:val="24"/>
              </w:rPr>
              <w:t xml:space="preserve"> </w:t>
            </w:r>
            <w:r w:rsidR="00FF7FA5">
              <w:rPr>
                <w:bCs/>
                <w:szCs w:val="24"/>
              </w:rPr>
              <w:t>februari</w:t>
            </w:r>
            <w:r w:rsidR="003B35EB" w:rsidRPr="00930EB6">
              <w:rPr>
                <w:bCs/>
                <w:szCs w:val="24"/>
              </w:rPr>
              <w:t xml:space="preserve"> 202</w:t>
            </w:r>
            <w:r w:rsidR="00812339">
              <w:rPr>
                <w:bCs/>
                <w:szCs w:val="24"/>
              </w:rPr>
              <w:t>3</w:t>
            </w:r>
            <w:r w:rsidR="003B35EB" w:rsidRPr="00930EB6">
              <w:rPr>
                <w:bCs/>
                <w:szCs w:val="24"/>
              </w:rPr>
              <w:t xml:space="preserve"> kl. </w:t>
            </w:r>
            <w:r w:rsidR="00A743C2">
              <w:rPr>
                <w:bCs/>
                <w:szCs w:val="24"/>
              </w:rPr>
              <w:t>9</w:t>
            </w:r>
            <w:r w:rsidR="003B35EB" w:rsidRPr="00930EB6">
              <w:rPr>
                <w:bCs/>
                <w:szCs w:val="24"/>
              </w:rPr>
              <w:t>.</w:t>
            </w:r>
            <w:r w:rsidR="00A743C2">
              <w:rPr>
                <w:bCs/>
                <w:szCs w:val="24"/>
              </w:rPr>
              <w:t>3</w:t>
            </w:r>
            <w:r w:rsidR="00F41E78">
              <w:rPr>
                <w:bCs/>
                <w:szCs w:val="24"/>
              </w:rPr>
              <w:t>0</w:t>
            </w:r>
            <w:r w:rsidR="003B35EB" w:rsidRPr="00930EB6">
              <w:rPr>
                <w:bCs/>
                <w:szCs w:val="24"/>
              </w:rPr>
              <w:t>.</w:t>
            </w:r>
            <w:r w:rsidR="003B35EB">
              <w:rPr>
                <w:bCs/>
                <w:szCs w:val="24"/>
              </w:rPr>
              <w:t xml:space="preserve"> </w:t>
            </w:r>
          </w:p>
          <w:p w14:paraId="5CB1AE40" w14:textId="77777777" w:rsidR="009D7260" w:rsidRDefault="009D7260" w:rsidP="003B35EB">
            <w:pPr>
              <w:rPr>
                <w:bCs/>
                <w:szCs w:val="24"/>
              </w:rPr>
            </w:pPr>
          </w:p>
          <w:p w14:paraId="14D88AC1" w14:textId="5A14D7C7" w:rsidR="002C4383" w:rsidRPr="0003001F" w:rsidRDefault="002C4383" w:rsidP="003B35EB">
            <w:pPr>
              <w:rPr>
                <w:bCs/>
                <w:szCs w:val="24"/>
              </w:rPr>
            </w:pPr>
          </w:p>
        </w:tc>
      </w:tr>
      <w:tr w:rsidR="005368FD" w:rsidRPr="00BA38FB" w14:paraId="29C5E7A1" w14:textId="77777777" w:rsidTr="00812339">
        <w:tc>
          <w:tcPr>
            <w:tcW w:w="8789" w:type="dxa"/>
            <w:gridSpan w:val="3"/>
          </w:tcPr>
          <w:p w14:paraId="58977177" w14:textId="57D6EA4A" w:rsidR="00195A9B" w:rsidRDefault="00195A9B" w:rsidP="005368FD">
            <w:pPr>
              <w:tabs>
                <w:tab w:val="left" w:pos="1701"/>
              </w:tabs>
              <w:ind w:left="1275"/>
              <w:rPr>
                <w:szCs w:val="24"/>
              </w:rPr>
            </w:pPr>
          </w:p>
          <w:p w14:paraId="6AE6EA8D" w14:textId="77777777" w:rsidR="00F41E78" w:rsidRDefault="00F41E78" w:rsidP="005368FD">
            <w:pPr>
              <w:tabs>
                <w:tab w:val="left" w:pos="1701"/>
              </w:tabs>
              <w:ind w:left="1275"/>
              <w:rPr>
                <w:szCs w:val="24"/>
              </w:rPr>
            </w:pPr>
          </w:p>
          <w:p w14:paraId="2D487D71" w14:textId="77777777" w:rsidR="005368FD" w:rsidRPr="00BA38FB" w:rsidRDefault="005368FD" w:rsidP="005368FD">
            <w:pPr>
              <w:tabs>
                <w:tab w:val="left" w:pos="1701"/>
              </w:tabs>
              <w:ind w:left="1275"/>
              <w:rPr>
                <w:szCs w:val="24"/>
              </w:rPr>
            </w:pPr>
            <w:r w:rsidRPr="00BA38FB">
              <w:rPr>
                <w:szCs w:val="24"/>
              </w:rPr>
              <w:t>Vid protokollet</w:t>
            </w:r>
          </w:p>
          <w:p w14:paraId="51012633" w14:textId="77777777" w:rsidR="005368FD" w:rsidRDefault="005368FD" w:rsidP="005368FD">
            <w:pPr>
              <w:tabs>
                <w:tab w:val="left" w:pos="1701"/>
              </w:tabs>
              <w:ind w:left="1275"/>
              <w:rPr>
                <w:szCs w:val="24"/>
              </w:rPr>
            </w:pPr>
          </w:p>
          <w:p w14:paraId="4BCD85F2" w14:textId="7C6A68F8" w:rsidR="005368FD" w:rsidRDefault="005368FD" w:rsidP="005368FD">
            <w:pPr>
              <w:tabs>
                <w:tab w:val="left" w:pos="1701"/>
              </w:tabs>
              <w:ind w:left="1275"/>
              <w:rPr>
                <w:szCs w:val="24"/>
              </w:rPr>
            </w:pPr>
          </w:p>
          <w:p w14:paraId="1949DA19" w14:textId="77777777" w:rsidR="006F6415" w:rsidRPr="00BA38FB" w:rsidRDefault="006F6415" w:rsidP="005368FD">
            <w:pPr>
              <w:tabs>
                <w:tab w:val="left" w:pos="1701"/>
              </w:tabs>
              <w:ind w:left="1275"/>
              <w:rPr>
                <w:szCs w:val="24"/>
              </w:rPr>
            </w:pPr>
          </w:p>
          <w:p w14:paraId="41DD8846" w14:textId="77777777" w:rsidR="005368FD" w:rsidRPr="00BA38FB" w:rsidRDefault="005368FD" w:rsidP="005368FD">
            <w:pPr>
              <w:tabs>
                <w:tab w:val="left" w:pos="1701"/>
              </w:tabs>
              <w:ind w:left="1275"/>
              <w:rPr>
                <w:szCs w:val="24"/>
              </w:rPr>
            </w:pPr>
          </w:p>
          <w:p w14:paraId="6AC1CFAD" w14:textId="0D7D0AD3" w:rsidR="005368FD" w:rsidRDefault="005368FD" w:rsidP="005368FD">
            <w:pPr>
              <w:tabs>
                <w:tab w:val="left" w:pos="1701"/>
              </w:tabs>
              <w:ind w:left="1275"/>
              <w:rPr>
                <w:szCs w:val="24"/>
              </w:rPr>
            </w:pPr>
            <w:r w:rsidRPr="007B339A">
              <w:rPr>
                <w:szCs w:val="24"/>
              </w:rPr>
              <w:t>Justeras den</w:t>
            </w:r>
            <w:r w:rsidR="00FF0F01" w:rsidRPr="007B339A">
              <w:rPr>
                <w:szCs w:val="24"/>
              </w:rPr>
              <w:t xml:space="preserve"> </w:t>
            </w:r>
            <w:r w:rsidR="00FF7FA5" w:rsidRPr="007B339A">
              <w:rPr>
                <w:szCs w:val="24"/>
              </w:rPr>
              <w:t>2</w:t>
            </w:r>
            <w:r w:rsidR="00A743C2" w:rsidRPr="007B339A">
              <w:rPr>
                <w:szCs w:val="24"/>
              </w:rPr>
              <w:t>3</w:t>
            </w:r>
            <w:r w:rsidR="00FF7FA5">
              <w:rPr>
                <w:szCs w:val="24"/>
              </w:rPr>
              <w:t xml:space="preserve"> februari</w:t>
            </w:r>
            <w:r w:rsidRPr="00930EB6">
              <w:rPr>
                <w:szCs w:val="24"/>
              </w:rPr>
              <w:t xml:space="preserve"> 202</w:t>
            </w:r>
            <w:r w:rsidR="00812339">
              <w:rPr>
                <w:szCs w:val="24"/>
              </w:rPr>
              <w:t>3</w:t>
            </w:r>
          </w:p>
          <w:p w14:paraId="28490F6B" w14:textId="77777777" w:rsidR="001B681E" w:rsidRDefault="001B681E" w:rsidP="005368FD">
            <w:pPr>
              <w:tabs>
                <w:tab w:val="left" w:pos="1701"/>
              </w:tabs>
              <w:ind w:left="1275"/>
              <w:rPr>
                <w:szCs w:val="24"/>
              </w:rPr>
            </w:pPr>
          </w:p>
          <w:p w14:paraId="1733BFA2" w14:textId="4140A90E" w:rsidR="006F6415" w:rsidRDefault="006F6415" w:rsidP="005368FD">
            <w:pPr>
              <w:tabs>
                <w:tab w:val="left" w:pos="1701"/>
              </w:tabs>
              <w:ind w:left="1275"/>
              <w:rPr>
                <w:szCs w:val="24"/>
              </w:rPr>
            </w:pPr>
          </w:p>
          <w:p w14:paraId="68A24BDC" w14:textId="77777777" w:rsidR="006F6415" w:rsidRPr="00BA38FB" w:rsidRDefault="006F6415" w:rsidP="005368FD">
            <w:pPr>
              <w:tabs>
                <w:tab w:val="left" w:pos="1701"/>
              </w:tabs>
              <w:ind w:left="1275"/>
              <w:rPr>
                <w:szCs w:val="24"/>
              </w:rPr>
            </w:pPr>
          </w:p>
          <w:p w14:paraId="6B2E76D6" w14:textId="7D827B76" w:rsidR="005368FD" w:rsidRDefault="00333A4C" w:rsidP="005368FD">
            <w:pPr>
              <w:tabs>
                <w:tab w:val="left" w:pos="1701"/>
              </w:tabs>
              <w:ind w:left="1275"/>
              <w:rPr>
                <w:snapToGrid w:val="0"/>
                <w:szCs w:val="24"/>
              </w:rPr>
            </w:pPr>
            <w:r>
              <w:rPr>
                <w:snapToGrid w:val="0"/>
                <w:szCs w:val="24"/>
              </w:rPr>
              <w:t>Malcolm Momodou Jallow</w:t>
            </w:r>
            <w:r w:rsidR="002F0F2F">
              <w:rPr>
                <w:snapToGrid w:val="0"/>
                <w:szCs w:val="24"/>
              </w:rPr>
              <w:t xml:space="preserve"> </w:t>
            </w:r>
          </w:p>
          <w:p w14:paraId="11C7571B" w14:textId="27655664" w:rsidR="006F6415" w:rsidRDefault="006F6415" w:rsidP="005368FD">
            <w:pPr>
              <w:tabs>
                <w:tab w:val="left" w:pos="1701"/>
              </w:tabs>
              <w:ind w:left="1275"/>
              <w:rPr>
                <w:snapToGrid w:val="0"/>
                <w:szCs w:val="24"/>
              </w:rPr>
            </w:pPr>
          </w:p>
          <w:p w14:paraId="75AFFAEA" w14:textId="77777777" w:rsidR="006F6415" w:rsidRDefault="006F6415" w:rsidP="005368FD">
            <w:pPr>
              <w:tabs>
                <w:tab w:val="left" w:pos="1701"/>
              </w:tabs>
              <w:ind w:left="1275"/>
              <w:rPr>
                <w:snapToGrid w:val="0"/>
                <w:szCs w:val="24"/>
              </w:rPr>
            </w:pPr>
          </w:p>
          <w:p w14:paraId="7091F08B" w14:textId="77777777" w:rsidR="005368FD" w:rsidRPr="00BA38FB" w:rsidRDefault="005368FD" w:rsidP="005368FD">
            <w:pPr>
              <w:tabs>
                <w:tab w:val="left" w:pos="1701"/>
              </w:tabs>
              <w:rPr>
                <w:b/>
                <w:szCs w:val="24"/>
              </w:rPr>
            </w:pPr>
          </w:p>
        </w:tc>
      </w:tr>
    </w:tbl>
    <w:p w14:paraId="6759DD0F" w14:textId="77777777" w:rsidR="006F6415" w:rsidRDefault="006F6415">
      <w:r>
        <w:br w:type="page"/>
      </w:r>
    </w:p>
    <w:tbl>
      <w:tblPr>
        <w:tblW w:w="8789" w:type="dxa"/>
        <w:tblInd w:w="212" w:type="dxa"/>
        <w:tblLayout w:type="fixed"/>
        <w:tblCellMar>
          <w:left w:w="70" w:type="dxa"/>
          <w:right w:w="70" w:type="dxa"/>
        </w:tblCellMar>
        <w:tblLook w:val="00A0" w:firstRow="1" w:lastRow="0" w:firstColumn="1" w:lastColumn="0" w:noHBand="0" w:noVBand="0"/>
      </w:tblPr>
      <w:tblGrid>
        <w:gridCol w:w="2906"/>
        <w:gridCol w:w="540"/>
        <w:gridCol w:w="356"/>
        <w:gridCol w:w="356"/>
        <w:gridCol w:w="356"/>
        <w:gridCol w:w="356"/>
        <w:gridCol w:w="356"/>
        <w:gridCol w:w="356"/>
        <w:gridCol w:w="356"/>
        <w:gridCol w:w="356"/>
        <w:gridCol w:w="297"/>
        <w:gridCol w:w="59"/>
        <w:gridCol w:w="356"/>
        <w:gridCol w:w="356"/>
        <w:gridCol w:w="356"/>
        <w:gridCol w:w="356"/>
        <w:gridCol w:w="356"/>
        <w:gridCol w:w="359"/>
      </w:tblGrid>
      <w:tr w:rsidR="005368FD" w:rsidRPr="00BA38FB" w14:paraId="16480EDF" w14:textId="77777777" w:rsidTr="00AA1ACB">
        <w:tc>
          <w:tcPr>
            <w:tcW w:w="8789" w:type="dxa"/>
            <w:gridSpan w:val="18"/>
          </w:tcPr>
          <w:p w14:paraId="0CDD0651" w14:textId="1D9B3C02" w:rsidR="00AA1ACB" w:rsidRDefault="006F6415" w:rsidP="006F6415">
            <w:pPr>
              <w:tabs>
                <w:tab w:val="left" w:pos="1701"/>
              </w:tabs>
              <w:ind w:left="1275"/>
              <w:rPr>
                <w:szCs w:val="24"/>
              </w:rPr>
            </w:pPr>
            <w:r>
              <w:lastRenderedPageBreak/>
              <w:br w:type="page"/>
            </w:r>
          </w:p>
        </w:tc>
      </w:tr>
      <w:tr w:rsidR="00B46353" w14:paraId="5C4D0467"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2906" w:type="dxa"/>
            <w:tcBorders>
              <w:top w:val="nil"/>
              <w:left w:val="nil"/>
              <w:bottom w:val="nil"/>
              <w:right w:val="nil"/>
            </w:tcBorders>
            <w:hideMark/>
          </w:tcPr>
          <w:p w14:paraId="1E747715" w14:textId="77777777" w:rsidR="00B46353" w:rsidRDefault="00B46353">
            <w:pPr>
              <w:tabs>
                <w:tab w:val="left" w:pos="1701"/>
              </w:tabs>
              <w:rPr>
                <w:szCs w:val="24"/>
              </w:rPr>
            </w:pPr>
            <w:r>
              <w:rPr>
                <w:szCs w:val="24"/>
              </w:rPr>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40CBA50F" w:rsidR="00B46353" w:rsidRDefault="00B46353">
            <w:pPr>
              <w:tabs>
                <w:tab w:val="left" w:pos="1701"/>
              </w:tabs>
              <w:rPr>
                <w:b/>
                <w:sz w:val="22"/>
                <w:szCs w:val="22"/>
              </w:rPr>
            </w:pPr>
            <w:r>
              <w:rPr>
                <w:b/>
                <w:sz w:val="22"/>
                <w:szCs w:val="22"/>
              </w:rPr>
              <w:t>Bilaga</w:t>
            </w:r>
          </w:p>
          <w:p w14:paraId="5CE8713C" w14:textId="79DA9FB9" w:rsidR="00B46353" w:rsidRDefault="00B46353">
            <w:pPr>
              <w:tabs>
                <w:tab w:val="left" w:pos="1701"/>
              </w:tabs>
              <w:rPr>
                <w:sz w:val="22"/>
                <w:szCs w:val="22"/>
              </w:rPr>
            </w:pPr>
            <w:r>
              <w:rPr>
                <w:sz w:val="22"/>
                <w:szCs w:val="22"/>
              </w:rPr>
              <w:t>till protokoll 202</w:t>
            </w:r>
            <w:r w:rsidR="00333A4C">
              <w:rPr>
                <w:sz w:val="22"/>
                <w:szCs w:val="22"/>
              </w:rPr>
              <w:t>2</w:t>
            </w:r>
            <w:r>
              <w:rPr>
                <w:sz w:val="22"/>
                <w:szCs w:val="22"/>
              </w:rPr>
              <w:t>/2</w:t>
            </w:r>
            <w:r w:rsidR="00333A4C">
              <w:rPr>
                <w:sz w:val="22"/>
                <w:szCs w:val="22"/>
              </w:rPr>
              <w:t>3</w:t>
            </w:r>
            <w:r>
              <w:rPr>
                <w:sz w:val="22"/>
                <w:szCs w:val="22"/>
              </w:rPr>
              <w:t>:</w:t>
            </w:r>
            <w:r w:rsidR="00812339">
              <w:rPr>
                <w:sz w:val="22"/>
                <w:szCs w:val="22"/>
              </w:rPr>
              <w:t>1</w:t>
            </w:r>
            <w:r w:rsidR="00D8398D">
              <w:rPr>
                <w:sz w:val="22"/>
                <w:szCs w:val="22"/>
              </w:rPr>
              <w:t>4</w:t>
            </w:r>
          </w:p>
        </w:tc>
      </w:tr>
      <w:tr w:rsidR="002F0F2F" w:rsidRPr="00504D1A" w14:paraId="51FCD3BB"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7F93BFE3" w:rsidR="002F0F2F" w:rsidRPr="000F6AF7"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F6AF7">
              <w:rPr>
                <w:sz w:val="20"/>
              </w:rPr>
              <w:t>§ 1–</w:t>
            </w:r>
            <w:r w:rsidR="000F6AF7" w:rsidRPr="000F6AF7">
              <w:rPr>
                <w:sz w:val="20"/>
              </w:rPr>
              <w:t>2</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7BA71668" w:rsidR="002F0F2F" w:rsidRPr="000F6AF7" w:rsidRDefault="000F6AF7"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F6AF7">
              <w:rPr>
                <w:sz w:val="20"/>
              </w:rPr>
              <w:t>§ 3</w:t>
            </w:r>
          </w:p>
        </w:tc>
        <w:tc>
          <w:tcPr>
            <w:tcW w:w="712" w:type="dxa"/>
            <w:gridSpan w:val="2"/>
            <w:tcBorders>
              <w:top w:val="single" w:sz="6" w:space="0" w:color="auto"/>
              <w:left w:val="single" w:sz="6" w:space="0" w:color="auto"/>
              <w:bottom w:val="single" w:sz="6" w:space="0" w:color="auto"/>
              <w:right w:val="single" w:sz="6" w:space="0" w:color="auto"/>
            </w:tcBorders>
          </w:tcPr>
          <w:p w14:paraId="135D413B" w14:textId="0F4ECEA5" w:rsidR="002F0F2F" w:rsidRPr="000F6AF7" w:rsidRDefault="000F6AF7"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F6AF7">
              <w:rPr>
                <w:sz w:val="20"/>
              </w:rPr>
              <w:t>§ 4–6</w:t>
            </w:r>
          </w:p>
        </w:tc>
        <w:tc>
          <w:tcPr>
            <w:tcW w:w="712" w:type="dxa"/>
            <w:gridSpan w:val="2"/>
            <w:tcBorders>
              <w:top w:val="single" w:sz="6" w:space="0" w:color="auto"/>
              <w:left w:val="single" w:sz="6" w:space="0" w:color="auto"/>
              <w:bottom w:val="single" w:sz="6" w:space="0" w:color="auto"/>
              <w:right w:val="single" w:sz="6" w:space="0" w:color="auto"/>
            </w:tcBorders>
          </w:tcPr>
          <w:p w14:paraId="7B9C243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118C488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827E08B"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0F6AF7" w:rsidRPr="00504D1A" w14:paraId="745BF17A"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0F6AF7" w:rsidRPr="00504D1A" w:rsidRDefault="000F6AF7" w:rsidP="000F6AF7">
            <w:pPr>
              <w:tabs>
                <w:tab w:val="left" w:pos="1701"/>
              </w:tabs>
              <w:rPr>
                <w:sz w:val="22"/>
                <w:szCs w:val="22"/>
                <w:lang w:val="en-US"/>
              </w:rPr>
            </w:pPr>
            <w:r>
              <w:rPr>
                <w:snapToGrid w:val="0"/>
                <w:sz w:val="22"/>
                <w:szCs w:val="22"/>
                <w:lang w:val="en-US"/>
              </w:rPr>
              <w:t>Malcolm Momodou Jallow</w:t>
            </w:r>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68740B54"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4E1E8C42"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3D3FC7FA"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17BB6988"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Eskilandersson</w:t>
            </w:r>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04F79EFD"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52E78FE5"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16BEF6D8"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34B17BC6"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5DD2E28A"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5295F488"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14F51C1F"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401ECE52"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2A9B0FAD"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18882860"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3CCD11D2"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19B5296E"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3A8198BB"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15C76A2A"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6AEDA798" w14:textId="6D6B1529"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560322AC"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18CD1E12"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5672E07C"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0757219F"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73AFA628"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3135B00D"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2CB1D4D4"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363420B9"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6DA6E1DF"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77680C25"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4465B01A"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1EF65613"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6C28E009"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033E2428"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0D99AFEC"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0C8C87BD" w14:textId="6B35B2E1"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06402838" w14:textId="6ABA3330"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7727A84F"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01FDB381"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2BC0B12D"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4770E665"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7CDC0C5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5A42CF29"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B9E5815"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514388BB"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20D26A73"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5ED6EDD5"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26E1582F"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434A91EC"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32D6A3B7"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26F60435"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4475F015"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1ECCE3E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123632C1"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53E900A7" w14:textId="3D86185E"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0F6A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6FA9AB63"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354FCE3D"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71294BCE"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0F6AF7" w:rsidRPr="00AA5DB3" w:rsidRDefault="000F6AF7" w:rsidP="000F6AF7">
            <w:pPr>
              <w:tabs>
                <w:tab w:val="left" w:pos="1701"/>
              </w:tabs>
              <w:rPr>
                <w:sz w:val="22"/>
                <w:szCs w:val="22"/>
              </w:rPr>
            </w:pPr>
            <w:r>
              <w:rPr>
                <w:snapToGrid w:val="0"/>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5B20EEDF"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51A7D246"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5FC65C07"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0F6AF7" w:rsidRPr="00504D1A" w:rsidRDefault="000F6AF7" w:rsidP="000F6AF7">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1978CF3C"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2E3AB8A6"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7DB4831F"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2AF71EAE"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36DE7B3" w:rsidR="000F6AF7" w:rsidRPr="00504D1A" w:rsidRDefault="000F6AF7" w:rsidP="000F6AF7">
            <w:pPr>
              <w:tabs>
                <w:tab w:val="left" w:pos="1701"/>
              </w:tabs>
              <w:rPr>
                <w:sz w:val="22"/>
                <w:szCs w:val="22"/>
                <w:lang w:val="en-US"/>
              </w:rPr>
            </w:pPr>
            <w:r>
              <w:rPr>
                <w:snapToGrid w:val="0"/>
                <w:sz w:val="22"/>
                <w:szCs w:val="22"/>
                <w:lang w:val="en-US"/>
              </w:rPr>
              <w:t xml:space="preserve">Björn </w:t>
            </w:r>
            <w:proofErr w:type="spellStart"/>
            <w:r>
              <w:rPr>
                <w:snapToGrid w:val="0"/>
                <w:sz w:val="22"/>
                <w:szCs w:val="22"/>
                <w:lang w:val="en-US"/>
              </w:rPr>
              <w:t>Tidland</w:t>
            </w:r>
            <w:proofErr w:type="spellEnd"/>
            <w:r w:rsidRPr="00504D1A">
              <w:rPr>
                <w:snapToGrid w:val="0"/>
                <w:sz w:val="22"/>
                <w:szCs w:val="22"/>
                <w:lang w:val="en-US"/>
              </w:rPr>
              <w:t xml:space="preserve"> (S</w:t>
            </w:r>
            <w:r>
              <w:rPr>
                <w:snapToGrid w:val="0"/>
                <w:sz w:val="22"/>
                <w:szCs w:val="22"/>
                <w:lang w:val="en-US"/>
              </w:rPr>
              <w:t>D</w:t>
            </w:r>
            <w:r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0F6AF7" w:rsidRPr="00E25B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46D28E71"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0F6AF7" w:rsidRPr="00504D1A" w:rsidRDefault="000F6AF7" w:rsidP="000F6AF7">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0296BEE2" w:rsidR="000F6AF7" w:rsidRPr="00E25B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4AB2EBB1"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1DCA7D64"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1F965B4E"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0F6AF7" w:rsidRPr="00504D1A" w:rsidRDefault="000F6AF7" w:rsidP="000F6AF7">
            <w:pPr>
              <w:tabs>
                <w:tab w:val="left" w:pos="1701"/>
              </w:tabs>
              <w:rPr>
                <w:sz w:val="22"/>
                <w:szCs w:val="22"/>
                <w:lang w:val="en-US"/>
              </w:rPr>
            </w:pPr>
            <w:r>
              <w:rPr>
                <w:snapToGrid w:val="0"/>
                <w:sz w:val="22"/>
                <w:szCs w:val="22"/>
              </w:rPr>
              <w:t>Jennie Wernäng</w:t>
            </w:r>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7144AC1F" w:rsidR="000F6AF7" w:rsidRPr="00E25B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4D08B64C"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7C392AEF"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2628A6DF"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0F6AF7" w:rsidRPr="00504D1A" w:rsidRDefault="000F6AF7" w:rsidP="000F6AF7">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0F6AF7" w:rsidRPr="00E25B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0EEFC853"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0F6AF7" w:rsidRPr="00504D1A" w:rsidRDefault="000F6AF7" w:rsidP="000F6AF7">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0F6AF7" w:rsidRPr="00E25B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47413408"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0F6AF7" w:rsidRPr="00504D1A" w:rsidRDefault="000F6AF7" w:rsidP="000F6AF7">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07668879" w:rsidR="000F6AF7" w:rsidRPr="00E25BF7" w:rsidRDefault="002E23B9"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038E2EFA" w:rsidR="000F6AF7" w:rsidRPr="00504D1A" w:rsidRDefault="002E23B9"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00ACD5F6" w:rsidR="000F6AF7" w:rsidRPr="00504D1A" w:rsidRDefault="002E23B9"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37131F6D"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2B7600A2" w14:textId="151FAA35" w:rsidR="000F6AF7" w:rsidRPr="00504D1A" w:rsidRDefault="000F6AF7" w:rsidP="000F6AF7">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0F6AF7" w:rsidRPr="00E25BF7"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20CD7512"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0F6AF7" w:rsidRPr="00504D1A" w:rsidRDefault="000F6AF7" w:rsidP="000F6AF7">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08F0A241"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6C5194AE" w:rsidR="000F6AF7" w:rsidRPr="00504D1A" w:rsidRDefault="000F6AF7" w:rsidP="000F6AF7">
            <w:pPr>
              <w:tabs>
                <w:tab w:val="left" w:pos="1701"/>
              </w:tabs>
              <w:rPr>
                <w:snapToGrid w:val="0"/>
                <w:sz w:val="22"/>
                <w:szCs w:val="22"/>
              </w:rPr>
            </w:pPr>
            <w:r>
              <w:rPr>
                <w:snapToGrid w:val="0"/>
                <w:sz w:val="22"/>
                <w:szCs w:val="22"/>
              </w:rPr>
              <w:t xml:space="preserve">Rashid </w:t>
            </w:r>
            <w:proofErr w:type="spellStart"/>
            <w:r>
              <w:rPr>
                <w:snapToGrid w:val="0"/>
                <w:sz w:val="22"/>
                <w:szCs w:val="22"/>
              </w:rPr>
              <w:t>Farivar</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77F66E08" w14:textId="2209FDE9"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49722F88"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0F6AF7" w:rsidRPr="00504D1A" w:rsidRDefault="000F6AF7" w:rsidP="000F6AF7">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17876EF7"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0F6AF7" w:rsidRPr="00504D1A" w:rsidRDefault="000F6AF7" w:rsidP="000F6AF7">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093B682B"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41B8C722" w14:textId="6DA4A97D" w:rsidR="000F6AF7" w:rsidRPr="00504D1A" w:rsidRDefault="000F6AF7" w:rsidP="000F6AF7">
            <w:pPr>
              <w:tabs>
                <w:tab w:val="left" w:pos="1701"/>
              </w:tabs>
              <w:rPr>
                <w:snapToGrid w:val="0"/>
                <w:sz w:val="22"/>
                <w:szCs w:val="22"/>
              </w:rPr>
            </w:pPr>
            <w:r>
              <w:rPr>
                <w:snapToGrid w:val="0"/>
                <w:sz w:val="22"/>
                <w:szCs w:val="22"/>
              </w:rPr>
              <w:t>Nadja Awad (V)</w:t>
            </w:r>
          </w:p>
        </w:tc>
        <w:tc>
          <w:tcPr>
            <w:tcW w:w="356" w:type="dxa"/>
            <w:tcBorders>
              <w:top w:val="single" w:sz="6" w:space="0" w:color="auto"/>
              <w:left w:val="single" w:sz="6" w:space="0" w:color="auto"/>
              <w:bottom w:val="single" w:sz="6" w:space="0" w:color="auto"/>
              <w:right w:val="single" w:sz="6" w:space="0" w:color="auto"/>
            </w:tcBorders>
          </w:tcPr>
          <w:p w14:paraId="68BC2F2D" w14:textId="23EB7128"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08D824AA"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67033DDC"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7152B415"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0F6AF7" w:rsidRPr="00504D1A" w:rsidRDefault="000F6AF7" w:rsidP="000F6AF7">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3FD5C9B4"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0F6AF7" w:rsidRPr="00504D1A" w:rsidRDefault="000F6AF7" w:rsidP="000F6AF7">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6C2584FE"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0269124B"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0198E722"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70E35954"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64D9A892" w14:textId="42F28BC1" w:rsidR="000F6AF7" w:rsidRDefault="000F6AF7" w:rsidP="000F6AF7">
            <w:pPr>
              <w:tabs>
                <w:tab w:val="left" w:pos="1701"/>
              </w:tabs>
              <w:rPr>
                <w:snapToGrid w:val="0"/>
                <w:sz w:val="22"/>
                <w:szCs w:val="22"/>
              </w:rPr>
            </w:pPr>
            <w:r>
              <w:rPr>
                <w:snapToGrid w:val="0"/>
                <w:sz w:val="22"/>
                <w:szCs w:val="22"/>
              </w:rPr>
              <w:t>Carl B Hamilton (L)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4B41DA45"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0F6AF7" w:rsidRPr="00504D1A" w:rsidRDefault="000F6AF7" w:rsidP="000F6AF7">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30BBBF12"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0F6AF7" w:rsidRPr="00504D1A" w:rsidRDefault="000F6AF7" w:rsidP="000F6AF7">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6E097AAF"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4" w:space="0" w:color="auto"/>
              <w:right w:val="single" w:sz="6" w:space="0" w:color="auto"/>
            </w:tcBorders>
          </w:tcPr>
          <w:p w14:paraId="2D9DE7E3" w14:textId="0FEEA60B" w:rsidR="000F6AF7" w:rsidRPr="00504D1A" w:rsidRDefault="000F6AF7" w:rsidP="000F6AF7">
            <w:pPr>
              <w:tabs>
                <w:tab w:val="left" w:pos="1701"/>
              </w:tabs>
              <w:rPr>
                <w:snapToGrid w:val="0"/>
                <w:sz w:val="22"/>
                <w:szCs w:val="22"/>
              </w:rPr>
            </w:pPr>
            <w:r>
              <w:rPr>
                <w:snapToGrid w:val="0"/>
                <w:sz w:val="22"/>
                <w:szCs w:val="22"/>
              </w:rPr>
              <w:t>Ciczie Weidby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5B75CB19"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4" w:space="0" w:color="auto"/>
              <w:right w:val="single" w:sz="6" w:space="0" w:color="auto"/>
            </w:tcBorders>
          </w:tcPr>
          <w:p w14:paraId="690F2245" w14:textId="5164A1ED" w:rsidR="000F6AF7" w:rsidRPr="00504D1A" w:rsidRDefault="000F6AF7" w:rsidP="000F6AF7">
            <w:pPr>
              <w:tabs>
                <w:tab w:val="left" w:pos="1701"/>
              </w:tabs>
              <w:rPr>
                <w:snapToGrid w:val="0"/>
                <w:sz w:val="22"/>
                <w:szCs w:val="22"/>
              </w:rPr>
            </w:pPr>
            <w:r>
              <w:rPr>
                <w:snapToGrid w:val="0"/>
                <w:sz w:val="22"/>
                <w:szCs w:val="22"/>
              </w:rPr>
              <w:t>Stina Larsson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5FFBAA95"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0F6AF7" w:rsidRPr="00504D1A" w:rsidRDefault="000F6AF7" w:rsidP="000F6AF7">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27F6BB69"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0F6AF7" w:rsidRPr="00504D1A" w:rsidRDefault="000F6AF7" w:rsidP="000F6AF7">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23D51480"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0F6AF7" w:rsidRPr="00504D1A" w:rsidRDefault="000F6AF7" w:rsidP="000F6AF7">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3A476389"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0F6AF7" w:rsidRPr="00504D1A" w:rsidRDefault="000F6AF7" w:rsidP="000F6AF7">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5EB5D944"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0F6AF7" w:rsidRPr="00504D1A" w:rsidRDefault="000F6AF7" w:rsidP="000F6AF7">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229068F5"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2"/>
            <w:tcBorders>
              <w:top w:val="single" w:sz="6" w:space="0" w:color="auto"/>
              <w:left w:val="single" w:sz="6" w:space="0" w:color="auto"/>
              <w:bottom w:val="single" w:sz="4" w:space="0" w:color="auto"/>
              <w:right w:val="single" w:sz="6" w:space="0" w:color="auto"/>
            </w:tcBorders>
          </w:tcPr>
          <w:p w14:paraId="44DBDDA0" w14:textId="62845B87" w:rsidR="000F6AF7" w:rsidRDefault="000F6AF7" w:rsidP="000F6AF7">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41D209A2"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1C862C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81EE0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4F01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ACC484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FE7B8E"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2D6B874"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26EE0A8"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2AD4E71"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A74BD7"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1566FA"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E1C3FA3"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C2409C"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33565D5" w14:textId="77777777"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F6AF7" w:rsidRPr="00504D1A" w14:paraId="5A9B845B"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Height w:val="263"/>
        </w:trPr>
        <w:tc>
          <w:tcPr>
            <w:tcW w:w="2906" w:type="dxa"/>
            <w:tcBorders>
              <w:top w:val="nil"/>
              <w:left w:val="nil"/>
              <w:bottom w:val="nil"/>
              <w:right w:val="nil"/>
            </w:tcBorders>
            <w:hideMark/>
          </w:tcPr>
          <w:p w14:paraId="0D74FCE2" w14:textId="1A583EDE"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0F6AF7" w:rsidRPr="00504D1A" w14:paraId="4A13B87A" w14:textId="77777777" w:rsidTr="00AA1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Height w:val="262"/>
        </w:trPr>
        <w:tc>
          <w:tcPr>
            <w:tcW w:w="2906" w:type="dxa"/>
            <w:tcBorders>
              <w:top w:val="nil"/>
              <w:left w:val="nil"/>
              <w:bottom w:val="nil"/>
              <w:right w:val="nil"/>
            </w:tcBorders>
            <w:hideMark/>
          </w:tcPr>
          <w:p w14:paraId="1B317193" w14:textId="4670858B"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0F6AF7" w:rsidRPr="00504D1A" w:rsidRDefault="000F6AF7" w:rsidP="000F6A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198F1EA" w14:textId="77777777" w:rsidR="006C5497" w:rsidRDefault="006C5497" w:rsidP="001947D8">
      <w:pPr>
        <w:widowControl/>
        <w:rPr>
          <w:b/>
        </w:rPr>
      </w:pPr>
    </w:p>
    <w:sectPr w:rsidR="006C5497"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EC42" w14:textId="77777777" w:rsidR="00AD6647" w:rsidRDefault="00AD6647" w:rsidP="00AD6647">
      <w:r>
        <w:separator/>
      </w:r>
    </w:p>
  </w:endnote>
  <w:endnote w:type="continuationSeparator" w:id="0">
    <w:p w14:paraId="3942C8D2" w14:textId="77777777" w:rsidR="00AD6647" w:rsidRDefault="00AD6647"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5718" w14:textId="77777777" w:rsidR="00AD6647" w:rsidRDefault="00AD6647" w:rsidP="00AD6647">
      <w:r>
        <w:separator/>
      </w:r>
    </w:p>
  </w:footnote>
  <w:footnote w:type="continuationSeparator" w:id="0">
    <w:p w14:paraId="42657E41" w14:textId="77777777" w:rsidR="00AD6647" w:rsidRDefault="00AD6647"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620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2111F"/>
    <w:rsid w:val="000211BD"/>
    <w:rsid w:val="000227C6"/>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A92"/>
    <w:rsid w:val="00080CCF"/>
    <w:rsid w:val="0008734D"/>
    <w:rsid w:val="00090450"/>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08E1"/>
    <w:rsid w:val="000D2502"/>
    <w:rsid w:val="000D35E7"/>
    <w:rsid w:val="000D4A15"/>
    <w:rsid w:val="000D4F54"/>
    <w:rsid w:val="000D5D7F"/>
    <w:rsid w:val="000D6C51"/>
    <w:rsid w:val="000E021E"/>
    <w:rsid w:val="000E1AC2"/>
    <w:rsid w:val="000E2492"/>
    <w:rsid w:val="000E2E7D"/>
    <w:rsid w:val="000E4135"/>
    <w:rsid w:val="000E4362"/>
    <w:rsid w:val="000E4A77"/>
    <w:rsid w:val="000E562E"/>
    <w:rsid w:val="000E5C7A"/>
    <w:rsid w:val="000E5C8E"/>
    <w:rsid w:val="000E6777"/>
    <w:rsid w:val="000E6B25"/>
    <w:rsid w:val="000E71E7"/>
    <w:rsid w:val="000E74D7"/>
    <w:rsid w:val="000E78D9"/>
    <w:rsid w:val="000F0045"/>
    <w:rsid w:val="000F07A1"/>
    <w:rsid w:val="000F0BBD"/>
    <w:rsid w:val="000F44F4"/>
    <w:rsid w:val="000F4A80"/>
    <w:rsid w:val="000F51A0"/>
    <w:rsid w:val="000F6AF7"/>
    <w:rsid w:val="001036A8"/>
    <w:rsid w:val="001038A6"/>
    <w:rsid w:val="001079DD"/>
    <w:rsid w:val="0011171C"/>
    <w:rsid w:val="0011217A"/>
    <w:rsid w:val="00112704"/>
    <w:rsid w:val="00113437"/>
    <w:rsid w:val="00113BD6"/>
    <w:rsid w:val="00114852"/>
    <w:rsid w:val="001235C9"/>
    <w:rsid w:val="0012486D"/>
    <w:rsid w:val="00131006"/>
    <w:rsid w:val="00136F36"/>
    <w:rsid w:val="00140136"/>
    <w:rsid w:val="00141EE8"/>
    <w:rsid w:val="0014516F"/>
    <w:rsid w:val="00146F2D"/>
    <w:rsid w:val="001477F4"/>
    <w:rsid w:val="001517DC"/>
    <w:rsid w:val="0015180D"/>
    <w:rsid w:val="00152374"/>
    <w:rsid w:val="0015525B"/>
    <w:rsid w:val="00160ED5"/>
    <w:rsid w:val="00161A1E"/>
    <w:rsid w:val="00161AA6"/>
    <w:rsid w:val="00162744"/>
    <w:rsid w:val="00162E43"/>
    <w:rsid w:val="00163284"/>
    <w:rsid w:val="00163FC2"/>
    <w:rsid w:val="00167BFC"/>
    <w:rsid w:val="00170A07"/>
    <w:rsid w:val="00171F2F"/>
    <w:rsid w:val="00172651"/>
    <w:rsid w:val="00173B10"/>
    <w:rsid w:val="00173BCB"/>
    <w:rsid w:val="00176834"/>
    <w:rsid w:val="001804B6"/>
    <w:rsid w:val="00180D10"/>
    <w:rsid w:val="0018128E"/>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A7B6E"/>
    <w:rsid w:val="001B037F"/>
    <w:rsid w:val="001B1AEC"/>
    <w:rsid w:val="001B334D"/>
    <w:rsid w:val="001B426A"/>
    <w:rsid w:val="001B638C"/>
    <w:rsid w:val="001B681E"/>
    <w:rsid w:val="001C3D38"/>
    <w:rsid w:val="001C72E1"/>
    <w:rsid w:val="001D2A2F"/>
    <w:rsid w:val="001D471D"/>
    <w:rsid w:val="001D6700"/>
    <w:rsid w:val="001E0F31"/>
    <w:rsid w:val="001E1B5B"/>
    <w:rsid w:val="001E2F65"/>
    <w:rsid w:val="001E453A"/>
    <w:rsid w:val="001E6414"/>
    <w:rsid w:val="001F040B"/>
    <w:rsid w:val="001F1BB9"/>
    <w:rsid w:val="001F23F5"/>
    <w:rsid w:val="001F42E1"/>
    <w:rsid w:val="001F5AFF"/>
    <w:rsid w:val="00200252"/>
    <w:rsid w:val="00200FBD"/>
    <w:rsid w:val="002108A9"/>
    <w:rsid w:val="00213C1D"/>
    <w:rsid w:val="00214F6F"/>
    <w:rsid w:val="00216C3F"/>
    <w:rsid w:val="002174A8"/>
    <w:rsid w:val="002202A7"/>
    <w:rsid w:val="002213A3"/>
    <w:rsid w:val="00221B55"/>
    <w:rsid w:val="002226B9"/>
    <w:rsid w:val="002230C1"/>
    <w:rsid w:val="00223BF8"/>
    <w:rsid w:val="002240C8"/>
    <w:rsid w:val="00224846"/>
    <w:rsid w:val="00227EA5"/>
    <w:rsid w:val="00230E6A"/>
    <w:rsid w:val="00231D6A"/>
    <w:rsid w:val="002335AA"/>
    <w:rsid w:val="00234652"/>
    <w:rsid w:val="00236779"/>
    <w:rsid w:val="00236EAD"/>
    <w:rsid w:val="00237871"/>
    <w:rsid w:val="00242799"/>
    <w:rsid w:val="002457B2"/>
    <w:rsid w:val="002457DC"/>
    <w:rsid w:val="002457E5"/>
    <w:rsid w:val="00250924"/>
    <w:rsid w:val="00250CB8"/>
    <w:rsid w:val="002522C8"/>
    <w:rsid w:val="002544E0"/>
    <w:rsid w:val="0026165C"/>
    <w:rsid w:val="002624FF"/>
    <w:rsid w:val="002646A2"/>
    <w:rsid w:val="00267961"/>
    <w:rsid w:val="00271038"/>
    <w:rsid w:val="00276E99"/>
    <w:rsid w:val="0027779C"/>
    <w:rsid w:val="002807A0"/>
    <w:rsid w:val="00280CD1"/>
    <w:rsid w:val="00282A97"/>
    <w:rsid w:val="00284BC2"/>
    <w:rsid w:val="00291C33"/>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1197"/>
    <w:rsid w:val="002B19F0"/>
    <w:rsid w:val="002B495D"/>
    <w:rsid w:val="002C048E"/>
    <w:rsid w:val="002C1AF4"/>
    <w:rsid w:val="002C4383"/>
    <w:rsid w:val="002C4927"/>
    <w:rsid w:val="002C6E95"/>
    <w:rsid w:val="002D02B1"/>
    <w:rsid w:val="002D1197"/>
    <w:rsid w:val="002D2AB5"/>
    <w:rsid w:val="002D3681"/>
    <w:rsid w:val="002D69BF"/>
    <w:rsid w:val="002D7227"/>
    <w:rsid w:val="002E2017"/>
    <w:rsid w:val="002E23B9"/>
    <w:rsid w:val="002E60FE"/>
    <w:rsid w:val="002E7311"/>
    <w:rsid w:val="002F0F2F"/>
    <w:rsid w:val="002F1627"/>
    <w:rsid w:val="002F284C"/>
    <w:rsid w:val="002F31DA"/>
    <w:rsid w:val="002F33BF"/>
    <w:rsid w:val="002F43BE"/>
    <w:rsid w:val="002F5D49"/>
    <w:rsid w:val="002F6C5B"/>
    <w:rsid w:val="00300054"/>
    <w:rsid w:val="0030200D"/>
    <w:rsid w:val="0030387E"/>
    <w:rsid w:val="00307165"/>
    <w:rsid w:val="00307355"/>
    <w:rsid w:val="003074DA"/>
    <w:rsid w:val="00311CFF"/>
    <w:rsid w:val="00313774"/>
    <w:rsid w:val="00315DB3"/>
    <w:rsid w:val="00317AD2"/>
    <w:rsid w:val="00317F49"/>
    <w:rsid w:val="00320ED3"/>
    <w:rsid w:val="003222AC"/>
    <w:rsid w:val="00323112"/>
    <w:rsid w:val="00323D70"/>
    <w:rsid w:val="00332505"/>
    <w:rsid w:val="00333A4C"/>
    <w:rsid w:val="00335156"/>
    <w:rsid w:val="00337C70"/>
    <w:rsid w:val="003405BC"/>
    <w:rsid w:val="00344181"/>
    <w:rsid w:val="00346CD1"/>
    <w:rsid w:val="003510FA"/>
    <w:rsid w:val="00355A31"/>
    <w:rsid w:val="00356B4F"/>
    <w:rsid w:val="00357DCA"/>
    <w:rsid w:val="00360479"/>
    <w:rsid w:val="003619AD"/>
    <w:rsid w:val="00361BD5"/>
    <w:rsid w:val="00362F9A"/>
    <w:rsid w:val="00365915"/>
    <w:rsid w:val="00370C65"/>
    <w:rsid w:val="00372F7F"/>
    <w:rsid w:val="0037495C"/>
    <w:rsid w:val="00377F9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91D"/>
    <w:rsid w:val="0039683D"/>
    <w:rsid w:val="0039726D"/>
    <w:rsid w:val="00397292"/>
    <w:rsid w:val="00397A72"/>
    <w:rsid w:val="003A3CE5"/>
    <w:rsid w:val="003A48EB"/>
    <w:rsid w:val="003A5A30"/>
    <w:rsid w:val="003A5F33"/>
    <w:rsid w:val="003B35EB"/>
    <w:rsid w:val="003B7324"/>
    <w:rsid w:val="003B76DA"/>
    <w:rsid w:val="003C0999"/>
    <w:rsid w:val="003C0CBD"/>
    <w:rsid w:val="003C356F"/>
    <w:rsid w:val="003C3ECF"/>
    <w:rsid w:val="003C7167"/>
    <w:rsid w:val="003D036B"/>
    <w:rsid w:val="003D07F1"/>
    <w:rsid w:val="003D5754"/>
    <w:rsid w:val="003D626A"/>
    <w:rsid w:val="003E20D4"/>
    <w:rsid w:val="003E2EF3"/>
    <w:rsid w:val="003E66DB"/>
    <w:rsid w:val="003E6AFC"/>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542E"/>
    <w:rsid w:val="004124C9"/>
    <w:rsid w:val="00415695"/>
    <w:rsid w:val="0041580F"/>
    <w:rsid w:val="0041727C"/>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5BCA"/>
    <w:rsid w:val="004A65BB"/>
    <w:rsid w:val="004B1E95"/>
    <w:rsid w:val="004B27B5"/>
    <w:rsid w:val="004B3E3A"/>
    <w:rsid w:val="004B510C"/>
    <w:rsid w:val="004C0DA0"/>
    <w:rsid w:val="004C52F5"/>
    <w:rsid w:val="004C5D17"/>
    <w:rsid w:val="004C7878"/>
    <w:rsid w:val="004D3183"/>
    <w:rsid w:val="004D4150"/>
    <w:rsid w:val="004E05D5"/>
    <w:rsid w:val="004E24F9"/>
    <w:rsid w:val="004E25A8"/>
    <w:rsid w:val="004E2630"/>
    <w:rsid w:val="004E569D"/>
    <w:rsid w:val="004F0C54"/>
    <w:rsid w:val="004F0F2C"/>
    <w:rsid w:val="004F1B55"/>
    <w:rsid w:val="004F26DF"/>
    <w:rsid w:val="004F4038"/>
    <w:rsid w:val="004F57E6"/>
    <w:rsid w:val="004F680C"/>
    <w:rsid w:val="004F6D11"/>
    <w:rsid w:val="004F7012"/>
    <w:rsid w:val="005030CC"/>
    <w:rsid w:val="00504D1A"/>
    <w:rsid w:val="005068BF"/>
    <w:rsid w:val="005109B9"/>
    <w:rsid w:val="005122A3"/>
    <w:rsid w:val="005124F8"/>
    <w:rsid w:val="00513D16"/>
    <w:rsid w:val="00514872"/>
    <w:rsid w:val="005148DF"/>
    <w:rsid w:val="00514FA9"/>
    <w:rsid w:val="0051586C"/>
    <w:rsid w:val="00522C8A"/>
    <w:rsid w:val="00522CD4"/>
    <w:rsid w:val="005239C5"/>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74BB"/>
    <w:rsid w:val="00590A97"/>
    <w:rsid w:val="00591ED0"/>
    <w:rsid w:val="005920D7"/>
    <w:rsid w:val="00592875"/>
    <w:rsid w:val="00595117"/>
    <w:rsid w:val="00596CD5"/>
    <w:rsid w:val="005A0E06"/>
    <w:rsid w:val="005A2779"/>
    <w:rsid w:val="005A2C76"/>
    <w:rsid w:val="005A3E1D"/>
    <w:rsid w:val="005B147D"/>
    <w:rsid w:val="005B256E"/>
    <w:rsid w:val="005B372D"/>
    <w:rsid w:val="005B3CDD"/>
    <w:rsid w:val="005B5D60"/>
    <w:rsid w:val="005C126C"/>
    <w:rsid w:val="005C1541"/>
    <w:rsid w:val="005C351D"/>
    <w:rsid w:val="005C7D58"/>
    <w:rsid w:val="005D04D9"/>
    <w:rsid w:val="005D13A5"/>
    <w:rsid w:val="005D13AD"/>
    <w:rsid w:val="005D7B12"/>
    <w:rsid w:val="005E28B9"/>
    <w:rsid w:val="005E439C"/>
    <w:rsid w:val="005E484A"/>
    <w:rsid w:val="005E49AA"/>
    <w:rsid w:val="005E4CF2"/>
    <w:rsid w:val="005E4EB8"/>
    <w:rsid w:val="005E635C"/>
    <w:rsid w:val="005E6DB0"/>
    <w:rsid w:val="005F131B"/>
    <w:rsid w:val="005F483B"/>
    <w:rsid w:val="005F7C76"/>
    <w:rsid w:val="005F7D91"/>
    <w:rsid w:val="006010F3"/>
    <w:rsid w:val="00602425"/>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1447"/>
    <w:rsid w:val="0064295B"/>
    <w:rsid w:val="00643F2C"/>
    <w:rsid w:val="0064607A"/>
    <w:rsid w:val="00646C10"/>
    <w:rsid w:val="006614A8"/>
    <w:rsid w:val="00662F96"/>
    <w:rsid w:val="006660B8"/>
    <w:rsid w:val="0067474C"/>
    <w:rsid w:val="006826F6"/>
    <w:rsid w:val="00682EDC"/>
    <w:rsid w:val="00682F9B"/>
    <w:rsid w:val="00683921"/>
    <w:rsid w:val="0068476B"/>
    <w:rsid w:val="00687478"/>
    <w:rsid w:val="00690B63"/>
    <w:rsid w:val="006A14D1"/>
    <w:rsid w:val="006A180F"/>
    <w:rsid w:val="006A32B0"/>
    <w:rsid w:val="006A5459"/>
    <w:rsid w:val="006A6589"/>
    <w:rsid w:val="006A711B"/>
    <w:rsid w:val="006A7297"/>
    <w:rsid w:val="006B0870"/>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E01B4"/>
    <w:rsid w:val="006E234C"/>
    <w:rsid w:val="006E5F7A"/>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39D9"/>
    <w:rsid w:val="007741F5"/>
    <w:rsid w:val="007778C7"/>
    <w:rsid w:val="007779FE"/>
    <w:rsid w:val="0078109F"/>
    <w:rsid w:val="00781130"/>
    <w:rsid w:val="007828A1"/>
    <w:rsid w:val="007828AE"/>
    <w:rsid w:val="00786E2B"/>
    <w:rsid w:val="00790371"/>
    <w:rsid w:val="007929F8"/>
    <w:rsid w:val="0079549C"/>
    <w:rsid w:val="007958DC"/>
    <w:rsid w:val="00795EF8"/>
    <w:rsid w:val="00797111"/>
    <w:rsid w:val="007A2598"/>
    <w:rsid w:val="007A6AAB"/>
    <w:rsid w:val="007A7301"/>
    <w:rsid w:val="007B1654"/>
    <w:rsid w:val="007B25F3"/>
    <w:rsid w:val="007B2705"/>
    <w:rsid w:val="007B339A"/>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69AD"/>
    <w:rsid w:val="007F7513"/>
    <w:rsid w:val="008010E2"/>
    <w:rsid w:val="008015C1"/>
    <w:rsid w:val="00802F70"/>
    <w:rsid w:val="008030AA"/>
    <w:rsid w:val="008067DF"/>
    <w:rsid w:val="00811175"/>
    <w:rsid w:val="00812339"/>
    <w:rsid w:val="00812B29"/>
    <w:rsid w:val="00813916"/>
    <w:rsid w:val="008145FC"/>
    <w:rsid w:val="00816C5D"/>
    <w:rsid w:val="0083383F"/>
    <w:rsid w:val="00834B38"/>
    <w:rsid w:val="008366D8"/>
    <w:rsid w:val="00843005"/>
    <w:rsid w:val="008432E7"/>
    <w:rsid w:val="00844336"/>
    <w:rsid w:val="00844655"/>
    <w:rsid w:val="00845CFE"/>
    <w:rsid w:val="00845DF3"/>
    <w:rsid w:val="008465D6"/>
    <w:rsid w:val="008502F7"/>
    <w:rsid w:val="008524F1"/>
    <w:rsid w:val="00853D32"/>
    <w:rsid w:val="008557FA"/>
    <w:rsid w:val="00860E0F"/>
    <w:rsid w:val="008616CD"/>
    <w:rsid w:val="0086544C"/>
    <w:rsid w:val="008708C6"/>
    <w:rsid w:val="008732C7"/>
    <w:rsid w:val="00873738"/>
    <w:rsid w:val="00873BFE"/>
    <w:rsid w:val="00877630"/>
    <w:rsid w:val="00880CCA"/>
    <w:rsid w:val="00883C72"/>
    <w:rsid w:val="00884FD6"/>
    <w:rsid w:val="00885DAE"/>
    <w:rsid w:val="008862F7"/>
    <w:rsid w:val="00890555"/>
    <w:rsid w:val="00892F17"/>
    <w:rsid w:val="00894856"/>
    <w:rsid w:val="0089499A"/>
    <w:rsid w:val="00895570"/>
    <w:rsid w:val="00896E93"/>
    <w:rsid w:val="00897381"/>
    <w:rsid w:val="008A0CD3"/>
    <w:rsid w:val="008A1E51"/>
    <w:rsid w:val="008A5A80"/>
    <w:rsid w:val="008A5EB8"/>
    <w:rsid w:val="008A6A3A"/>
    <w:rsid w:val="008A6DA7"/>
    <w:rsid w:val="008B0FEB"/>
    <w:rsid w:val="008B34AC"/>
    <w:rsid w:val="008B3709"/>
    <w:rsid w:val="008B6181"/>
    <w:rsid w:val="008B737A"/>
    <w:rsid w:val="008B7C55"/>
    <w:rsid w:val="008B7C61"/>
    <w:rsid w:val="008C05EE"/>
    <w:rsid w:val="008C0F1E"/>
    <w:rsid w:val="008C36D8"/>
    <w:rsid w:val="008C3D19"/>
    <w:rsid w:val="008C4619"/>
    <w:rsid w:val="008D012F"/>
    <w:rsid w:val="008D08FD"/>
    <w:rsid w:val="008D2D4E"/>
    <w:rsid w:val="008D6913"/>
    <w:rsid w:val="008D6F8F"/>
    <w:rsid w:val="008D7909"/>
    <w:rsid w:val="008D7986"/>
    <w:rsid w:val="008E11E0"/>
    <w:rsid w:val="008E14C5"/>
    <w:rsid w:val="008E16FC"/>
    <w:rsid w:val="008E1BC5"/>
    <w:rsid w:val="008E2AF7"/>
    <w:rsid w:val="008E3FFB"/>
    <w:rsid w:val="008E4262"/>
    <w:rsid w:val="008E5B89"/>
    <w:rsid w:val="008E60BE"/>
    <w:rsid w:val="008E6CB8"/>
    <w:rsid w:val="008E6F46"/>
    <w:rsid w:val="008F08E5"/>
    <w:rsid w:val="008F14F0"/>
    <w:rsid w:val="008F26B9"/>
    <w:rsid w:val="008F4D68"/>
    <w:rsid w:val="008F5190"/>
    <w:rsid w:val="009001D9"/>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614FC"/>
    <w:rsid w:val="009618C8"/>
    <w:rsid w:val="0096269A"/>
    <w:rsid w:val="00962800"/>
    <w:rsid w:val="0096348C"/>
    <w:rsid w:val="0096358D"/>
    <w:rsid w:val="00963A4D"/>
    <w:rsid w:val="00971890"/>
    <w:rsid w:val="00971D76"/>
    <w:rsid w:val="009722C1"/>
    <w:rsid w:val="009724AC"/>
    <w:rsid w:val="00973D8B"/>
    <w:rsid w:val="00976C1F"/>
    <w:rsid w:val="00976D7E"/>
    <w:rsid w:val="00982260"/>
    <w:rsid w:val="0098234B"/>
    <w:rsid w:val="00982BC2"/>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3008"/>
    <w:rsid w:val="009B6CB5"/>
    <w:rsid w:val="009B75CD"/>
    <w:rsid w:val="009C1310"/>
    <w:rsid w:val="009C307C"/>
    <w:rsid w:val="009C3770"/>
    <w:rsid w:val="009C56EA"/>
    <w:rsid w:val="009C7DF2"/>
    <w:rsid w:val="009D1085"/>
    <w:rsid w:val="009D276E"/>
    <w:rsid w:val="009D2BC5"/>
    <w:rsid w:val="009D3BD1"/>
    <w:rsid w:val="009D4C6E"/>
    <w:rsid w:val="009D6422"/>
    <w:rsid w:val="009D7260"/>
    <w:rsid w:val="009E075F"/>
    <w:rsid w:val="009E1DBC"/>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17785"/>
    <w:rsid w:val="00A20B4F"/>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3C2"/>
    <w:rsid w:val="00A744C3"/>
    <w:rsid w:val="00A75C08"/>
    <w:rsid w:val="00A769F0"/>
    <w:rsid w:val="00A823F9"/>
    <w:rsid w:val="00A8335C"/>
    <w:rsid w:val="00A8340C"/>
    <w:rsid w:val="00A8355C"/>
    <w:rsid w:val="00A83808"/>
    <w:rsid w:val="00A83934"/>
    <w:rsid w:val="00A8525A"/>
    <w:rsid w:val="00A928A7"/>
    <w:rsid w:val="00A92DD1"/>
    <w:rsid w:val="00A94074"/>
    <w:rsid w:val="00A9471A"/>
    <w:rsid w:val="00A96460"/>
    <w:rsid w:val="00AA1ACB"/>
    <w:rsid w:val="00AA3419"/>
    <w:rsid w:val="00AA3877"/>
    <w:rsid w:val="00AA3E8B"/>
    <w:rsid w:val="00AA41CE"/>
    <w:rsid w:val="00AA5DB3"/>
    <w:rsid w:val="00AB0FD7"/>
    <w:rsid w:val="00AB2A4D"/>
    <w:rsid w:val="00AB460B"/>
    <w:rsid w:val="00AB4858"/>
    <w:rsid w:val="00AC1C22"/>
    <w:rsid w:val="00AD0615"/>
    <w:rsid w:val="00AD105F"/>
    <w:rsid w:val="00AD108E"/>
    <w:rsid w:val="00AD3F5C"/>
    <w:rsid w:val="00AD5FAD"/>
    <w:rsid w:val="00AD6647"/>
    <w:rsid w:val="00AD72F6"/>
    <w:rsid w:val="00AD7E57"/>
    <w:rsid w:val="00AE0345"/>
    <w:rsid w:val="00AE11CA"/>
    <w:rsid w:val="00AE39AD"/>
    <w:rsid w:val="00AE51B4"/>
    <w:rsid w:val="00AE64CF"/>
    <w:rsid w:val="00AE6609"/>
    <w:rsid w:val="00AE6E0B"/>
    <w:rsid w:val="00AE7169"/>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1C98"/>
    <w:rsid w:val="00B5365D"/>
    <w:rsid w:val="00B5796F"/>
    <w:rsid w:val="00B62AA2"/>
    <w:rsid w:val="00B62ADD"/>
    <w:rsid w:val="00B63459"/>
    <w:rsid w:val="00B63837"/>
    <w:rsid w:val="00B642A3"/>
    <w:rsid w:val="00B65CD7"/>
    <w:rsid w:val="00B66085"/>
    <w:rsid w:val="00B6630C"/>
    <w:rsid w:val="00B6646B"/>
    <w:rsid w:val="00B67540"/>
    <w:rsid w:val="00B7009B"/>
    <w:rsid w:val="00B9203B"/>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D73"/>
    <w:rsid w:val="00BE0F14"/>
    <w:rsid w:val="00BE0FC4"/>
    <w:rsid w:val="00BE1CEE"/>
    <w:rsid w:val="00BE21C4"/>
    <w:rsid w:val="00BE25E6"/>
    <w:rsid w:val="00BF20AD"/>
    <w:rsid w:val="00BF3AC2"/>
    <w:rsid w:val="00BF58D7"/>
    <w:rsid w:val="00BF768C"/>
    <w:rsid w:val="00C00CB4"/>
    <w:rsid w:val="00C014ED"/>
    <w:rsid w:val="00C03596"/>
    <w:rsid w:val="00C0599A"/>
    <w:rsid w:val="00C05B0A"/>
    <w:rsid w:val="00C14520"/>
    <w:rsid w:val="00C210B3"/>
    <w:rsid w:val="00C220E3"/>
    <w:rsid w:val="00C22A88"/>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61546"/>
    <w:rsid w:val="00C61CCA"/>
    <w:rsid w:val="00C62D4C"/>
    <w:rsid w:val="00C637D4"/>
    <w:rsid w:val="00C6525B"/>
    <w:rsid w:val="00C659B8"/>
    <w:rsid w:val="00C675CE"/>
    <w:rsid w:val="00C7011F"/>
    <w:rsid w:val="00C72CE6"/>
    <w:rsid w:val="00C72D4B"/>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419A"/>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3AC8"/>
    <w:rsid w:val="00D045C9"/>
    <w:rsid w:val="00D0597A"/>
    <w:rsid w:val="00D075A3"/>
    <w:rsid w:val="00D078BC"/>
    <w:rsid w:val="00D1093D"/>
    <w:rsid w:val="00D13D09"/>
    <w:rsid w:val="00D20542"/>
    <w:rsid w:val="00D23CC6"/>
    <w:rsid w:val="00D24EF6"/>
    <w:rsid w:val="00D2768E"/>
    <w:rsid w:val="00D326C7"/>
    <w:rsid w:val="00D36729"/>
    <w:rsid w:val="00D36EE0"/>
    <w:rsid w:val="00D37126"/>
    <w:rsid w:val="00D41B89"/>
    <w:rsid w:val="00D4281D"/>
    <w:rsid w:val="00D44BB6"/>
    <w:rsid w:val="00D45C89"/>
    <w:rsid w:val="00D46AA6"/>
    <w:rsid w:val="00D50411"/>
    <w:rsid w:val="00D51784"/>
    <w:rsid w:val="00D538B8"/>
    <w:rsid w:val="00D55DCC"/>
    <w:rsid w:val="00D56BCC"/>
    <w:rsid w:val="00D57C30"/>
    <w:rsid w:val="00D615B9"/>
    <w:rsid w:val="00D63252"/>
    <w:rsid w:val="00D668DD"/>
    <w:rsid w:val="00D67D67"/>
    <w:rsid w:val="00D67DCA"/>
    <w:rsid w:val="00D711B5"/>
    <w:rsid w:val="00D72569"/>
    <w:rsid w:val="00D75215"/>
    <w:rsid w:val="00D7770E"/>
    <w:rsid w:val="00D77805"/>
    <w:rsid w:val="00D80363"/>
    <w:rsid w:val="00D82F03"/>
    <w:rsid w:val="00D8398D"/>
    <w:rsid w:val="00D84C9E"/>
    <w:rsid w:val="00D8714B"/>
    <w:rsid w:val="00D94175"/>
    <w:rsid w:val="00D97624"/>
    <w:rsid w:val="00DA066D"/>
    <w:rsid w:val="00DA1D54"/>
    <w:rsid w:val="00DA3B2C"/>
    <w:rsid w:val="00DA43C5"/>
    <w:rsid w:val="00DA462D"/>
    <w:rsid w:val="00DA72D5"/>
    <w:rsid w:val="00DB0378"/>
    <w:rsid w:val="00DB123A"/>
    <w:rsid w:val="00DB135D"/>
    <w:rsid w:val="00DB2404"/>
    <w:rsid w:val="00DB7C77"/>
    <w:rsid w:val="00DC2075"/>
    <w:rsid w:val="00DC2569"/>
    <w:rsid w:val="00DC40CE"/>
    <w:rsid w:val="00DC4529"/>
    <w:rsid w:val="00DC5CB1"/>
    <w:rsid w:val="00DC6897"/>
    <w:rsid w:val="00DC7DF7"/>
    <w:rsid w:val="00DD0161"/>
    <w:rsid w:val="00DD118A"/>
    <w:rsid w:val="00DD3014"/>
    <w:rsid w:val="00DD49DF"/>
    <w:rsid w:val="00DD4F12"/>
    <w:rsid w:val="00DD5844"/>
    <w:rsid w:val="00DD7785"/>
    <w:rsid w:val="00DE1771"/>
    <w:rsid w:val="00DE50F0"/>
    <w:rsid w:val="00DE54AF"/>
    <w:rsid w:val="00DE54DD"/>
    <w:rsid w:val="00DE5E6B"/>
    <w:rsid w:val="00DE6912"/>
    <w:rsid w:val="00DE7817"/>
    <w:rsid w:val="00DF10D2"/>
    <w:rsid w:val="00DF1362"/>
    <w:rsid w:val="00E004C0"/>
    <w:rsid w:val="00E02462"/>
    <w:rsid w:val="00E02CB3"/>
    <w:rsid w:val="00E036C4"/>
    <w:rsid w:val="00E05CBD"/>
    <w:rsid w:val="00E05D33"/>
    <w:rsid w:val="00E065C3"/>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52C22"/>
    <w:rsid w:val="00E64074"/>
    <w:rsid w:val="00E6630C"/>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B1892"/>
    <w:rsid w:val="00EB1AF4"/>
    <w:rsid w:val="00EB4FDA"/>
    <w:rsid w:val="00EB62BF"/>
    <w:rsid w:val="00EB67DE"/>
    <w:rsid w:val="00EB7FFA"/>
    <w:rsid w:val="00EC097B"/>
    <w:rsid w:val="00EC0ACE"/>
    <w:rsid w:val="00EC1B80"/>
    <w:rsid w:val="00EC3AB3"/>
    <w:rsid w:val="00ED11BF"/>
    <w:rsid w:val="00ED23A3"/>
    <w:rsid w:val="00ED2F65"/>
    <w:rsid w:val="00ED335D"/>
    <w:rsid w:val="00ED4003"/>
    <w:rsid w:val="00ED578F"/>
    <w:rsid w:val="00ED588F"/>
    <w:rsid w:val="00ED68C1"/>
    <w:rsid w:val="00EE40FC"/>
    <w:rsid w:val="00EE485D"/>
    <w:rsid w:val="00EE7F25"/>
    <w:rsid w:val="00EF09BA"/>
    <w:rsid w:val="00EF0EA5"/>
    <w:rsid w:val="00EF42FC"/>
    <w:rsid w:val="00EF4542"/>
    <w:rsid w:val="00EF64BD"/>
    <w:rsid w:val="00F00CCF"/>
    <w:rsid w:val="00F0161A"/>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1E78"/>
    <w:rsid w:val="00F4431C"/>
    <w:rsid w:val="00F45BFD"/>
    <w:rsid w:val="00F478AA"/>
    <w:rsid w:val="00F50ED6"/>
    <w:rsid w:val="00F51512"/>
    <w:rsid w:val="00F51BDC"/>
    <w:rsid w:val="00F55462"/>
    <w:rsid w:val="00F60DFC"/>
    <w:rsid w:val="00F61966"/>
    <w:rsid w:val="00F61BD4"/>
    <w:rsid w:val="00F6283B"/>
    <w:rsid w:val="00F62B27"/>
    <w:rsid w:val="00F6675C"/>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B2A0F"/>
    <w:rsid w:val="00FB4FA4"/>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F01B7"/>
    <w:rsid w:val="00FF0EE3"/>
    <w:rsid w:val="00FF0F01"/>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545"/>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8680684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2666">
      <w:bodyDiv w:val="1"/>
      <w:marLeft w:val="0"/>
      <w:marRight w:val="0"/>
      <w:marTop w:val="0"/>
      <w:marBottom w:val="0"/>
      <w:divBdr>
        <w:top w:val="none" w:sz="0" w:space="0" w:color="auto"/>
        <w:left w:val="none" w:sz="0" w:space="0" w:color="auto"/>
        <w:bottom w:val="none" w:sz="0" w:space="0" w:color="auto"/>
        <w:right w:val="none" w:sz="0" w:space="0" w:color="auto"/>
      </w:divBdr>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7815</Characters>
  <Application>Microsoft Office Word</Application>
  <DocSecurity>0</DocSecurity>
  <Lines>1116</Lines>
  <Paragraphs>230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cp:revision>
  <cp:lastPrinted>2023-02-23T14:34:00Z</cp:lastPrinted>
  <dcterms:created xsi:type="dcterms:W3CDTF">2023-02-28T10:26:00Z</dcterms:created>
  <dcterms:modified xsi:type="dcterms:W3CDTF">2023-02-28T10:26:00Z</dcterms:modified>
</cp:coreProperties>
</file>