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0606" w:rsidRPr="00C20CF6" w:rsidRDefault="005D0606">
      <w:pPr>
        <w:spacing w:line="300" w:lineRule="exact"/>
        <w:jc w:val="both"/>
        <w:rPr>
          <w:color w:val="000000"/>
          <w:sz w:val="22"/>
        </w:rPr>
      </w:pPr>
      <w:r w:rsidRPr="00C20CF6">
        <w:rPr>
          <w:b/>
          <w:bCs/>
          <w:color w:val="000000"/>
          <w:sz w:val="22"/>
        </w:rPr>
        <w:t>REGERINGSKANSLIET</w:t>
      </w:r>
      <w:r w:rsidRPr="00C20CF6">
        <w:rPr>
          <w:color w:val="000000"/>
          <w:sz w:val="22"/>
        </w:rPr>
        <w:tab/>
      </w:r>
      <w:r w:rsidRPr="00C20CF6">
        <w:rPr>
          <w:color w:val="000000"/>
          <w:sz w:val="22"/>
        </w:rPr>
        <w:tab/>
      </w:r>
      <w:r w:rsidRPr="00C20CF6">
        <w:rPr>
          <w:color w:val="000000"/>
          <w:sz w:val="22"/>
        </w:rPr>
        <w:tab/>
      </w:r>
      <w:r w:rsidRPr="00C20CF6">
        <w:rPr>
          <w:color w:val="000000"/>
          <w:sz w:val="22"/>
        </w:rPr>
        <w:tab/>
        <w:t>Kommenterad dagordning</w:t>
      </w:r>
    </w:p>
    <w:p w:rsidR="005D0606" w:rsidRPr="00C20CF6" w:rsidRDefault="005D0606">
      <w:pPr>
        <w:spacing w:line="300" w:lineRule="exact"/>
        <w:jc w:val="both"/>
        <w:rPr>
          <w:color w:val="000000"/>
          <w:sz w:val="22"/>
        </w:rPr>
      </w:pPr>
      <w:r w:rsidRPr="00C20CF6">
        <w:rPr>
          <w:color w:val="000000"/>
          <w:sz w:val="22"/>
        </w:rPr>
        <w:t>Utrikesdepartementet</w:t>
      </w:r>
      <w:r w:rsidRPr="00C20CF6">
        <w:rPr>
          <w:color w:val="000000"/>
          <w:sz w:val="22"/>
        </w:rPr>
        <w:tab/>
      </w:r>
      <w:r w:rsidRPr="00C20CF6">
        <w:rPr>
          <w:color w:val="000000"/>
          <w:sz w:val="22"/>
        </w:rPr>
        <w:tab/>
      </w:r>
      <w:r w:rsidRPr="00C20CF6">
        <w:rPr>
          <w:color w:val="000000"/>
          <w:sz w:val="22"/>
        </w:rPr>
        <w:tab/>
      </w:r>
      <w:r w:rsidRPr="00C20CF6">
        <w:rPr>
          <w:color w:val="000000"/>
          <w:sz w:val="22"/>
        </w:rPr>
        <w:tab/>
      </w:r>
      <w:r w:rsidRPr="00C20CF6">
        <w:rPr>
          <w:color w:val="000000"/>
          <w:sz w:val="22"/>
        </w:rPr>
        <w:tab/>
        <w:t>Ministerrådet</w:t>
      </w:r>
    </w:p>
    <w:p w:rsidR="005D0606" w:rsidRPr="00C20CF6" w:rsidRDefault="005D0606">
      <w:pPr>
        <w:spacing w:line="300" w:lineRule="exact"/>
        <w:jc w:val="both"/>
        <w:rPr>
          <w:color w:val="000000"/>
        </w:rPr>
      </w:pPr>
    </w:p>
    <w:p w:rsidR="005D0606" w:rsidRPr="00C20CF6" w:rsidRDefault="005D0606">
      <w:pPr>
        <w:spacing w:line="300" w:lineRule="exact"/>
        <w:jc w:val="both"/>
        <w:rPr>
          <w:color w:val="000000"/>
        </w:rPr>
      </w:pPr>
      <w:r w:rsidRPr="00C20CF6">
        <w:rPr>
          <w:color w:val="000000"/>
        </w:rPr>
        <w:tab/>
      </w:r>
      <w:r w:rsidRPr="00C20CF6">
        <w:rPr>
          <w:color w:val="000000"/>
        </w:rPr>
        <w:tab/>
      </w:r>
      <w:r w:rsidRPr="00C20CF6">
        <w:rPr>
          <w:color w:val="000000"/>
        </w:rPr>
        <w:tab/>
      </w:r>
      <w:r w:rsidRPr="00C20CF6">
        <w:rPr>
          <w:color w:val="000000"/>
        </w:rPr>
        <w:tab/>
      </w:r>
      <w:r w:rsidRPr="00C20CF6">
        <w:rPr>
          <w:color w:val="000000"/>
        </w:rPr>
        <w:tab/>
      </w:r>
      <w:r w:rsidRPr="00C20CF6">
        <w:rPr>
          <w:color w:val="000000"/>
        </w:rPr>
        <w:tab/>
      </w:r>
      <w:r w:rsidRPr="00C20CF6">
        <w:rPr>
          <w:color w:val="000000"/>
        </w:rPr>
        <w:tab/>
      </w:r>
      <w:r w:rsidRPr="00C20CF6">
        <w:rPr>
          <w:color w:val="000000"/>
        </w:rPr>
        <w:fldChar w:fldCharType="begin" w:fldLock="1"/>
      </w:r>
      <w:r w:rsidRPr="00C20CF6">
        <w:rPr>
          <w:color w:val="000000"/>
        </w:rPr>
        <w:instrText xml:space="preserve"> DATE \@ "yyyy-MM-dd" </w:instrText>
      </w:r>
      <w:r w:rsidRPr="00C20CF6">
        <w:rPr>
          <w:color w:val="000000"/>
        </w:rPr>
        <w:fldChar w:fldCharType="separate"/>
      </w:r>
      <w:r w:rsidR="00C20CF6" w:rsidRPr="00C20CF6">
        <w:rPr>
          <w:color w:val="000000"/>
        </w:rPr>
        <w:t>2025-12-17</w:t>
      </w:r>
      <w:r w:rsidRPr="00C20CF6">
        <w:rPr>
          <w:color w:val="000000"/>
        </w:rPr>
        <w:fldChar w:fldCharType="end"/>
      </w:r>
    </w:p>
    <w:p w:rsidR="005D0606" w:rsidRPr="00C20CF6" w:rsidRDefault="005D0606">
      <w:pPr>
        <w:spacing w:line="300" w:lineRule="exact"/>
        <w:jc w:val="both"/>
        <w:rPr>
          <w:color w:val="000000"/>
          <w:sz w:val="18"/>
        </w:rPr>
      </w:pPr>
      <w:r w:rsidRPr="00C20CF6">
        <w:rPr>
          <w:color w:val="000000"/>
          <w:sz w:val="18"/>
        </w:rPr>
        <w:t>Enheten för Europeiska unionen</w:t>
      </w:r>
    </w:p>
    <w:p w:rsidR="005D0606" w:rsidRPr="00C20CF6" w:rsidRDefault="005D0606">
      <w:pPr>
        <w:spacing w:line="300" w:lineRule="exact"/>
        <w:jc w:val="both"/>
        <w:rPr>
          <w:color w:val="000000"/>
        </w:rPr>
      </w:pPr>
    </w:p>
    <w:p w:rsidR="005D0606" w:rsidRPr="00C20CF6" w:rsidRDefault="005D0606">
      <w:pPr>
        <w:spacing w:line="300" w:lineRule="exact"/>
        <w:jc w:val="both"/>
        <w:rPr>
          <w:color w:val="000000"/>
        </w:rPr>
      </w:pPr>
    </w:p>
    <w:p w:rsidR="005D0606" w:rsidRPr="00C20CF6" w:rsidRDefault="005D0606">
      <w:pPr>
        <w:spacing w:line="300" w:lineRule="exact"/>
        <w:jc w:val="both"/>
        <w:rPr>
          <w:color w:val="000000"/>
        </w:rPr>
      </w:pPr>
    </w:p>
    <w:p w:rsidR="005D0606" w:rsidRPr="00C20CF6" w:rsidRDefault="005D0606">
      <w:pPr>
        <w:spacing w:line="300" w:lineRule="exact"/>
        <w:ind w:left="1418"/>
        <w:jc w:val="both"/>
        <w:rPr>
          <w:color w:val="000000"/>
          <w:sz w:val="24"/>
        </w:rPr>
      </w:pPr>
    </w:p>
    <w:p w:rsidR="005D0606" w:rsidRPr="00C20CF6" w:rsidRDefault="005D0606">
      <w:pPr>
        <w:spacing w:line="300" w:lineRule="exact"/>
        <w:ind w:left="1418"/>
        <w:jc w:val="both"/>
        <w:rPr>
          <w:color w:val="000000"/>
          <w:sz w:val="24"/>
        </w:rPr>
      </w:pPr>
    </w:p>
    <w:p w:rsidR="005D0606" w:rsidRPr="00C20CF6" w:rsidRDefault="005D0606">
      <w:pPr>
        <w:spacing w:line="300" w:lineRule="exact"/>
        <w:ind w:left="1418"/>
        <w:jc w:val="both"/>
        <w:rPr>
          <w:color w:val="000000"/>
          <w:sz w:val="24"/>
        </w:rPr>
      </w:pPr>
    </w:p>
    <w:p w:rsidR="005D0606" w:rsidRPr="00C20CF6" w:rsidRDefault="005D0606">
      <w:pPr>
        <w:spacing w:line="300" w:lineRule="exact"/>
        <w:ind w:left="1418"/>
        <w:jc w:val="both"/>
        <w:rPr>
          <w:color w:val="000000"/>
          <w:sz w:val="24"/>
        </w:rPr>
      </w:pPr>
    </w:p>
    <w:p w:rsidR="005D0606" w:rsidRPr="00C20CF6" w:rsidRDefault="005D0606">
      <w:pPr>
        <w:tabs>
          <w:tab w:val="left" w:pos="5103"/>
        </w:tabs>
        <w:spacing w:line="300" w:lineRule="exact"/>
        <w:jc w:val="both"/>
        <w:rPr>
          <w:rFonts w:ascii="Garamond" w:hAnsi="Garamond"/>
          <w:b/>
          <w:sz w:val="28"/>
          <w:u w:val="single"/>
        </w:rPr>
      </w:pPr>
    </w:p>
    <w:p w:rsidR="005D0606" w:rsidRPr="00C20CF6" w:rsidRDefault="005D0606">
      <w:pPr>
        <w:tabs>
          <w:tab w:val="left" w:pos="5103"/>
        </w:tabs>
        <w:spacing w:line="300" w:lineRule="exact"/>
        <w:jc w:val="both"/>
        <w:rPr>
          <w:rFonts w:ascii="Garamond" w:hAnsi="Garamond"/>
          <w:b/>
          <w:sz w:val="28"/>
          <w:u w:val="single"/>
        </w:rPr>
      </w:pPr>
    </w:p>
    <w:p w:rsidR="005D0606" w:rsidRPr="00C20CF6" w:rsidRDefault="005D0606">
      <w:pPr>
        <w:pStyle w:val="UDrubrik"/>
        <w:ind w:left="1418"/>
        <w:rPr>
          <w:sz w:val="24"/>
          <w:u w:val="single"/>
        </w:rPr>
      </w:pPr>
      <w:r w:rsidRPr="00C20CF6">
        <w:rPr>
          <w:sz w:val="24"/>
          <w:u w:val="single"/>
        </w:rPr>
        <w:t>Kommenterad dagordning för rådet för allmänna frågor och yttre förbindelser den 15 september 2006</w:t>
      </w:r>
    </w:p>
    <w:p w:rsidR="005D0606" w:rsidRPr="00C20CF6" w:rsidRDefault="005D0606">
      <w:pPr>
        <w:pStyle w:val="Rubrik1"/>
        <w:ind w:left="1418"/>
        <w:rPr>
          <w:sz w:val="28"/>
        </w:rPr>
      </w:pPr>
      <w:bookmarkStart w:id="0" w:name="_Toc128393594"/>
    </w:p>
    <w:p w:rsidR="005D0606" w:rsidRPr="00C20CF6" w:rsidRDefault="005D0606">
      <w:pPr>
        <w:pStyle w:val="Rubrik1"/>
        <w:spacing w:before="60"/>
        <w:ind w:left="1418"/>
        <w:rPr>
          <w:sz w:val="28"/>
        </w:rPr>
      </w:pPr>
      <w:r w:rsidRPr="00C20CF6">
        <w:rPr>
          <w:sz w:val="28"/>
        </w:rPr>
        <w:t>ALLMÄNNA RÅDET</w:t>
      </w:r>
      <w:bookmarkEnd w:id="0"/>
    </w:p>
    <w:p w:rsidR="005D0606" w:rsidRPr="00C20CF6" w:rsidRDefault="005D0606">
      <w:pPr>
        <w:pStyle w:val="RKnormal"/>
        <w:ind w:left="1418"/>
        <w:rPr>
          <w:rFonts w:ascii="Garamond" w:hAnsi="Garamond"/>
          <w:b/>
          <w:bCs/>
          <w:color w:val="000000"/>
          <w:szCs w:val="24"/>
        </w:rPr>
      </w:pPr>
    </w:p>
    <w:p w:rsidR="005D0606" w:rsidRPr="00C20CF6" w:rsidRDefault="005D0606">
      <w:pPr>
        <w:tabs>
          <w:tab w:val="left" w:pos="5103"/>
        </w:tabs>
        <w:spacing w:line="300" w:lineRule="exact"/>
        <w:ind w:firstLine="1418"/>
        <w:rPr>
          <w:rFonts w:ascii="Garamond" w:hAnsi="Garamond"/>
          <w:b/>
          <w:sz w:val="24"/>
        </w:rPr>
      </w:pPr>
      <w:bookmarkStart w:id="1" w:name="_Toc128393595"/>
      <w:r w:rsidRPr="00C20CF6">
        <w:rPr>
          <w:rFonts w:ascii="Garamond" w:hAnsi="Garamond"/>
          <w:b/>
          <w:sz w:val="24"/>
        </w:rPr>
        <w:t xml:space="preserve">1. Godkännande av dagordningen </w:t>
      </w:r>
    </w:p>
    <w:p w:rsidR="005D0606" w:rsidRPr="00C20CF6" w:rsidRDefault="005D0606">
      <w:pPr>
        <w:tabs>
          <w:tab w:val="left" w:pos="5103"/>
        </w:tabs>
        <w:spacing w:line="300" w:lineRule="exact"/>
        <w:ind w:left="1418"/>
        <w:rPr>
          <w:rFonts w:ascii="Garamond" w:hAnsi="Garamond"/>
          <w:b/>
          <w:sz w:val="24"/>
        </w:rPr>
      </w:pPr>
    </w:p>
    <w:p w:rsidR="005D0606" w:rsidRPr="00C20CF6" w:rsidRDefault="005D0606">
      <w:pPr>
        <w:spacing w:line="240" w:lineRule="atLeast"/>
        <w:ind w:left="1418"/>
        <w:rPr>
          <w:rFonts w:ascii="Garamond" w:hAnsi="Garamond"/>
          <w:b/>
          <w:sz w:val="24"/>
        </w:rPr>
      </w:pPr>
      <w:r w:rsidRPr="00C20CF6">
        <w:rPr>
          <w:rFonts w:ascii="Garamond" w:hAnsi="Garamond"/>
          <w:b/>
          <w:sz w:val="24"/>
        </w:rPr>
        <w:t>2. Antagande av A-punktslistan</w:t>
      </w:r>
      <w:r w:rsidRPr="00C20CF6">
        <w:rPr>
          <w:rFonts w:ascii="Garamond" w:hAnsi="Garamond"/>
          <w:b/>
          <w:sz w:val="24"/>
        </w:rPr>
        <w:tab/>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
          <w:sz w:val="24"/>
        </w:rPr>
      </w:pPr>
      <w:r w:rsidRPr="00C20CF6">
        <w:rPr>
          <w:rFonts w:ascii="Garamond" w:hAnsi="Garamond"/>
          <w:b/>
          <w:sz w:val="24"/>
        </w:rPr>
        <w:t>3. Resolutioner, beslut och yttranden antagna av EP</w:t>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Cs/>
          <w:iCs/>
          <w:sz w:val="24"/>
        </w:rPr>
      </w:pPr>
      <w:r w:rsidRPr="00C20CF6">
        <w:rPr>
          <w:rFonts w:ascii="Garamond" w:hAnsi="Garamond"/>
          <w:bCs/>
          <w:sz w:val="24"/>
        </w:rPr>
        <w:t>Dagordningspunkten är en standardpunkt för anmälan av beslut m.m. från Europaparlamentets sessioner. Punkten avser sammanträdesperioden 3-6 juli 2006. Resolutioner och beslut innefattar bl.a. Mauretanien, rättvis handel och utveckling, Somalia, migration och utveckling samt partnerskapet EU-Västindien.</w:t>
      </w:r>
    </w:p>
    <w:p w:rsidR="005D0606" w:rsidRPr="00C20CF6" w:rsidRDefault="005D0606">
      <w:pPr>
        <w:tabs>
          <w:tab w:val="left" w:pos="5103"/>
        </w:tabs>
        <w:jc w:val="both"/>
        <w:rPr>
          <w:rFonts w:ascii="Garamond" w:hAnsi="Garamond"/>
          <w:sz w:val="18"/>
        </w:rPr>
      </w:pPr>
    </w:p>
    <w:p w:rsidR="005D0606" w:rsidRPr="00C20CF6" w:rsidRDefault="005D0606">
      <w:pPr>
        <w:pStyle w:val="Rubrik1"/>
        <w:ind w:left="1418"/>
      </w:pPr>
      <w:r w:rsidRPr="00C20CF6">
        <w:t>Rådet för yttre förbindelser</w:t>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
          <w:sz w:val="24"/>
        </w:rPr>
      </w:pPr>
      <w:r w:rsidRPr="00C20CF6">
        <w:rPr>
          <w:rFonts w:ascii="Garamond" w:hAnsi="Garamond"/>
          <w:b/>
          <w:sz w:val="24"/>
        </w:rPr>
        <w:t>1. Godkännande av dagordningen</w:t>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
          <w:sz w:val="24"/>
        </w:rPr>
      </w:pPr>
      <w:r w:rsidRPr="00C20CF6">
        <w:rPr>
          <w:rFonts w:ascii="Garamond" w:hAnsi="Garamond"/>
          <w:b/>
          <w:sz w:val="24"/>
        </w:rPr>
        <w:t>2. (ev.) WTO/DDA</w:t>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Cs/>
          <w:sz w:val="24"/>
        </w:rPr>
      </w:pPr>
      <w:r w:rsidRPr="00C20CF6">
        <w:rPr>
          <w:rFonts w:ascii="Garamond" w:hAnsi="Garamond"/>
          <w:bCs/>
          <w:sz w:val="24"/>
        </w:rPr>
        <w:t>Diskussionspunkt.</w:t>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Cs/>
          <w:sz w:val="24"/>
        </w:rPr>
      </w:pPr>
      <w:r w:rsidRPr="00C20CF6">
        <w:rPr>
          <w:rFonts w:ascii="Garamond" w:hAnsi="Garamond"/>
          <w:bCs/>
          <w:sz w:val="24"/>
        </w:rPr>
        <w:t xml:space="preserve">Ordförandeskapet har preliminärt indikerat att man eventuellt vill diskutera WTO/DDA vid GAERC den 15 september. Ingen ytterligare information har givits. Om frågan kommer upp för diskussion, kommer EU-kommissionen sannolikt att informera rådet om läget i den avstannade Doharundan efter WTO:s resultatlösa ministermöte i Geneve i juli. Diskussionen kommer förmodligen att fokusera på EU:s förhandlingsposition och hur kommissionen bedriver förhandlingarna, och beröra den centrala frågan om jordbruksvaror. </w:t>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Cs/>
          <w:sz w:val="24"/>
        </w:rPr>
      </w:pPr>
      <w:r w:rsidRPr="00C20CF6">
        <w:rPr>
          <w:rFonts w:ascii="Garamond" w:hAnsi="Garamond"/>
          <w:bCs/>
          <w:sz w:val="24"/>
        </w:rPr>
        <w:t xml:space="preserve">Sverige fortsätter verka för att EU ska delta aktivt och konstruktivt på alla områden, inklusive på jordbruket, för att nå ett ambitiöst slutresultat med öppnare och mer rättvisa handelsregler. Prioriterade förhandlingsområden för Sverige är jordbruk, industrivaror, tjänster, handelsprocedurer, antidumpning samt utvecklingsfrågorna i vid bemärkelse. </w:t>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
          <w:sz w:val="24"/>
        </w:rPr>
      </w:pPr>
      <w:r w:rsidRPr="00C20CF6">
        <w:rPr>
          <w:rFonts w:ascii="Garamond" w:hAnsi="Garamond"/>
          <w:b/>
          <w:sz w:val="24"/>
        </w:rPr>
        <w:t>3. Relationerna med västra Balkan</w:t>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Cs/>
          <w:sz w:val="24"/>
        </w:rPr>
      </w:pPr>
      <w:r w:rsidRPr="00C20CF6">
        <w:rPr>
          <w:rFonts w:ascii="Garamond" w:hAnsi="Garamond"/>
          <w:bCs/>
          <w:sz w:val="24"/>
        </w:rPr>
        <w:t>Diskussions- och ev. beslutspunkt.</w:t>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Cs/>
          <w:sz w:val="24"/>
        </w:rPr>
      </w:pPr>
      <w:r w:rsidRPr="00C20CF6">
        <w:rPr>
          <w:rFonts w:ascii="Garamond" w:hAnsi="Garamond"/>
          <w:bCs/>
          <w:sz w:val="24"/>
        </w:rPr>
        <w:t xml:space="preserve">Ordförandeskapet har preliminärt indikerat att man vill diskutera västra Balkan vid GAERC den 15 september. Diskussionen förväntas sannolikt fokusera på utvecklingen i förhandlingarna om Kosovos framtida status samt Serbiens EU-perspektiv och den relaterade frågan om samarbetet med krigsförbrytartribunalen ICTY. </w:t>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Cs/>
          <w:sz w:val="24"/>
        </w:rPr>
      </w:pPr>
      <w:r w:rsidRPr="00C20CF6">
        <w:rPr>
          <w:rFonts w:ascii="Garamond" w:hAnsi="Garamond"/>
          <w:bCs/>
          <w:sz w:val="24"/>
        </w:rPr>
        <w:t>Regeringen stödjer statussändebudet Ahtisaari i dennes arbete med Kosovos framtida status. Regeringen uppfattar det som troligt att förhandlingarna kan utmynna i någon form av självständighet för Kosovo. Det är då viktigt att kosovoserberna ges ordentliga minoritetsrättigheter, så att vi inte får en situation där de serber som finns kvar känner att de måste ge sig av eller – ännu värre – att det blir en de facto delning av Kosovo. Det är viktigt att EU redan nu förbereder sig för den stora utmaning som unio</w:t>
      </w:r>
      <w:r w:rsidRPr="00C20CF6">
        <w:rPr>
          <w:rFonts w:ascii="Garamond" w:hAnsi="Garamond"/>
          <w:bCs/>
          <w:sz w:val="24"/>
        </w:rPr>
        <w:t>nens framtida insats i Kosovo innebär. Regeringen ser Serbiens EU-medlemskapsperspektiv som viktigt och verkar samtidigt för en strikt konditionalitet vad gäller Serbiens samarbete med ICTY.</w:t>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
          <w:sz w:val="24"/>
        </w:rPr>
      </w:pPr>
      <w:r w:rsidRPr="00C20CF6">
        <w:rPr>
          <w:rFonts w:ascii="Garamond" w:hAnsi="Garamond"/>
          <w:b/>
          <w:sz w:val="24"/>
        </w:rPr>
        <w:t>4. (ev.) Sudan</w:t>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Cs/>
          <w:sz w:val="24"/>
        </w:rPr>
      </w:pPr>
      <w:r w:rsidRPr="00C20CF6">
        <w:rPr>
          <w:rFonts w:ascii="Garamond" w:hAnsi="Garamond"/>
          <w:bCs/>
          <w:sz w:val="24"/>
        </w:rPr>
        <w:t>Diskussions- och ev. beslutspunkt.</w:t>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Cs/>
          <w:sz w:val="24"/>
        </w:rPr>
      </w:pPr>
      <w:r w:rsidRPr="00C20CF6">
        <w:rPr>
          <w:rFonts w:ascii="Garamond" w:hAnsi="Garamond"/>
          <w:bCs/>
          <w:sz w:val="24"/>
        </w:rPr>
        <w:t>Ordförandeskapet har indikerat att man vill diskutera Sudan vid GAERC den 15 september och att slutsatser sannolikt skall antas. Slutsatserna kan väntas behandla den allvarliga och negativa utvecklingen i Darfur, behovet av en FN-insats och krav på humanitärt tillträde till den drabbade befolkningen. I detta skede saknas dock mer slutgiltig information</w:t>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Cs/>
          <w:sz w:val="24"/>
        </w:rPr>
      </w:pPr>
      <w:r w:rsidRPr="00C20CF6">
        <w:rPr>
          <w:rFonts w:ascii="Garamond" w:hAnsi="Garamond"/>
          <w:bCs/>
          <w:sz w:val="24"/>
        </w:rPr>
        <w:t>Läget i Darfur idag är ytterst allvarligt, med pågående strider, ett ytterligare försämrat säkerhetsläge, fortsatta övergrepp mot civilbefolkning och attacker mot internationella aktörer. De humanitära behoven fortsätter att vara mycket omfattande. Uppgifter om truppsammandragningar inför utökade stridigheter förekommer frekvent.</w:t>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Cs/>
          <w:sz w:val="24"/>
        </w:rPr>
      </w:pPr>
      <w:r w:rsidRPr="00C20CF6">
        <w:rPr>
          <w:rFonts w:ascii="Garamond" w:hAnsi="Garamond"/>
          <w:bCs/>
          <w:sz w:val="24"/>
        </w:rPr>
        <w:t>Regeringen är allvarligt oroad över situationen i Darfur och är mycket angelägen om att ett FN-övertagande av AMIS-insatsen kan förverkligas. Säkerhetsrådet antog den 31 augusti en resolution i säkerhetsrådet om genomförande av en FN-insats. Regeringen ansluter sig till den breda uppslutningen i det internationella samfundet bakom kravet att regeringen i Khartoum nu skall acceptera en FN-insats i Darfur. Samtidigt fortsätter regeringen att stödja AMIS och utsträcka humanitärt stöd till befolkningen i Darfur</w:t>
      </w:r>
      <w:r w:rsidRPr="00C20CF6">
        <w:rPr>
          <w:rFonts w:ascii="Garamond" w:hAnsi="Garamond"/>
          <w:bCs/>
          <w:sz w:val="24"/>
        </w:rPr>
        <w:t>.</w:t>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Cs/>
          <w:sz w:val="24"/>
        </w:rPr>
      </w:pPr>
      <w:r w:rsidRPr="00C20CF6">
        <w:rPr>
          <w:rFonts w:ascii="Garamond" w:hAnsi="Garamond"/>
          <w:b/>
          <w:sz w:val="24"/>
        </w:rPr>
        <w:t>5. (ev.) Demokratiska Republiken Kongo</w:t>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Cs/>
          <w:sz w:val="24"/>
        </w:rPr>
      </w:pPr>
      <w:r w:rsidRPr="00C20CF6">
        <w:rPr>
          <w:rFonts w:ascii="Garamond" w:hAnsi="Garamond"/>
          <w:bCs/>
          <w:sz w:val="24"/>
        </w:rPr>
        <w:t>Diskussions- och ev. beslutspunkt.</w:t>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Cs/>
          <w:sz w:val="24"/>
        </w:rPr>
      </w:pPr>
      <w:r w:rsidRPr="00C20CF6">
        <w:rPr>
          <w:rFonts w:ascii="Garamond" w:hAnsi="Garamond"/>
          <w:bCs/>
          <w:sz w:val="24"/>
        </w:rPr>
        <w:t>Ordförandeskapet har preliminärt indikerat att man eventuellt vill diskutera DRK vid GAERC den 15 september. Ingen ytterligare information har givits. Diskussionen kan förväntas handla om situationen i landet. Den första rundan av de första demokratiska valen i ägde rum den 30 juli. Våldet mellan presidentkandidaternas miliser och oroligheterna efter valet har dock lett till ett mycket skört säkerhetsläge. GAERC-diskussionen kan förväntas vara allmän och ha som huvudsakligt syfte att göra en bedömning av lä</w:t>
      </w:r>
      <w:r w:rsidRPr="00C20CF6">
        <w:rPr>
          <w:rFonts w:ascii="Garamond" w:hAnsi="Garamond"/>
          <w:bCs/>
          <w:sz w:val="24"/>
        </w:rPr>
        <w:t>get inför den andra valomgången och ge en översyn av EU-stödet och bedöma dess tillräcklighet.</w:t>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Cs/>
          <w:sz w:val="24"/>
        </w:rPr>
      </w:pPr>
      <w:r w:rsidRPr="00C20CF6">
        <w:rPr>
          <w:rFonts w:ascii="Garamond" w:hAnsi="Garamond"/>
          <w:bCs/>
          <w:sz w:val="24"/>
        </w:rPr>
        <w:t>Sverige deltar i den pågående militära EU-insatsen (EUFOR RD Congo) till stöd för FN-missionen MONUC för att främja säkerheten under valperioden. Sverige deltar också med valobservatörer. I Kongo har mer än 4 miljoner människor dödats sedan 1990-talets slut, och regeringen är angelägen att de för DR Kongos och regionens utveckling centrala valen genomförs på ett rättvist sätt, och att processen mot fred och demokrati fortsätter.</w:t>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Cs/>
          <w:sz w:val="24"/>
        </w:rPr>
      </w:pPr>
      <w:r w:rsidRPr="00C20CF6">
        <w:rPr>
          <w:rFonts w:ascii="Garamond" w:hAnsi="Garamond"/>
          <w:b/>
          <w:sz w:val="24"/>
        </w:rPr>
        <w:t>6. Fredsprocessen i Mellanöstern</w:t>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Cs/>
          <w:sz w:val="24"/>
        </w:rPr>
      </w:pPr>
      <w:r w:rsidRPr="00C20CF6">
        <w:rPr>
          <w:rFonts w:ascii="Garamond" w:hAnsi="Garamond"/>
          <w:bCs/>
          <w:sz w:val="24"/>
        </w:rPr>
        <w:t>Diskussions- och beslutspunkt.</w:t>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Cs/>
          <w:sz w:val="24"/>
        </w:rPr>
      </w:pPr>
      <w:r w:rsidRPr="00C20CF6">
        <w:rPr>
          <w:rFonts w:ascii="Garamond" w:hAnsi="Garamond"/>
          <w:bCs/>
          <w:sz w:val="24"/>
        </w:rPr>
        <w:t>Ordförandeskapet har preliminärt indikerat att man vill diskutera Mellanöstern vid GAERC den 15 september. Ingen ytterligare information har givits. Diskussionen kan dock förväntas handla om FN-insatsen i Libanon, UNIFIL, och EU-ländernas stöd till denna efter det extrainsatta GAERC-mötet den 25 augusti. Diskussionen kan också komma att handla om EU:s roll i implementeringen av säkerhetsrådsresolution 1701, men även om läget i Mellanöstern i allmänhet och situationen i de palestinska områdena, särskilt Gaza</w:t>
      </w:r>
      <w:r w:rsidRPr="00C20CF6">
        <w:rPr>
          <w:rFonts w:ascii="Garamond" w:hAnsi="Garamond"/>
          <w:bCs/>
          <w:sz w:val="24"/>
        </w:rPr>
        <w:t xml:space="preserve">. </w:t>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Cs/>
          <w:sz w:val="24"/>
        </w:rPr>
      </w:pPr>
      <w:r w:rsidRPr="00C20CF6">
        <w:rPr>
          <w:rFonts w:ascii="Garamond" w:hAnsi="Garamond"/>
          <w:bCs/>
          <w:sz w:val="24"/>
        </w:rPr>
        <w:t>Sverige planerar att bidra till UNIFIL med ett förband bestående av en korvett med underhållsenhet. Vi bidrar även med humanitärt stöd och till civila insatser som t.ex. minröjning. Sverige stod den 31 augusti värd för en givarkonferens för Libanon. Konferensen fokuserade på tidig återuppbyggnad enligt den behovsappell som Libanon har presenterat. Den 1 september står Sverige värd för en konferens för de palestinska områdena som ett uppföljningsmöte av Genève-mötet den 14 juli. Konferensen syftar till att d</w:t>
      </w:r>
      <w:r w:rsidRPr="00C20CF6">
        <w:rPr>
          <w:rFonts w:ascii="Garamond" w:hAnsi="Garamond"/>
          <w:bCs/>
          <w:sz w:val="24"/>
        </w:rPr>
        <w:t>iskutera hur man ska möta de stora humanitära behoven, de omedelbara återuppbyggnadsbehoven samt tillträdesfrågan.</w:t>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Cs/>
          <w:sz w:val="24"/>
        </w:rPr>
      </w:pPr>
      <w:r w:rsidRPr="00C20CF6">
        <w:rPr>
          <w:rFonts w:ascii="Garamond" w:hAnsi="Garamond"/>
          <w:bCs/>
          <w:sz w:val="24"/>
        </w:rPr>
        <w:t>Regeringen verkar för att EU ska sända en enad signal till alla parter i Mellanöstern att avstå från åtgärder som förvärrar det redan spända läget och att alla parter skall respektera internationell rätt.</w:t>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
          <w:sz w:val="24"/>
        </w:rPr>
      </w:pPr>
      <w:r w:rsidRPr="00C20CF6">
        <w:rPr>
          <w:rFonts w:ascii="Garamond" w:hAnsi="Garamond"/>
          <w:b/>
          <w:sz w:val="24"/>
        </w:rPr>
        <w:t>7. (ev.) Iran</w:t>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Cs/>
          <w:sz w:val="24"/>
        </w:rPr>
      </w:pPr>
      <w:r w:rsidRPr="00C20CF6">
        <w:rPr>
          <w:rFonts w:ascii="Garamond" w:hAnsi="Garamond"/>
          <w:bCs/>
          <w:sz w:val="24"/>
        </w:rPr>
        <w:t>Diskussionspunkt och ev. beslutspunkt.</w:t>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Cs/>
          <w:sz w:val="24"/>
        </w:rPr>
      </w:pPr>
      <w:r w:rsidRPr="00C20CF6">
        <w:rPr>
          <w:rFonts w:ascii="Garamond" w:hAnsi="Garamond"/>
          <w:bCs/>
          <w:sz w:val="24"/>
        </w:rPr>
        <w:t>Ordförandeskapet har preliminärt indikerat att man eventuellt vill diskutera Iran vid GAERC den 15 september. Ingen ytterligare information har givits. Vid det extrainsatta GAERC den 25 augusti gav SG/HR Solana en redogörelse för läget i den kärntekniska frågan. Det svar som Iran givit på det ”paketerbjudande” med incitament för att frysa landets urananrikning som kretsen P5+1 (de fem permanenta medlemmarna i FN:s säkerhetsråd, samt Tyskland) genom SG/HR Solana levererat till Iran behövde studeras, och dess</w:t>
      </w:r>
      <w:r w:rsidRPr="00C20CF6">
        <w:rPr>
          <w:rFonts w:ascii="Garamond" w:hAnsi="Garamond"/>
          <w:bCs/>
          <w:sz w:val="24"/>
        </w:rPr>
        <w:t xml:space="preserve"> innehåll diskuteras med Iran. Frågan kommer även att diskuteras vid det inofficiella utrikesministermötet den 1-2 september. En diskussion vid GAERC den 15 september skulle därför kunna handla om EU:s reaktion på det iranska svaret och hur man bör gå vidare, och även om FN:s roll.</w:t>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Cs/>
          <w:sz w:val="24"/>
        </w:rPr>
      </w:pPr>
      <w:r w:rsidRPr="00C20CF6">
        <w:rPr>
          <w:rFonts w:ascii="Garamond" w:hAnsi="Garamond"/>
          <w:bCs/>
          <w:sz w:val="24"/>
        </w:rPr>
        <w:t>Regeringen hoppas att Iran väljer att reagera positivt på det paket som EU, m fl har presenterat, vilket skulle möjliggöra förhandlingar och en avspänning i konflikten. Om Irans reaktion förblir negativ, anser regeringen att det är av vikt att det internationella samfundet står enat i sina krav på Iran. Eventuella sanktioner måste därför beslutas om i FN.</w:t>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
          <w:sz w:val="24"/>
        </w:rPr>
      </w:pPr>
      <w:r w:rsidRPr="00C20CF6">
        <w:rPr>
          <w:rFonts w:ascii="Garamond" w:hAnsi="Garamond"/>
          <w:b/>
          <w:sz w:val="24"/>
        </w:rPr>
        <w:t>8. (ev.) Irak</w:t>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Cs/>
          <w:sz w:val="24"/>
        </w:rPr>
      </w:pPr>
      <w:r w:rsidRPr="00C20CF6">
        <w:rPr>
          <w:rFonts w:ascii="Garamond" w:hAnsi="Garamond"/>
          <w:bCs/>
          <w:sz w:val="24"/>
        </w:rPr>
        <w:t>Diskussionspunkt och ev. beslutspunkt.</w:t>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Cs/>
          <w:sz w:val="24"/>
        </w:rPr>
      </w:pPr>
      <w:r w:rsidRPr="00C20CF6">
        <w:rPr>
          <w:rFonts w:ascii="Garamond" w:hAnsi="Garamond"/>
          <w:bCs/>
          <w:sz w:val="24"/>
        </w:rPr>
        <w:t>Ordförandeskapet har preliminärt indikerat att man vill diskutera Irak vid GAERC den 15 september. Ingen ytterligare information har givits. En GAERC-diskussion kommer sannolikt att handla om den rådande politiska situationen och säkerhetsläget samt en uppdatering om det av Irak och FN lanserade International Compact for Iraq. Eventuellt även en uppföljning av EU-kommissionens meddelande ”A renewed EU engagement in Iraq”.</w:t>
      </w:r>
    </w:p>
    <w:p w:rsidR="005D0606" w:rsidRPr="00C20CF6" w:rsidRDefault="005D0606">
      <w:pPr>
        <w:spacing w:line="240" w:lineRule="atLeast"/>
        <w:ind w:left="1418"/>
        <w:rPr>
          <w:rFonts w:ascii="Garamond" w:hAnsi="Garamond"/>
          <w:bCs/>
          <w:sz w:val="24"/>
        </w:rPr>
      </w:pPr>
    </w:p>
    <w:p w:rsidR="005D0606" w:rsidRPr="00C20CF6" w:rsidRDefault="005D0606">
      <w:pPr>
        <w:spacing w:line="240" w:lineRule="atLeast"/>
        <w:ind w:left="1418"/>
        <w:rPr>
          <w:rFonts w:ascii="Garamond" w:hAnsi="Garamond"/>
          <w:bCs/>
          <w:sz w:val="24"/>
        </w:rPr>
      </w:pPr>
      <w:r w:rsidRPr="00C20CF6">
        <w:rPr>
          <w:rFonts w:ascii="Garamond" w:hAnsi="Garamond"/>
          <w:bCs/>
          <w:sz w:val="24"/>
        </w:rPr>
        <w:t>Säkerhetsläget i landet och det sekteristiska våldet fortsätter att vara mycket oroande.  Shia- och sunnimiliserna bedöms utgöra det största hotet mot den politiska processen och återuppbyggnaden. Premiärminister Malikis initiativ, bla ett 24-punktsprogram för nationell försoning och utökade säkerhetsåtgärder i Bagdad, synes inte ha lett till påtagliga förbättringar för det irakiska folket. International Compact for Iraq ska utgöra ett ramverk för samarbetet mellan det internationella samfundet och Irak med</w:t>
      </w:r>
      <w:r w:rsidRPr="00C20CF6">
        <w:rPr>
          <w:rFonts w:ascii="Garamond" w:hAnsi="Garamond"/>
          <w:bCs/>
          <w:sz w:val="24"/>
        </w:rPr>
        <w:t xml:space="preserve"> fokus på återuppbyggnaden och ekonomisk återhämtning. FN har bjudit in till utrikesministermöte 18 september för att diskutera Compact. Sverige har välkomnat EU-kommissionens meddelande om ett förnyat EU-engagemang i Irak och kommer fortsätta att vara drivande i denna fråga.</w:t>
      </w:r>
      <w:r w:rsidRPr="00C20CF6">
        <w:rPr>
          <w:rFonts w:ascii="Garamond" w:hAnsi="Garamond"/>
          <w:bCs/>
          <w:sz w:val="24"/>
        </w:rPr>
        <w:tab/>
      </w:r>
    </w:p>
    <w:p w:rsidR="005D0606" w:rsidRPr="00C20CF6" w:rsidRDefault="005D0606">
      <w:pPr>
        <w:spacing w:line="240" w:lineRule="atLeast"/>
        <w:ind w:left="1418"/>
        <w:rPr>
          <w:rFonts w:ascii="Garamond" w:hAnsi="Garamond"/>
          <w:bCs/>
          <w:sz w:val="24"/>
        </w:rPr>
      </w:pPr>
    </w:p>
    <w:p w:rsidR="005D0606" w:rsidRPr="00C20CF6" w:rsidRDefault="005D0606">
      <w:pPr>
        <w:pStyle w:val="Rubrik2"/>
        <w:ind w:left="1418"/>
        <w:rPr>
          <w:i w:val="0"/>
        </w:rPr>
      </w:pPr>
      <w:r w:rsidRPr="00C20CF6">
        <w:t>I anslutning till mötet</w:t>
      </w:r>
    </w:p>
    <w:p w:rsidR="005D0606" w:rsidRPr="00C20CF6" w:rsidRDefault="005D0606">
      <w:pPr>
        <w:ind w:left="1418"/>
      </w:pPr>
    </w:p>
    <w:p w:rsidR="005D0606" w:rsidRPr="00C20CF6" w:rsidRDefault="005D0606">
      <w:pPr>
        <w:tabs>
          <w:tab w:val="left" w:pos="5103"/>
        </w:tabs>
        <w:spacing w:line="240" w:lineRule="atLeast"/>
        <w:ind w:left="1418"/>
        <w:jc w:val="both"/>
        <w:rPr>
          <w:rFonts w:ascii="Garamond" w:hAnsi="Garamond"/>
          <w:b/>
          <w:color w:val="000000"/>
          <w:sz w:val="24"/>
        </w:rPr>
      </w:pPr>
      <w:r w:rsidRPr="00C20CF6">
        <w:rPr>
          <w:rFonts w:ascii="Garamond" w:hAnsi="Garamond"/>
          <w:b/>
          <w:color w:val="000000"/>
          <w:sz w:val="24"/>
        </w:rPr>
        <w:t xml:space="preserve"> Samarbetsråd EU-Ukraina</w:t>
      </w:r>
    </w:p>
    <w:p w:rsidR="005D0606" w:rsidRPr="00C20CF6" w:rsidRDefault="005D0606">
      <w:pPr>
        <w:tabs>
          <w:tab w:val="left" w:pos="5103"/>
        </w:tabs>
        <w:spacing w:line="240" w:lineRule="atLeast"/>
        <w:ind w:left="1418"/>
        <w:jc w:val="both"/>
        <w:rPr>
          <w:rFonts w:ascii="Garamond" w:hAnsi="Garamond"/>
          <w:bCs/>
          <w:color w:val="000000"/>
          <w:sz w:val="24"/>
        </w:rPr>
      </w:pPr>
    </w:p>
    <w:p w:rsidR="005D0606" w:rsidRPr="00C20CF6" w:rsidRDefault="005D0606">
      <w:pPr>
        <w:tabs>
          <w:tab w:val="left" w:pos="5103"/>
        </w:tabs>
        <w:spacing w:line="240" w:lineRule="atLeast"/>
        <w:ind w:left="1418"/>
        <w:jc w:val="both"/>
        <w:rPr>
          <w:rFonts w:ascii="Garamond" w:hAnsi="Garamond"/>
          <w:bCs/>
          <w:color w:val="000000"/>
          <w:sz w:val="24"/>
        </w:rPr>
      </w:pPr>
      <w:r w:rsidRPr="00C20CF6">
        <w:rPr>
          <w:rFonts w:ascii="Garamond" w:hAnsi="Garamond"/>
          <w:bCs/>
          <w:color w:val="000000"/>
          <w:sz w:val="24"/>
        </w:rPr>
        <w:t>Representanter för Ukraina och Europeiska unionen träffas regelbundet för att diskutera aktuella frågor och utmaningar inom ramen för Ukrainas relationer med den Europeiska unionen. Särskilt fokus ligger på att behandla frågor som rör EU-Ukraina-handlingsplanen. I förhandlingarna företräds EU av kommissionen.</w:t>
      </w:r>
    </w:p>
    <w:p w:rsidR="005D0606" w:rsidRPr="00C20CF6" w:rsidRDefault="005D0606">
      <w:pPr>
        <w:tabs>
          <w:tab w:val="left" w:pos="5103"/>
        </w:tabs>
        <w:spacing w:line="240" w:lineRule="atLeast"/>
        <w:ind w:left="1418"/>
        <w:jc w:val="both"/>
        <w:rPr>
          <w:rFonts w:ascii="Garamond" w:hAnsi="Garamond"/>
          <w:bCs/>
          <w:color w:val="000000"/>
          <w:sz w:val="24"/>
        </w:rPr>
      </w:pPr>
    </w:p>
    <w:p w:rsidR="005D0606" w:rsidRPr="00C20CF6" w:rsidRDefault="005D0606">
      <w:pPr>
        <w:tabs>
          <w:tab w:val="left" w:pos="5103"/>
        </w:tabs>
        <w:spacing w:line="240" w:lineRule="atLeast"/>
        <w:ind w:left="1418"/>
        <w:jc w:val="both"/>
        <w:rPr>
          <w:rFonts w:ascii="Garamond" w:hAnsi="Garamond"/>
          <w:bCs/>
          <w:color w:val="000000"/>
          <w:sz w:val="24"/>
        </w:rPr>
      </w:pPr>
      <w:r w:rsidRPr="00C20CF6">
        <w:rPr>
          <w:rFonts w:ascii="Garamond" w:hAnsi="Garamond"/>
          <w:bCs/>
          <w:color w:val="000000"/>
          <w:sz w:val="24"/>
        </w:rPr>
        <w:t xml:space="preserve">Detta är det 10:e samarbetsrådet mellan EU och Ukraina, vilket har varit försenat i avvaktan på de utdragna ukrainska regeringsförhandlingarna. </w:t>
      </w:r>
    </w:p>
    <w:bookmarkEnd w:id="1"/>
    <w:p w:rsidR="005D0606" w:rsidRPr="00C20CF6" w:rsidRDefault="005D0606">
      <w:pPr>
        <w:tabs>
          <w:tab w:val="left" w:pos="5103"/>
        </w:tabs>
        <w:spacing w:line="240" w:lineRule="atLeast"/>
        <w:jc w:val="both"/>
        <w:rPr>
          <w:rFonts w:ascii="Garamond" w:hAnsi="Garamond"/>
          <w:b/>
          <w:color w:val="000000"/>
          <w:sz w:val="24"/>
        </w:rPr>
      </w:pPr>
    </w:p>
    <w:sectPr w:rsidR="005D0606" w:rsidRPr="00C20CF6">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0606" w:rsidRPr="00C20CF6" w:rsidRDefault="005D0606">
      <w:r w:rsidRPr="00C20CF6">
        <w:separator/>
      </w:r>
    </w:p>
  </w:endnote>
  <w:endnote w:type="continuationSeparator" w:id="0">
    <w:p w:rsidR="005D0606" w:rsidRPr="00C20CF6" w:rsidRDefault="005D0606">
      <w:r w:rsidRPr="00C20C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606" w:rsidRPr="00C20CF6" w:rsidRDefault="005D0606">
    <w:pPr>
      <w:pStyle w:val="Sidfot"/>
      <w:framePr w:wrap="auto" w:vAnchor="text" w:hAnchor="margin" w:xAlign="right" w:y="1"/>
      <w:rPr>
        <w:rStyle w:val="Sidnummer"/>
      </w:rPr>
    </w:pPr>
    <w:r w:rsidRPr="00C20CF6">
      <w:rPr>
        <w:rStyle w:val="Sidnummer"/>
      </w:rPr>
      <w:fldChar w:fldCharType="begin" w:fldLock="1"/>
    </w:r>
    <w:r w:rsidRPr="00C20CF6">
      <w:rPr>
        <w:rStyle w:val="Sidnummer"/>
      </w:rPr>
      <w:instrText xml:space="preserve">PAGE  </w:instrText>
    </w:r>
    <w:r w:rsidRPr="00C20CF6">
      <w:rPr>
        <w:rStyle w:val="Sidnummer"/>
      </w:rPr>
      <w:fldChar w:fldCharType="separate"/>
    </w:r>
    <w:r w:rsidRPr="00C20CF6">
      <w:rPr>
        <w:rStyle w:val="Sidnummer"/>
      </w:rPr>
      <w:t>1</w:t>
    </w:r>
    <w:r w:rsidRPr="00C20CF6">
      <w:rPr>
        <w:rStyle w:val="Sidnummer"/>
      </w:rPr>
      <w:fldChar w:fldCharType="end"/>
    </w:r>
  </w:p>
  <w:p w:rsidR="005D0606" w:rsidRPr="00C20CF6" w:rsidRDefault="005D0606">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0606" w:rsidRPr="00C20CF6" w:rsidRDefault="005D0606">
      <w:r w:rsidRPr="00C20CF6">
        <w:separator/>
      </w:r>
    </w:p>
  </w:footnote>
  <w:footnote w:type="continuationSeparator" w:id="0">
    <w:p w:rsidR="005D0606" w:rsidRPr="00C20CF6" w:rsidRDefault="005D0606">
      <w:r w:rsidRPr="00C20CF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B2AAF2C"/>
    <w:lvl w:ilvl="0">
      <w:numFmt w:val="decimal"/>
      <w:lvlText w:val="*"/>
      <w:lvlJc w:val="left"/>
    </w:lvl>
  </w:abstractNum>
  <w:abstractNum w:abstractNumId="1" w15:restartNumberingAfterBreak="0">
    <w:nsid w:val="01457059"/>
    <w:multiLevelType w:val="hybridMultilevel"/>
    <w:tmpl w:val="C6BA4EA2"/>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 w15:restartNumberingAfterBreak="0">
    <w:nsid w:val="03A15810"/>
    <w:multiLevelType w:val="hybridMultilevel"/>
    <w:tmpl w:val="295E488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3C127F7"/>
    <w:multiLevelType w:val="hybridMultilevel"/>
    <w:tmpl w:val="CF1E47F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0AE05D95"/>
    <w:multiLevelType w:val="hybridMultilevel"/>
    <w:tmpl w:val="EC40F9A8"/>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5" w15:restartNumberingAfterBreak="0">
    <w:nsid w:val="14221076"/>
    <w:multiLevelType w:val="hybridMultilevel"/>
    <w:tmpl w:val="80DE33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774780"/>
    <w:multiLevelType w:val="hybridMultilevel"/>
    <w:tmpl w:val="9F922096"/>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7" w15:restartNumberingAfterBreak="0">
    <w:nsid w:val="20EA57AC"/>
    <w:multiLevelType w:val="hybridMultilevel"/>
    <w:tmpl w:val="3A46132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8" w15:restartNumberingAfterBreak="0">
    <w:nsid w:val="2C0F048B"/>
    <w:multiLevelType w:val="hybridMultilevel"/>
    <w:tmpl w:val="FB8813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235477"/>
    <w:multiLevelType w:val="hybridMultilevel"/>
    <w:tmpl w:val="44B413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3C3A8B"/>
    <w:multiLevelType w:val="hybridMultilevel"/>
    <w:tmpl w:val="3308264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1" w15:restartNumberingAfterBreak="0">
    <w:nsid w:val="42712608"/>
    <w:multiLevelType w:val="hybridMultilevel"/>
    <w:tmpl w:val="5462B4A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2" w15:restartNumberingAfterBreak="0">
    <w:nsid w:val="43C06A29"/>
    <w:multiLevelType w:val="hybridMultilevel"/>
    <w:tmpl w:val="E40A0020"/>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3" w15:restartNumberingAfterBreak="0">
    <w:nsid w:val="486B6C82"/>
    <w:multiLevelType w:val="hybridMultilevel"/>
    <w:tmpl w:val="016CF3E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D967C3"/>
    <w:multiLevelType w:val="hybridMultilevel"/>
    <w:tmpl w:val="BFD8634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5" w15:restartNumberingAfterBreak="0">
    <w:nsid w:val="4A991FE7"/>
    <w:multiLevelType w:val="hybridMultilevel"/>
    <w:tmpl w:val="131A1DAC"/>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16" w15:restartNumberingAfterBreak="0">
    <w:nsid w:val="4ACA5B6F"/>
    <w:multiLevelType w:val="hybridMultilevel"/>
    <w:tmpl w:val="D55CD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925E38"/>
    <w:multiLevelType w:val="hybridMultilevel"/>
    <w:tmpl w:val="AB265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4D2B0E"/>
    <w:multiLevelType w:val="hybridMultilevel"/>
    <w:tmpl w:val="DF42A4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D376393"/>
    <w:multiLevelType w:val="hybridMultilevel"/>
    <w:tmpl w:val="85D24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831B1C"/>
    <w:multiLevelType w:val="hybridMultilevel"/>
    <w:tmpl w:val="90DEFD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F81008"/>
    <w:multiLevelType w:val="hybridMultilevel"/>
    <w:tmpl w:val="835E1FF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2" w15:restartNumberingAfterBreak="0">
    <w:nsid w:val="6CAC59DD"/>
    <w:multiLevelType w:val="hybridMultilevel"/>
    <w:tmpl w:val="998C01F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3" w15:restartNumberingAfterBreak="0">
    <w:nsid w:val="6CBB056B"/>
    <w:multiLevelType w:val="hybridMultilevel"/>
    <w:tmpl w:val="10063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CC2B39"/>
    <w:multiLevelType w:val="hybridMultilevel"/>
    <w:tmpl w:val="EB362B8A"/>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5" w15:restartNumberingAfterBreak="0">
    <w:nsid w:val="77ED2355"/>
    <w:multiLevelType w:val="hybridMultilevel"/>
    <w:tmpl w:val="71CC3B14"/>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6" w15:restartNumberingAfterBreak="0">
    <w:nsid w:val="7B624322"/>
    <w:multiLevelType w:val="hybridMultilevel"/>
    <w:tmpl w:val="7B54AA54"/>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num w:numId="1" w16cid:durableId="1173182130">
    <w:abstractNumId w:val="0"/>
    <w:lvlOverride w:ilvl="0">
      <w:lvl w:ilvl="0">
        <w:start w:val="1"/>
        <w:numFmt w:val="bullet"/>
        <w:lvlText w:val=""/>
        <w:legacy w:legacy="1" w:legacySpace="120" w:legacyIndent="360"/>
        <w:lvlJc w:val="left"/>
        <w:pPr>
          <w:ind w:left="1920" w:hanging="360"/>
        </w:pPr>
        <w:rPr>
          <w:rFonts w:ascii="Symbol" w:hAnsi="Symbol" w:hint="default"/>
        </w:rPr>
      </w:lvl>
    </w:lvlOverride>
  </w:num>
  <w:num w:numId="2" w16cid:durableId="573665706">
    <w:abstractNumId w:val="18"/>
  </w:num>
  <w:num w:numId="3" w16cid:durableId="1742095653">
    <w:abstractNumId w:val="25"/>
  </w:num>
  <w:num w:numId="4" w16cid:durableId="1432898018">
    <w:abstractNumId w:val="1"/>
  </w:num>
  <w:num w:numId="5" w16cid:durableId="640774393">
    <w:abstractNumId w:val="3"/>
  </w:num>
  <w:num w:numId="6" w16cid:durableId="1343628670">
    <w:abstractNumId w:val="17"/>
  </w:num>
  <w:num w:numId="7" w16cid:durableId="178814326">
    <w:abstractNumId w:val="26"/>
  </w:num>
  <w:num w:numId="8" w16cid:durableId="2009019120">
    <w:abstractNumId w:val="21"/>
  </w:num>
  <w:num w:numId="9" w16cid:durableId="1772160748">
    <w:abstractNumId w:val="8"/>
  </w:num>
  <w:num w:numId="10" w16cid:durableId="1178619399">
    <w:abstractNumId w:val="6"/>
  </w:num>
  <w:num w:numId="11" w16cid:durableId="869073591">
    <w:abstractNumId w:val="10"/>
  </w:num>
  <w:num w:numId="12" w16cid:durableId="1529022520">
    <w:abstractNumId w:val="24"/>
  </w:num>
  <w:num w:numId="13" w16cid:durableId="2087536175">
    <w:abstractNumId w:val="14"/>
  </w:num>
  <w:num w:numId="14" w16cid:durableId="1090934540">
    <w:abstractNumId w:val="20"/>
  </w:num>
  <w:num w:numId="15" w16cid:durableId="501508043">
    <w:abstractNumId w:val="11"/>
  </w:num>
  <w:num w:numId="16" w16cid:durableId="479156256">
    <w:abstractNumId w:val="4"/>
  </w:num>
  <w:num w:numId="17" w16cid:durableId="285086041">
    <w:abstractNumId w:val="7"/>
  </w:num>
  <w:num w:numId="18" w16cid:durableId="880627909">
    <w:abstractNumId w:val="15"/>
  </w:num>
  <w:num w:numId="19" w16cid:durableId="1749837375">
    <w:abstractNumId w:val="22"/>
  </w:num>
  <w:num w:numId="20" w16cid:durableId="985016200">
    <w:abstractNumId w:val="2"/>
  </w:num>
  <w:num w:numId="21" w16cid:durableId="1245147880">
    <w:abstractNumId w:val="23"/>
  </w:num>
  <w:num w:numId="22" w16cid:durableId="172107756">
    <w:abstractNumId w:val="19"/>
  </w:num>
  <w:num w:numId="23" w16cid:durableId="1105417358">
    <w:abstractNumId w:val="13"/>
  </w:num>
  <w:num w:numId="24" w16cid:durableId="466631134">
    <w:abstractNumId w:val="9"/>
  </w:num>
  <w:num w:numId="25" w16cid:durableId="1076051469">
    <w:abstractNumId w:val="5"/>
  </w:num>
  <w:num w:numId="26" w16cid:durableId="838496618">
    <w:abstractNumId w:val="16"/>
  </w:num>
  <w:num w:numId="27" w16cid:durableId="8256354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defaultTabStop w:val="720"/>
  <w:autoHyphenation/>
  <w:hyphenationZone w:val="40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03A"/>
    <w:rsid w:val="005D0606"/>
    <w:rsid w:val="00C1403A"/>
    <w:rsid w:val="00C20CF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8AF806D-A5AF-4C11-ACC9-B33D954EA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val="sv-SE" w:eastAsia="en-US"/>
    </w:rPr>
  </w:style>
  <w:style w:type="paragraph" w:styleId="Rubrik1">
    <w:name w:val="heading 1"/>
    <w:basedOn w:val="Normal"/>
    <w:next w:val="Normal"/>
    <w:qFormat/>
    <w:pPr>
      <w:keepNext/>
      <w:spacing w:before="240" w:after="60"/>
      <w:outlineLvl w:val="0"/>
    </w:pPr>
    <w:rPr>
      <w:rFonts w:ascii="Arial" w:hAnsi="Arial" w:cs="Arial"/>
      <w:b/>
      <w:bCs/>
      <w:kern w:val="32"/>
      <w:sz w:val="32"/>
      <w:szCs w:val="32"/>
    </w:rPr>
  </w:style>
  <w:style w:type="paragraph" w:styleId="Rubrik2">
    <w:name w:val="heading 2"/>
    <w:basedOn w:val="Normal"/>
    <w:next w:val="Normal"/>
    <w:qFormat/>
    <w:pPr>
      <w:keepNext/>
      <w:spacing w:before="240" w:after="60"/>
      <w:outlineLvl w:val="1"/>
    </w:pPr>
    <w:rPr>
      <w:rFonts w:ascii="Arial" w:hAnsi="Arial"/>
      <w:b/>
      <w:i/>
      <w:sz w:val="28"/>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idnummer">
    <w:name w:val="page number"/>
    <w:basedOn w:val="Standardstycketeckensnitt"/>
    <w:semiHidden/>
  </w:style>
  <w:style w:type="paragraph" w:styleId="Sidfot">
    <w:name w:val="footer"/>
    <w:basedOn w:val="Normal"/>
    <w:semiHidden/>
    <w:pPr>
      <w:tabs>
        <w:tab w:val="center" w:pos="4153"/>
        <w:tab w:val="right" w:pos="8306"/>
      </w:tabs>
    </w:pPr>
    <w:rPr>
      <w:sz w:val="24"/>
    </w:rPr>
  </w:style>
  <w:style w:type="paragraph" w:styleId="Brdtext">
    <w:name w:val="Body Text"/>
    <w:basedOn w:val="Normal"/>
    <w:semiHidden/>
    <w:pPr>
      <w:spacing w:line="320" w:lineRule="exact"/>
    </w:pPr>
    <w:rPr>
      <w:rFonts w:ascii="Garamond" w:hAnsi="Garamond"/>
      <w:sz w:val="24"/>
    </w:rPr>
  </w:style>
  <w:style w:type="paragraph" w:customStyle="1" w:styleId="RKnormal">
    <w:name w:val="RKnormal"/>
    <w:basedOn w:val="Normal"/>
    <w:pPr>
      <w:tabs>
        <w:tab w:val="left" w:pos="2835"/>
      </w:tabs>
      <w:spacing w:line="240" w:lineRule="atLeast"/>
    </w:pPr>
    <w:rPr>
      <w:rFonts w:ascii="OrigGarmnd BT" w:hAnsi="OrigGarmnd BT"/>
      <w:sz w:val="24"/>
    </w:rPr>
  </w:style>
  <w:style w:type="paragraph" w:styleId="Fotnotstext">
    <w:name w:val="footnote text"/>
    <w:basedOn w:val="Normal"/>
    <w:semiHidden/>
    <w:pPr>
      <w:spacing w:line="320" w:lineRule="atLeast"/>
    </w:pPr>
    <w:rPr>
      <w:rFonts w:ascii="OrigGarmnd BT" w:hAnsi="OrigGarmnd BT"/>
    </w:rPr>
  </w:style>
  <w:style w:type="character" w:styleId="Fotnotsreferens">
    <w:name w:val="footnote reference"/>
    <w:basedOn w:val="Standardstycketeckensnitt"/>
    <w:semiHidden/>
    <w:rPr>
      <w:vertAlign w:val="superscript"/>
    </w:rPr>
  </w:style>
  <w:style w:type="paragraph" w:customStyle="1" w:styleId="UDrubrik">
    <w:name w:val="UDrubrik"/>
    <w:basedOn w:val="Normal"/>
    <w:next w:val="Normal"/>
    <w:pPr>
      <w:spacing w:line="320" w:lineRule="exact"/>
    </w:pPr>
    <w:rPr>
      <w:rFonts w:ascii="Arial" w:hAnsi="Arial"/>
      <w:b/>
      <w:sz w:val="22"/>
    </w:rPr>
  </w:style>
  <w:style w:type="paragraph" w:customStyle="1" w:styleId="PlainText">
    <w:name w:val="Plain Text"/>
    <w:basedOn w:val="Normal"/>
    <w:rPr>
      <w:rFonts w:ascii="Courier New" w:hAnsi="Courier New"/>
    </w:rPr>
  </w:style>
  <w:style w:type="paragraph" w:customStyle="1" w:styleId="RKrubrik">
    <w:name w:val="RKrubrik"/>
    <w:basedOn w:val="RKnormal"/>
    <w:pPr>
      <w:tabs>
        <w:tab w:val="clear" w:pos="2835"/>
        <w:tab w:val="left" w:pos="3260"/>
      </w:tabs>
      <w:spacing w:line="240" w:lineRule="auto"/>
    </w:pPr>
    <w:rPr>
      <w:rFonts w:ascii="Garamond" w:hAnsi="Garamond"/>
      <w:b/>
    </w:rPr>
  </w:style>
  <w:style w:type="paragraph" w:customStyle="1" w:styleId="EntRefer">
    <w:name w:val="EntRefer"/>
    <w:basedOn w:val="Normal"/>
    <w:pPr>
      <w:widowControl w:val="0"/>
    </w:pPr>
    <w:rPr>
      <w:b/>
      <w:sz w:val="24"/>
    </w:rPr>
  </w:style>
  <w:style w:type="paragraph" w:styleId="Sidhuvud">
    <w:name w:val="header"/>
    <w:basedOn w:val="Normal"/>
    <w:semiHidden/>
    <w:pPr>
      <w:tabs>
        <w:tab w:val="center" w:pos="4153"/>
        <w:tab w:val="right" w:pos="8306"/>
      </w:tabs>
      <w:spacing w:line="320" w:lineRule="atLeast"/>
    </w:pPr>
    <w:rPr>
      <w:rFonts w:ascii="OrigGarmnd BT" w:hAnsi="OrigGarmnd BT"/>
      <w:sz w:val="24"/>
    </w:rPr>
  </w:style>
  <w:style w:type="paragraph" w:customStyle="1" w:styleId="Enhetnamn">
    <w:name w:val="Enhetnamn"/>
    <w:basedOn w:val="Normal"/>
    <w:pPr>
      <w:overflowPunct/>
      <w:autoSpaceDE/>
      <w:autoSpaceDN/>
      <w:adjustRightInd/>
      <w:spacing w:after="260"/>
      <w:textAlignment w:val="auto"/>
    </w:pPr>
    <w:rPr>
      <w:rFonts w:ascii="TradeGothic" w:hAnsi="TradeGothic"/>
      <w:i/>
      <w:sz w:val="18"/>
    </w:rPr>
  </w:style>
  <w:style w:type="paragraph" w:customStyle="1" w:styleId="Namnenhet">
    <w:name w:val="Namnenhet"/>
    <w:basedOn w:val="Normal"/>
    <w:pPr>
      <w:framePr w:h="2183" w:wrap="notBeside" w:vAnchor="text" w:hAnchor="page" w:x="1447" w:y="1"/>
      <w:spacing w:line="260" w:lineRule="exact"/>
    </w:pPr>
    <w:rPr>
      <w:rFonts w:ascii="TradeGothic" w:hAnsi="TradeGothic"/>
      <w:i/>
      <w:sz w:val="18"/>
    </w:rPr>
  </w:style>
  <w:style w:type="character" w:customStyle="1" w:styleId="arial12px1">
    <w:name w:val="arial_12px1"/>
    <w:basedOn w:val="Standardstycketeckensnitt"/>
    <w:rPr>
      <w:rFonts w:ascii="Arial" w:hAnsi="Arial"/>
      <w:color w:val="000000"/>
      <w:sz w:val="18"/>
    </w:rPr>
  </w:style>
  <w:style w:type="character" w:customStyle="1" w:styleId="articletxt1">
    <w:name w:val="articletxt1"/>
    <w:basedOn w:val="Standardstycketeckensnitt"/>
    <w:rPr>
      <w:rFonts w:ascii="Tahoma" w:hAnsi="Tahoma"/>
      <w:color w:val="000000"/>
      <w:sz w:val="16"/>
      <w:u w:val="none"/>
    </w:rPr>
  </w:style>
  <w:style w:type="character" w:customStyle="1" w:styleId="text3">
    <w:name w:val="text3"/>
    <w:basedOn w:val="Standardstycketeckensnitt"/>
    <w:rPr>
      <w:rFonts w:ascii="Verdana" w:hAnsi="Verdana"/>
      <w:color w:val="auto"/>
      <w:spacing w:val="225"/>
      <w:sz w:val="17"/>
    </w:rPr>
  </w:style>
  <w:style w:type="paragraph" w:customStyle="1" w:styleId="BodyText2">
    <w:name w:val="Body Text 2"/>
    <w:basedOn w:val="Normal"/>
    <w:pPr>
      <w:tabs>
        <w:tab w:val="left" w:pos="3828"/>
        <w:tab w:val="left" w:pos="4253"/>
        <w:tab w:val="left" w:pos="9071"/>
        <w:tab w:val="left" w:pos="10487"/>
        <w:tab w:val="left" w:pos="11338"/>
      </w:tabs>
      <w:suppressAutoHyphens/>
      <w:ind w:left="4253" w:hanging="4253"/>
    </w:pPr>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1323</Words>
  <Characters>8219</Characters>
  <Application>Microsoft Office Word</Application>
  <DocSecurity>4</DocSecurity>
  <Lines>216</Lines>
  <Paragraphs>53</Paragraphs>
  <ScaleCrop>false</ScaleCrop>
  <HeadingPairs>
    <vt:vector size="2" baseType="variant">
      <vt:variant>
        <vt:lpstr>Titel</vt:lpstr>
      </vt:variant>
      <vt:variant>
        <vt:i4>1</vt:i4>
      </vt:variant>
    </vt:vector>
  </HeadingPairs>
  <TitlesOfParts>
    <vt:vector size="1" baseType="lpstr">
      <vt:lpstr>REGERINGSKANSLIET</vt:lpstr>
    </vt:vector>
  </TitlesOfParts>
  <Company>UD</Company>
  <LinksUpToDate>false</LinksUpToDate>
  <CharactersWithSpaces>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2006-09-01T09:06:00Z</cp:lastPrinted>
  <dcterms:created xsi:type="dcterms:W3CDTF">2025-12-16T23:19:00Z</dcterms:created>
  <dcterms:modified xsi:type="dcterms:W3CDTF">2025-12-16T23:19:00Z</dcterms:modified>
</cp:coreProperties>
</file>