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606" w:rsidRPr="00C20CF6" w:rsidRDefault="005D0606">
      <w:pPr>
        <w:spacing w:line="300" w:lineRule="exact"/>
        <w:jc w:val="both"/>
        <w:rPr>
          <w:color w:val="000000"/>
          <w:sz w:val="22"/>
        </w:rPr>
      </w:pPr>
      <w:r w:rsidRPr="00C20CF6">
        <w:rPr>
          <w:b/>
          <w:bCs/>
          <w:color w:val="000000"/>
          <w:sz w:val="22"/>
        </w:rPr>
        <w:t>REGERINGSKANSLIET</w:t>
      </w:r>
      <w:r w:rsidRPr="00C20CF6">
        <w:rPr>
          <w:color w:val="000000"/>
          <w:sz w:val="22"/>
        </w:rPr>
        <w:tab/>
      </w:r>
      <w:r w:rsidRPr="00C20CF6">
        <w:rPr>
          <w:color w:val="000000"/>
          <w:sz w:val="22"/>
        </w:rPr>
        <w:tab/>
      </w:r>
      <w:r w:rsidRPr="00C20CF6">
        <w:rPr>
          <w:color w:val="000000"/>
          <w:sz w:val="22"/>
        </w:rPr>
        <w:tab/>
      </w:r>
      <w:r w:rsidRPr="00C20CF6">
        <w:rPr>
          <w:color w:val="000000"/>
          <w:sz w:val="22"/>
        </w:rPr>
        <w:tab/>
        <w:t>Kommenterad dagordning</w:t>
      </w:r>
    </w:p>
    <w:p w:rsidR="005D0606" w:rsidRPr="00C20CF6" w:rsidRDefault="005D0606">
      <w:pPr>
        <w:spacing w:line="300" w:lineRule="exact"/>
        <w:jc w:val="both"/>
        <w:rPr>
          <w:color w:val="000000"/>
          <w:sz w:val="22"/>
        </w:rPr>
      </w:pPr>
      <w:r w:rsidRPr="00C20CF6">
        <w:rPr>
          <w:color w:val="000000"/>
          <w:sz w:val="22"/>
        </w:rPr>
        <w:t>Utrikesdepartementet</w:t>
      </w:r>
      <w:r w:rsidRPr="00C20CF6">
        <w:rPr>
          <w:color w:val="000000"/>
          <w:sz w:val="22"/>
        </w:rPr>
        <w:tab/>
      </w:r>
      <w:r w:rsidRPr="00C20CF6">
        <w:rPr>
          <w:color w:val="000000"/>
          <w:sz w:val="22"/>
        </w:rPr>
        <w:tab/>
      </w:r>
      <w:r w:rsidRPr="00C20CF6">
        <w:rPr>
          <w:color w:val="000000"/>
          <w:sz w:val="22"/>
        </w:rPr>
        <w:tab/>
      </w:r>
      <w:r w:rsidRPr="00C20CF6">
        <w:rPr>
          <w:color w:val="000000"/>
          <w:sz w:val="22"/>
        </w:rPr>
        <w:tab/>
      </w:r>
      <w:r w:rsidRPr="00C20CF6">
        <w:rPr>
          <w:color w:val="000000"/>
          <w:sz w:val="22"/>
        </w:rPr>
        <w:tab/>
        <w:t>Ministerrådet</w:t>
      </w:r>
    </w:p>
    <w:p w:rsidR="005D0606" w:rsidRPr="00C20CF6" w:rsidRDefault="005D0606">
      <w:pPr>
        <w:spacing w:line="300" w:lineRule="exact"/>
        <w:jc w:val="both"/>
        <w:rPr>
          <w:color w:val="000000"/>
        </w:rPr>
      </w:pPr>
    </w:p>
    <w:p w:rsidR="005D0606" w:rsidRPr="00C20CF6" w:rsidRDefault="005D0606">
      <w:pPr>
        <w:spacing w:line="300" w:lineRule="exact"/>
        <w:jc w:val="both"/>
        <w:rPr>
          <w:color w:val="000000"/>
        </w:rPr>
      </w:pPr>
      <w:r w:rsidRPr="00C20CF6">
        <w:rPr>
          <w:color w:val="000000"/>
        </w:rPr>
        <w:tab/>
      </w:r>
      <w:r w:rsidRPr="00C20CF6">
        <w:rPr>
          <w:color w:val="000000"/>
        </w:rPr>
        <w:tab/>
      </w:r>
      <w:r w:rsidRPr="00C20CF6">
        <w:rPr>
          <w:color w:val="000000"/>
        </w:rPr>
        <w:tab/>
      </w:r>
      <w:r w:rsidRPr="00C20CF6">
        <w:rPr>
          <w:color w:val="000000"/>
        </w:rPr>
        <w:tab/>
      </w:r>
      <w:r w:rsidRPr="00C20CF6">
        <w:rPr>
          <w:color w:val="000000"/>
        </w:rPr>
        <w:tab/>
      </w:r>
      <w:r w:rsidRPr="00C20CF6">
        <w:rPr>
          <w:color w:val="000000"/>
        </w:rPr>
        <w:tab/>
      </w:r>
      <w:r w:rsidRPr="00C20CF6">
        <w:rPr>
          <w:color w:val="000000"/>
        </w:rPr>
        <w:tab/>
      </w:r>
      <w:r w:rsidRPr="00C20CF6">
        <w:rPr>
          <w:color w:val="000000"/>
        </w:rPr>
        <w:fldChar w:fldCharType="begin" w:fldLock="1"/>
      </w:r>
      <w:r w:rsidRPr="00C20CF6">
        <w:rPr>
          <w:color w:val="000000"/>
        </w:rPr>
        <w:instrText xml:space="preserve"> DATE \@ "yyyy-MM-dd" </w:instrText>
      </w:r>
      <w:r w:rsidRPr="00C20CF6">
        <w:rPr>
          <w:color w:val="000000"/>
        </w:rPr>
        <w:fldChar w:fldCharType="separate"/>
      </w:r>
      <w:r w:rsidR="00C20CF6" w:rsidRPr="00C20CF6">
        <w:rPr>
          <w:color w:val="000000"/>
        </w:rPr>
        <w:t>2025-12-17</w:t>
      </w:r>
      <w:r w:rsidRPr="00C20CF6">
        <w:rPr>
          <w:color w:val="000000"/>
        </w:rPr>
        <w:fldChar w:fldCharType="end"/>
      </w:r>
    </w:p>
    <w:p w:rsidR="005D0606" w:rsidRPr="00C20CF6" w:rsidRDefault="005D0606">
      <w:pPr>
        <w:spacing w:line="300" w:lineRule="exact"/>
        <w:jc w:val="both"/>
        <w:rPr>
          <w:color w:val="000000"/>
          <w:sz w:val="18"/>
        </w:rPr>
      </w:pPr>
      <w:r w:rsidRPr="00C20CF6">
        <w:rPr>
          <w:color w:val="000000"/>
          <w:sz w:val="18"/>
        </w:rPr>
        <w:t>Enheten för Europeiska unionen</w:t>
      </w:r>
    </w:p>
    <w:p w:rsidR="005D0606" w:rsidRPr="00C20CF6" w:rsidRDefault="005D0606">
      <w:pPr>
        <w:spacing w:line="300" w:lineRule="exact"/>
        <w:jc w:val="both"/>
        <w:rPr>
          <w:color w:val="000000"/>
        </w:rPr>
      </w:pPr>
    </w:p>
    <w:p w:rsidR="005D0606" w:rsidRPr="00C20CF6" w:rsidRDefault="005D0606">
      <w:pPr>
        <w:spacing w:line="300" w:lineRule="exact"/>
        <w:jc w:val="both"/>
        <w:rPr>
          <w:color w:val="000000"/>
        </w:rPr>
      </w:pPr>
    </w:p>
    <w:p w:rsidR="005D0606" w:rsidRPr="00C20CF6" w:rsidRDefault="005D0606">
      <w:pPr>
        <w:spacing w:line="300" w:lineRule="exact"/>
        <w:jc w:val="both"/>
        <w:rPr>
          <w:color w:val="000000"/>
        </w:rPr>
      </w:pPr>
    </w:p>
    <w:p w:rsidR="005D0606" w:rsidRPr="00C20CF6" w:rsidRDefault="005D0606">
      <w:pPr>
        <w:spacing w:line="300" w:lineRule="exact"/>
        <w:ind w:left="1418"/>
        <w:jc w:val="both"/>
        <w:rPr>
          <w:color w:val="000000"/>
          <w:sz w:val="24"/>
        </w:rPr>
      </w:pPr>
    </w:p>
    <w:p w:rsidR="005D0606" w:rsidRPr="00C20CF6" w:rsidRDefault="005D0606">
      <w:pPr>
        <w:spacing w:line="300" w:lineRule="exact"/>
        <w:ind w:left="1418"/>
        <w:jc w:val="both"/>
        <w:rPr>
          <w:color w:val="000000"/>
          <w:sz w:val="24"/>
        </w:rPr>
      </w:pPr>
    </w:p>
    <w:p w:rsidR="005D0606" w:rsidRPr="00C20CF6" w:rsidRDefault="005D0606">
      <w:pPr>
        <w:spacing w:line="300" w:lineRule="exact"/>
        <w:ind w:left="1418"/>
        <w:jc w:val="both"/>
        <w:rPr>
          <w:color w:val="000000"/>
          <w:sz w:val="24"/>
        </w:rPr>
      </w:pPr>
    </w:p>
    <w:p w:rsidR="005D0606" w:rsidRPr="00C20CF6" w:rsidRDefault="005D0606">
      <w:pPr>
        <w:spacing w:line="300" w:lineRule="exact"/>
        <w:ind w:left="1418"/>
        <w:jc w:val="both"/>
        <w:rPr>
          <w:color w:val="000000"/>
          <w:sz w:val="24"/>
        </w:rPr>
      </w:pPr>
    </w:p>
    <w:p w:rsidR="005D0606" w:rsidRPr="00C20CF6" w:rsidRDefault="005D0606">
      <w:pPr>
        <w:tabs>
          <w:tab w:val="left" w:pos="5103"/>
        </w:tabs>
        <w:spacing w:line="300" w:lineRule="exact"/>
        <w:jc w:val="both"/>
        <w:rPr>
          <w:rFonts w:ascii="Garamond" w:hAnsi="Garamond"/>
          <w:b/>
          <w:sz w:val="28"/>
          <w:u w:val="single"/>
        </w:rPr>
      </w:pPr>
    </w:p>
    <w:p w:rsidR="005D0606" w:rsidRPr="00C20CF6" w:rsidRDefault="005D0606">
      <w:pPr>
        <w:tabs>
          <w:tab w:val="left" w:pos="5103"/>
        </w:tabs>
        <w:spacing w:line="300" w:lineRule="exact"/>
        <w:jc w:val="both"/>
        <w:rPr>
          <w:rFonts w:ascii="Garamond" w:hAnsi="Garamond"/>
          <w:b/>
          <w:sz w:val="28"/>
          <w:u w:val="single"/>
        </w:rPr>
      </w:pPr>
    </w:p>
    <w:p w:rsidR="005D0606" w:rsidRPr="00C20CF6" w:rsidRDefault="005D0606">
      <w:pPr>
        <w:pStyle w:val="UDrubrik"/>
        <w:ind w:left="1418"/>
        <w:rPr>
          <w:sz w:val="24"/>
          <w:u w:val="single"/>
        </w:rPr>
      </w:pPr>
      <w:r w:rsidRPr="00C20CF6">
        <w:rPr>
          <w:sz w:val="24"/>
          <w:u w:val="single"/>
        </w:rPr>
        <w:t>Kommenterad dagordning för rådet för allmänna frågor och yttre förbindelser den 15 september 2006</w:t>
      </w:r>
    </w:p>
    <w:p w:rsidR="005D0606" w:rsidRPr="00C20CF6" w:rsidRDefault="005D0606">
      <w:pPr>
        <w:pStyle w:val="Rubrik1"/>
        <w:ind w:left="1418"/>
        <w:rPr>
          <w:sz w:val="28"/>
        </w:rPr>
      </w:pPr>
      <w:bookmarkStart w:id="0" w:name="_Toc128393594"/>
    </w:p>
    <w:p w:rsidR="005D0606" w:rsidRPr="00C20CF6" w:rsidRDefault="005D0606">
      <w:pPr>
        <w:pStyle w:val="Rubrik1"/>
        <w:spacing w:before="60"/>
        <w:ind w:left="1418"/>
        <w:rPr>
          <w:sz w:val="28"/>
        </w:rPr>
      </w:pPr>
      <w:r w:rsidRPr="00C20CF6">
        <w:rPr>
          <w:sz w:val="28"/>
        </w:rPr>
        <w:t>ALLMÄNNA RÅDET</w:t>
      </w:r>
      <w:bookmarkEnd w:id="0"/>
    </w:p>
    <w:p w:rsidR="005D0606" w:rsidRPr="00C20CF6" w:rsidRDefault="005D0606">
      <w:pPr>
        <w:pStyle w:val="RKnormal"/>
        <w:ind w:left="1418"/>
        <w:rPr>
          <w:rFonts w:ascii="Garamond" w:hAnsi="Garamond"/>
          <w:b/>
          <w:bCs/>
          <w:color w:val="000000"/>
          <w:szCs w:val="24"/>
        </w:rPr>
      </w:pPr>
    </w:p>
    <w:p w:rsidR="005D0606" w:rsidRPr="00C20CF6" w:rsidRDefault="005D0606">
      <w:pPr>
        <w:tabs>
          <w:tab w:val="left" w:pos="5103"/>
        </w:tabs>
        <w:spacing w:line="300" w:lineRule="exact"/>
        <w:ind w:firstLine="1418"/>
        <w:rPr>
          <w:rFonts w:ascii="Garamond" w:hAnsi="Garamond"/>
          <w:b/>
          <w:sz w:val="24"/>
        </w:rPr>
      </w:pPr>
      <w:bookmarkStart w:id="1" w:name="_Toc128393595"/>
      <w:r w:rsidRPr="00C20CF6">
        <w:rPr>
          <w:rFonts w:ascii="Garamond" w:hAnsi="Garamond"/>
          <w:b/>
          <w:sz w:val="24"/>
        </w:rPr>
        <w:t xml:space="preserve">1. Godkännande av dagordningen </w:t>
      </w:r>
    </w:p>
    <w:p w:rsidR="005D0606" w:rsidRPr="00C20CF6" w:rsidRDefault="005D0606">
      <w:pPr>
        <w:tabs>
          <w:tab w:val="left" w:pos="5103"/>
        </w:tabs>
        <w:spacing w:line="300" w:lineRule="exact"/>
        <w:ind w:left="1418"/>
        <w:rPr>
          <w:rFonts w:ascii="Garamond" w:hAnsi="Garamond"/>
          <w:b/>
          <w:sz w:val="24"/>
        </w:rPr>
      </w:pPr>
    </w:p>
    <w:p w:rsidR="005D0606" w:rsidRPr="00C20CF6" w:rsidRDefault="005D0606">
      <w:pPr>
        <w:spacing w:line="240" w:lineRule="atLeast"/>
        <w:ind w:left="1418"/>
        <w:rPr>
          <w:rFonts w:ascii="Garamond" w:hAnsi="Garamond"/>
          <w:b/>
          <w:sz w:val="24"/>
        </w:rPr>
      </w:pPr>
      <w:r w:rsidRPr="00C20CF6">
        <w:rPr>
          <w:rFonts w:ascii="Garamond" w:hAnsi="Garamond"/>
          <w:b/>
          <w:sz w:val="24"/>
        </w:rPr>
        <w:t>2. Antagande av A-punktslistan</w:t>
      </w:r>
      <w:r w:rsidRPr="00C20CF6">
        <w:rPr>
          <w:rFonts w:ascii="Garamond" w:hAnsi="Garamond"/>
          <w:b/>
          <w:sz w:val="24"/>
        </w:rPr>
        <w:tab/>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
          <w:sz w:val="24"/>
        </w:rPr>
      </w:pPr>
      <w:r w:rsidRPr="00C20CF6">
        <w:rPr>
          <w:rFonts w:ascii="Garamond" w:hAnsi="Garamond"/>
          <w:b/>
          <w:sz w:val="24"/>
        </w:rPr>
        <w:t>3. Resolutioner, beslut och yttranden antagna av EP</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iCs/>
          <w:sz w:val="24"/>
        </w:rPr>
      </w:pPr>
      <w:r w:rsidRPr="00C20CF6">
        <w:rPr>
          <w:rFonts w:ascii="Garamond" w:hAnsi="Garamond"/>
          <w:bCs/>
          <w:sz w:val="24"/>
        </w:rPr>
        <w:t>Dagordningspunkten är en standardpunkt för anmälan av beslut m.m. från Europaparlamentets sessioner. Punkten avser sammanträdesperioden 3-6 juli 2006. Resolutioner och beslut innefattar bl.a. Mauretanien, rättvis handel och utveckling, Somalia, migration och utveckling samt partnerskapet EU-Västindien.</w:t>
      </w:r>
    </w:p>
    <w:p w:rsidR="005D0606" w:rsidRPr="00C20CF6" w:rsidRDefault="005D0606">
      <w:pPr>
        <w:tabs>
          <w:tab w:val="left" w:pos="5103"/>
        </w:tabs>
        <w:jc w:val="both"/>
        <w:rPr>
          <w:rFonts w:ascii="Garamond" w:hAnsi="Garamond"/>
          <w:sz w:val="18"/>
        </w:rPr>
      </w:pPr>
    </w:p>
    <w:p w:rsidR="005D0606" w:rsidRPr="00C20CF6" w:rsidRDefault="005D0606">
      <w:pPr>
        <w:pStyle w:val="Rubrik1"/>
        <w:ind w:left="1418"/>
      </w:pPr>
      <w:r w:rsidRPr="00C20CF6">
        <w:t>Rådet för yttre förbindelser</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
          <w:sz w:val="24"/>
        </w:rPr>
      </w:pPr>
      <w:r w:rsidRPr="00C20CF6">
        <w:rPr>
          <w:rFonts w:ascii="Garamond" w:hAnsi="Garamond"/>
          <w:b/>
          <w:sz w:val="24"/>
        </w:rPr>
        <w:t>1. Godkännande av dagordningen</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
          <w:sz w:val="24"/>
        </w:rPr>
      </w:pPr>
      <w:r w:rsidRPr="00C20CF6">
        <w:rPr>
          <w:rFonts w:ascii="Garamond" w:hAnsi="Garamond"/>
          <w:b/>
          <w:sz w:val="24"/>
        </w:rPr>
        <w:t>2. (ev.) WTO/DDA</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Diskussionspunkt.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 xml:space="preserve">Ordförandeskapet har preliminärt indikerat att man eventuellt vill diskutera WTO/DDA vid GAERC den 15 september. Ingen ytterligare information har givits. Om frågan kommer upp för diskussion, kommer EU-kommissionen sannolikt att informera rådet om läget i den avstannade Doharundan efter WTO:s resultatlösa ministermöte i Geneve i juli. Diskussionen kommer förmodligen att fokusera på EU:s förhandlingsposition och hur kommissionen bedriver förhandlingarna, och beröra den centrala frågan om jordbruksvaror. </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 xml:space="preserve">Sverige fortsätter verka för att EU ska delta aktivt och konstruktivt på alla områden, inklusive på jordbruket, för att nå ett ambitiöst slutresultat med öppnare och mer rättvisa handelsregler. Prioriterade förhandlingsområden för Sverige är jordbruk, industrivaror, tjänster, handelsprocedurer, antidumpning samt utvecklingsfrågorna i vid bemärkelse. </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
          <w:sz w:val="24"/>
        </w:rPr>
      </w:pPr>
      <w:r w:rsidRPr="00C20CF6">
        <w:rPr>
          <w:rFonts w:ascii="Garamond" w:hAnsi="Garamond"/>
          <w:b/>
          <w:sz w:val="24"/>
        </w:rPr>
        <w:t>3. Relationerna med västra Balkan</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Diskussions- och ev. beslutspunkt.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 xml:space="preserve">Ordförandeskapet har preliminärt indikerat att man vill diskutera västra Balkan vid GAERC den 15 september. Diskussionen förväntas sannolikt fokusera på utvecklingen i förhandlingarna om Kosovos framtida status samt Serbiens EU-perspektiv och den relaterade frågan om samarbetet med krigsförbrytartribunalen ICTY. </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Regeringen stödjer statussändebudet Ahtisaari i dennes arbete med Kosovos framtida status. Regeringen uppfattar det som troligt att förhandlingarna kan utmynna i någon form av självständighet för Kosovo. Det är då viktigt att kosovoserberna ges ordentliga minoritetsrättigheter, så att vi inte får en situation där de serber som finns kvar känner att de måste ge sig av eller – ännu värre – att det blir en de facto delning av Kosovo. Det är viktigt att EU redan nu förbereder sig för den stora utmaning som unio</w:t>
      </w:r>
      <w:r w:rsidRPr="00C20CF6">
        <w:rPr>
          <w:rFonts w:ascii="Garamond" w:hAnsi="Garamond"/>
          <w:bCs/>
          <w:sz w:val="24"/>
        </w:rPr>
        <w:t>nens framtida insats i Kosovo innebär. Regeringen ser Serbiens EU-medlemskapsperspektiv som viktigt och verkar samtidigt för en strikt konditionalitet vad gäller Serbiens samarbete med ICTY.</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
          <w:sz w:val="24"/>
        </w:rPr>
      </w:pPr>
      <w:r w:rsidRPr="00C20CF6">
        <w:rPr>
          <w:rFonts w:ascii="Garamond" w:hAnsi="Garamond"/>
          <w:b/>
          <w:sz w:val="24"/>
        </w:rPr>
        <w:t>4. (ev.) Sudan</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Diskussions- och ev. beslutspunkt.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Ordförandeskapet har indikerat att man vill diskutera Sudan vid GAERC den 15 september och att slutsatser sannolikt skall antas. Slutsatserna kan väntas behandla den allvarliga och negativa utvecklingen i Darfur, behovet av en FN-insats och krav på humanitärt tillträde till den drabbade befolkningen. I detta skede saknas dock mer slutgiltig information</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Läget i Darfur idag är ytterst allvarligt, med pågående strider, ett ytterligare försämrat säkerhetsläge, fortsatta övergrepp mot civilbefolkning och attacker mot internationella aktörer. De humanitära behoven fortsätter att vara mycket omfattande. Uppgifter om truppsammandragningar inför utökade stridigheter förekommer frekvent.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Regeringen är allvarligt oroad över situationen i Darfur och är mycket angelägen om att ett FN-övertagande av AMIS-insatsen kan förverkligas. Säkerhetsrådet antog den 31 augusti en resolution i säkerhetsrådet om genomförande av en FN-insats. Regeringen ansluter sig till den breda uppslutningen i det internationella samfundet bakom kravet att regeringen i Khartoum nu skall acceptera en FN-insats i Darfur. Samtidigt fortsätter regeringen att stödja AMIS och utsträcka humanitärt stöd till befolkningen i Darfur</w:t>
      </w:r>
      <w:r w:rsidRPr="00C20CF6">
        <w:rPr>
          <w:rFonts w:ascii="Garamond" w:hAnsi="Garamond"/>
          <w:bCs/>
          <w:sz w:val="24"/>
        </w:rPr>
        <w: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
          <w:sz w:val="24"/>
        </w:rPr>
        <w:t>5. (ev.) Demokratiska Republiken Kongo</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Diskussions- och ev. beslutspunkt.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Ordförandeskapet har preliminärt indikerat att man eventuellt vill diskutera DRK vid GAERC den 15 september. Ingen ytterligare information har givits. Diskussionen kan förväntas handla om situationen i landet. Den första rundan av de första demokratiska valen i ägde rum den 30 juli. Våldet mellan presidentkandidaternas miliser och oroligheterna efter valet har dock lett till ett mycket skört säkerhetsläge. GAERC-diskussionen kan förväntas vara allmän och ha som huvudsakligt syfte att göra en bedömning av lä</w:t>
      </w:r>
      <w:r w:rsidRPr="00C20CF6">
        <w:rPr>
          <w:rFonts w:ascii="Garamond" w:hAnsi="Garamond"/>
          <w:bCs/>
          <w:sz w:val="24"/>
        </w:rPr>
        <w:t>get inför den andra valomgången och ge en översyn av EU-stödet och bedöma dess tillräcklighet.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Sverige deltar i den pågående militära EU-insatsen (EUFOR RD Congo) till stöd för FN-missionen MONUC för att främja säkerheten under valperioden. Sverige deltar också med valobservatörer. I Kongo har mer än 4 miljoner människor dödats sedan 1990-talets slut, och regeringen är angelägen att de för DR Kongos och regionens utveckling centrala valen genomförs på ett rättvist sätt, och att processen mot fred och demokrati fortsätter.</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
          <w:sz w:val="24"/>
        </w:rPr>
        <w:t>6. Fredsprocessen i Mellanöstern</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Diskussions- och beslutspunkt.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Ordförandeskapet har preliminärt indikerat att man vill diskutera Mellanöstern vid GAERC den 15 september. Ingen ytterligare information har givits. Diskussionen kan dock förväntas handla om FN-insatsen i Libanon, UNIFIL, och EU-ländernas stöd till denna efter det extrainsatta GAERC-mötet den 25 augusti. Diskussionen kan också komma att handla om EU:s roll i implementeringen av säkerhetsrådsresolution 1701, men även om läget i Mellanöstern i allmänhet och situationen i de palestinska områdena, särskilt Gaza</w:t>
      </w:r>
      <w:r w:rsidRPr="00C20CF6">
        <w:rPr>
          <w:rFonts w:ascii="Garamond" w:hAnsi="Garamond"/>
          <w:bCs/>
          <w:sz w:val="24"/>
        </w:rPr>
        <w:t xml:space="preserve">. </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Sverige planerar att bidra till UNIFIL med ett förband bestående av en korvett med underhållsenhet. Vi bidrar även med humanitärt stöd och till civila insatser som t.ex. minröjning. Sverige stod den 31 augusti värd för en givarkonferens för Libanon. Konferensen fokuserade på tidig återuppbyggnad enligt den behovsappell som Libanon har presenterat. Den 1 september står Sverige värd för en konferens för de palestinska områdena som ett uppföljningsmöte av Genève-mötet den 14 juli. Konferensen syftar till att d</w:t>
      </w:r>
      <w:r w:rsidRPr="00C20CF6">
        <w:rPr>
          <w:rFonts w:ascii="Garamond" w:hAnsi="Garamond"/>
          <w:bCs/>
          <w:sz w:val="24"/>
        </w:rPr>
        <w:t>iskutera hur man ska möta de stora humanitära behoven, de omedelbara återuppbyggnadsbehoven samt tillträdesfrågan.</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Regeringen verkar för att EU ska sända en enad signal till alla parter i Mellanöstern att avstå från åtgärder som förvärrar det redan spända läget och att alla parter skall respektera internationell rätt.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
          <w:sz w:val="24"/>
        </w:rPr>
      </w:pPr>
      <w:r w:rsidRPr="00C20CF6">
        <w:rPr>
          <w:rFonts w:ascii="Garamond" w:hAnsi="Garamond"/>
          <w:b/>
          <w:sz w:val="24"/>
        </w:rPr>
        <w:t>7. (ev.) Iran</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Diskussionspunkt och ev. beslutspunkt.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Ordförandeskapet har preliminärt indikerat att man eventuellt vill diskutera Iran vid GAERC den 15 september. Ingen ytterligare information har givits. Vid det extrainsatta GAERC den 25 augusti gav SG/HR Solana en redogörelse för läget i den kärntekniska frågan. Det svar som Iran givit på det ”paketerbjudande” med incitament för att frysa landets urananrikning som kretsen P5+1 (de fem permanenta medlemmarna i FN:s säkerhetsråd, samt Tyskland) genom SG/HR Solana levererat till Iran behövde studeras, och dess</w:t>
      </w:r>
      <w:r w:rsidRPr="00C20CF6">
        <w:rPr>
          <w:rFonts w:ascii="Garamond" w:hAnsi="Garamond"/>
          <w:bCs/>
          <w:sz w:val="24"/>
        </w:rPr>
        <w:t xml:space="preserve"> innehåll diskuteras med Iran. Frågan kommer även att diskuteras vid det inofficiella utrikesministermötet den 1-2 september. En diskussion vid GAERC den 15 september skulle därför kunna handla om EU:s reaktion på det iranska svaret och hur man bör gå vidare, och även om FN:s roll.</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Regeringen hoppas att Iran väljer att reagera positivt på det paket som EU, m fl har presenterat, vilket skulle möjliggöra förhandlingar och en avspänning i konflikten. Om Irans reaktion förblir negativ, anser regeringen att det är av vikt att det internationella samfundet står enat i sina krav på Iran. Eventuella sanktioner måste därför beslutas om i FN.</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
          <w:sz w:val="24"/>
        </w:rPr>
      </w:pPr>
      <w:r w:rsidRPr="00C20CF6">
        <w:rPr>
          <w:rFonts w:ascii="Garamond" w:hAnsi="Garamond"/>
          <w:b/>
          <w:sz w:val="24"/>
        </w:rPr>
        <w:t>8. (ev.) Irak</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Diskussionspunkt och ev. beslutspunkt.</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Ordförandeskapet har preliminärt indikerat att man vill diskutera Irak vid GAERC den 15 september. Ingen ytterligare information har givits. En GAERC-diskussion kommer sannolikt att handla om den rådande politiska situationen och säkerhetsläget samt en uppdatering om det av Irak och FN lanserade International Compact for Iraq. Eventuellt även en uppföljning av EU-kommissionens meddelande ”A renewed EU engagement in Iraq”.</w:t>
      </w:r>
    </w:p>
    <w:p w:rsidR="005D0606" w:rsidRPr="00C20CF6" w:rsidRDefault="005D0606">
      <w:pPr>
        <w:spacing w:line="240" w:lineRule="atLeast"/>
        <w:ind w:left="1418"/>
        <w:rPr>
          <w:rFonts w:ascii="Garamond" w:hAnsi="Garamond"/>
          <w:bCs/>
          <w:sz w:val="24"/>
        </w:rPr>
      </w:pPr>
    </w:p>
    <w:p w:rsidR="005D0606" w:rsidRPr="00C20CF6" w:rsidRDefault="005D0606">
      <w:pPr>
        <w:spacing w:line="240" w:lineRule="atLeast"/>
        <w:ind w:left="1418"/>
        <w:rPr>
          <w:rFonts w:ascii="Garamond" w:hAnsi="Garamond"/>
          <w:bCs/>
          <w:sz w:val="24"/>
        </w:rPr>
      </w:pPr>
      <w:r w:rsidRPr="00C20CF6">
        <w:rPr>
          <w:rFonts w:ascii="Garamond" w:hAnsi="Garamond"/>
          <w:bCs/>
          <w:sz w:val="24"/>
        </w:rPr>
        <w:t>Säkerhetsläget i landet och det sekteristiska våldet fortsätter att vara mycket oroande.  Shia- och sunnimiliserna bedöms utgöra det största hotet mot den politiska processen och återuppbyggnaden. Premiärminister Malikis initiativ, bla ett 24-punktsprogram för nationell försoning och utökade säkerhetsåtgärder i Bagdad, synes inte ha lett till påtagliga förbättringar för det irakiska folket. International Compact for Iraq ska utgöra ett ramverk för samarbetet mellan det internationella samfundet och Irak med</w:t>
      </w:r>
      <w:r w:rsidRPr="00C20CF6">
        <w:rPr>
          <w:rFonts w:ascii="Garamond" w:hAnsi="Garamond"/>
          <w:bCs/>
          <w:sz w:val="24"/>
        </w:rPr>
        <w:t xml:space="preserve"> fokus på återuppbyggnaden och ekonomisk återhämtning. FN har bjudit in till utrikesministermöte 18 september för att diskutera Compact. Sverige har välkomnat EU-kommissionens meddelande om ett förnyat EU-engagemang i Irak och kommer fortsätta att vara drivande i denna fråga.</w:t>
      </w:r>
      <w:r w:rsidRPr="00C20CF6">
        <w:rPr>
          <w:rFonts w:ascii="Garamond" w:hAnsi="Garamond"/>
          <w:bCs/>
          <w:sz w:val="24"/>
        </w:rPr>
        <w:tab/>
      </w:r>
    </w:p>
    <w:p w:rsidR="005D0606" w:rsidRPr="00C20CF6" w:rsidRDefault="005D0606">
      <w:pPr>
        <w:spacing w:line="240" w:lineRule="atLeast"/>
        <w:ind w:left="1418"/>
        <w:rPr>
          <w:rFonts w:ascii="Garamond" w:hAnsi="Garamond"/>
          <w:bCs/>
          <w:sz w:val="24"/>
        </w:rPr>
      </w:pPr>
    </w:p>
    <w:p w:rsidR="005D0606" w:rsidRPr="00C20CF6" w:rsidRDefault="005D0606">
      <w:pPr>
        <w:pStyle w:val="Rubrik2"/>
        <w:ind w:left="1418"/>
        <w:rPr>
          <w:i w:val="0"/>
        </w:rPr>
      </w:pPr>
      <w:r w:rsidRPr="00C20CF6">
        <w:t>I anslutning till mötet</w:t>
      </w:r>
    </w:p>
    <w:p w:rsidR="005D0606" w:rsidRPr="00C20CF6" w:rsidRDefault="005D0606">
      <w:pPr>
        <w:ind w:left="1418"/>
      </w:pPr>
    </w:p>
    <w:p w:rsidR="005D0606" w:rsidRPr="00C20CF6" w:rsidRDefault="005D0606">
      <w:pPr>
        <w:tabs>
          <w:tab w:val="left" w:pos="5103"/>
        </w:tabs>
        <w:spacing w:line="240" w:lineRule="atLeast"/>
        <w:ind w:left="1418"/>
        <w:jc w:val="both"/>
        <w:rPr>
          <w:rFonts w:ascii="Garamond" w:hAnsi="Garamond"/>
          <w:b/>
          <w:color w:val="000000"/>
          <w:sz w:val="24"/>
        </w:rPr>
      </w:pPr>
      <w:r w:rsidRPr="00C20CF6">
        <w:rPr>
          <w:rFonts w:ascii="Garamond" w:hAnsi="Garamond"/>
          <w:b/>
          <w:color w:val="000000"/>
          <w:sz w:val="24"/>
        </w:rPr>
        <w:t xml:space="preserve"> Samarbetsråd EU-Ukraina</w:t>
      </w:r>
    </w:p>
    <w:p w:rsidR="005D0606" w:rsidRPr="00C20CF6" w:rsidRDefault="005D0606">
      <w:pPr>
        <w:tabs>
          <w:tab w:val="left" w:pos="5103"/>
        </w:tabs>
        <w:spacing w:line="240" w:lineRule="atLeast"/>
        <w:ind w:left="1418"/>
        <w:jc w:val="both"/>
        <w:rPr>
          <w:rFonts w:ascii="Garamond" w:hAnsi="Garamond"/>
          <w:bCs/>
          <w:color w:val="000000"/>
          <w:sz w:val="24"/>
        </w:rPr>
      </w:pPr>
    </w:p>
    <w:p w:rsidR="005D0606" w:rsidRPr="00C20CF6" w:rsidRDefault="005D0606">
      <w:pPr>
        <w:tabs>
          <w:tab w:val="left" w:pos="5103"/>
        </w:tabs>
        <w:spacing w:line="240" w:lineRule="atLeast"/>
        <w:ind w:left="1418"/>
        <w:jc w:val="both"/>
        <w:rPr>
          <w:rFonts w:ascii="Garamond" w:hAnsi="Garamond"/>
          <w:bCs/>
          <w:color w:val="000000"/>
          <w:sz w:val="24"/>
        </w:rPr>
      </w:pPr>
      <w:r w:rsidRPr="00C20CF6">
        <w:rPr>
          <w:rFonts w:ascii="Garamond" w:hAnsi="Garamond"/>
          <w:bCs/>
          <w:color w:val="000000"/>
          <w:sz w:val="24"/>
        </w:rPr>
        <w:t>Representanter för Ukraina och Europeiska unionen träffas regelbundet för att diskutera aktuella frågor och utmaningar inom ramen för Ukrainas relationer med den Europeiska unionen. Särskilt fokus ligger på att behandla frågor som rör EU-Ukraina-handlingsplanen. I förhandlingarna företräds EU av kommissionen.</w:t>
      </w:r>
    </w:p>
    <w:p w:rsidR="005D0606" w:rsidRPr="00C20CF6" w:rsidRDefault="005D0606">
      <w:pPr>
        <w:tabs>
          <w:tab w:val="left" w:pos="5103"/>
        </w:tabs>
        <w:spacing w:line="240" w:lineRule="atLeast"/>
        <w:ind w:left="1418"/>
        <w:jc w:val="both"/>
        <w:rPr>
          <w:rFonts w:ascii="Garamond" w:hAnsi="Garamond"/>
          <w:bCs/>
          <w:color w:val="000000"/>
          <w:sz w:val="24"/>
        </w:rPr>
      </w:pPr>
    </w:p>
    <w:p w:rsidR="005D0606" w:rsidRPr="00C20CF6" w:rsidRDefault="005D0606">
      <w:pPr>
        <w:tabs>
          <w:tab w:val="left" w:pos="5103"/>
        </w:tabs>
        <w:spacing w:line="240" w:lineRule="atLeast"/>
        <w:ind w:left="1418"/>
        <w:jc w:val="both"/>
        <w:rPr>
          <w:rFonts w:ascii="Garamond" w:hAnsi="Garamond"/>
          <w:bCs/>
          <w:color w:val="000000"/>
          <w:sz w:val="24"/>
        </w:rPr>
      </w:pPr>
      <w:r w:rsidRPr="00C20CF6">
        <w:rPr>
          <w:rFonts w:ascii="Garamond" w:hAnsi="Garamond"/>
          <w:bCs/>
          <w:color w:val="000000"/>
          <w:sz w:val="24"/>
        </w:rPr>
        <w:t xml:space="preserve">Detta är det 10:e samarbetsrådet mellan EU och Ukraina, vilket har varit försenat i avvaktan på de utdragna ukrainska regeringsförhandlingarna. </w:t>
      </w:r>
    </w:p>
    <w:bookmarkEnd w:id="1"/>
    <w:p w:rsidR="005D0606" w:rsidRPr="00C20CF6" w:rsidRDefault="005D0606">
      <w:pPr>
        <w:tabs>
          <w:tab w:val="left" w:pos="5103"/>
        </w:tabs>
        <w:spacing w:line="240" w:lineRule="atLeast"/>
        <w:jc w:val="both"/>
        <w:rPr>
          <w:rFonts w:ascii="Garamond" w:hAnsi="Garamond"/>
          <w:b/>
          <w:color w:val="000000"/>
          <w:sz w:val="24"/>
        </w:rPr>
      </w:pPr>
    </w:p>
    <w:sectPr w:rsidR="005D0606" w:rsidRPr="00C20CF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606" w:rsidRPr="00C20CF6" w:rsidRDefault="005D0606">
      <w:r w:rsidRPr="00C20CF6">
        <w:separator/>
      </w:r>
    </w:p>
  </w:endnote>
  <w:endnote w:type="continuationSeparator" w:id="0">
    <w:p w:rsidR="005D0606" w:rsidRPr="00C20CF6" w:rsidRDefault="005D0606">
      <w:r w:rsidRPr="00C20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606" w:rsidRPr="00C20CF6" w:rsidRDefault="005D0606">
    <w:pPr>
      <w:pStyle w:val="Sidfot"/>
      <w:framePr w:wrap="auto" w:vAnchor="text" w:hAnchor="margin" w:xAlign="right" w:y="1"/>
      <w:rPr>
        <w:rStyle w:val="Sidnummer"/>
      </w:rPr>
    </w:pPr>
    <w:r w:rsidRPr="00C20CF6">
      <w:rPr>
        <w:rStyle w:val="Sidnummer"/>
      </w:rPr>
      <w:fldChar w:fldCharType="begin" w:fldLock="1"/>
    </w:r>
    <w:r w:rsidRPr="00C20CF6">
      <w:rPr>
        <w:rStyle w:val="Sidnummer"/>
      </w:rPr>
      <w:instrText xml:space="preserve">PAGE  </w:instrText>
    </w:r>
    <w:r w:rsidRPr="00C20CF6">
      <w:rPr>
        <w:rStyle w:val="Sidnummer"/>
      </w:rPr>
      <w:fldChar w:fldCharType="separate"/>
    </w:r>
    <w:r w:rsidRPr="00C20CF6">
      <w:rPr>
        <w:rStyle w:val="Sidnummer"/>
      </w:rPr>
      <w:t>1</w:t>
    </w:r>
    <w:r w:rsidRPr="00C20CF6">
      <w:rPr>
        <w:rStyle w:val="Sidnummer"/>
      </w:rPr>
      <w:fldChar w:fldCharType="end"/>
    </w:r>
  </w:p>
  <w:p w:rsidR="005D0606" w:rsidRPr="00C20CF6" w:rsidRDefault="005D0606">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606" w:rsidRPr="00C20CF6" w:rsidRDefault="005D0606">
      <w:r w:rsidRPr="00C20CF6">
        <w:separator/>
      </w:r>
    </w:p>
  </w:footnote>
  <w:footnote w:type="continuationSeparator" w:id="0">
    <w:p w:rsidR="005D0606" w:rsidRPr="00C20CF6" w:rsidRDefault="005D0606">
      <w:r w:rsidRPr="00C20CF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2"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5"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6"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173182130">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573665706">
    <w:abstractNumId w:val="18"/>
  </w:num>
  <w:num w:numId="3" w16cid:durableId="1742095653">
    <w:abstractNumId w:val="25"/>
  </w:num>
  <w:num w:numId="4" w16cid:durableId="1432898018">
    <w:abstractNumId w:val="1"/>
  </w:num>
  <w:num w:numId="5" w16cid:durableId="640774393">
    <w:abstractNumId w:val="3"/>
  </w:num>
  <w:num w:numId="6" w16cid:durableId="1343628670">
    <w:abstractNumId w:val="17"/>
  </w:num>
  <w:num w:numId="7" w16cid:durableId="178814326">
    <w:abstractNumId w:val="26"/>
  </w:num>
  <w:num w:numId="8" w16cid:durableId="2009019120">
    <w:abstractNumId w:val="21"/>
  </w:num>
  <w:num w:numId="9" w16cid:durableId="1772160748">
    <w:abstractNumId w:val="8"/>
  </w:num>
  <w:num w:numId="10" w16cid:durableId="1178619399">
    <w:abstractNumId w:val="6"/>
  </w:num>
  <w:num w:numId="11" w16cid:durableId="869073591">
    <w:abstractNumId w:val="10"/>
  </w:num>
  <w:num w:numId="12" w16cid:durableId="1529022520">
    <w:abstractNumId w:val="24"/>
  </w:num>
  <w:num w:numId="13" w16cid:durableId="2087536175">
    <w:abstractNumId w:val="14"/>
  </w:num>
  <w:num w:numId="14" w16cid:durableId="1090934540">
    <w:abstractNumId w:val="20"/>
  </w:num>
  <w:num w:numId="15" w16cid:durableId="501508043">
    <w:abstractNumId w:val="11"/>
  </w:num>
  <w:num w:numId="16" w16cid:durableId="479156256">
    <w:abstractNumId w:val="4"/>
  </w:num>
  <w:num w:numId="17" w16cid:durableId="285086041">
    <w:abstractNumId w:val="7"/>
  </w:num>
  <w:num w:numId="18" w16cid:durableId="880627909">
    <w:abstractNumId w:val="15"/>
  </w:num>
  <w:num w:numId="19" w16cid:durableId="1749837375">
    <w:abstractNumId w:val="22"/>
  </w:num>
  <w:num w:numId="20" w16cid:durableId="985016200">
    <w:abstractNumId w:val="2"/>
  </w:num>
  <w:num w:numId="21" w16cid:durableId="1245147880">
    <w:abstractNumId w:val="23"/>
  </w:num>
  <w:num w:numId="22" w16cid:durableId="172107756">
    <w:abstractNumId w:val="19"/>
  </w:num>
  <w:num w:numId="23" w16cid:durableId="1105417358">
    <w:abstractNumId w:val="13"/>
  </w:num>
  <w:num w:numId="24" w16cid:durableId="466631134">
    <w:abstractNumId w:val="9"/>
  </w:num>
  <w:num w:numId="25" w16cid:durableId="1076051469">
    <w:abstractNumId w:val="5"/>
  </w:num>
  <w:num w:numId="26" w16cid:durableId="838496618">
    <w:abstractNumId w:val="16"/>
  </w:num>
  <w:num w:numId="27" w16cid:durableId="825635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3A"/>
    <w:rsid w:val="005D0606"/>
    <w:rsid w:val="00C1403A"/>
    <w:rsid w:val="00C20C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AF806D-A5AF-4C11-ACC9-B33D954E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semiHidden/>
  </w:style>
  <w:style w:type="paragraph" w:styleId="Sidfot">
    <w:name w:val="footer"/>
    <w:basedOn w:val="Normal"/>
    <w:semiHidden/>
    <w:pPr>
      <w:tabs>
        <w:tab w:val="center" w:pos="4153"/>
        <w:tab w:val="right" w:pos="8306"/>
      </w:tabs>
    </w:pPr>
    <w:rPr>
      <w:sz w:val="24"/>
    </w:rPr>
  </w:style>
  <w:style w:type="paragraph" w:styleId="Brdtext">
    <w:name w:val="Body Text"/>
    <w:basedOn w:val="Normal"/>
    <w:semiHidden/>
    <w:pPr>
      <w:spacing w:line="320" w:lineRule="exact"/>
    </w:pPr>
    <w:rPr>
      <w:rFonts w:ascii="Garamond" w:hAnsi="Garamond"/>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semiHidden/>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1323</Words>
  <Characters>8219</Characters>
  <Application>Microsoft Office Word</Application>
  <DocSecurity>4</DocSecurity>
  <Lines>216</Lines>
  <Paragraphs>53</Paragraphs>
  <ScaleCrop>false</ScaleCrop>
  <HeadingPairs>
    <vt:vector size="2" baseType="variant">
      <vt:variant>
        <vt:lpstr>Titel</vt:lpstr>
      </vt:variant>
      <vt:variant>
        <vt:i4>1</vt:i4>
      </vt:variant>
    </vt:vector>
  </HeadingPairs>
  <TitlesOfParts>
    <vt:vector size="1" baseType="lpstr">
      <vt:lpstr>REGERINGSKANSLIET</vt:lpstr>
    </vt:vector>
  </TitlesOfParts>
  <Company>UD</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2006-09-01T09:06:00Z</cp:lastPrinted>
  <dcterms:created xsi:type="dcterms:W3CDTF">2025-12-16T23:19:00Z</dcterms:created>
  <dcterms:modified xsi:type="dcterms:W3CDTF">2025-12-16T23:19:00Z</dcterms:modified>
</cp:coreProperties>
</file>