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55F6" w:rsidRPr="003D50EE" w:rsidRDefault="003F55F6">
      <w:pPr>
        <w:pStyle w:val="Hemstlrubrik"/>
      </w:pPr>
      <w:r w:rsidRPr="003D50EE">
        <w:t>Förslag till riksdagsbeslut</w:t>
      </w:r>
    </w:p>
    <w:p w:rsidR="003F55F6" w:rsidRPr="003D50EE" w:rsidRDefault="003F55F6">
      <w:pPr>
        <w:pStyle w:val="Hemstlatt"/>
        <w:ind w:left="0"/>
      </w:pPr>
      <w:r w:rsidRPr="003D50EE">
        <w:t xml:space="preserve">Riksdagen tillkännager för regeringen som sin mening vad som anförs i motionen om en översyn av rättegångsbalken. </w:t>
      </w:r>
    </w:p>
    <w:p w:rsidR="003F55F6" w:rsidRPr="003D50EE" w:rsidRDefault="003F55F6">
      <w:pPr>
        <w:pStyle w:val="Rubrik1"/>
      </w:pPr>
      <w:r w:rsidRPr="003D50EE">
        <w:t>Motivering</w:t>
      </w:r>
    </w:p>
    <w:p w:rsidR="003F55F6" w:rsidRPr="003D50EE" w:rsidRDefault="003F55F6">
      <w:r w:rsidRPr="003D50EE">
        <w:t>Offentligheten i våra domstolar motiveras främst som en kontrollfunktion. Allmänhetens, och senare också massmediers, tillträde till förhandlingarna är en garanti för rättssäkerhet och effektivitet. Mot intresset av en omfattande insyn från samhällets sida i domstolarnas arbete står emellertid också enski</w:t>
      </w:r>
      <w:r w:rsidRPr="003D50EE">
        <w:t>l</w:t>
      </w:r>
      <w:r w:rsidRPr="003D50EE">
        <w:t>das rätt till integritet. Det gäller vittnen, målsäganden och även tilltalade.</w:t>
      </w:r>
    </w:p>
    <w:p w:rsidR="003F55F6" w:rsidRPr="003D50EE" w:rsidRDefault="003F55F6">
      <w:pPr>
        <w:pStyle w:val="Normaltindrag"/>
      </w:pPr>
      <w:r w:rsidRPr="003D50EE">
        <w:t>Från huvudregeln om offentlighet finns en rad undantag med hänvisning till bland annat ordningen vid rättegången och uppgifter som skyddas av se</w:t>
      </w:r>
      <w:r w:rsidRPr="003D50EE">
        <w:t>k</w:t>
      </w:r>
      <w:r w:rsidRPr="003D50EE">
        <w:t>retess. Exempelvis gäller fotograferingsförbud under tid som förhandlingen pågår. Syftet med förbudet är att ”förhindra störningar under förhandlingen och att skydda den tilltalade från onödigt lidande” (Ekelöf /Edelstam, Rätt</w:t>
      </w:r>
      <w:r w:rsidRPr="003D50EE">
        <w:t>e</w:t>
      </w:r>
      <w:r w:rsidRPr="003D50EE">
        <w:t>gång I, åttonde upplagan, s. 170).</w:t>
      </w:r>
    </w:p>
    <w:p w:rsidR="003F55F6" w:rsidRPr="003D50EE" w:rsidRDefault="003F55F6">
      <w:pPr>
        <w:pStyle w:val="Normaltindrag"/>
      </w:pPr>
      <w:r w:rsidRPr="003D50EE">
        <w:t>Fotograferingsförbudet tycks dock inte hindra att fotografer genom en ö</w:t>
      </w:r>
      <w:r w:rsidRPr="003D50EE">
        <w:t>p</w:t>
      </w:r>
      <w:r w:rsidRPr="003D50EE">
        <w:t>pen dörr in i förhandlingssalar tar bilder av tilltalade eller målsäganden ögo</w:t>
      </w:r>
      <w:r w:rsidRPr="003D50EE">
        <w:t>n</w:t>
      </w:r>
      <w:r w:rsidRPr="003D50EE">
        <w:t xml:space="preserve">blicken innan eller efter förhandlingen. Mot den bakgrunden bör väl även ifrågasättas vilken funktion som fotograferingsförbudet egentligen har?  </w:t>
      </w:r>
    </w:p>
    <w:p w:rsidR="003F55F6" w:rsidRPr="003D50EE" w:rsidRDefault="003F55F6">
      <w:pPr>
        <w:pStyle w:val="Normaltindrag"/>
      </w:pPr>
      <w:r w:rsidRPr="003D50EE">
        <w:t>Massmediers möjligheter att dokumentera vad som sker under domstol</w:t>
      </w:r>
      <w:r w:rsidRPr="003D50EE">
        <w:t>s</w:t>
      </w:r>
      <w:r w:rsidRPr="003D50EE">
        <w:t>förhandlingar synes ha ökat något de senaste årtiondena. Trots detta kan man förmoda att det fortfarande finns en stark uppslutning kring tanken att offen</w:t>
      </w:r>
      <w:r w:rsidRPr="003D50EE">
        <w:t>t</w:t>
      </w:r>
      <w:r w:rsidRPr="003D50EE">
        <w:t>ligheten kan och bör begränsas också med hänsyn till den enskildes integritet.</w:t>
      </w:r>
    </w:p>
    <w:p w:rsidR="003F55F6" w:rsidRPr="003D50EE" w:rsidRDefault="003F55F6">
      <w:pPr>
        <w:pStyle w:val="Normaltindrag"/>
      </w:pPr>
      <w:r w:rsidRPr="003D50EE">
        <w:t>Trycket från massmedier är starkt och spektakulära brott får allt större pu</w:t>
      </w:r>
      <w:r w:rsidRPr="003D50EE">
        <w:t>b</w:t>
      </w:r>
      <w:r w:rsidRPr="003D50EE">
        <w:t xml:space="preserve">licitet. I den mediala konkurrensen förekommer ständiga försök att tänja på gränserna för offentligheten. Den utveckling som beskrivits ovan när det gäller ökande offentlighet har i första hand skett genom praxisförändring, </w:t>
      </w:r>
      <w:r w:rsidRPr="003D50EE">
        <w:lastRenderedPageBreak/>
        <w:t>vilket kan vara betänkligt när det gäller enskildas möjligheter att förutsäga tillåtligheten. Det är samtidigt svårt att avgöra om de övergripande avvä</w:t>
      </w:r>
      <w:r w:rsidRPr="003D50EE">
        <w:t>g</w:t>
      </w:r>
      <w:r w:rsidRPr="003D50EE">
        <w:t>ningar som bör ske blir tillräckligt utförliga.</w:t>
      </w:r>
    </w:p>
    <w:p w:rsidR="003F55F6" w:rsidRPr="003D50EE" w:rsidRDefault="003F55F6">
      <w:pPr>
        <w:pStyle w:val="Normaltindrag"/>
      </w:pPr>
      <w:r w:rsidRPr="003D50EE">
        <w:t>I samband med att tingsrätten i Uppsala höll syn i den s.k. Knutbypastorns bostad aktua</w:t>
      </w:r>
      <w:r w:rsidRPr="003D50EE">
        <w:t>liserades på nytt konflikten mellan kravet på offentlighet och integritet. Efter att tingsrätten lämnat bostaden genomfördes en ny provskju</w:t>
      </w:r>
      <w:r w:rsidRPr="003D50EE">
        <w:t>t</w:t>
      </w:r>
      <w:r w:rsidRPr="003D50EE">
        <w:t>ning av det handeldvapen som användes vid brottet, inför massmedierna. I dagstidningarna dagen efter synen fanns bilder från många olika rum i huset och detaljerade redogörelser för vilka böcker, filmer och annat som Knutb</w:t>
      </w:r>
      <w:r w:rsidRPr="003D50EE">
        <w:t>y</w:t>
      </w:r>
      <w:r w:rsidRPr="003D50EE">
        <w:t>pastorn och hans familj hade i sin ägo.</w:t>
      </w:r>
    </w:p>
    <w:p w:rsidR="003F55F6" w:rsidRPr="003D50EE" w:rsidRDefault="003F55F6">
      <w:pPr>
        <w:pStyle w:val="Normaltindrag"/>
      </w:pPr>
      <w:r w:rsidRPr="003D50EE">
        <w:t>I sammanhanget finns det skäl att påminna om vad Processlagsberednin</w:t>
      </w:r>
      <w:r w:rsidRPr="003D50EE">
        <w:t>g</w:t>
      </w:r>
      <w:r w:rsidRPr="003D50EE">
        <w:t>en anförde beträffande bevismedlet syn (NJA II 1943 s. 504): ”Beredningen ansåg det uppenbart att rätten vid utsättande av syn har att tillse att enskilda intressen inte kränks i vidare mån än som kan anses skäligt.”</w:t>
      </w:r>
    </w:p>
    <w:p w:rsidR="003F55F6" w:rsidRPr="003D50EE" w:rsidRDefault="003F55F6">
      <w:pPr>
        <w:pStyle w:val="Normaltindrag"/>
      </w:pPr>
      <w:r w:rsidRPr="003D50EE">
        <w:t xml:space="preserve">Trots det ovannämnda fotograferingsförbudet cirkulerar också bilder i massmedier som tagits av andra tilltalade från platser utanför rättssalen. I ett fall har dock JO (2001/02 s. </w:t>
      </w:r>
      <w:smartTag w:uri="urn:schemas-microsoft-com:office:smarttags" w:element="metricconverter">
        <w:smartTagPr>
          <w:attr w:name="ProductID" w:val="46 f"/>
        </w:smartTagPr>
        <w:r w:rsidRPr="003D50EE">
          <w:t>46 f</w:t>
        </w:r>
      </w:smartTag>
      <w:r w:rsidRPr="003D50EE">
        <w:t>.) bedömt att förbudet även omfattar sådana situationer, i varje fall medan förhandling pågår.</w:t>
      </w:r>
    </w:p>
    <w:p w:rsidR="003F55F6" w:rsidRPr="003D50EE" w:rsidRDefault="003F55F6">
      <w:pPr>
        <w:pStyle w:val="Normaltindrag"/>
      </w:pPr>
      <w:r w:rsidRPr="003D50EE">
        <w:t>Sammanfattningsvis tycks konflikter mellan offentligheten hos våra do</w:t>
      </w:r>
      <w:r w:rsidRPr="003D50EE">
        <w:t>m</w:t>
      </w:r>
      <w:r w:rsidRPr="003D50EE">
        <w:t>stolar och enskildas krav på integritet bli alltmer frekventa och brännande. För att öka rättssäkerheten på området och skapa möjligheter för en helhet</w:t>
      </w:r>
      <w:r w:rsidRPr="003D50EE">
        <w:t>s</w:t>
      </w:r>
      <w:r w:rsidRPr="003D50EE">
        <w:t>bedömning bör dessa gränsdragningar i rättegångsbalken bli föremål för en översyn från lagstiftarens sida. Riksdagen bör besluta att ge regeringen i up</w:t>
      </w:r>
      <w:r w:rsidRPr="003D50EE">
        <w:t>p</w:t>
      </w:r>
      <w:r w:rsidRPr="003D50EE">
        <w:t>drag att utreda behovet av ändringar eller förtydliganden och återkomma med eventuella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50EE">
        <w:trPr>
          <w:cantSplit/>
        </w:trPr>
        <w:tc>
          <w:tcPr>
            <w:tcW w:w="3046" w:type="dxa"/>
          </w:tcPr>
          <w:p w:rsidR="003F55F6" w:rsidRPr="003D50EE" w:rsidRDefault="003F55F6">
            <w:pPr>
              <w:pStyle w:val="UnderskriftDatum"/>
              <w:spacing w:before="240"/>
            </w:pPr>
            <w:r w:rsidRPr="003D50EE">
              <w:t>Stockholm den 2 oktober 2007</w:t>
            </w:r>
          </w:p>
        </w:tc>
        <w:tc>
          <w:tcPr>
            <w:tcW w:w="3047" w:type="dxa"/>
          </w:tcPr>
          <w:p w:rsidR="003F55F6" w:rsidRPr="003D50EE" w:rsidRDefault="003F55F6">
            <w:pPr>
              <w:pStyle w:val="Underskrifter"/>
              <w:spacing w:before="240"/>
            </w:pPr>
          </w:p>
        </w:tc>
      </w:tr>
      <w:tr w:rsidR="00000000" w:rsidRPr="003D50EE">
        <w:trPr>
          <w:cantSplit/>
        </w:trPr>
        <w:tc>
          <w:tcPr>
            <w:tcW w:w="3046" w:type="dxa"/>
          </w:tcPr>
          <w:p w:rsidR="003F55F6" w:rsidRPr="003D50EE" w:rsidRDefault="003F55F6">
            <w:pPr>
              <w:pStyle w:val="Underskrifter"/>
            </w:pPr>
            <w:r w:rsidRPr="003D50EE">
              <w:t>Allan Widman (fp)</w:t>
            </w:r>
          </w:p>
        </w:tc>
        <w:tc>
          <w:tcPr>
            <w:tcW w:w="3046" w:type="dxa"/>
          </w:tcPr>
          <w:p w:rsidR="003F55F6" w:rsidRPr="003D50EE" w:rsidRDefault="003F55F6">
            <w:pPr>
              <w:pStyle w:val="Underskrifter"/>
            </w:pPr>
          </w:p>
        </w:tc>
      </w:tr>
    </w:tbl>
    <w:p w:rsidR="003F55F6" w:rsidRPr="003D50EE" w:rsidRDefault="003F55F6">
      <w:pPr>
        <w:pStyle w:val="Normaltindrag"/>
      </w:pPr>
    </w:p>
    <w:sectPr w:rsidR="003F55F6" w:rsidRPr="003D50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5F6" w:rsidRPr="003D50EE" w:rsidRDefault="003F55F6">
      <w:r w:rsidRPr="003D50EE">
        <w:separator/>
      </w:r>
    </w:p>
  </w:endnote>
  <w:endnote w:type="continuationSeparator" w:id="0">
    <w:p w:rsidR="003F55F6" w:rsidRPr="003D50EE" w:rsidRDefault="003F55F6">
      <w:r w:rsidRPr="003D50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D50EE">
    <w:pPr>
      <w:pStyle w:val="Sidfot"/>
    </w:pPr>
    <w:r w:rsidRPr="003D50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37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5F6" w:rsidRDefault="003F55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55F6" w:rsidRDefault="003F55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D50EE">
    <w:pPr>
      <w:pStyle w:val="Sidfot"/>
    </w:pPr>
    <w:r w:rsidRPr="003D50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0912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5F6" w:rsidRDefault="003F5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55F6" w:rsidRDefault="003F5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D50EE">
    <w:pPr>
      <w:pStyle w:val="Sidfot"/>
    </w:pPr>
    <w:r w:rsidRPr="003D50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2324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5F6" w:rsidRDefault="003F5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55F6" w:rsidRDefault="003F5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5F6" w:rsidRPr="003D50EE" w:rsidRDefault="003F55F6">
      <w:r w:rsidRPr="003D50EE">
        <w:separator/>
      </w:r>
    </w:p>
  </w:footnote>
  <w:footnote w:type="continuationSeparator" w:id="0">
    <w:p w:rsidR="003F55F6" w:rsidRPr="003D50EE" w:rsidRDefault="003F55F6">
      <w:r w:rsidRPr="003D50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D50EE">
    <w:pPr>
      <w:pStyle w:val="Sidhuvud"/>
    </w:pPr>
    <w:r w:rsidRPr="003D50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805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5F6" w:rsidRDefault="003F55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55F6" w:rsidRDefault="003F55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D50EE">
    <w:pPr>
      <w:pStyle w:val="Sidhuvud"/>
    </w:pPr>
    <w:r w:rsidRPr="003D50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09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55F6" w:rsidRDefault="003F55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55F6" w:rsidRDefault="003F55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55F6" w:rsidRPr="003D50EE" w:rsidRDefault="003F55F6">
    <w:pPr>
      <w:pStyle w:val="FSHNormal"/>
      <w:tabs>
        <w:tab w:val="right" w:pos="5840"/>
      </w:tabs>
    </w:pPr>
    <w:r w:rsidRPr="003D50EE">
      <w:br/>
    </w:r>
    <w:r w:rsidRPr="003D50EE">
      <w:fldChar w:fldCharType="begin" w:fldLock="1"/>
    </w:r>
    <w:r w:rsidRPr="003D50EE">
      <w:instrText xml:space="preserve"> DOCPROPERTY</w:instrText>
    </w:r>
    <w:r w:rsidRPr="003D50EE">
      <w:rPr>
        <w:sz w:val="18"/>
      </w:rPr>
      <w:instrText xml:space="preserve"> "YearUser" *\charformat </w:instrText>
    </w:r>
    <w:r w:rsidRPr="003D50EE">
      <w:fldChar w:fldCharType="separate"/>
    </w:r>
    <w:r w:rsidRPr="003D50EE">
      <w:t>2007/08</w:t>
    </w:r>
    <w:r w:rsidRPr="003D50EE">
      <w:fldChar w:fldCharType="end"/>
    </w:r>
    <w:r w:rsidRPr="003D50EE">
      <w:t xml:space="preserve"> </w:t>
    </w:r>
    <w:r w:rsidRPr="003D50EE">
      <w:tab/>
      <w:t xml:space="preserve">mnr: </w:t>
    </w:r>
    <w:r w:rsidRPr="003D50EE">
      <w:fldChar w:fldCharType="begin" w:fldLock="1"/>
    </w:r>
    <w:r w:rsidRPr="003D50EE">
      <w:instrText xml:space="preserve"> DOCPROPERTY</w:instrText>
    </w:r>
    <w:r w:rsidRPr="003D50EE">
      <w:rPr>
        <w:sz w:val="18"/>
      </w:rPr>
      <w:instrText xml:space="preserve"> "Motionsnummer" *\charformat </w:instrText>
    </w:r>
    <w:r w:rsidRPr="003D50EE">
      <w:fldChar w:fldCharType="separate"/>
    </w:r>
    <w:r w:rsidRPr="003D50EE">
      <w:t>Ju364</w:t>
    </w:r>
    <w:r w:rsidRPr="003D50EE">
      <w:fldChar w:fldCharType="end"/>
    </w:r>
    <w:r w:rsidRPr="003D50EE">
      <w:br/>
    </w:r>
    <w:r w:rsidRPr="003D50EE">
      <w:fldChar w:fldCharType="begin" w:fldLock="1"/>
    </w:r>
    <w:r w:rsidRPr="003D50EE">
      <w:instrText xml:space="preserve"> DOCPROPERTY</w:instrText>
    </w:r>
    <w:r w:rsidRPr="003D50EE">
      <w:rPr>
        <w:sz w:val="18"/>
      </w:rPr>
      <w:instrText xml:space="preserve"> "Samling" *\charformat </w:instrText>
    </w:r>
    <w:r w:rsidRPr="003D50EE">
      <w:fldChar w:fldCharType="end"/>
    </w:r>
    <w:r w:rsidRPr="003D50EE">
      <w:tab/>
      <w:t xml:space="preserve">pnr: </w:t>
    </w:r>
    <w:r w:rsidRPr="003D50EE">
      <w:fldChar w:fldCharType="begin" w:fldLock="1"/>
    </w:r>
    <w:r w:rsidRPr="003D50EE">
      <w:instrText xml:space="preserve"> DOCPROPERTY</w:instrText>
    </w:r>
    <w:r w:rsidRPr="003D50EE">
      <w:rPr>
        <w:sz w:val="18"/>
      </w:rPr>
      <w:instrText xml:space="preserve"> "Partinummer" *\charformat </w:instrText>
    </w:r>
    <w:r w:rsidRPr="003D50EE">
      <w:fldChar w:fldCharType="separate"/>
    </w:r>
    <w:r w:rsidRPr="003D50EE">
      <w:t>fp1549</w:t>
    </w:r>
    <w:r w:rsidRPr="003D50EE">
      <w:fldChar w:fldCharType="end"/>
    </w:r>
  </w:p>
  <w:p w:rsidR="003F55F6" w:rsidRPr="003D50EE" w:rsidRDefault="003F55F6">
    <w:pPr>
      <w:pStyle w:val="FSHRub1"/>
    </w:pPr>
    <w:r w:rsidRPr="003D50EE">
      <w:t>Motion till riksdagen</w:t>
    </w:r>
    <w:r w:rsidRPr="003D50EE">
      <w:br/>
    </w:r>
    <w:r w:rsidRPr="003D50EE">
      <w:fldChar w:fldCharType="begin" w:fldLock="1"/>
    </w:r>
    <w:r w:rsidRPr="003D50EE">
      <w:instrText xml:space="preserve"> DOCPROPERTY "YearUser" *\charformat </w:instrText>
    </w:r>
    <w:r w:rsidRPr="003D50EE">
      <w:fldChar w:fldCharType="separate"/>
    </w:r>
    <w:r w:rsidRPr="003D50EE">
      <w:t>2007/08</w:t>
    </w:r>
    <w:r w:rsidRPr="003D50EE">
      <w:fldChar w:fldCharType="end"/>
    </w:r>
    <w:r w:rsidRPr="003D50EE">
      <w:t>:</w:t>
    </w:r>
    <w:r w:rsidRPr="003D50EE">
      <w:fldChar w:fldCharType="begin" w:fldLock="1"/>
    </w:r>
    <w:r w:rsidRPr="003D50EE">
      <w:instrText xml:space="preserve"> DOCPROPERTY "Motionsnummer" *\charformat </w:instrText>
    </w:r>
    <w:r w:rsidRPr="003D50EE">
      <w:fldChar w:fldCharType="separate"/>
    </w:r>
    <w:r w:rsidRPr="003D50EE">
      <w:t>Ju364</w:t>
    </w:r>
    <w:r w:rsidRPr="003D50EE">
      <w:fldChar w:fldCharType="end"/>
    </w:r>
  </w:p>
  <w:p w:rsidR="003F55F6" w:rsidRPr="003D50EE" w:rsidRDefault="003F55F6">
    <w:pPr>
      <w:pStyle w:val="FSHNormalS5"/>
    </w:pPr>
    <w:r w:rsidRPr="003D50EE">
      <w:fldChar w:fldCharType="begin" w:fldLock="1"/>
    </w:r>
    <w:r w:rsidRPr="003D50EE">
      <w:instrText xml:space="preserve"> DOCPROPERTY "MotionarText" *\charformat </w:instrText>
    </w:r>
    <w:r w:rsidRPr="003D50EE">
      <w:fldChar w:fldCharType="separate"/>
    </w:r>
    <w:r w:rsidRPr="003D50EE">
      <w:t>av Allan Widman (fp)</w:t>
    </w:r>
    <w:r w:rsidRPr="003D50EE">
      <w:fldChar w:fldCharType="end"/>
    </w:r>
    <w:r w:rsidRPr="003D50EE">
      <w:br/>
    </w:r>
    <w:r w:rsidRPr="003D50EE">
      <w:fldChar w:fldCharType="begin" w:fldLock="1"/>
    </w:r>
    <w:r w:rsidRPr="003D50EE">
      <w:instrText xml:space="preserve"> DOCPROPERTY "SvarFrasKort" *\charformat </w:instrText>
    </w:r>
    <w:r w:rsidRPr="003D50EE">
      <w:fldChar w:fldCharType="end"/>
    </w:r>
  </w:p>
  <w:p w:rsidR="003F55F6" w:rsidRPr="003D50EE" w:rsidRDefault="003F55F6">
    <w:pPr>
      <w:pStyle w:val="FSHTitel"/>
    </w:pPr>
    <w:r w:rsidRPr="003D50EE">
      <w:fldChar w:fldCharType="begin" w:fldLock="1"/>
    </w:r>
    <w:r w:rsidRPr="003D50EE">
      <w:instrText xml:space="preserve"> DOCPROPERTY</w:instrText>
    </w:r>
    <w:r w:rsidRPr="003D50EE">
      <w:rPr>
        <w:sz w:val="18"/>
      </w:rPr>
      <w:instrText xml:space="preserve"> "RubrikSvar" *\charformat </w:instrText>
    </w:r>
    <w:r w:rsidRPr="003D50EE">
      <w:fldChar w:fldCharType="separate"/>
    </w:r>
    <w:r w:rsidRPr="003D50EE">
      <w:t>Integritet i brottmålsprocesser</w:t>
    </w:r>
    <w:r w:rsidRPr="003D50EE">
      <w:fldChar w:fldCharType="end"/>
    </w:r>
  </w:p>
  <w:p w:rsidR="003F55F6" w:rsidRPr="003D50EE" w:rsidRDefault="003F55F6">
    <w:pPr>
      <w:pStyle w:val="Normal00"/>
    </w:pPr>
  </w:p>
  <w:p w:rsidR="003F55F6" w:rsidRPr="003D50EE" w:rsidRDefault="003F55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4827594">
    <w:abstractNumId w:val="8"/>
  </w:num>
  <w:num w:numId="2" w16cid:durableId="1307856700">
    <w:abstractNumId w:val="9"/>
  </w:num>
  <w:num w:numId="3" w16cid:durableId="85394357">
    <w:abstractNumId w:val="8"/>
  </w:num>
  <w:num w:numId="4" w16cid:durableId="1741948968">
    <w:abstractNumId w:val="9"/>
  </w:num>
  <w:num w:numId="5" w16cid:durableId="559246258">
    <w:abstractNumId w:val="13"/>
  </w:num>
  <w:num w:numId="6" w16cid:durableId="1662192001">
    <w:abstractNumId w:val="10"/>
  </w:num>
  <w:num w:numId="7" w16cid:durableId="1392457845">
    <w:abstractNumId w:val="11"/>
  </w:num>
  <w:num w:numId="8" w16cid:durableId="281620119">
    <w:abstractNumId w:val="12"/>
  </w:num>
  <w:num w:numId="9" w16cid:durableId="445851091">
    <w:abstractNumId w:val="8"/>
  </w:num>
  <w:num w:numId="10" w16cid:durableId="1436555742">
    <w:abstractNumId w:val="3"/>
  </w:num>
  <w:num w:numId="11" w16cid:durableId="547570626">
    <w:abstractNumId w:val="2"/>
  </w:num>
  <w:num w:numId="12" w16cid:durableId="1044865039">
    <w:abstractNumId w:val="1"/>
  </w:num>
  <w:num w:numId="13" w16cid:durableId="1720594132">
    <w:abstractNumId w:val="0"/>
  </w:num>
  <w:num w:numId="14" w16cid:durableId="797914296">
    <w:abstractNumId w:val="9"/>
  </w:num>
  <w:num w:numId="15" w16cid:durableId="963197856">
    <w:abstractNumId w:val="7"/>
  </w:num>
  <w:num w:numId="16" w16cid:durableId="993685231">
    <w:abstractNumId w:val="6"/>
  </w:num>
  <w:num w:numId="17" w16cid:durableId="591594854">
    <w:abstractNumId w:val="5"/>
  </w:num>
  <w:num w:numId="18" w16cid:durableId="15073575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C17F4761-6F66-440C-96F8-6F2D7169F6A4}"/>
  </w:docVars>
  <w:rsids>
    <w:rsidRoot w:val="009747FD"/>
    <w:rsid w:val="003D50EE"/>
    <w:rsid w:val="003F55F6"/>
    <w:rsid w:val="009747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A4252AD-4A92-485B-8A54-6A57D09E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3115</Characters>
  <Application>Microsoft Office Word</Application>
  <DocSecurity>4</DocSecurity>
  <Lines>56</Lines>
  <Paragraphs>16</Paragraphs>
  <ScaleCrop>false</ScaleCrop>
  <HeadingPairs>
    <vt:vector size="2" baseType="variant">
      <vt:variant>
        <vt:lpstr>Rubrik</vt:lpstr>
      </vt:variant>
      <vt:variant>
        <vt:i4>1</vt:i4>
      </vt:variant>
    </vt:vector>
  </HeadingPairs>
  <TitlesOfParts>
    <vt:vector size="1" baseType="lpstr">
      <vt:lpstr>fp1549</vt:lpstr>
    </vt:vector>
  </TitlesOfParts>
  <Company>Riksdagen</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fp1549</dc:title>
  <dc:subject>fp1549</dc:subject>
  <dc:creator>Riksdagen</dc:creator>
  <cp:keywords>Riksdagen</cp:keywords>
  <dc:description>TKG-ktrl, MSMQ4mb, PersReg-Distribution mm</dc:description>
  <cp:lastModifiedBy>Lars Brink</cp:lastModifiedBy>
  <cp:revision>2</cp:revision>
  <cp:lastPrinted>2007-12-18T08:33:00Z</cp:lastPrinted>
  <dcterms:created xsi:type="dcterms:W3CDTF">2025-12-17T05:51:00Z</dcterms:created>
  <dcterms:modified xsi:type="dcterms:W3CDTF">2025-12-17T05:51:00Z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Integritet i brottmålsprocesser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Integritet i brottmålsprocesser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Allan Widman (fp)</vt:lpwstr>
  </property>
  <property fmtid="{D5CDD505-2E9C-101B-9397-08002B2CF9AE}" pid="26" name="MotionarLista">
    <vt:lpwstr>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jens.pettersson@riksdagen.se</vt:lpwstr>
  </property>
  <property fmtid="{D5CDD505-2E9C-101B-9397-08002B2CF9AE}" pid="45" name="ReservUID">
    <vt:lpwstr>js1104aa</vt:lpwstr>
  </property>
  <property fmtid="{D5CDD505-2E9C-101B-9397-08002B2CF9AE}" pid="46" name="MotionID">
    <vt:lpwstr>20072008000001020112000015490069</vt:lpwstr>
  </property>
  <property fmtid="{D5CDD505-2E9C-101B-9397-08002B2CF9AE}" pid="47" name="datum">
    <vt:lpwstr>071002</vt:lpwstr>
  </property>
  <property fmtid="{D5CDD505-2E9C-101B-9397-08002B2CF9AE}" pid="48" name="avsändar-e-post">
    <vt:lpwstr>jens.pettersson@riksdagen.se</vt:lpwstr>
  </property>
  <property fmtid="{D5CDD505-2E9C-101B-9397-08002B2CF9AE}" pid="49" name="id">
    <vt:lpwstr>20072008000001020112000015490069</vt:lpwstr>
  </property>
  <property fmtid="{D5CDD505-2E9C-101B-9397-08002B2CF9AE}" pid="50" name="nummer">
    <vt:lpwstr>364</vt:lpwstr>
  </property>
  <property fmtid="{D5CDD505-2E9C-101B-9397-08002B2CF9AE}" pid="51" name="utskottsbeteckning">
    <vt:lpwstr>Ju</vt:lpwstr>
  </property>
  <property fmtid="{D5CDD505-2E9C-101B-9397-08002B2CF9AE}" pid="52" name="GlobalUID">
    <vt:lpwstr>{EF68F82C-A23B-4A3E-A7C3-C8D3BEC31D63}</vt:lpwstr>
  </property>
  <property fmtid="{D5CDD505-2E9C-101B-9397-08002B2CF9AE}" pid="53" name="Överföringar">
    <vt:i4>0</vt:i4>
  </property>
  <property fmtid="{D5CDD505-2E9C-101B-9397-08002B2CF9AE}" pid="54" name="Checksum">
    <vt:lpwstr>*0013054967397*</vt:lpwstr>
  </property>
  <property fmtid="{D5CDD505-2E9C-101B-9397-08002B2CF9AE}" pid="55" name="skuggnummer">
    <vt:lpwstr>2010</vt:lpwstr>
  </property>
  <property fmtid="{D5CDD505-2E9C-101B-9397-08002B2CF9AE}" pid="56" name="urixVersion">
    <vt:lpwstr>3.2.0.8</vt:lpwstr>
  </property>
  <property fmtid="{D5CDD505-2E9C-101B-9397-08002B2CF9AE}" pid="57" name="urixOrigin">
    <vt:lpwstr>071218 09:33:17.381</vt:lpwstr>
  </property>
  <property fmtid="{D5CDD505-2E9C-101B-9397-08002B2CF9AE}" pid="58" name="urixGuid">
    <vt:lpwstr>{445F2017-ADD3-4A42-8233-2EC446E820C1}</vt:lpwstr>
  </property>
</Properties>
</file>