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5A87" w:rsidRDefault="00C05A87">
      <w:pPr>
        <w:pStyle w:val="Rubrik1"/>
        <w:spacing w:before="0"/>
      </w:pPr>
      <w:bookmarkStart w:id="0" w:name="_Toc401553501"/>
      <w:r>
        <w:t>Till finansutskottet</w:t>
      </w:r>
      <w:bookmarkEnd w:id="0"/>
    </w:p>
    <w:p w:rsidR="00C05A87" w:rsidRDefault="00C05A87">
      <w:r>
        <w:t>Finansutskottet har genom beslut den 8 oktober 1997 berett övriga utskott tillfälle att avge yttrande över proposition 1997/98:1 Budgetpropositionen för år 1998 (volym 1) i vad avser den ekonomiska politiken och förslag till statsbudget för budgetåret 1998, utgifternas fördelning på utgiftsområden och beräkningen av statsinkomsterna, låneramar m.m. (yrkandena 1–12 och 24–44) jämte motioner i de delar som berör respektive utskotts beredning</w:t>
      </w:r>
      <w:r>
        <w:t>s</w:t>
      </w:r>
      <w:r>
        <w:t>omr</w:t>
      </w:r>
      <w:r>
        <w:t>å</w:t>
      </w:r>
      <w:r>
        <w:t xml:space="preserve">de. </w:t>
      </w:r>
    </w:p>
    <w:p w:rsidR="00C05A87" w:rsidRDefault="00C05A87">
      <w:r>
        <w:t>Utrikesutskottet väljer att i det följande yttra sig över propositionens yrka</w:t>
      </w:r>
      <w:r>
        <w:t>n</w:t>
      </w:r>
      <w:r>
        <w:t>den 4, 5 och 9, samtliga i berörd del, samt över de yrkanden i motionerna Fi206 (m), Fi212 (fp), Fi215 (kd), Fi218 (c), Fi219 (mp), Fi220 (v), U224 (m) och Fö225 (m) som berör utskottets beredningsområde. Vidare överlä</w:t>
      </w:r>
      <w:r>
        <w:t>m</w:t>
      </w:r>
      <w:r>
        <w:t>nas med yttrandet, under förutsättning av finansutskottets accepterande hä</w:t>
      </w:r>
      <w:r>
        <w:t>r</w:t>
      </w:r>
      <w:r>
        <w:t>-</w:t>
      </w:r>
      <w:r>
        <w:br/>
        <w:t>av, motionerna 1997/98:U224 (m) yrkande 4 (i den del som berör anslaget Samarbete och utveckling inom Östersjöregionen), 1997/98:U307 (m) y</w:t>
      </w:r>
      <w:r>
        <w:t>r</w:t>
      </w:r>
      <w:r>
        <w:t>kande 5 och 1997/98:U809 (m) yrkande 4.</w:t>
      </w:r>
    </w:p>
    <w:p w:rsidR="00C05A87" w:rsidRDefault="00C05A87">
      <w:pPr>
        <w:pStyle w:val="Normaltindrag"/>
      </w:pPr>
    </w:p>
    <w:p w:rsidR="00C05A87" w:rsidRDefault="00C05A87">
      <w:pPr>
        <w:pStyle w:val="Rubrik2"/>
      </w:pPr>
      <w:bookmarkStart w:id="1" w:name="_Toc401553502"/>
      <w:r>
        <w:t>Propositionen</w:t>
      </w:r>
      <w:bookmarkEnd w:id="1"/>
    </w:p>
    <w:p w:rsidR="00C05A87" w:rsidRDefault="00C05A87">
      <w:r>
        <w:t>Regeringen föreslår (prop. 1997/98:1, volym 1) att riksdagen</w:t>
      </w:r>
    </w:p>
    <w:p w:rsidR="00C05A87" w:rsidRDefault="00C05A87">
      <w:pPr>
        <w:pStyle w:val="Normaltindrag"/>
        <w:rPr>
          <w:rFonts w:ascii="BBEHIZ+Sabon-Italic" w:hAnsi="BBEHIZ+Sabon-Italic"/>
        </w:rPr>
      </w:pPr>
      <w:r>
        <w:rPr>
          <w:rFonts w:ascii="BBEHIZ+Sabon-Italic" w:hAnsi="BBEHIZ+Sabon-Italic"/>
        </w:rPr>
        <w:t>såvitt avser den ekonomiska politiken och förslag till statsbudget för bu</w:t>
      </w:r>
      <w:r>
        <w:rPr>
          <w:rFonts w:ascii="BBEHIZ+Sabon-Italic" w:hAnsi="BBEHIZ+Sabon-Italic"/>
        </w:rPr>
        <w:t>d</w:t>
      </w:r>
      <w:r>
        <w:rPr>
          <w:rFonts w:ascii="BBEHIZ+Sabon-Italic" w:hAnsi="BBEHIZ+Sabon-Italic"/>
        </w:rPr>
        <w:t>ge</w:t>
      </w:r>
      <w:r>
        <w:rPr>
          <w:rFonts w:ascii="BBEHIZ+Sabon-Italic" w:hAnsi="BBEHIZ+Sabon-Italic"/>
        </w:rPr>
        <w:t>t</w:t>
      </w:r>
      <w:r>
        <w:rPr>
          <w:rFonts w:ascii="BBEHIZ+Sabon-Italic" w:hAnsi="BBEHIZ+Sabon-Italic"/>
        </w:rPr>
        <w:t>året 1998</w:t>
      </w:r>
    </w:p>
    <w:p w:rsidR="00C05A87" w:rsidRDefault="00C05A87">
      <w:pPr>
        <w:rPr>
          <w:rFonts w:ascii="BJBGJZ+Sabon-Roman" w:hAnsi="BJBGJZ+Sabon-Roman"/>
        </w:rPr>
      </w:pPr>
      <w:r>
        <w:rPr>
          <w:rFonts w:ascii="BJBGJZ+Sabon-Roman" w:hAnsi="BJBGJZ+Sabon-Roman"/>
        </w:rPr>
        <w:t>4. beslutar om fördelning av utgifterna för budgetåret 1998 på utgiftsomr</w:t>
      </w:r>
      <w:r>
        <w:rPr>
          <w:rFonts w:ascii="BJBGJZ+Sabon-Roman" w:hAnsi="BJBGJZ+Sabon-Roman"/>
        </w:rPr>
        <w:t>å</w:t>
      </w:r>
      <w:r>
        <w:rPr>
          <w:rFonts w:ascii="BJBGJZ+Sabon-Roman" w:hAnsi="BJBGJZ+Sabon-Roman"/>
        </w:rPr>
        <w:t>den i enlighet med vad regeringen anfört (avsnitt 4.5.3, tabell 4.10),</w:t>
      </w:r>
    </w:p>
    <w:p w:rsidR="00C05A87" w:rsidRDefault="00C05A87">
      <w:pPr>
        <w:rPr>
          <w:rFonts w:ascii="BJBGJZ+Sabon-Roman" w:hAnsi="BJBGJZ+Sabon-Roman"/>
        </w:rPr>
      </w:pPr>
      <w:r>
        <w:rPr>
          <w:rFonts w:ascii="BJBGJZ+Sabon-Roman" w:hAnsi="BJBGJZ+Sabon-Roman"/>
        </w:rPr>
        <w:t>5. godkänner den preliminära fördelningen av utgifterna på utgiftsområden för budgetåren 1999 och 2000 som riktlinjer för regeringens budgetarbete (avsnitt 4.5.3, tabell 4.10),</w:t>
      </w:r>
    </w:p>
    <w:p w:rsidR="00C05A87" w:rsidRDefault="00C05A87">
      <w:pPr>
        <w:rPr>
          <w:rFonts w:ascii="BJBGJZ+Sabon-Roman" w:hAnsi="BJBGJZ+Sabon-Roman"/>
        </w:rPr>
      </w:pPr>
      <w:r>
        <w:rPr>
          <w:rFonts w:ascii="BJBGJZ+Sabon-Roman" w:hAnsi="BJBGJZ+Sabon-Roman"/>
        </w:rPr>
        <w:t>9. bemyndigar regeringen att för budgetåret 1998 dels besluta om lån i Rik</w:t>
      </w:r>
      <w:r>
        <w:rPr>
          <w:rFonts w:ascii="BJBGJZ+Sabon-Roman" w:hAnsi="BJBGJZ+Sabon-Roman"/>
        </w:rPr>
        <w:t>s</w:t>
      </w:r>
      <w:r>
        <w:rPr>
          <w:rFonts w:ascii="BJBGJZ+Sabon-Roman" w:hAnsi="BJBGJZ+Sabon-Roman"/>
        </w:rPr>
        <w:t>gäldskontoret till investeringar i anläggningstillgångar intill ett sammanlagt belopp av 15 700 000 000 kr, dels besluta om krediter för myndigheters räntekonton intill ett sammanlagt belopp av 13 400 000 000 kr (avsnitt 4.6, tabellerna 4.11 och 4.12).</w:t>
      </w:r>
    </w:p>
    <w:p w:rsidR="00C05A87" w:rsidRDefault="00C05A87">
      <w:r>
        <w:lastRenderedPageBreak/>
        <w:t xml:space="preserve">Vad avser utrikesutskottets beredningsområde innebär detta att regeringen för 1998 föreslår (yrkande 4 i berörd del) en utgiftsram (tusental kronor, löpande priser) för </w:t>
      </w:r>
      <w:r>
        <w:rPr>
          <w:i/>
        </w:rPr>
        <w:t>utgiftsområde 5</w:t>
      </w:r>
      <w:r>
        <w:t xml:space="preserve">, Utrikesförvaltning och internationell samverkan, på 2 811 310 och för </w:t>
      </w:r>
      <w:r>
        <w:rPr>
          <w:i/>
        </w:rPr>
        <w:t>utgiftsområde 7</w:t>
      </w:r>
      <w:r>
        <w:t>, Internationellt bistånd, på 11 434 400.</w:t>
      </w:r>
    </w:p>
    <w:p w:rsidR="00C05A87" w:rsidRDefault="00C05A87">
      <w:pPr>
        <w:pStyle w:val="Normaltindrag"/>
      </w:pPr>
      <w:r>
        <w:t>Den av regeringen föreslagna (yrkande 5 i berörd del), preliminära förde</w:t>
      </w:r>
      <w:r>
        <w:t>l</w:t>
      </w:r>
      <w:r>
        <w:t xml:space="preserve">ningen av utgifter (miljoner kronor, löpande priser) för </w:t>
      </w:r>
      <w:r>
        <w:rPr>
          <w:i/>
        </w:rPr>
        <w:t>utgiftsområde</w:t>
      </w:r>
      <w:r>
        <w:t xml:space="preserve"> </w:t>
      </w:r>
      <w:r>
        <w:rPr>
          <w:i/>
        </w:rPr>
        <w:t>5</w:t>
      </w:r>
      <w:r>
        <w:t xml:space="preserve"> uppgår till 2 873 för 1999 och till 2 943 för 2000. För </w:t>
      </w:r>
      <w:r>
        <w:rPr>
          <w:i/>
        </w:rPr>
        <w:t>utgiftsområde</w:t>
      </w:r>
      <w:r>
        <w:t xml:space="preserve"> </w:t>
      </w:r>
      <w:r>
        <w:rPr>
          <w:i/>
        </w:rPr>
        <w:t>7</w:t>
      </w:r>
      <w:r>
        <w:t xml:space="preserve"> up</w:t>
      </w:r>
      <w:r>
        <w:t>p</w:t>
      </w:r>
      <w:r>
        <w:t>går motsvarande förslag till 12 028 för 1999 och 13 041 för 2000.</w:t>
      </w:r>
    </w:p>
    <w:p w:rsidR="00C05A87" w:rsidRDefault="00C05A87">
      <w:pPr>
        <w:pStyle w:val="Normaltindrag"/>
      </w:pPr>
      <w:r>
        <w:t>Ovan redovisade belopp, jämte de förslag som i motsvarande delar fra</w:t>
      </w:r>
      <w:r>
        <w:t>m</w:t>
      </w:r>
      <w:r>
        <w:t>förts motionsvis, redovisas i tabellarisk form i bilaga till detta yttrande.</w:t>
      </w:r>
    </w:p>
    <w:p w:rsidR="00C05A87" w:rsidRDefault="00C05A87">
      <w:pPr>
        <w:pStyle w:val="Normaltindrag"/>
      </w:pPr>
      <w:r>
        <w:t>I yrkande 9 begärs, inom utrikesutskottets beredningsområde, dels låneb</w:t>
      </w:r>
      <w:r>
        <w:t>e</w:t>
      </w:r>
      <w:r>
        <w:t>myndigande avseende utgiftsområde 5 om 261,8 miljoner kronor och avs</w:t>
      </w:r>
      <w:r>
        <w:t>e</w:t>
      </w:r>
      <w:r>
        <w:t>ende utgiftsområde 7 om 62,0 miljoner kronor, dels beslut om krediter för myndigheternas räntekonton intill ett belopp om 167,0 miljoner kronor avs</w:t>
      </w:r>
      <w:r>
        <w:t>e</w:t>
      </w:r>
      <w:r>
        <w:t>ende utgiftsområde 5 och 41,2 miljoner kronor avseende utgiftsområde 7.</w:t>
      </w:r>
    </w:p>
    <w:p w:rsidR="00C05A87" w:rsidRDefault="00C05A87">
      <w:pPr>
        <w:pStyle w:val="Rubrik3"/>
      </w:pPr>
      <w:bookmarkStart w:id="2" w:name="_Toc401553503"/>
      <w:r>
        <w:t>Sammanfattning av propositionen</w:t>
      </w:r>
      <w:bookmarkEnd w:id="2"/>
    </w:p>
    <w:p w:rsidR="00C05A87" w:rsidRDefault="00C05A87">
      <w:pPr>
        <w:pStyle w:val="Rubrik4"/>
        <w:spacing w:before="123"/>
      </w:pPr>
      <w:bookmarkStart w:id="3" w:name="_Toc401553504"/>
      <w:r>
        <w:t>Utgiftsområde 5: Utrikesförvaltning och intern</w:t>
      </w:r>
      <w:r>
        <w:t>a</w:t>
      </w:r>
      <w:r>
        <w:t>tionell samverkan</w:t>
      </w:r>
      <w:bookmarkEnd w:id="3"/>
    </w:p>
    <w:p w:rsidR="00C05A87" w:rsidRDefault="00C05A87">
      <w:pPr>
        <w:rPr>
          <w:rFonts w:ascii="CGJGCZ+Sabon-Roman" w:hAnsi="CGJGCZ+Sabon-Roman"/>
        </w:rPr>
      </w:pPr>
      <w:r>
        <w:rPr>
          <w:rFonts w:ascii="CGJGCZ+Sabon-Roman" w:hAnsi="CGJGCZ+Sabon-Roman"/>
        </w:rPr>
        <w:t>Utgiftsområdet omfattar förvaltningskostnader för Utrikesdepartementet och de 100 utlandsmyndigheterna, bidrag till vissa internationella organisationer, information om Sverige i utlandet, nedrustnings- och säkerhetspolitiska frågor samt övriga utrikespolitiska frågor som omfattar strategisk exportko</w:t>
      </w:r>
      <w:r>
        <w:rPr>
          <w:rFonts w:ascii="CGJGCZ+Sabon-Roman" w:hAnsi="CGJGCZ+Sabon-Roman"/>
        </w:rPr>
        <w:t>n</w:t>
      </w:r>
      <w:r>
        <w:rPr>
          <w:rFonts w:ascii="CGJGCZ+Sabon-Roman" w:hAnsi="CGJGCZ+Sabon-Roman"/>
        </w:rPr>
        <w:t>troll och Europainformation. Målet för utgiftsområdet är att säkerställa Sv</w:t>
      </w:r>
      <w:r>
        <w:rPr>
          <w:rFonts w:ascii="CGJGCZ+Sabon-Roman" w:hAnsi="CGJGCZ+Sabon-Roman"/>
        </w:rPr>
        <w:t>e</w:t>
      </w:r>
      <w:r>
        <w:rPr>
          <w:rFonts w:ascii="CGJGCZ+Sabon-Roman" w:hAnsi="CGJGCZ+Sabon-Roman"/>
        </w:rPr>
        <w:t>riges intressen i förbindelserna med andra länder. Särskild uppmärksamhet kommer under 1998 att ägnas bl.a. ett utvidgat och förstärkt EU-samarbete, ett aktivt arbete i säkerhetsrådet och genom andra åtgärder ett fortsatt stöd till FN:s och andra organisationers arbete för internationell fred, säkerhet och mänskliga rättigheter. Bland de prioriterade verksamheterna finns även ett utvidgat regionalt samarbete kring Östersjön.</w:t>
      </w:r>
    </w:p>
    <w:p w:rsidR="00C05A87" w:rsidRDefault="00C05A87">
      <w:pPr>
        <w:pStyle w:val="Normaltindrag"/>
      </w:pPr>
      <w:r>
        <w:t>De förslag till besparingsåtgärder som redovisades i den ekonomiska vå</w:t>
      </w:r>
      <w:r>
        <w:t>r</w:t>
      </w:r>
      <w:r>
        <w:t>propositionen fullföljs. Ramen för utgiftsområdet beräknas för år 1998 till</w:t>
      </w:r>
      <w:r>
        <w:br/>
        <w:t>2 811 miljoner kronor, för år 1999 till 2 873 miljoner kronor och för år 2000 till 2 943 miljoner kronor.</w:t>
      </w:r>
    </w:p>
    <w:p w:rsidR="00C05A87" w:rsidRDefault="00C05A87">
      <w:pPr>
        <w:pStyle w:val="Rubrik4"/>
      </w:pPr>
      <w:bookmarkStart w:id="4" w:name="_Toc401553505"/>
      <w:r>
        <w:t>Utgiftsområde 7: Internationellt bistånd</w:t>
      </w:r>
      <w:bookmarkEnd w:id="4"/>
    </w:p>
    <w:p w:rsidR="00C05A87" w:rsidRDefault="00C05A87">
      <w:pPr>
        <w:rPr>
          <w:rFonts w:ascii="CGJGCZ+Sabon-Roman" w:hAnsi="CGJGCZ+Sabon-Roman"/>
        </w:rPr>
      </w:pPr>
      <w:r>
        <w:rPr>
          <w:rFonts w:ascii="CGJGCZ+Sabon-Roman" w:hAnsi="CGJGCZ+Sabon-Roman"/>
        </w:rPr>
        <w:t>Utgiftsområdet omfattar utvecklingssamarbete med u-länder och samarbete med länder i Central- och Östeuropa. Det överordnade målet för Sveriges internationella utvecklingssamarbete är att höja de fattiga folkens levnadsn</w:t>
      </w:r>
      <w:r>
        <w:rPr>
          <w:rFonts w:ascii="CGJGCZ+Sabon-Roman" w:hAnsi="CGJGCZ+Sabon-Roman"/>
        </w:rPr>
        <w:t>i</w:t>
      </w:r>
      <w:r>
        <w:rPr>
          <w:rFonts w:ascii="CGJGCZ+Sabon-Roman" w:hAnsi="CGJGCZ+Sabon-Roman"/>
        </w:rPr>
        <w:t>vå. Riksdagen har lagt fast sex biståndspolitiska mål: resurstillväxt, ekon</w:t>
      </w:r>
      <w:r>
        <w:rPr>
          <w:rFonts w:ascii="CGJGCZ+Sabon-Roman" w:hAnsi="CGJGCZ+Sabon-Roman"/>
        </w:rPr>
        <w:t>o</w:t>
      </w:r>
      <w:r>
        <w:rPr>
          <w:rFonts w:ascii="CGJGCZ+Sabon-Roman" w:hAnsi="CGJGCZ+Sabon-Roman"/>
        </w:rPr>
        <w:t>misk och politisk självständighet, ekonomisk och social utjämning, dem</w:t>
      </w:r>
      <w:r>
        <w:rPr>
          <w:rFonts w:ascii="CGJGCZ+Sabon-Roman" w:hAnsi="CGJGCZ+Sabon-Roman"/>
        </w:rPr>
        <w:t>o</w:t>
      </w:r>
      <w:r>
        <w:rPr>
          <w:rFonts w:ascii="CGJGCZ+Sabon-Roman" w:hAnsi="CGJGCZ+Sabon-Roman"/>
        </w:rPr>
        <w:t>kratisk samhällsutveckling, en framsynt hushållning med naturresurser och omsorg om miljön samt jämställdhet mellan kvinnor och män. Regeringen har under de senaste åren genomfört ett omfattande policyarbete och omo</w:t>
      </w:r>
      <w:r>
        <w:rPr>
          <w:rFonts w:ascii="CGJGCZ+Sabon-Roman" w:hAnsi="CGJGCZ+Sabon-Roman"/>
        </w:rPr>
        <w:t>r</w:t>
      </w:r>
      <w:r>
        <w:rPr>
          <w:rFonts w:ascii="CGJGCZ+Sabon-Roman" w:hAnsi="CGJGCZ+Sabon-Roman"/>
        </w:rPr>
        <w:t>ganiserat biståndsförvaltningen. Sverige har en ledande roll i reformeringen av FN:s ekonomiska och sociala verksamhet, som nu går in i ett avgörande skede. Under år 1998 kommer regeringen att lägga fram en skrivelse om demokrati, utveckling och biståndets roll. En ny Afrikapolitik bereds.</w:t>
      </w:r>
    </w:p>
    <w:p w:rsidR="00C05A87" w:rsidRDefault="00C05A87">
      <w:pPr>
        <w:pStyle w:val="Normaltindrag"/>
      </w:pPr>
      <w:r>
        <w:t>Målen för samarbetet med Central- och Östeuropa är att främja en säke</w:t>
      </w:r>
      <w:r>
        <w:t>r</w:t>
      </w:r>
      <w:r>
        <w:t>hetsgemenskap, fördjupa demokratins kultur, stödja en socialt hållbar ek</w:t>
      </w:r>
      <w:r>
        <w:t>o</w:t>
      </w:r>
      <w:r>
        <w:t>nomisk omvandling samt att stödja en miljömässigt hållbar utveckling. Hä</w:t>
      </w:r>
      <w:r>
        <w:t>r</w:t>
      </w:r>
      <w:r>
        <w:t>till har regeringen beslutat att allt samarbete skall genomsyras av ett jä</w:t>
      </w:r>
      <w:r>
        <w:t>m</w:t>
      </w:r>
      <w:r>
        <w:t xml:space="preserve">ställdhetsperspektiv. Insatser som syftar till att inlemma länderna i Central- och Östeuropa i det europeiska samarbetet prioriteras. För samarbetet med länder i Central- och Östeuropa, har riksdagen beslutat om ett program för åren 1995–1998 omfattande 4 010 miljoner kronor. Regeringen avser under våren 1998 att förelägga riksdagen förslag till inriktning och omfattning av samarbetet för åren 1999–2001. </w:t>
      </w:r>
    </w:p>
    <w:p w:rsidR="00C05A87" w:rsidRDefault="00C05A87">
      <w:pPr>
        <w:pStyle w:val="Normaltindrag"/>
      </w:pPr>
      <w:r>
        <w:t>Ambitionen är att Sverige åter skall uppnå enprocentsmålet för bistånd</w:t>
      </w:r>
      <w:r>
        <w:t>s</w:t>
      </w:r>
      <w:r>
        <w:t>ramen när de statsfinansiella förutsättningarna för detta föreligger. Regerin</w:t>
      </w:r>
      <w:r>
        <w:t>g</w:t>
      </w:r>
      <w:r>
        <w:t>en har i sin beräkning av ramen för utgiftsområdet utgått från att biståndsr</w:t>
      </w:r>
      <w:r>
        <w:t>a</w:t>
      </w:r>
      <w:r>
        <w:t>men för åren 1998 och 1999 skall uppgå till 0,70 % av BNI för att år 2000 öka till 0,72 % av BNI. Biståndsramen för 1998 har minskat med 65 miljoner kronor jämfört med beräkningarna i regeringens ekonomiska vårproposition på grund av ändrad BNI-prognos. Ramen för utgiftsområdet föreslås för år 1998 till 11 434 miljoner kronor och beräknas för år 1999 till 12 028 milj</w:t>
      </w:r>
      <w:r>
        <w:t>o</w:t>
      </w:r>
      <w:r>
        <w:t>ner kronor och för år 2000 till 13 041 miljoner kronor.</w:t>
      </w:r>
    </w:p>
    <w:p w:rsidR="00C05A87" w:rsidRDefault="00C05A87">
      <w:pPr>
        <w:pStyle w:val="R4"/>
      </w:pPr>
      <w:bookmarkStart w:id="5" w:name="_Toc401553506"/>
      <w:r>
        <w:t>Lån för myndigheters investeringar i anläggningstillgångar och myndigheters krediter i Rik</w:t>
      </w:r>
      <w:r>
        <w:t>s</w:t>
      </w:r>
      <w:r>
        <w:t>gäldskontoret</w:t>
      </w:r>
      <w:bookmarkEnd w:id="5"/>
    </w:p>
    <w:p w:rsidR="00C05A87" w:rsidRDefault="00C05A87">
      <w:pPr>
        <w:rPr>
          <w:rFonts w:ascii="CGJGCZ+Sabon-Roman" w:hAnsi="CGJGCZ+Sabon-Roman"/>
        </w:rPr>
      </w:pPr>
      <w:r>
        <w:rPr>
          <w:rFonts w:ascii="CGJGCZ+Sabon-Roman" w:hAnsi="CGJGCZ+Sabon-Roman"/>
        </w:rPr>
        <w:t>Enligt lagen (1996:1059) om statsbudgeten skall riksdagen årligen fastställa en total låneram i Riksgäldskontoret för myndigheters investeringar i a</w:t>
      </w:r>
      <w:r>
        <w:rPr>
          <w:rFonts w:ascii="CGJGCZ+Sabon-Roman" w:hAnsi="CGJGCZ+Sabon-Roman"/>
        </w:rPr>
        <w:t>n</w:t>
      </w:r>
      <w:r>
        <w:rPr>
          <w:rFonts w:ascii="CGJGCZ+Sabon-Roman" w:hAnsi="CGJGCZ+Sabon-Roman"/>
        </w:rPr>
        <w:t>läggningstillgångar som används i statens verksamhet (20 §). Vidare skall riksdagen årligen fastställa en total kreditram i Riksgäldskontoret för my</w:t>
      </w:r>
      <w:r>
        <w:rPr>
          <w:rFonts w:ascii="CGJGCZ+Sabon-Roman" w:hAnsi="CGJGCZ+Sabon-Roman"/>
        </w:rPr>
        <w:t>n</w:t>
      </w:r>
      <w:r>
        <w:rPr>
          <w:rFonts w:ascii="CGJGCZ+Sabon-Roman" w:hAnsi="CGJGCZ+Sabon-Roman"/>
        </w:rPr>
        <w:t>digheternas finansiering av behov av rörelsekapital (21 §).</w:t>
      </w:r>
    </w:p>
    <w:p w:rsidR="00C05A87" w:rsidRDefault="00C05A87">
      <w:pPr>
        <w:pStyle w:val="Rubrik5"/>
      </w:pPr>
      <w:r>
        <w:t xml:space="preserve">Lånebemyndigandet för budgetåret 1998 </w:t>
      </w:r>
    </w:p>
    <w:p w:rsidR="00C05A87" w:rsidRDefault="00C05A87">
      <w:pPr>
        <w:rPr>
          <w:rFonts w:ascii="CGJGCZ+Sabon-Roman" w:hAnsi="CGJGCZ+Sabon-Roman"/>
        </w:rPr>
      </w:pPr>
      <w:r>
        <w:rPr>
          <w:rFonts w:ascii="CGJGCZ+Sabon-Roman" w:hAnsi="CGJGCZ+Sabon-Roman"/>
        </w:rPr>
        <w:t>Inom utgiftsområde 5 finns per den 30 juni 1997 upptagna lån om 150,5 miljoner kronor inom en till 261,8 miljoner kronor tilldelad låneram. För</w:t>
      </w:r>
      <w:r>
        <w:rPr>
          <w:rFonts w:ascii="CGJGCZ+Sabon-Roman" w:hAnsi="CGJGCZ+Sabon-Roman"/>
        </w:rPr>
        <w:t>e</w:t>
      </w:r>
      <w:r>
        <w:rPr>
          <w:rFonts w:ascii="CGJGCZ+Sabon-Roman" w:hAnsi="CGJGCZ+Sabon-Roman"/>
        </w:rPr>
        <w:t>slagen låneram för budgetåret 1998 är 261,8 miljoner kronor. För utgiftso</w:t>
      </w:r>
      <w:r>
        <w:rPr>
          <w:rFonts w:ascii="CGJGCZ+Sabon-Roman" w:hAnsi="CGJGCZ+Sabon-Roman"/>
        </w:rPr>
        <w:t>m</w:t>
      </w:r>
      <w:r>
        <w:rPr>
          <w:rFonts w:ascii="CGJGCZ+Sabon-Roman" w:hAnsi="CGJGCZ+Sabon-Roman"/>
        </w:rPr>
        <w:t>råde 7 är motsvarande belopp 57,5, 62,0 respektive 62,0 miljoner kronor.</w:t>
      </w:r>
    </w:p>
    <w:p w:rsidR="00C05A87" w:rsidRDefault="00C05A87">
      <w:pPr>
        <w:pStyle w:val="Rubrik5"/>
      </w:pPr>
      <w:r>
        <w:t xml:space="preserve">Bemyndigande för total kreditram 1998 </w:t>
      </w:r>
    </w:p>
    <w:p w:rsidR="00C05A87" w:rsidRDefault="00C05A87">
      <w:pPr>
        <w:rPr>
          <w:rFonts w:ascii="CGJGCZ+Sabon-Roman" w:hAnsi="CGJGCZ+Sabon-Roman"/>
        </w:rPr>
      </w:pPr>
      <w:r>
        <w:rPr>
          <w:rFonts w:ascii="CGJGCZ+Sabon-Roman" w:hAnsi="CGJGCZ+Sabon-Roman"/>
        </w:rPr>
        <w:t>Myndigheterna placerar tillfällig överskottslikviditet och finansierar tillfäll</w:t>
      </w:r>
      <w:r>
        <w:rPr>
          <w:rFonts w:ascii="CGJGCZ+Sabon-Roman" w:hAnsi="CGJGCZ+Sabon-Roman"/>
        </w:rPr>
        <w:t>i</w:t>
      </w:r>
      <w:r>
        <w:rPr>
          <w:rFonts w:ascii="CGJGCZ+Sabon-Roman" w:hAnsi="CGJGCZ+Sabon-Roman"/>
        </w:rPr>
        <w:t xml:space="preserve">ga likviditetsunderskott i Riksgäldskontoret. De har för detta ändamål ett räntekonto med kredit i Riksgäldskontoret. </w:t>
      </w:r>
    </w:p>
    <w:p w:rsidR="00C05A87" w:rsidRDefault="00C05A87">
      <w:pPr>
        <w:pStyle w:val="Normaltindrag"/>
      </w:pPr>
      <w:r>
        <w:rPr>
          <w:rFonts w:ascii="CGJGCZ+Sabon-Roman" w:hAnsi="CGJGCZ+Sabon-Roman"/>
        </w:rPr>
        <w:t>För 1997 uppgår kreditramen för utgiftsområde 5 till 167,0 miljoner kr</w:t>
      </w:r>
      <w:r>
        <w:rPr>
          <w:rFonts w:ascii="CGJGCZ+Sabon-Roman" w:hAnsi="CGJGCZ+Sabon-Roman"/>
        </w:rPr>
        <w:t>o</w:t>
      </w:r>
      <w:r>
        <w:rPr>
          <w:rFonts w:ascii="CGJGCZ+Sabon-Roman" w:hAnsi="CGJGCZ+Sabon-Roman"/>
        </w:rPr>
        <w:t>nor och för utgiftsområde 7 till 41,2 miljoner kronor. Bemyndigande för 1998</w:t>
      </w:r>
      <w:r>
        <w:t xml:space="preserve"> begärs för oförändrade belopp.</w:t>
      </w:r>
    </w:p>
    <w:p w:rsidR="00C05A87" w:rsidRDefault="00C05A87">
      <w:pPr>
        <w:pStyle w:val="R4"/>
      </w:pPr>
      <w:bookmarkStart w:id="6" w:name="_Toc401553507"/>
      <w:r>
        <w:t>Redovisning av beställningsbemyndiganden</w:t>
      </w:r>
      <w:bookmarkEnd w:id="6"/>
    </w:p>
    <w:p w:rsidR="00C05A87" w:rsidRDefault="00C05A87">
      <w:pPr>
        <w:rPr>
          <w:rFonts w:ascii="CGJGCZ+Sabon-Roman" w:hAnsi="CGJGCZ+Sabon-Roman"/>
        </w:rPr>
      </w:pPr>
      <w:r>
        <w:rPr>
          <w:rFonts w:ascii="CGJGCZ+Sabon-Roman" w:hAnsi="CGJGCZ+Sabon-Roman"/>
        </w:rPr>
        <w:t>Beställningsbemyndiganden och andra utfästelser som medför utgifter efter år 1998, dvs. sådana som får anslagspåverkan fr.o.m. år 1999, redovisas under egen rubrik i anslags- och myndighetsavsnitten. För utgiftsområde 7 begär regeringen ett beloppsbestämt beställningsbemyndigande om 810 miljoner kronor för år 1998 för insatser i Central- och Östeuropa. Regeringen begär också vissa bemyndiganden där belopp ej kan anges. Detta gäller bl.a. utgiftsområde 7 avseende utfästelser och åtaganden i det internationel</w:t>
      </w:r>
      <w:r>
        <w:rPr>
          <w:rFonts w:ascii="CGJGCZ+Sabon-Roman" w:hAnsi="CGJGCZ+Sabon-Roman"/>
        </w:rPr>
        <w:t>la utvecklingssamarb</w:t>
      </w:r>
      <w:r>
        <w:rPr>
          <w:rFonts w:ascii="CGJGCZ+Sabon-Roman" w:hAnsi="CGJGCZ+Sabon-Roman"/>
        </w:rPr>
        <w:t>e</w:t>
      </w:r>
      <w:r>
        <w:rPr>
          <w:rFonts w:ascii="CGJGCZ+Sabon-Roman" w:hAnsi="CGJGCZ+Sabon-Roman"/>
        </w:rPr>
        <w:t>tet.</w:t>
      </w:r>
    </w:p>
    <w:p w:rsidR="00C05A87" w:rsidRDefault="00C05A87">
      <w:pPr>
        <w:pStyle w:val="Rubrik2"/>
      </w:pPr>
      <w:bookmarkStart w:id="7" w:name="_Toc401553508"/>
      <w:r>
        <w:t>Motionerna</w:t>
      </w:r>
      <w:bookmarkEnd w:id="7"/>
    </w:p>
    <w:p w:rsidR="00C05A87" w:rsidRDefault="00C05A87">
      <w:pPr>
        <w:pStyle w:val="R3"/>
        <w:spacing w:before="123"/>
      </w:pPr>
      <w:bookmarkStart w:id="8" w:name="_Toc401553509"/>
      <w:r>
        <w:t>Motionsyrkandena</w:t>
      </w:r>
      <w:bookmarkEnd w:id="8"/>
    </w:p>
    <w:p w:rsidR="00C05A87" w:rsidRDefault="00C05A87">
      <w:r>
        <w:t>Utskottets yttrande omfattar berörda delar av motionerna Fi206 (m) yrkand</w:t>
      </w:r>
      <w:r>
        <w:t>e</w:t>
      </w:r>
      <w:r>
        <w:t>na 4 och 5, Fi212 (fp) yrkandena 3 och 4, Fi215 (kd) yrkandena 2 och 3, Fi218 (c) yrkande 2, Fi219 (mp) yrkandena 19 och 20, Fi220 (v) yrkande 4, U224 (m) yrkandena 4 (delvis) och 5, U307 (m) yrkande 5, U809 (m) yrka</w:t>
      </w:r>
      <w:r>
        <w:t>n</w:t>
      </w:r>
      <w:r>
        <w:t>de 4 och Fö225 (m) yrkande 8.</w:t>
      </w:r>
    </w:p>
    <w:p w:rsidR="00C05A87" w:rsidRDefault="00C05A87">
      <w:pPr>
        <w:pStyle w:val="Normaltindrag"/>
      </w:pPr>
      <w:r>
        <w:t>I ett betydande antal fall gäller att det i de motionsvis framförda alternat</w:t>
      </w:r>
      <w:r>
        <w:t>i</w:t>
      </w:r>
      <w:r>
        <w:t>ven till propositionen förekommer andra prioriteringar än regeringens såväl på anslagsnivå som på anslagspostnivå. Detta kan förekomma även om fö</w:t>
      </w:r>
      <w:r>
        <w:t>r</w:t>
      </w:r>
      <w:r>
        <w:t>slaget till tak för ett utgiftsområde sammanfaller med det i budgetpropositi</w:t>
      </w:r>
      <w:r>
        <w:t>o</w:t>
      </w:r>
      <w:r>
        <w:t>nen föreslagna. Utskottet avser att återkomma till frågor rörande fördelnin</w:t>
      </w:r>
      <w:r>
        <w:t>g</w:t>
      </w:r>
      <w:r>
        <w:t>en av medel inom utgiftsområdena i sina betänkanden 1997/98:UU1 och 1997/98:UU2.</w:t>
      </w:r>
    </w:p>
    <w:p w:rsidR="00C05A87" w:rsidRDefault="00C05A87">
      <w:pPr>
        <w:pStyle w:val="R3"/>
      </w:pPr>
      <w:bookmarkStart w:id="9" w:name="_Toc401553510"/>
      <w:r>
        <w:t>Sammanfattning av motionerna</w:t>
      </w:r>
      <w:bookmarkEnd w:id="9"/>
    </w:p>
    <w:p w:rsidR="00C05A87" w:rsidRDefault="00C05A87">
      <w:r>
        <w:t>Moderaterna anför i sin partimotion Fi206 (m) yrkandena 4 och 5 (båda i berörd del) att den snabba globaliseringen fordrar svensk diplomatisk närv</w:t>
      </w:r>
      <w:r>
        <w:t>a</w:t>
      </w:r>
      <w:r>
        <w:t>ro i de utomeuropeiska industriländerna. Framväxten av dynamiska ekon</w:t>
      </w:r>
      <w:r>
        <w:t>o</w:t>
      </w:r>
      <w:r>
        <w:t xml:space="preserve">mier i främst Asien och Latinamerika, och förhoppningsvis snart i södra Afrika, kräver dessutom kontaktytor. Detsamma gäller de nya demokratierna i Central- och Östeuropa. Ytterligare ambassader bör mot denna bakgrund inrättas. Därför yrkas att 2 717 591 000 kr anslås för </w:t>
      </w:r>
      <w:r>
        <w:rPr>
          <w:i/>
        </w:rPr>
        <w:t>utgiftsområde 5</w:t>
      </w:r>
      <w:r>
        <w:t xml:space="preserve"> för budgetåret 1998 samt att 2 776 respektive 2 841 miljoner kronor preliminärt fördelas för budgetåren 1999 och 2000 som riktlinje för regeringens budg</w:t>
      </w:r>
      <w:r>
        <w:t>e</w:t>
      </w:r>
      <w:r>
        <w:t>t-</w:t>
      </w:r>
      <w:r>
        <w:br/>
        <w:t>arbete. Förslaget utgår från att anslaget B 4 Fredsfrämjande verksamhet överförs till utgiftsområde 7 Internationellt bistånd (jfr sammanfattningarna av motionerna U224 (m) yrkande 5, U307 (m) yrkande 5 och Fö225 (m) yrkande 8 nedan).</w:t>
      </w:r>
    </w:p>
    <w:p w:rsidR="00C05A87" w:rsidRDefault="00C05A87">
      <w:r>
        <w:t xml:space="preserve">Beträffande </w:t>
      </w:r>
      <w:r>
        <w:rPr>
          <w:i/>
        </w:rPr>
        <w:t>utgiftsområde 7</w:t>
      </w:r>
      <w:r>
        <w:t xml:space="preserve"> föreslår Moderata samlingspartiet att</w:t>
      </w:r>
      <w:r>
        <w:br/>
        <w:t>11 119 228 000 kr anvisas för 1998 samt att 10 008 respektive 10 416 milj</w:t>
      </w:r>
      <w:r>
        <w:t>o</w:t>
      </w:r>
      <w:r>
        <w:t>ner kronor preliminärt fördelas för budgetåren 1999 och 2000, vilket innebär en besparing jämfört med regeringens alternativ. Besparingen möjliggörs genom ett skifte från det bilaterala biståndet till en särskild satsning på att utrota fattigdomen. Moderata samlingspartiets förslag utgår dels från att medel överflyttas från utgiftsområdena 5 och 6 och inrättandet av ett nytt anslag, Fredsfrämjande truppinsatser och verksamheter (se sammanfattnin</w:t>
      </w:r>
      <w:r>
        <w:t>g</w:t>
      </w:r>
      <w:r>
        <w:t>arna av motionerna U224 (m) yrkande 5, U307 (m) yrkande 5 och Fö225 (m) yrkande 8 nedan), dels från att det tidigare anvisade anslaget Samarbete och utveckling inom Östersjöregionen upplöses och tillförs anslaget B 1 Sama</w:t>
      </w:r>
      <w:r>
        <w:t>r</w:t>
      </w:r>
      <w:r>
        <w:t xml:space="preserve">bete med Central- och Östeuropa under </w:t>
      </w:r>
      <w:r>
        <w:rPr>
          <w:i/>
        </w:rPr>
        <w:t xml:space="preserve">utgiftsområde 7 </w:t>
      </w:r>
      <w:r>
        <w:t>(jämför samma</w:t>
      </w:r>
      <w:r>
        <w:t>n</w:t>
      </w:r>
      <w:r>
        <w:t>fattningarna av motionerna U224 (m) yrkande 4 (delvis) och U809 (m) y</w:t>
      </w:r>
      <w:r>
        <w:t>r</w:t>
      </w:r>
      <w:r>
        <w:t>kande 4 nedan).</w:t>
      </w:r>
    </w:p>
    <w:p w:rsidR="00C05A87" w:rsidRDefault="00C05A87">
      <w:r>
        <w:t>Centerpartiet föreslår i motion Fi218 (c) yrkande 2 (delvis) en fördelning av utgifterna på utgiftsområdena 5 och 7 för budgetåret 1998 i enlighet med förslagen i budgetpropositionen.</w:t>
      </w:r>
    </w:p>
    <w:p w:rsidR="00C05A87" w:rsidRDefault="00C05A87">
      <w:r>
        <w:t xml:space="preserve">I Folkpartiets partimotion Fi212 (fp) yrkandena 3 och 4 (båda i berörd del) föreslås ingen avvikelse inom </w:t>
      </w:r>
      <w:r>
        <w:rPr>
          <w:i/>
        </w:rPr>
        <w:t xml:space="preserve">utgiftsområde 5 </w:t>
      </w:r>
      <w:r>
        <w:t>jämfört med budgetpropos</w:t>
      </w:r>
      <w:r>
        <w:t>i</w:t>
      </w:r>
      <w:r>
        <w:t xml:space="preserve">tionen. Beträffande </w:t>
      </w:r>
      <w:r>
        <w:rPr>
          <w:i/>
        </w:rPr>
        <w:t>utgiftsområde 7</w:t>
      </w:r>
      <w:r>
        <w:t xml:space="preserve"> föreslår Folkpartiet att ytterligare 1 500 miljoner kronor fördelas på utgiftsområde 7 för budgetåret 1998 jämfört med budgetpropositionen och att den preliminära fördelningen för budgetåren 1999 och 2000 sätts 1 800 respektive 2 000 miljoner kronor högre än reg</w:t>
      </w:r>
      <w:r>
        <w:t>e</w:t>
      </w:r>
      <w:r>
        <w:t>ringens förslag.</w:t>
      </w:r>
    </w:p>
    <w:p w:rsidR="00C05A87" w:rsidRDefault="00C05A87">
      <w:r>
        <w:t xml:space="preserve">Vänsterpartiet föreslår i sin partimotion Fi220 (v) yrkande 4 (delvis) att ett projektbidrag för information och studier om Europas och EU:s utveckling inrättas. Detta anslag bör omfatta 10 miljoner kronor, varför Vänsterpartiets förslag vad avser </w:t>
      </w:r>
      <w:r>
        <w:rPr>
          <w:i/>
        </w:rPr>
        <w:t>utgiftsområde 5</w:t>
      </w:r>
      <w:r>
        <w:t xml:space="preserve"> överstiger regeringens med 10 miljoner kronor för budgetåret 1998. Partiets förslag avseende </w:t>
      </w:r>
      <w:r>
        <w:rPr>
          <w:i/>
        </w:rPr>
        <w:t>utgiftsområde 7</w:t>
      </w:r>
      <w:r>
        <w:t xml:space="preserve"> ligger 1 000 miljoner kronor högre än regeringens. Detta skall ses som ett steg på vägen mot en återgång till enprocentsmålet. Vänsterpartiet anser att man genom denna extra miljard och genom att utnyttja medel ur anslagsbehål</w:t>
      </w:r>
      <w:r>
        <w:t>l</w:t>
      </w:r>
      <w:r>
        <w:t>ningar bör eftersträva att under 1998 komma upp till en biståndsnivå på 0,8  % av BNI. I motionen begärs också att regeringen utarbetar en plan för att biståndet år 2000 åter skall vara uppe på nivån 1 %.</w:t>
      </w:r>
    </w:p>
    <w:p w:rsidR="00C05A87" w:rsidRDefault="00C05A87">
      <w:r>
        <w:t xml:space="preserve">Miljöpartiets budgetförslag (motion Fi219 (mp) yrkandena 19 och 20, båda delvis) innebär beträffande </w:t>
      </w:r>
      <w:r>
        <w:rPr>
          <w:i/>
        </w:rPr>
        <w:t>utgiftsområde 5</w:t>
      </w:r>
      <w:r>
        <w:t xml:space="preserve"> ingen avvikelse från budgetpr</w:t>
      </w:r>
      <w:r>
        <w:t>o</w:t>
      </w:r>
      <w:r>
        <w:t>positionen.</w:t>
      </w:r>
    </w:p>
    <w:p w:rsidR="00C05A87" w:rsidRDefault="00C05A87">
      <w:pPr>
        <w:pStyle w:val="Normaltindrag"/>
      </w:pPr>
      <w:r>
        <w:t xml:space="preserve">Inom </w:t>
      </w:r>
      <w:r>
        <w:rPr>
          <w:i/>
        </w:rPr>
        <w:t>utgiftsområde 7</w:t>
      </w:r>
      <w:r>
        <w:t xml:space="preserve"> bör, framhåller partiet, kampen mot fattigdomen och bistånd med inriktning på vatten och livsmedelsproduktion stå i centrum. Återgången till enprocentsmålet bör ske i snabbare takt än vad regeringen föreslår. År 1998 bör biståndsnivån vara 0,79 % av BNI, år 1999 0,81 % och år 2000 0,84 %. Miljöpartiet föreslår därför att 1 730 miljoner kronor mer än vad regeringen föreslår anvisas för år 1998. För åren 1999 och 2000 är mo</w:t>
      </w:r>
      <w:r>
        <w:t>t</w:t>
      </w:r>
      <w:r>
        <w:t>sv</w:t>
      </w:r>
      <w:r>
        <w:t>a</w:t>
      </w:r>
      <w:r>
        <w:t>rande belopp 2 130 respektive 2 530 miljoner kronor.</w:t>
      </w:r>
    </w:p>
    <w:p w:rsidR="00C05A87" w:rsidRDefault="00C05A87">
      <w:r>
        <w:t xml:space="preserve">Inte heller Kristdemokraterna (motion Fi215 (kd) yrkandena 2 och 3, båda delvis) föreslår någon förändring i förhållande till budgetpropositionen i vad avser </w:t>
      </w:r>
      <w:r>
        <w:rPr>
          <w:i/>
        </w:rPr>
        <w:t>utgiftsområde 5</w:t>
      </w:r>
      <w:r>
        <w:t xml:space="preserve">. Beträffande u-biståndet, inom </w:t>
      </w:r>
      <w:r>
        <w:rPr>
          <w:i/>
        </w:rPr>
        <w:t>utgiftsområde 7</w:t>
      </w:r>
      <w:r>
        <w:t>, för</w:t>
      </w:r>
      <w:r>
        <w:t>e</w:t>
      </w:r>
      <w:r>
        <w:t>slår Kristdemokraterna att en plan upprättas för en återgång till enprocent</w:t>
      </w:r>
      <w:r>
        <w:t>s</w:t>
      </w:r>
      <w:r>
        <w:t>nivån, vilket enligt partiets budgetförslag för perioden 1998–2000 innebär att 7 200 miljoner kronor tillförs utgiftsområdet utöver regeringens förslag. Ramen för utgiftsområdet skulle, enligt motionen, utökas med 1 800 milj</w:t>
      </w:r>
      <w:r>
        <w:t>o</w:t>
      </w:r>
      <w:r>
        <w:t>ner kronor för år 1998, 2 400 miljoner kronor för år 1999 och 3 000 miljoner kronor för år 2000.</w:t>
      </w:r>
    </w:p>
    <w:p w:rsidR="00C05A87" w:rsidRDefault="00C05A87">
      <w:r>
        <w:t xml:space="preserve">I kommittémotionerna U224 (m) yrkande 5, U307 (m) yrkande 5 och Fö225 (m) yrkande 8 föreslås, om de ses sammantagna, att anslaget Fredsfrämjande insatser inom </w:t>
      </w:r>
      <w:r>
        <w:rPr>
          <w:i/>
        </w:rPr>
        <w:t>utgiftsområde 6</w:t>
      </w:r>
      <w:r>
        <w:t xml:space="preserve"> och anslaget Fredsfrämjande verksamhet inom </w:t>
      </w:r>
      <w:r>
        <w:rPr>
          <w:i/>
        </w:rPr>
        <w:t>utgiftsområde 5</w:t>
      </w:r>
      <w:r>
        <w:t xml:space="preserve"> slås samman och överförs till ett nytt anslag Fredsfrämjande verksamhet inom </w:t>
      </w:r>
      <w:r>
        <w:rPr>
          <w:i/>
        </w:rPr>
        <w:t>utgiftsområde 7</w:t>
      </w:r>
      <w:r>
        <w:t xml:space="preserve"> samt att 527 828 000 anvisas på detta nya anslag för budgetåret 1998. Förslaget skulle, enligt motionärerna, medföra att en olycklig uppsplittring, som komplicerar det fredsfrämjande arbetet, skulle elimineras.</w:t>
      </w:r>
    </w:p>
    <w:p w:rsidR="00C05A87" w:rsidRDefault="00C05A87">
      <w:pPr>
        <w:spacing w:before="123"/>
      </w:pPr>
      <w:r>
        <w:t>I kommittémotionerna U224 (m) yrkande 4 (delvis) och U809 (m) yrkande 4 begärs att det särskilda anslaget Samarbete och utveckling inom Östersjör</w:t>
      </w:r>
      <w:r>
        <w:t>e</w:t>
      </w:r>
      <w:r>
        <w:t>gionen upplöses och tillförs den av riksdagen beslutade anslagsramen för stöd till Central- och Östeuropa (utgiftsområde 7 Internationellt bistånd).</w:t>
      </w:r>
    </w:p>
    <w:p w:rsidR="00C05A87" w:rsidRDefault="00C05A87">
      <w:pPr>
        <w:pStyle w:val="R2"/>
      </w:pPr>
      <w:bookmarkStart w:id="10" w:name="_Toc401553511"/>
      <w:r>
        <w:t>Utskottets överväganden</w:t>
      </w:r>
      <w:bookmarkEnd w:id="10"/>
    </w:p>
    <w:p w:rsidR="00C05A87" w:rsidRDefault="00C05A87">
      <w:r>
        <w:t>De offentliga finanserna har förbättrats. Budgetsaneringen och den förstär</w:t>
      </w:r>
      <w:r>
        <w:t>k</w:t>
      </w:r>
      <w:r>
        <w:t>ning av statsfinanserna som den har lett till möjliggör, enligt utskottets b</w:t>
      </w:r>
      <w:r>
        <w:t>e</w:t>
      </w:r>
      <w:r>
        <w:t>dömning, att en ökad satsning på utgiftsområdena 5, Utrikesförvaltning och internationell samverkan, och 7, Internationellt bistånd, kan göras under den här aktuella treårsperioden. De föreslagna ökningarna är väl motiverade.</w:t>
      </w:r>
    </w:p>
    <w:p w:rsidR="00C05A87" w:rsidRDefault="00C05A87">
      <w:pPr>
        <w:pStyle w:val="R3"/>
      </w:pPr>
      <w:r>
        <w:t>Anslagens fördelning mellan utgiftsområdena m.m.</w:t>
      </w:r>
    </w:p>
    <w:p w:rsidR="00C05A87" w:rsidRDefault="00C05A87">
      <w:r>
        <w:t xml:space="preserve">I kommittémotionerna U224 (m) yrkande 5, U307 (m) yrkande 5 och Fö225 (m) yrkande 8 föreslås, om de ses sammantagna, att anslaget Fredsfrämjande insatser inom </w:t>
      </w:r>
      <w:r>
        <w:rPr>
          <w:i/>
        </w:rPr>
        <w:t>utgiftsområde 6</w:t>
      </w:r>
      <w:r>
        <w:t xml:space="preserve"> och anslaget Fredsfrämjande verksamhet inom </w:t>
      </w:r>
      <w:r>
        <w:rPr>
          <w:i/>
        </w:rPr>
        <w:t>utgiftsområde 5</w:t>
      </w:r>
      <w:r>
        <w:t xml:space="preserve"> slås samman och överförs till ett nytt anslag inom </w:t>
      </w:r>
      <w:r>
        <w:rPr>
          <w:i/>
        </w:rPr>
        <w:t>utgiftso</w:t>
      </w:r>
      <w:r>
        <w:rPr>
          <w:i/>
        </w:rPr>
        <w:t>m</w:t>
      </w:r>
      <w:r>
        <w:rPr>
          <w:i/>
        </w:rPr>
        <w:t>råde 7</w:t>
      </w:r>
      <w:r>
        <w:t xml:space="preserve">. </w:t>
      </w:r>
    </w:p>
    <w:p w:rsidR="00C05A87" w:rsidRDefault="00C05A87">
      <w:pPr>
        <w:pStyle w:val="Normaltindrag"/>
      </w:pPr>
      <w:r>
        <w:t>Utskottet har tidigare behandlat motionsyrkanden med denna innebörd och därvid kommit fram till att nuvarande ordning är ändamålsenlig och att n</w:t>
      </w:r>
      <w:r>
        <w:t>å</w:t>
      </w:r>
      <w:r>
        <w:t>gon förändring  i den av motionärerna förespråkade riktningen ej varit mot</w:t>
      </w:r>
      <w:r>
        <w:t>i</w:t>
      </w:r>
      <w:r>
        <w:t>verad. Denna bedömning kvarstår. Enligt utskottets uppfattning bör således motionerna U224 (m) yrkande 5, U307 (m) yrkande 5 och Fö225 (m) yrka</w:t>
      </w:r>
      <w:r>
        <w:t>n</w:t>
      </w:r>
      <w:r>
        <w:t>de 8 avstyrkas.</w:t>
      </w:r>
    </w:p>
    <w:p w:rsidR="00C05A87" w:rsidRDefault="00C05A87">
      <w:pPr>
        <w:pStyle w:val="Normaltindrag"/>
      </w:pPr>
      <w:r>
        <w:t>I kommittémotionen U809 (m) yrkande 4 begärs att det särskilda anslaget Samarbete och utveckling inom Östersjöregionen upplöses och tillförs den av riksdagen beslutade anslagsramen för stöd till Central- och Östeuropa (utgiftsområde 7 Internationellt bistånd).</w:t>
      </w:r>
    </w:p>
    <w:p w:rsidR="00C05A87" w:rsidRDefault="00C05A87">
      <w:pPr>
        <w:pStyle w:val="Normaltindrag"/>
      </w:pPr>
      <w:r>
        <w:t>Anslaget Samarbete och utveckling inom Östersjöregionen beviljades på tilläggsbudget under andra förutsättningar och med delvis annat syfte än de medel som anslås inom utgiftsområde 7 för samarbete med Central- och Östeuropa. Utskottet finner mot denna bakgrund det inte vara motiverat att förfara på sätt som motionärerna föreslår. Enligt utskottets mening bör därför motion U809 (m) yrkande 4 avstyrkas.</w:t>
      </w:r>
    </w:p>
    <w:p w:rsidR="00C05A87" w:rsidRDefault="00C05A87">
      <w:pPr>
        <w:pStyle w:val="R3"/>
      </w:pPr>
      <w:r>
        <w:t>Utgiftsområde 5</w:t>
      </w:r>
    </w:p>
    <w:p w:rsidR="00C05A87" w:rsidRDefault="00C05A87">
      <w:r>
        <w:t>Utskottet anser att regeringens förslag avseende utgiftsområde 5 (propositionens yrkanden 4 och 5 i berörda delar) är väl avvägt, varför det bör tillstyrkas. I konsekvens härmed bör förslagen i motionerna Fi206 (m) yrkandena 4 och 5 (båda delvis) och Fi220 (v) yrkande 4 (delvis) i föreko</w:t>
      </w:r>
      <w:r>
        <w:t>m</w:t>
      </w:r>
      <w:r>
        <w:t>mande fall avstyrkas vad avser såväl budgetåret 1998 som budgetåren 1999 och 2000.</w:t>
      </w:r>
    </w:p>
    <w:p w:rsidR="00C05A87" w:rsidRDefault="00C05A87">
      <w:pPr>
        <w:pStyle w:val="Normaltindrag"/>
      </w:pPr>
      <w:r>
        <w:t>Förslagen i motionerna Fi218 (c) yrkande 2 (delvis), Fi212 (fp) yrkandena 3 och 4 (båda delvis), Fi219 (mp) yrkandena 19 och 20 (båda delvis) samt Fi215 (kd) yrkandena 2 och 3 (båda delvis) avviker inte från regeringens.</w:t>
      </w:r>
    </w:p>
    <w:p w:rsidR="00C05A87" w:rsidRDefault="00C05A87">
      <w:pPr>
        <w:pStyle w:val="R3"/>
      </w:pPr>
      <w:r>
        <w:t>Utgiftsområde 7</w:t>
      </w:r>
    </w:p>
    <w:p w:rsidR="00C05A87" w:rsidRDefault="00C05A87">
      <w:r>
        <w:t xml:space="preserve">Flera motionsyrkanden handlar om hur enprocentsmålet skall uppnås, och i några av dem ställs krav på att en plan skall upprättas för hur detta mål skall uppfyllas. </w:t>
      </w:r>
    </w:p>
    <w:p w:rsidR="00C05A87" w:rsidRDefault="00C05A87">
      <w:pPr>
        <w:pStyle w:val="Normaltindrag"/>
      </w:pPr>
      <w:r>
        <w:t>I propositionen räknar regeringen med att biståndsramen höjs till 0,72 % av BNI år 2000. Ambitionen är att Sverige åter skall uppnå enprocentsmålet när de statsfinansiella förutsättningarna för detta föreligger. Utbetalningsn</w:t>
      </w:r>
      <w:r>
        <w:t>i</w:t>
      </w:r>
      <w:r>
        <w:t>vån förutses under de närmaste åren kunna hållas på en högre nivå genom ett bättre utnyttjande av reservationer.</w:t>
      </w:r>
    </w:p>
    <w:p w:rsidR="00C05A87" w:rsidRDefault="00C05A87">
      <w:pPr>
        <w:pStyle w:val="Normaltindrag"/>
      </w:pPr>
      <w:r>
        <w:t>Utskottet noterar att biståndsramen för år 1998 föreslås ökas med 472 miljoner kronor jämfört med budgetåret 1997. För år 1999 beräknas den till</w:t>
      </w:r>
      <w:r>
        <w:br/>
        <w:t>13 048 miljoner kronor och för år 2000 till 14 098 miljoner kronor. Detta innebär en nivåhöjning med drygt 2 miljarder kronor under den aktuella treårsperioden jä</w:t>
      </w:r>
      <w:r>
        <w:t>m</w:t>
      </w:r>
      <w:r>
        <w:t>fört med innevarande budgetår.</w:t>
      </w:r>
    </w:p>
    <w:p w:rsidR="00C05A87" w:rsidRDefault="00C05A87">
      <w:pPr>
        <w:pStyle w:val="Normaltindrag"/>
      </w:pPr>
      <w:r>
        <w:t>Kunskapen om och stödet för enprocentsmålet är väl befäst i riksdagen och i den allmänna opinionen. Samtidigt är en återgång till enprocentsnivån också en internationellt betydelsefull symbolfråga, varför den också av det skälet bör prioriteras. Enprocentsmålet kvarstår, och att en återgång till detta nu påbörjas är en viktig signal från Sverige i en tid då de internationella biståndsflödena min</w:t>
      </w:r>
      <w:r>
        <w:t>s</w:t>
      </w:r>
      <w:r>
        <w:t>kar kraftigt.</w:t>
      </w:r>
    </w:p>
    <w:p w:rsidR="00C05A87" w:rsidRDefault="00C05A87">
      <w:pPr>
        <w:pStyle w:val="Normaltindrag"/>
      </w:pPr>
      <w:r>
        <w:t>Utskottet noterar att regeringen avser att under våren 1998 förelägga rik</w:t>
      </w:r>
      <w:r>
        <w:t>s</w:t>
      </w:r>
      <w:r>
        <w:t>dagen förslag till inriktning och omfattning av samarbetet med länder i Ce</w:t>
      </w:r>
      <w:r>
        <w:t>n</w:t>
      </w:r>
      <w:r>
        <w:t>tral- och Östeuropa för åren 1999–2001. Denna avsiktsförklaring, som ligger i linje med utskottets tidigare framförda synpunkter, välkomnas av utskottet.</w:t>
      </w:r>
    </w:p>
    <w:p w:rsidR="00C05A87" w:rsidRDefault="00C05A87">
      <w:pPr>
        <w:pStyle w:val="Normaltindrag"/>
      </w:pPr>
      <w:r>
        <w:t>Utskottet anser att regeringens förslag avseende utgiftsområde 7 (propositionens yrkanden 4 och 5 i berörda delar) är väl avvägt, varför det bör tillstyrkas. I konsekvens härmed bör förslagen i motionerna Fi206 (m) yrkandena 4 och 5 (båda delvis), Fi212 (fp) yrkandena 3 och 4 (båda delvis), Fi220 (v) yrkande 4 (delvis), Fi219 (mp) yrkandena 19 och 20 (båda delvis) och Fi215 (kd) yrkandena 2 och 3 (båda delvis) i förekommande fall avsty</w:t>
      </w:r>
      <w:r>
        <w:t>r</w:t>
      </w:r>
      <w:r>
        <w:t>kas vad avser såväl budgetåret 1998 som budgetåren 1999 och 2000.</w:t>
      </w:r>
    </w:p>
    <w:p w:rsidR="00C05A87" w:rsidRDefault="00C05A87">
      <w:pPr>
        <w:pStyle w:val="Normaltindrag"/>
      </w:pPr>
      <w:r>
        <w:t>Förslagen i motion Fi218 (c) yrkande 2 (delvis) avviker inte från regerin</w:t>
      </w:r>
      <w:r>
        <w:t>g</w:t>
      </w:r>
      <w:r>
        <w:t>ens.</w:t>
      </w:r>
    </w:p>
    <w:p w:rsidR="00C05A87" w:rsidRDefault="00C05A87">
      <w:pPr>
        <w:pStyle w:val="R3"/>
      </w:pPr>
      <w:r>
        <w:t>Bemyndiganden</w:t>
      </w:r>
    </w:p>
    <w:p w:rsidR="00C05A87" w:rsidRDefault="00C05A87">
      <w:r>
        <w:t>Utskottet tillstyrker, vad avser utgiftsområdena 5 och 7, regeringens begäran om bemyndigande att för budgetåret 1998 besluta om lån i Riksgäldskontoret och om krediter för myndigheters räntekonton (propositionens yrkande 9 i berörd del).</w:t>
      </w:r>
    </w:p>
    <w:p w:rsidR="00C05A87" w:rsidRDefault="00C05A87">
      <w:pPr>
        <w:pStyle w:val="Normaltindrag"/>
      </w:pPr>
    </w:p>
    <w:p w:rsidR="00C05A87" w:rsidRDefault="00C05A87">
      <w:pPr>
        <w:pStyle w:val="Stockholm"/>
      </w:pPr>
      <w:r>
        <w:t>Stockholm den 23 oktober 1997</w:t>
      </w:r>
    </w:p>
    <w:p w:rsidR="00C05A87" w:rsidRDefault="00C05A87">
      <w:pPr>
        <w:pStyle w:val="Vgnar"/>
      </w:pPr>
      <w:r>
        <w:t>På utrikesutskottets vägnar</w:t>
      </w:r>
    </w:p>
    <w:p w:rsidR="00C05A87" w:rsidRDefault="00C05A87">
      <w:pPr>
        <w:pStyle w:val="Ordfnamn"/>
      </w:pPr>
      <w:bookmarkStart w:id="11" w:name="Ordförande"/>
      <w:bookmarkEnd w:id="11"/>
      <w:r>
        <w:t xml:space="preserve">Viola Furubjelke </w:t>
      </w:r>
    </w:p>
    <w:p w:rsidR="00C05A87" w:rsidRDefault="00C05A87">
      <w:pPr>
        <w:pStyle w:val="Deltagare"/>
        <w:spacing w:before="123"/>
      </w:pPr>
    </w:p>
    <w:p w:rsidR="00C05A87" w:rsidRDefault="00C05A87">
      <w:pPr>
        <w:pStyle w:val="Deltagare"/>
        <w:spacing w:before="123"/>
      </w:pPr>
      <w:r>
        <w:t>I beslutet har deltagit: Viola Furubjelke (s), Inga-Britt Johansson (s), Berndt Ekholm (s), Inger Koch (m), Urban Ahlin (s), Helena Nilsson (c), Carina Hägg (s), Bertil Persson (m), Karl-Göran Biörsmark (fp), Tone Tingsgård (s), Eva Zetterberg (v), Lars Hjertén (m), Bodil Francke Ohlsson (mp), Ingrid Näslund (kd), Magnus Johansson (s) och Sonia Karl</w:t>
      </w:r>
      <w:r>
        <w:t>s</w:t>
      </w:r>
      <w:r>
        <w:t>son (s).</w:t>
      </w:r>
    </w:p>
    <w:p w:rsidR="00C05A87" w:rsidRDefault="00C05A87"/>
    <w:p w:rsidR="00C05A87" w:rsidRDefault="00C05A87">
      <w:pPr>
        <w:pStyle w:val="R2"/>
      </w:pPr>
      <w:r>
        <w:t>Avvikande meningar</w:t>
      </w:r>
    </w:p>
    <w:p w:rsidR="00C05A87" w:rsidRDefault="00C05A87">
      <w:pPr>
        <w:pStyle w:val="R3"/>
      </w:pPr>
      <w:r>
        <w:t>1. Anslagens fördelning mellan utgiftsområdena m.m.</w:t>
      </w:r>
    </w:p>
    <w:p w:rsidR="00C05A87" w:rsidRDefault="00C05A87">
      <w:r>
        <w:t>Inger Koch, Bertil Persson och Lars Hjertén (alla m) anför:</w:t>
      </w:r>
    </w:p>
    <w:p w:rsidR="00C05A87" w:rsidRDefault="00C05A87">
      <w:r>
        <w:t>Utskottet tillstyrker</w:t>
      </w:r>
    </w:p>
    <w:p w:rsidR="00C05A87" w:rsidRDefault="00C05A87">
      <w:r>
        <w:rPr>
          <w:i/>
        </w:rPr>
        <w:t>dels</w:t>
      </w:r>
      <w:r>
        <w:t xml:space="preserve">, i enlighet med motionerna U224 (m) yrkande 5, U307 (m) yrkande 5 och Fö225 (m) yrkande 8, att anslaget Fredsfrämjande insatser inom </w:t>
      </w:r>
      <w:r>
        <w:rPr>
          <w:i/>
        </w:rPr>
        <w:t>utgift</w:t>
      </w:r>
      <w:r>
        <w:rPr>
          <w:i/>
        </w:rPr>
        <w:t>s</w:t>
      </w:r>
      <w:r>
        <w:rPr>
          <w:i/>
        </w:rPr>
        <w:t>område 6</w:t>
      </w:r>
      <w:r>
        <w:t xml:space="preserve"> och anslaget Fredsfrämjande verksamhet inom </w:t>
      </w:r>
      <w:r>
        <w:rPr>
          <w:i/>
        </w:rPr>
        <w:t xml:space="preserve">utgiftsområde 5 </w:t>
      </w:r>
      <w:r>
        <w:t xml:space="preserve">slås samman och överförs till ett nytt anslag inom </w:t>
      </w:r>
      <w:r>
        <w:rPr>
          <w:i/>
        </w:rPr>
        <w:t>utgiftsområde 7</w:t>
      </w:r>
      <w:r>
        <w:t>,</w:t>
      </w:r>
    </w:p>
    <w:p w:rsidR="00C05A87" w:rsidRDefault="00C05A87">
      <w:r>
        <w:rPr>
          <w:i/>
        </w:rPr>
        <w:t>dels,</w:t>
      </w:r>
      <w:r>
        <w:t xml:space="preserve"> i enlighet med motionerna U224 (m) yrkande 4 (delvis) och U809 (m) yrkande 4, att det särskilda anslaget Samarbete och utveckling inom Öste</w:t>
      </w:r>
      <w:r>
        <w:t>r</w:t>
      </w:r>
      <w:r>
        <w:t>sjöregionen upplöses och att 500 000 000 kr från detta tillförs anslagsramen för stöd till Central- och Östeuropa (utgiftsområde 7 Internationellt bistånd).</w:t>
      </w:r>
    </w:p>
    <w:p w:rsidR="00C05A87" w:rsidRDefault="00C05A87">
      <w:pPr>
        <w:pStyle w:val="R3"/>
      </w:pPr>
      <w:r>
        <w:t>2. Ramarna för utgiftsområdena 5 och 7</w:t>
      </w:r>
    </w:p>
    <w:p w:rsidR="00C05A87" w:rsidRDefault="00C05A87">
      <w:r>
        <w:t>Inger Koch, Bertil Persson och Lars Hjertén (alla m) anför:</w:t>
      </w:r>
    </w:p>
    <w:p w:rsidR="00C05A87" w:rsidRDefault="00C05A87">
      <w:r>
        <w:t>Utskottet förordar de ramar för utgiftsområdena 5 och 7 för 1998 och den preliminära fördelning av utgifterna för samma utgiftsområden för 1999 och 2000 som, vad avser redovisningen av Moderata samlingspartiets förslag, framgår av bilagan till föreliggande yttrande med de motiveringar som fra</w:t>
      </w:r>
      <w:r>
        <w:t>m</w:t>
      </w:r>
      <w:r>
        <w:t>går av sammanfattningarna av motionerna Fi206 (m) yrkandena 4 och 5 (båda i berörd del), U224 (m) yrkandena 4 (delvis) och 5, U307 (m) yrkande 5, U809 (m) yrkande 4 och Fö225 (m) yrkande 8.</w:t>
      </w:r>
    </w:p>
    <w:p w:rsidR="00C05A87" w:rsidRDefault="00C05A87">
      <w:pPr>
        <w:pStyle w:val="R3"/>
      </w:pPr>
      <w:r>
        <w:t>3. Ramen för utgiftsområde 7</w:t>
      </w:r>
    </w:p>
    <w:p w:rsidR="00C05A87" w:rsidRDefault="00C05A87">
      <w:r>
        <w:t>Karl-Göran Biörsmark (fp) anför:</w:t>
      </w:r>
    </w:p>
    <w:p w:rsidR="00C05A87" w:rsidRDefault="00C05A87">
      <w:r>
        <w:t>Utskottet förordar den ram för utgiftsområde 7 för 1998 och den preliminära fördelning av utgifterna för samma utgiftsområde för 1999 och 2000 som, vad avser redovisningen av Folkpartiets förslag, framgår av bilagan till för</w:t>
      </w:r>
      <w:r>
        <w:t>e</w:t>
      </w:r>
      <w:r>
        <w:t>liggande yttrande med de motiveringar som framgår av motion Fi212 (fp) yrkandena 3 och 4 (båda delvis).</w:t>
      </w:r>
    </w:p>
    <w:p w:rsidR="00C05A87" w:rsidRDefault="00C05A87">
      <w:pPr>
        <w:pStyle w:val="R3"/>
      </w:pPr>
      <w:r>
        <w:t>4. Ramarna för utgiftsområdena 5 och 7</w:t>
      </w:r>
    </w:p>
    <w:p w:rsidR="00C05A87" w:rsidRDefault="00C05A87">
      <w:r>
        <w:t>Eva Zetterberg (v) anför:</w:t>
      </w:r>
    </w:p>
    <w:p w:rsidR="00C05A87" w:rsidRDefault="00C05A87">
      <w:r>
        <w:t>Utskottet förordar de ramar för utgiftsområdena 5 och 7 för 1998 som, vad avser redovisningen av Vänsterpartiets förslag, framgår av bilagan till för</w:t>
      </w:r>
      <w:r>
        <w:t>e</w:t>
      </w:r>
      <w:r>
        <w:t>liggande yttrande med de motiveringar som framgår av sammanfattningen av motion Fi220 (v) yrkande 4 (i berörd del).</w:t>
      </w:r>
    </w:p>
    <w:p w:rsidR="00C05A87" w:rsidRDefault="00C05A87">
      <w:pPr>
        <w:pStyle w:val="R3"/>
      </w:pPr>
      <w:r>
        <w:t>5. Ramen för utgiftsområde 7</w:t>
      </w:r>
    </w:p>
    <w:p w:rsidR="00C05A87" w:rsidRDefault="00C05A87">
      <w:r>
        <w:t>Bodil Francke Ohlsson (mp) anför:</w:t>
      </w:r>
    </w:p>
    <w:p w:rsidR="00C05A87" w:rsidRDefault="00C05A87">
      <w:r>
        <w:t>Utskottet förordar den ram för utgiftsområde 7 för 1998 och den preliminära fördelning av utgifterna för samma utgiftsområde för 1999 och 2000 som, vad avser redovisningen av Miljöpartiets förslag, framgår av bilagan till föreliggande yttrande med de motiveringar som framgår av sammanfattnin</w:t>
      </w:r>
      <w:r>
        <w:t>g</w:t>
      </w:r>
      <w:r>
        <w:t>en av motion Fi219 (mp) yrkandena 19 och 20 (båda delvis).</w:t>
      </w:r>
    </w:p>
    <w:p w:rsidR="00C05A87" w:rsidRDefault="00C05A87">
      <w:pPr>
        <w:pStyle w:val="R3"/>
      </w:pPr>
      <w:r>
        <w:t>6. Ramen för utgiftsområde 7</w:t>
      </w:r>
    </w:p>
    <w:p w:rsidR="00C05A87" w:rsidRDefault="00C05A87">
      <w:r>
        <w:t>Ingrid Näslund (kd) anför:</w:t>
      </w:r>
    </w:p>
    <w:p w:rsidR="00C05A87" w:rsidRDefault="00C05A87">
      <w:r>
        <w:t>Utskottet förordar den ram för utgiftsområde 7 för 1998 och den preliminära fördelning av utgifterna för samma utgiftsområde för 1999 och 2000 som, vad avser redovisningen av Kristdemokraternas förslag, framgår av bilagan till föreliggande yttrande med de motiveringar som framgår av sammanfat</w:t>
      </w:r>
      <w:r>
        <w:t>t</w:t>
      </w:r>
      <w:r>
        <w:t>ningen av motion Fi215 (kd) yrkandena 2 och 3 (båda i berörd del).</w:t>
      </w:r>
    </w:p>
    <w:p w:rsidR="00C05A87" w:rsidRDefault="00C05A87"/>
    <w:p w:rsidR="00C05A87" w:rsidRDefault="00C05A87">
      <w:pPr>
        <w:pStyle w:val="Rubrik2"/>
      </w:pPr>
    </w:p>
    <w:p w:rsidR="00C05A87" w:rsidRDefault="00C05A87">
      <w:pPr>
        <w:pStyle w:val="Rubrik2"/>
      </w:pPr>
      <w:r>
        <w:br w:type="page"/>
        <w:t>Särskilda yttranden</w:t>
      </w:r>
    </w:p>
    <w:p w:rsidR="00C05A87" w:rsidRDefault="00C05A87">
      <w:pPr>
        <w:pStyle w:val="R3"/>
        <w:spacing w:before="123"/>
      </w:pPr>
      <w:r>
        <w:t>1. Enprocentsmålet</w:t>
      </w:r>
    </w:p>
    <w:p w:rsidR="00C05A87" w:rsidRDefault="00C05A87">
      <w:r>
        <w:t>Inger Koch, Bertil Persson och Lars Hjertén (alla m) anför:</w:t>
      </w:r>
    </w:p>
    <w:p w:rsidR="00C05A87" w:rsidRDefault="00C05A87">
      <w:r>
        <w:t>I motion U202, Fattigdomen i världen, föreslår Moderata samlingspartiet en övergång från utbetalningsmål, uttryckta i procent, till ett övergripande mål om fattigdomens utrotande i världen, kombinerat med effektivitetsmål. B</w:t>
      </w:r>
      <w:r>
        <w:t>i</w:t>
      </w:r>
      <w:r>
        <w:t>stånd skall vara effektivt. S.k. utgiftsmål – där måluppfyllelse består i att anslagna medel utbetalats – leder sällan till detta. Själva biståndets idé – hjälp till självhjälp – innebär också att biståndet successivt skall avvecklas när fattigdomen utrotats. En annan svaghet med procentmål är att de urho</w:t>
      </w:r>
      <w:r>
        <w:t>l</w:t>
      </w:r>
      <w:r>
        <w:t>kas av inflation och devalveringar.</w:t>
      </w:r>
    </w:p>
    <w:p w:rsidR="00C05A87" w:rsidRDefault="00C05A87">
      <w:pPr>
        <w:pStyle w:val="R3"/>
      </w:pPr>
      <w:r>
        <w:t>2. Enprocentsmålet</w:t>
      </w:r>
    </w:p>
    <w:p w:rsidR="00C05A87" w:rsidRDefault="00C05A87">
      <w:r>
        <w:t>Karl-Göran Biörsmark (fp), Eva Zetterberg (v), Bodil Francke Ohlsson (mp) och Ingrid Näslund (kd) anför:</w:t>
      </w:r>
    </w:p>
    <w:p w:rsidR="00C05A87" w:rsidRDefault="00C05A87">
      <w:r>
        <w:t>I budgetpropositionen upprepar regeringen sitt förslag sedan tidigare att biståndsramen även för nästa budgetår skall ligga kvar på den biståndshist</w:t>
      </w:r>
      <w:r>
        <w:t>o</w:t>
      </w:r>
      <w:r>
        <w:t xml:space="preserve">riskt låga nivån 0,7 %. Detta föreslår regeringen i tider då den internationella solidariteten är satt under mycket hård press och då biståndet präglas av resursknapphet.  </w:t>
      </w:r>
    </w:p>
    <w:p w:rsidR="00C05A87" w:rsidRDefault="00C05A87">
      <w:r>
        <w:t>Regeringen har steg för steg fjärmat sig från det moraliskt bindande enpr</w:t>
      </w:r>
      <w:r>
        <w:t>o</w:t>
      </w:r>
      <w:r>
        <w:t>centsmålet som riksdagen en gång ställt sig bakom. I en situation med eno</w:t>
      </w:r>
      <w:r>
        <w:t>r</w:t>
      </w:r>
      <w:r>
        <w:t>ma behov av katastrofhjälp och omfattande behov av långsiktigt bistånd till stöd för spridande av  demokrati, mänskliga rättigheter, ekonomiska refor</w:t>
      </w:r>
      <w:r>
        <w:t>m</w:t>
      </w:r>
      <w:r>
        <w:t>processer och god miljö är det enligt vår mening nödvändigt att redan i bu</w:t>
      </w:r>
      <w:r>
        <w:t>d</w:t>
      </w:r>
      <w:r>
        <w:t xml:space="preserve">geten för 1998 öka biståndsanslaget utöver de 0,7 % regeringen stannat vid. </w:t>
      </w:r>
    </w:p>
    <w:p w:rsidR="00C05A87" w:rsidRDefault="00C05A87">
      <w:r>
        <w:t xml:space="preserve">Vägen som leder mot uppfyllandet av enprocentsmålet måste därför påbörjas omedelbart och första steget tas i budgeten för 1998. Vidare bör en plan upprättas som visar hur Sverige säkerställer löftet om enprocentsmålet. </w:t>
      </w:r>
    </w:p>
    <w:p w:rsidR="00C05A87" w:rsidRDefault="00C05A87"/>
    <w:p w:rsidR="00C05A87" w:rsidRDefault="00C05A87">
      <w:pPr>
        <w:sectPr w:rsidR="00000000">
          <w:headerReference w:type="default" r:id="rId6"/>
          <w:footerReference w:type="default" r:id="rId7"/>
          <w:headerReference w:type="first" r:id="rId8"/>
          <w:footerReference w:type="first" r:id="rId9"/>
          <w:pgSz w:w="11906" w:h="16838" w:code="9"/>
          <w:pgMar w:top="567" w:right="4876" w:bottom="4508" w:left="1134" w:header="0" w:footer="0" w:gutter="0"/>
          <w:cols w:space="397"/>
          <w:titlePg/>
        </w:sectPr>
      </w:pPr>
    </w:p>
    <w:p w:rsidR="00C05A87" w:rsidRDefault="00C05A87">
      <w:r>
        <w:t>Regeringens och övriga partiers förslag till fördelning av utgifter på utgift</w:t>
      </w:r>
      <w:r>
        <w:t>s</w:t>
      </w:r>
      <w:r>
        <w:t>områdena 5 och 7 åren 1998–2000</w:t>
      </w:r>
    </w:p>
    <w:p w:rsidR="00C05A87" w:rsidRDefault="00C05A87">
      <w:r>
        <w:t>För övriga partier har angivits differenser gentemot regeringens fö</w:t>
      </w:r>
      <w:r>
        <w:t>r</w:t>
      </w:r>
      <w:r>
        <w:t>slag.</w:t>
      </w:r>
    </w:p>
    <w:p w:rsidR="00C05A87" w:rsidRDefault="00C05A87">
      <w:pPr>
        <w:pStyle w:val="R3"/>
      </w:pPr>
      <w:r>
        <w:t>Utgiftsområde 5 Utrikesförvaltning och internationell samverkan</w:t>
      </w:r>
    </w:p>
    <w:p w:rsidR="00C05A87" w:rsidRDefault="00C05A8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418"/>
        <w:gridCol w:w="1417"/>
        <w:gridCol w:w="1288"/>
      </w:tblGrid>
      <w:tr w:rsidR="00000000">
        <w:tblPrEx>
          <w:tblCellMar>
            <w:top w:w="0" w:type="dxa"/>
            <w:bottom w:w="0" w:type="dxa"/>
          </w:tblCellMar>
        </w:tblPrEx>
        <w:tc>
          <w:tcPr>
            <w:tcW w:w="1913" w:type="dxa"/>
            <w:tcBorders>
              <w:bottom w:val="single" w:sz="12" w:space="0" w:color="auto"/>
            </w:tcBorders>
          </w:tcPr>
          <w:p w:rsidR="00C05A87" w:rsidRDefault="00C05A87">
            <w:pPr>
              <w:pStyle w:val="Normaltindrag"/>
              <w:ind w:firstLine="0"/>
              <w:jc w:val="right"/>
            </w:pPr>
          </w:p>
        </w:tc>
        <w:tc>
          <w:tcPr>
            <w:tcW w:w="1418" w:type="dxa"/>
            <w:tcBorders>
              <w:bottom w:val="single" w:sz="12" w:space="0" w:color="auto"/>
            </w:tcBorders>
          </w:tcPr>
          <w:p w:rsidR="00C05A87" w:rsidRDefault="00C05A87">
            <w:pPr>
              <w:pStyle w:val="Normaltindrag"/>
              <w:ind w:firstLine="0"/>
              <w:jc w:val="right"/>
              <w:rPr>
                <w:i/>
                <w:sz w:val="16"/>
              </w:rPr>
            </w:pPr>
            <w:r>
              <w:rPr>
                <w:i/>
                <w:sz w:val="16"/>
              </w:rPr>
              <w:t>1998</w:t>
            </w:r>
          </w:p>
          <w:p w:rsidR="00C05A87" w:rsidRDefault="00C05A87">
            <w:pPr>
              <w:pStyle w:val="Normaltindrag"/>
              <w:ind w:firstLine="0"/>
              <w:jc w:val="right"/>
            </w:pPr>
            <w:r>
              <w:rPr>
                <w:i/>
                <w:sz w:val="16"/>
              </w:rPr>
              <w:t>(tkr)</w:t>
            </w:r>
          </w:p>
        </w:tc>
        <w:tc>
          <w:tcPr>
            <w:tcW w:w="1417" w:type="dxa"/>
            <w:tcBorders>
              <w:bottom w:val="single" w:sz="12" w:space="0" w:color="auto"/>
            </w:tcBorders>
          </w:tcPr>
          <w:p w:rsidR="00C05A87" w:rsidRDefault="00C05A87">
            <w:pPr>
              <w:pStyle w:val="Normaltindrag"/>
              <w:ind w:firstLine="0"/>
              <w:jc w:val="right"/>
              <w:rPr>
                <w:i/>
                <w:sz w:val="16"/>
              </w:rPr>
            </w:pPr>
            <w:r>
              <w:rPr>
                <w:i/>
                <w:sz w:val="16"/>
              </w:rPr>
              <w:t>1999</w:t>
            </w:r>
          </w:p>
          <w:p w:rsidR="00C05A87" w:rsidRDefault="00C05A87">
            <w:pPr>
              <w:pStyle w:val="Normaltindrag"/>
              <w:ind w:firstLine="0"/>
              <w:jc w:val="right"/>
            </w:pPr>
            <w:r>
              <w:rPr>
                <w:i/>
                <w:sz w:val="16"/>
              </w:rPr>
              <w:t>(mkr)</w:t>
            </w:r>
          </w:p>
        </w:tc>
        <w:tc>
          <w:tcPr>
            <w:tcW w:w="1288" w:type="dxa"/>
            <w:tcBorders>
              <w:bottom w:val="single" w:sz="12" w:space="0" w:color="auto"/>
            </w:tcBorders>
          </w:tcPr>
          <w:p w:rsidR="00C05A87" w:rsidRDefault="00C05A87">
            <w:pPr>
              <w:pStyle w:val="Normaltindrag"/>
              <w:ind w:firstLine="0"/>
              <w:jc w:val="right"/>
              <w:rPr>
                <w:i/>
                <w:sz w:val="16"/>
              </w:rPr>
            </w:pPr>
            <w:r>
              <w:rPr>
                <w:i/>
                <w:sz w:val="16"/>
              </w:rPr>
              <w:t xml:space="preserve"> 2000</w:t>
            </w:r>
          </w:p>
          <w:p w:rsidR="00C05A87" w:rsidRDefault="00C05A87">
            <w:pPr>
              <w:pStyle w:val="Normaltindrag"/>
              <w:ind w:firstLine="0"/>
              <w:jc w:val="right"/>
            </w:pPr>
            <w:r>
              <w:rPr>
                <w:i/>
                <w:sz w:val="16"/>
              </w:rPr>
              <w:t>(mkr)</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Reg</w:t>
            </w:r>
            <w:r>
              <w:rPr>
                <w:sz w:val="16"/>
              </w:rPr>
              <w:t>e</w:t>
            </w:r>
            <w:r>
              <w:rPr>
                <w:sz w:val="16"/>
              </w:rPr>
              <w:t>ringen</w:t>
            </w:r>
          </w:p>
        </w:tc>
        <w:tc>
          <w:tcPr>
            <w:tcW w:w="1418" w:type="dxa"/>
          </w:tcPr>
          <w:p w:rsidR="00C05A87" w:rsidRDefault="00C05A87">
            <w:pPr>
              <w:pStyle w:val="Normaltindrag"/>
              <w:spacing w:line="240" w:lineRule="exact"/>
              <w:ind w:firstLine="0"/>
              <w:jc w:val="right"/>
            </w:pPr>
            <w:r>
              <w:rPr>
                <w:sz w:val="16"/>
              </w:rPr>
              <w:t>2 811 310</w:t>
            </w:r>
          </w:p>
        </w:tc>
        <w:tc>
          <w:tcPr>
            <w:tcW w:w="1417" w:type="dxa"/>
          </w:tcPr>
          <w:p w:rsidR="00C05A87" w:rsidRDefault="00C05A87">
            <w:pPr>
              <w:pStyle w:val="Normaltindrag"/>
              <w:spacing w:line="240" w:lineRule="exact"/>
              <w:ind w:firstLine="0"/>
              <w:jc w:val="right"/>
            </w:pPr>
            <w:r>
              <w:rPr>
                <w:sz w:val="16"/>
              </w:rPr>
              <w:t>2 873</w:t>
            </w:r>
          </w:p>
        </w:tc>
        <w:tc>
          <w:tcPr>
            <w:tcW w:w="1288" w:type="dxa"/>
          </w:tcPr>
          <w:p w:rsidR="00C05A87" w:rsidRDefault="00C05A87">
            <w:pPr>
              <w:pStyle w:val="Normaltindrag"/>
              <w:spacing w:line="240" w:lineRule="exact"/>
              <w:ind w:firstLine="0"/>
              <w:jc w:val="right"/>
            </w:pPr>
            <w:r>
              <w:rPr>
                <w:sz w:val="16"/>
              </w:rPr>
              <w:t>2 943</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Moderata samlingspartiet</w:t>
            </w:r>
          </w:p>
        </w:tc>
        <w:tc>
          <w:tcPr>
            <w:tcW w:w="1418" w:type="dxa"/>
          </w:tcPr>
          <w:p w:rsidR="00C05A87" w:rsidRDefault="00C05A87">
            <w:pPr>
              <w:pStyle w:val="Normaltindrag"/>
              <w:spacing w:line="240" w:lineRule="exact"/>
              <w:ind w:firstLine="0"/>
              <w:jc w:val="right"/>
            </w:pPr>
            <w:r>
              <w:rPr>
                <w:sz w:val="16"/>
              </w:rPr>
              <w:t>- 93 409</w:t>
            </w:r>
          </w:p>
        </w:tc>
        <w:tc>
          <w:tcPr>
            <w:tcW w:w="1417" w:type="dxa"/>
          </w:tcPr>
          <w:p w:rsidR="00C05A87" w:rsidRDefault="00C05A87">
            <w:pPr>
              <w:pStyle w:val="Normaltindrag"/>
              <w:spacing w:line="240" w:lineRule="exact"/>
              <w:ind w:firstLine="0"/>
              <w:jc w:val="right"/>
            </w:pPr>
            <w:r>
              <w:rPr>
                <w:sz w:val="16"/>
              </w:rPr>
              <w:t>- 97</w:t>
            </w:r>
          </w:p>
        </w:tc>
        <w:tc>
          <w:tcPr>
            <w:tcW w:w="1288" w:type="dxa"/>
          </w:tcPr>
          <w:p w:rsidR="00C05A87" w:rsidRDefault="00C05A87">
            <w:pPr>
              <w:pStyle w:val="Normaltindrag"/>
              <w:spacing w:line="240" w:lineRule="exact"/>
              <w:ind w:firstLine="0"/>
              <w:jc w:val="right"/>
            </w:pPr>
            <w:r>
              <w:rPr>
                <w:sz w:val="16"/>
              </w:rPr>
              <w:t>- 102</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Centerpartiet</w:t>
            </w:r>
          </w:p>
        </w:tc>
        <w:tc>
          <w:tcPr>
            <w:tcW w:w="1418" w:type="dxa"/>
          </w:tcPr>
          <w:p w:rsidR="00C05A87" w:rsidRDefault="00C05A87">
            <w:pPr>
              <w:pStyle w:val="Normaltindrag"/>
              <w:spacing w:line="240" w:lineRule="exact"/>
              <w:ind w:firstLine="0"/>
              <w:jc w:val="right"/>
            </w:pPr>
            <w:r>
              <w:rPr>
                <w:sz w:val="16"/>
              </w:rPr>
              <w:t>0</w:t>
            </w:r>
          </w:p>
        </w:tc>
        <w:tc>
          <w:tcPr>
            <w:tcW w:w="1417" w:type="dxa"/>
          </w:tcPr>
          <w:p w:rsidR="00C05A87" w:rsidRDefault="00C05A87">
            <w:pPr>
              <w:pStyle w:val="Normaltindrag"/>
              <w:spacing w:line="240" w:lineRule="exact"/>
              <w:ind w:firstLine="0"/>
              <w:jc w:val="right"/>
            </w:pPr>
            <w:r>
              <w:rPr>
                <w:sz w:val="16"/>
              </w:rPr>
              <w:t>0</w:t>
            </w:r>
          </w:p>
        </w:tc>
        <w:tc>
          <w:tcPr>
            <w:tcW w:w="1288" w:type="dxa"/>
          </w:tcPr>
          <w:p w:rsidR="00C05A87" w:rsidRDefault="00C05A87">
            <w:pPr>
              <w:pStyle w:val="Normaltindrag"/>
              <w:spacing w:line="240" w:lineRule="exact"/>
              <w:ind w:firstLine="0"/>
              <w:jc w:val="right"/>
            </w:pPr>
            <w:r>
              <w:rPr>
                <w:sz w:val="16"/>
              </w:rPr>
              <w:t>0</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Folkpartiet</w:t>
            </w:r>
            <w:r>
              <w:rPr>
                <w:sz w:val="16"/>
              </w:rPr>
              <w:tab/>
            </w:r>
          </w:p>
        </w:tc>
        <w:tc>
          <w:tcPr>
            <w:tcW w:w="1418" w:type="dxa"/>
          </w:tcPr>
          <w:p w:rsidR="00C05A87" w:rsidRDefault="00C05A87">
            <w:pPr>
              <w:pStyle w:val="Normaltindrag"/>
              <w:spacing w:line="240" w:lineRule="exact"/>
              <w:ind w:firstLine="0"/>
              <w:jc w:val="right"/>
            </w:pPr>
            <w:r>
              <w:rPr>
                <w:sz w:val="16"/>
              </w:rPr>
              <w:t>0</w:t>
            </w:r>
          </w:p>
        </w:tc>
        <w:tc>
          <w:tcPr>
            <w:tcW w:w="1417" w:type="dxa"/>
          </w:tcPr>
          <w:p w:rsidR="00C05A87" w:rsidRDefault="00C05A87">
            <w:pPr>
              <w:pStyle w:val="Normaltindrag"/>
              <w:spacing w:line="240" w:lineRule="exact"/>
              <w:ind w:firstLine="0"/>
              <w:jc w:val="right"/>
            </w:pPr>
            <w:r>
              <w:rPr>
                <w:sz w:val="16"/>
              </w:rPr>
              <w:t>0</w:t>
            </w:r>
          </w:p>
        </w:tc>
        <w:tc>
          <w:tcPr>
            <w:tcW w:w="1288" w:type="dxa"/>
          </w:tcPr>
          <w:p w:rsidR="00C05A87" w:rsidRDefault="00C05A87">
            <w:pPr>
              <w:pStyle w:val="Normaltindrag"/>
              <w:spacing w:line="240" w:lineRule="exact"/>
              <w:ind w:firstLine="0"/>
              <w:jc w:val="right"/>
            </w:pPr>
            <w:r>
              <w:rPr>
                <w:sz w:val="16"/>
              </w:rPr>
              <w:t>0</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Vänsterpartiet</w:t>
            </w:r>
          </w:p>
        </w:tc>
        <w:tc>
          <w:tcPr>
            <w:tcW w:w="1418" w:type="dxa"/>
          </w:tcPr>
          <w:p w:rsidR="00C05A87" w:rsidRDefault="00C05A87">
            <w:pPr>
              <w:pStyle w:val="Normaltindrag"/>
              <w:spacing w:line="240" w:lineRule="exact"/>
              <w:ind w:firstLine="0"/>
              <w:jc w:val="right"/>
            </w:pPr>
            <w:r>
              <w:rPr>
                <w:sz w:val="16"/>
              </w:rPr>
              <w:t>10 000</w:t>
            </w:r>
          </w:p>
        </w:tc>
        <w:tc>
          <w:tcPr>
            <w:tcW w:w="1417" w:type="dxa"/>
          </w:tcPr>
          <w:p w:rsidR="00C05A87" w:rsidRDefault="00C05A87">
            <w:pPr>
              <w:pStyle w:val="Normaltindrag"/>
              <w:spacing w:line="240" w:lineRule="exact"/>
              <w:ind w:firstLine="0"/>
              <w:jc w:val="right"/>
            </w:pPr>
            <w:r>
              <w:rPr>
                <w:sz w:val="16"/>
              </w:rPr>
              <w:t>–</w:t>
            </w:r>
          </w:p>
        </w:tc>
        <w:tc>
          <w:tcPr>
            <w:tcW w:w="1288" w:type="dxa"/>
          </w:tcPr>
          <w:p w:rsidR="00C05A87" w:rsidRDefault="00C05A87">
            <w:pPr>
              <w:pStyle w:val="Normaltindrag"/>
              <w:spacing w:line="240" w:lineRule="exact"/>
              <w:ind w:firstLine="0"/>
              <w:jc w:val="right"/>
            </w:pPr>
            <w:r>
              <w:rPr>
                <w:sz w:val="16"/>
              </w:rPr>
              <w:t>–</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Miljöpartiet</w:t>
            </w:r>
          </w:p>
        </w:tc>
        <w:tc>
          <w:tcPr>
            <w:tcW w:w="1418" w:type="dxa"/>
          </w:tcPr>
          <w:p w:rsidR="00C05A87" w:rsidRDefault="00C05A87">
            <w:pPr>
              <w:pStyle w:val="Normaltindrag"/>
              <w:spacing w:line="240" w:lineRule="exact"/>
              <w:ind w:firstLine="0"/>
              <w:jc w:val="right"/>
            </w:pPr>
            <w:r>
              <w:rPr>
                <w:sz w:val="16"/>
              </w:rPr>
              <w:t>0</w:t>
            </w:r>
          </w:p>
        </w:tc>
        <w:tc>
          <w:tcPr>
            <w:tcW w:w="1417" w:type="dxa"/>
          </w:tcPr>
          <w:p w:rsidR="00C05A87" w:rsidRDefault="00C05A87">
            <w:pPr>
              <w:pStyle w:val="Normaltindrag"/>
              <w:spacing w:line="240" w:lineRule="exact"/>
              <w:ind w:firstLine="0"/>
              <w:jc w:val="right"/>
            </w:pPr>
            <w:r>
              <w:rPr>
                <w:sz w:val="16"/>
              </w:rPr>
              <w:t>0</w:t>
            </w:r>
          </w:p>
        </w:tc>
        <w:tc>
          <w:tcPr>
            <w:tcW w:w="1288" w:type="dxa"/>
          </w:tcPr>
          <w:p w:rsidR="00C05A87" w:rsidRDefault="00C05A87">
            <w:pPr>
              <w:pStyle w:val="Normaltindrag"/>
              <w:spacing w:line="240" w:lineRule="exact"/>
              <w:ind w:firstLine="0"/>
              <w:jc w:val="right"/>
            </w:pPr>
            <w:r>
              <w:rPr>
                <w:sz w:val="16"/>
              </w:rPr>
              <w:t>0</w:t>
            </w:r>
          </w:p>
        </w:tc>
      </w:tr>
      <w:tr w:rsidR="00000000">
        <w:tblPrEx>
          <w:tblCellMar>
            <w:top w:w="0" w:type="dxa"/>
            <w:bottom w:w="0" w:type="dxa"/>
          </w:tblCellMar>
        </w:tblPrEx>
        <w:tc>
          <w:tcPr>
            <w:tcW w:w="1913" w:type="dxa"/>
          </w:tcPr>
          <w:p w:rsidR="00C05A87" w:rsidRDefault="00C05A87">
            <w:pPr>
              <w:pStyle w:val="Normaltindrag"/>
              <w:spacing w:line="240" w:lineRule="exact"/>
              <w:ind w:firstLine="0"/>
            </w:pPr>
            <w:r>
              <w:rPr>
                <w:sz w:val="16"/>
              </w:rPr>
              <w:t>Kristdemokraterna</w:t>
            </w:r>
          </w:p>
        </w:tc>
        <w:tc>
          <w:tcPr>
            <w:tcW w:w="1418" w:type="dxa"/>
          </w:tcPr>
          <w:p w:rsidR="00C05A87" w:rsidRDefault="00C05A87">
            <w:pPr>
              <w:pStyle w:val="Normaltindrag"/>
              <w:spacing w:line="240" w:lineRule="exact"/>
              <w:ind w:firstLine="0"/>
              <w:jc w:val="right"/>
            </w:pPr>
            <w:r>
              <w:rPr>
                <w:sz w:val="16"/>
              </w:rPr>
              <w:t>0</w:t>
            </w:r>
          </w:p>
        </w:tc>
        <w:tc>
          <w:tcPr>
            <w:tcW w:w="1417" w:type="dxa"/>
          </w:tcPr>
          <w:p w:rsidR="00C05A87" w:rsidRDefault="00C05A87">
            <w:pPr>
              <w:pStyle w:val="Normaltindrag"/>
              <w:spacing w:line="240" w:lineRule="exact"/>
              <w:ind w:firstLine="0"/>
              <w:jc w:val="right"/>
            </w:pPr>
            <w:r>
              <w:rPr>
                <w:sz w:val="16"/>
              </w:rPr>
              <w:t>0</w:t>
            </w:r>
          </w:p>
        </w:tc>
        <w:tc>
          <w:tcPr>
            <w:tcW w:w="1288" w:type="dxa"/>
          </w:tcPr>
          <w:p w:rsidR="00C05A87" w:rsidRDefault="00C05A87">
            <w:pPr>
              <w:pStyle w:val="Normaltindrag"/>
              <w:spacing w:line="240" w:lineRule="exact"/>
              <w:ind w:firstLine="0"/>
              <w:jc w:val="right"/>
            </w:pPr>
            <w:r>
              <w:rPr>
                <w:sz w:val="16"/>
              </w:rPr>
              <w:t>0</w:t>
            </w:r>
          </w:p>
        </w:tc>
      </w:tr>
    </w:tbl>
    <w:p w:rsidR="00C05A87" w:rsidRDefault="00C05A87">
      <w:pPr>
        <w:pStyle w:val="R3"/>
      </w:pPr>
      <w:r>
        <w:t>Utgiftsområde 7 Internationellt bistånd</w:t>
      </w:r>
    </w:p>
    <w:p w:rsidR="00C05A87" w:rsidRDefault="00C05A87">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913"/>
        <w:gridCol w:w="1418"/>
        <w:gridCol w:w="1417"/>
        <w:gridCol w:w="1287"/>
      </w:tblGrid>
      <w:tr w:rsidR="00000000">
        <w:tblPrEx>
          <w:tblCellMar>
            <w:top w:w="0" w:type="dxa"/>
            <w:bottom w:w="0" w:type="dxa"/>
          </w:tblCellMar>
        </w:tblPrEx>
        <w:tc>
          <w:tcPr>
            <w:tcW w:w="1913" w:type="dxa"/>
            <w:tcBorders>
              <w:bottom w:val="single" w:sz="12" w:space="0" w:color="auto"/>
            </w:tcBorders>
          </w:tcPr>
          <w:p w:rsidR="00C05A87" w:rsidRDefault="00C05A87">
            <w:pPr>
              <w:pStyle w:val="Normaltindrag"/>
              <w:ind w:firstLine="0"/>
              <w:jc w:val="right"/>
              <w:rPr>
                <w:i/>
                <w:sz w:val="16"/>
              </w:rPr>
            </w:pPr>
          </w:p>
        </w:tc>
        <w:tc>
          <w:tcPr>
            <w:tcW w:w="1418" w:type="dxa"/>
            <w:tcBorders>
              <w:bottom w:val="single" w:sz="12" w:space="0" w:color="auto"/>
            </w:tcBorders>
          </w:tcPr>
          <w:p w:rsidR="00C05A87" w:rsidRDefault="00C05A87">
            <w:pPr>
              <w:pStyle w:val="Normaltindrag"/>
              <w:ind w:firstLine="0"/>
              <w:jc w:val="right"/>
              <w:rPr>
                <w:i/>
                <w:sz w:val="16"/>
              </w:rPr>
            </w:pPr>
            <w:r>
              <w:rPr>
                <w:i/>
                <w:sz w:val="16"/>
              </w:rPr>
              <w:t>1998</w:t>
            </w:r>
          </w:p>
          <w:p w:rsidR="00C05A87" w:rsidRDefault="00C05A87">
            <w:pPr>
              <w:pStyle w:val="Normaltindrag"/>
              <w:ind w:firstLine="0"/>
              <w:jc w:val="right"/>
              <w:rPr>
                <w:i/>
                <w:sz w:val="16"/>
              </w:rPr>
            </w:pPr>
            <w:r>
              <w:rPr>
                <w:i/>
                <w:sz w:val="16"/>
              </w:rPr>
              <w:t>(tkr)</w:t>
            </w:r>
          </w:p>
        </w:tc>
        <w:tc>
          <w:tcPr>
            <w:tcW w:w="1417" w:type="dxa"/>
            <w:tcBorders>
              <w:bottom w:val="single" w:sz="12" w:space="0" w:color="auto"/>
            </w:tcBorders>
          </w:tcPr>
          <w:p w:rsidR="00C05A87" w:rsidRDefault="00C05A87">
            <w:pPr>
              <w:pStyle w:val="Normaltindrag"/>
              <w:ind w:firstLine="0"/>
              <w:jc w:val="right"/>
              <w:rPr>
                <w:i/>
                <w:sz w:val="16"/>
              </w:rPr>
            </w:pPr>
            <w:r>
              <w:rPr>
                <w:i/>
                <w:sz w:val="16"/>
              </w:rPr>
              <w:t>1999</w:t>
            </w:r>
          </w:p>
          <w:p w:rsidR="00C05A87" w:rsidRDefault="00C05A87">
            <w:pPr>
              <w:pStyle w:val="Normaltindrag"/>
              <w:ind w:firstLine="0"/>
              <w:jc w:val="right"/>
              <w:rPr>
                <w:i/>
                <w:sz w:val="16"/>
              </w:rPr>
            </w:pPr>
            <w:r>
              <w:rPr>
                <w:i/>
                <w:sz w:val="16"/>
              </w:rPr>
              <w:t>(mkr)</w:t>
            </w:r>
          </w:p>
        </w:tc>
        <w:tc>
          <w:tcPr>
            <w:tcW w:w="1287" w:type="dxa"/>
            <w:tcBorders>
              <w:bottom w:val="single" w:sz="12" w:space="0" w:color="auto"/>
            </w:tcBorders>
          </w:tcPr>
          <w:p w:rsidR="00C05A87" w:rsidRDefault="00C05A87">
            <w:pPr>
              <w:pStyle w:val="Normaltindrag"/>
              <w:ind w:firstLine="0"/>
              <w:jc w:val="right"/>
              <w:rPr>
                <w:i/>
                <w:sz w:val="16"/>
              </w:rPr>
            </w:pPr>
            <w:r>
              <w:rPr>
                <w:i/>
                <w:sz w:val="16"/>
              </w:rPr>
              <w:t>2000</w:t>
            </w:r>
          </w:p>
          <w:p w:rsidR="00C05A87" w:rsidRDefault="00C05A87">
            <w:pPr>
              <w:pStyle w:val="Normaltindrag"/>
              <w:ind w:firstLine="0"/>
              <w:jc w:val="right"/>
              <w:rPr>
                <w:i/>
                <w:sz w:val="16"/>
              </w:rPr>
            </w:pPr>
            <w:r>
              <w:rPr>
                <w:i/>
                <w:sz w:val="16"/>
              </w:rPr>
              <w:t>(mkr)</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Reg</w:t>
            </w:r>
            <w:r>
              <w:rPr>
                <w:sz w:val="16"/>
              </w:rPr>
              <w:t>e</w:t>
            </w:r>
            <w:r>
              <w:rPr>
                <w:sz w:val="16"/>
              </w:rPr>
              <w:t>ringen</w:t>
            </w:r>
          </w:p>
        </w:tc>
        <w:tc>
          <w:tcPr>
            <w:tcW w:w="1418" w:type="dxa"/>
          </w:tcPr>
          <w:p w:rsidR="00C05A87" w:rsidRDefault="00C05A87">
            <w:pPr>
              <w:pStyle w:val="Normaltindrag"/>
              <w:ind w:firstLine="0"/>
              <w:jc w:val="right"/>
              <w:rPr>
                <w:i/>
                <w:sz w:val="16"/>
              </w:rPr>
            </w:pPr>
            <w:r>
              <w:rPr>
                <w:sz w:val="16"/>
              </w:rPr>
              <w:t>11 434 400</w:t>
            </w:r>
          </w:p>
        </w:tc>
        <w:tc>
          <w:tcPr>
            <w:tcW w:w="1417" w:type="dxa"/>
          </w:tcPr>
          <w:p w:rsidR="00C05A87" w:rsidRDefault="00C05A87">
            <w:pPr>
              <w:pStyle w:val="Normaltindrag"/>
              <w:ind w:firstLine="0"/>
              <w:jc w:val="right"/>
              <w:rPr>
                <w:i/>
                <w:sz w:val="16"/>
              </w:rPr>
            </w:pPr>
            <w:r>
              <w:rPr>
                <w:sz w:val="16"/>
              </w:rPr>
              <w:t>12 028</w:t>
            </w:r>
          </w:p>
        </w:tc>
        <w:tc>
          <w:tcPr>
            <w:tcW w:w="1287" w:type="dxa"/>
          </w:tcPr>
          <w:p w:rsidR="00C05A87" w:rsidRDefault="00C05A87">
            <w:pPr>
              <w:pStyle w:val="Normaltindrag"/>
              <w:ind w:firstLine="0"/>
              <w:jc w:val="right"/>
              <w:rPr>
                <w:i/>
                <w:sz w:val="16"/>
              </w:rPr>
            </w:pPr>
            <w:r>
              <w:rPr>
                <w:sz w:val="16"/>
              </w:rPr>
              <w:t>13 041</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Moderata samling</w:t>
            </w:r>
            <w:r>
              <w:rPr>
                <w:sz w:val="16"/>
              </w:rPr>
              <w:t>s</w:t>
            </w:r>
            <w:r>
              <w:rPr>
                <w:sz w:val="16"/>
              </w:rPr>
              <w:t>partiet</w:t>
            </w:r>
          </w:p>
        </w:tc>
        <w:tc>
          <w:tcPr>
            <w:tcW w:w="1418" w:type="dxa"/>
          </w:tcPr>
          <w:p w:rsidR="00C05A87" w:rsidRDefault="00C05A87">
            <w:pPr>
              <w:pStyle w:val="Normaltindrag"/>
              <w:ind w:firstLine="0"/>
              <w:jc w:val="right"/>
              <w:rPr>
                <w:i/>
                <w:sz w:val="16"/>
              </w:rPr>
            </w:pPr>
            <w:r>
              <w:rPr>
                <w:sz w:val="16"/>
              </w:rPr>
              <w:t>- 315 172</w:t>
            </w:r>
            <w:r>
              <w:rPr>
                <w:rStyle w:val="Fotnotsreferens"/>
                <w:sz w:val="16"/>
              </w:rPr>
              <w:footnoteReference w:id="1"/>
            </w:r>
          </w:p>
        </w:tc>
        <w:tc>
          <w:tcPr>
            <w:tcW w:w="1417" w:type="dxa"/>
          </w:tcPr>
          <w:p w:rsidR="00C05A87" w:rsidRDefault="00C05A87">
            <w:pPr>
              <w:pStyle w:val="Normaltindrag"/>
              <w:ind w:firstLine="0"/>
              <w:jc w:val="right"/>
              <w:rPr>
                <w:i/>
                <w:sz w:val="16"/>
              </w:rPr>
            </w:pPr>
            <w:r>
              <w:rPr>
                <w:sz w:val="16"/>
              </w:rPr>
              <w:t>- 2 020</w:t>
            </w:r>
          </w:p>
        </w:tc>
        <w:tc>
          <w:tcPr>
            <w:tcW w:w="1287" w:type="dxa"/>
          </w:tcPr>
          <w:p w:rsidR="00C05A87" w:rsidRDefault="00C05A87">
            <w:pPr>
              <w:pStyle w:val="Normaltindrag"/>
              <w:ind w:firstLine="0"/>
              <w:jc w:val="right"/>
              <w:rPr>
                <w:i/>
                <w:sz w:val="16"/>
              </w:rPr>
            </w:pPr>
            <w:r>
              <w:rPr>
                <w:sz w:val="16"/>
              </w:rPr>
              <w:t>- 2 625</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Centerpartiet</w:t>
            </w:r>
          </w:p>
        </w:tc>
        <w:tc>
          <w:tcPr>
            <w:tcW w:w="1418" w:type="dxa"/>
          </w:tcPr>
          <w:p w:rsidR="00C05A87" w:rsidRDefault="00C05A87">
            <w:pPr>
              <w:pStyle w:val="Normaltindrag"/>
              <w:ind w:firstLine="0"/>
              <w:jc w:val="right"/>
              <w:rPr>
                <w:i/>
                <w:sz w:val="16"/>
              </w:rPr>
            </w:pPr>
            <w:r>
              <w:rPr>
                <w:sz w:val="16"/>
              </w:rPr>
              <w:t>0</w:t>
            </w:r>
          </w:p>
        </w:tc>
        <w:tc>
          <w:tcPr>
            <w:tcW w:w="1417" w:type="dxa"/>
          </w:tcPr>
          <w:p w:rsidR="00C05A87" w:rsidRDefault="00C05A87">
            <w:pPr>
              <w:pStyle w:val="Normaltindrag"/>
              <w:ind w:firstLine="0"/>
              <w:jc w:val="right"/>
              <w:rPr>
                <w:i/>
                <w:sz w:val="16"/>
              </w:rPr>
            </w:pPr>
            <w:r>
              <w:rPr>
                <w:sz w:val="16"/>
              </w:rPr>
              <w:t>0</w:t>
            </w:r>
          </w:p>
        </w:tc>
        <w:tc>
          <w:tcPr>
            <w:tcW w:w="1287" w:type="dxa"/>
          </w:tcPr>
          <w:p w:rsidR="00C05A87" w:rsidRDefault="00C05A87">
            <w:pPr>
              <w:pStyle w:val="Normaltindrag"/>
              <w:ind w:firstLine="0"/>
              <w:jc w:val="right"/>
              <w:rPr>
                <w:i/>
                <w:sz w:val="16"/>
              </w:rPr>
            </w:pPr>
            <w:r>
              <w:rPr>
                <w:sz w:val="16"/>
              </w:rPr>
              <w:t>0</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Folkpartiet</w:t>
            </w:r>
          </w:p>
        </w:tc>
        <w:tc>
          <w:tcPr>
            <w:tcW w:w="1418" w:type="dxa"/>
          </w:tcPr>
          <w:p w:rsidR="00C05A87" w:rsidRDefault="00C05A87">
            <w:pPr>
              <w:pStyle w:val="Normaltindrag"/>
              <w:ind w:firstLine="0"/>
              <w:jc w:val="right"/>
              <w:rPr>
                <w:i/>
                <w:sz w:val="16"/>
              </w:rPr>
            </w:pPr>
            <w:r>
              <w:rPr>
                <w:sz w:val="16"/>
              </w:rPr>
              <w:t>1 500 000</w:t>
            </w:r>
          </w:p>
        </w:tc>
        <w:tc>
          <w:tcPr>
            <w:tcW w:w="1417" w:type="dxa"/>
          </w:tcPr>
          <w:p w:rsidR="00C05A87" w:rsidRDefault="00C05A87">
            <w:pPr>
              <w:pStyle w:val="Normaltindrag"/>
              <w:ind w:firstLine="0"/>
              <w:jc w:val="right"/>
              <w:rPr>
                <w:i/>
                <w:sz w:val="16"/>
              </w:rPr>
            </w:pPr>
            <w:r>
              <w:rPr>
                <w:sz w:val="16"/>
              </w:rPr>
              <w:t>1 800</w:t>
            </w:r>
          </w:p>
        </w:tc>
        <w:tc>
          <w:tcPr>
            <w:tcW w:w="1287" w:type="dxa"/>
          </w:tcPr>
          <w:p w:rsidR="00C05A87" w:rsidRDefault="00C05A87">
            <w:pPr>
              <w:pStyle w:val="Normaltindrag"/>
              <w:ind w:firstLine="0"/>
              <w:jc w:val="right"/>
              <w:rPr>
                <w:i/>
                <w:sz w:val="16"/>
              </w:rPr>
            </w:pPr>
            <w:r>
              <w:rPr>
                <w:sz w:val="16"/>
              </w:rPr>
              <w:t>2 000</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Vänsterpartiet</w:t>
            </w:r>
          </w:p>
        </w:tc>
        <w:tc>
          <w:tcPr>
            <w:tcW w:w="1418" w:type="dxa"/>
          </w:tcPr>
          <w:p w:rsidR="00C05A87" w:rsidRDefault="00C05A87">
            <w:pPr>
              <w:pStyle w:val="Normaltindrag"/>
              <w:ind w:firstLine="0"/>
              <w:jc w:val="right"/>
              <w:rPr>
                <w:i/>
                <w:sz w:val="16"/>
              </w:rPr>
            </w:pPr>
            <w:r>
              <w:rPr>
                <w:sz w:val="16"/>
              </w:rPr>
              <w:t>1 000 000</w:t>
            </w:r>
          </w:p>
        </w:tc>
        <w:tc>
          <w:tcPr>
            <w:tcW w:w="1417" w:type="dxa"/>
          </w:tcPr>
          <w:p w:rsidR="00C05A87" w:rsidRDefault="00C05A87">
            <w:pPr>
              <w:pStyle w:val="Normaltindrag"/>
              <w:ind w:firstLine="0"/>
              <w:jc w:val="right"/>
              <w:rPr>
                <w:i/>
                <w:sz w:val="16"/>
              </w:rPr>
            </w:pPr>
            <w:r>
              <w:rPr>
                <w:sz w:val="16"/>
              </w:rPr>
              <w:t>–</w:t>
            </w:r>
          </w:p>
        </w:tc>
        <w:tc>
          <w:tcPr>
            <w:tcW w:w="1287" w:type="dxa"/>
          </w:tcPr>
          <w:p w:rsidR="00C05A87" w:rsidRDefault="00C05A87">
            <w:pPr>
              <w:pStyle w:val="Normaltindrag"/>
              <w:ind w:firstLine="0"/>
              <w:jc w:val="right"/>
              <w:rPr>
                <w:i/>
                <w:sz w:val="16"/>
              </w:rPr>
            </w:pPr>
            <w:r>
              <w:rPr>
                <w:sz w:val="16"/>
              </w:rPr>
              <w:t>–</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Miljöpartiet</w:t>
            </w:r>
          </w:p>
        </w:tc>
        <w:tc>
          <w:tcPr>
            <w:tcW w:w="1418" w:type="dxa"/>
          </w:tcPr>
          <w:p w:rsidR="00C05A87" w:rsidRDefault="00C05A87">
            <w:pPr>
              <w:pStyle w:val="Normaltindrag"/>
              <w:ind w:firstLine="0"/>
              <w:jc w:val="right"/>
              <w:rPr>
                <w:i/>
                <w:sz w:val="16"/>
              </w:rPr>
            </w:pPr>
            <w:r>
              <w:rPr>
                <w:sz w:val="16"/>
              </w:rPr>
              <w:t>1 730 000</w:t>
            </w:r>
          </w:p>
        </w:tc>
        <w:tc>
          <w:tcPr>
            <w:tcW w:w="1417" w:type="dxa"/>
          </w:tcPr>
          <w:p w:rsidR="00C05A87" w:rsidRDefault="00C05A87">
            <w:pPr>
              <w:pStyle w:val="Normaltindrag"/>
              <w:ind w:firstLine="0"/>
              <w:jc w:val="right"/>
              <w:rPr>
                <w:i/>
                <w:sz w:val="16"/>
              </w:rPr>
            </w:pPr>
            <w:r>
              <w:rPr>
                <w:sz w:val="16"/>
              </w:rPr>
              <w:t>2 130</w:t>
            </w:r>
          </w:p>
        </w:tc>
        <w:tc>
          <w:tcPr>
            <w:tcW w:w="1287" w:type="dxa"/>
          </w:tcPr>
          <w:p w:rsidR="00C05A87" w:rsidRDefault="00C05A87">
            <w:pPr>
              <w:pStyle w:val="Normaltindrag"/>
              <w:ind w:firstLine="0"/>
              <w:jc w:val="right"/>
              <w:rPr>
                <w:i/>
                <w:sz w:val="16"/>
              </w:rPr>
            </w:pPr>
            <w:r>
              <w:rPr>
                <w:sz w:val="16"/>
              </w:rPr>
              <w:t>2 530</w:t>
            </w:r>
          </w:p>
        </w:tc>
      </w:tr>
      <w:tr w:rsidR="00000000">
        <w:tblPrEx>
          <w:tblCellMar>
            <w:top w:w="0" w:type="dxa"/>
            <w:bottom w:w="0" w:type="dxa"/>
          </w:tblCellMar>
        </w:tblPrEx>
        <w:tc>
          <w:tcPr>
            <w:tcW w:w="1913" w:type="dxa"/>
          </w:tcPr>
          <w:p w:rsidR="00C05A87" w:rsidRDefault="00C05A87">
            <w:pPr>
              <w:pStyle w:val="Normaltindrag"/>
              <w:ind w:firstLine="0"/>
              <w:rPr>
                <w:i/>
                <w:sz w:val="16"/>
              </w:rPr>
            </w:pPr>
            <w:r>
              <w:rPr>
                <w:sz w:val="16"/>
              </w:rPr>
              <w:t>Kristdemokraterna</w:t>
            </w:r>
          </w:p>
        </w:tc>
        <w:tc>
          <w:tcPr>
            <w:tcW w:w="1418" w:type="dxa"/>
          </w:tcPr>
          <w:p w:rsidR="00C05A87" w:rsidRDefault="00C05A87">
            <w:pPr>
              <w:pStyle w:val="Normaltindrag"/>
              <w:ind w:firstLine="0"/>
              <w:jc w:val="right"/>
              <w:rPr>
                <w:i/>
                <w:sz w:val="16"/>
              </w:rPr>
            </w:pPr>
            <w:r>
              <w:rPr>
                <w:sz w:val="16"/>
              </w:rPr>
              <w:t>1 800 000</w:t>
            </w:r>
          </w:p>
        </w:tc>
        <w:tc>
          <w:tcPr>
            <w:tcW w:w="1417" w:type="dxa"/>
          </w:tcPr>
          <w:p w:rsidR="00C05A87" w:rsidRDefault="00C05A87">
            <w:pPr>
              <w:pStyle w:val="Normaltindrag"/>
              <w:ind w:firstLine="0"/>
              <w:jc w:val="right"/>
              <w:rPr>
                <w:i/>
                <w:sz w:val="16"/>
              </w:rPr>
            </w:pPr>
            <w:r>
              <w:rPr>
                <w:sz w:val="16"/>
              </w:rPr>
              <w:t>2 400</w:t>
            </w:r>
          </w:p>
        </w:tc>
        <w:tc>
          <w:tcPr>
            <w:tcW w:w="1287" w:type="dxa"/>
          </w:tcPr>
          <w:p w:rsidR="00C05A87" w:rsidRDefault="00C05A87">
            <w:pPr>
              <w:pStyle w:val="Normaltindrag"/>
              <w:ind w:firstLine="0"/>
              <w:jc w:val="right"/>
              <w:rPr>
                <w:i/>
                <w:sz w:val="16"/>
              </w:rPr>
            </w:pPr>
            <w:r>
              <w:rPr>
                <w:sz w:val="16"/>
              </w:rPr>
              <w:t>3 000</w:t>
            </w:r>
          </w:p>
        </w:tc>
      </w:tr>
    </w:tbl>
    <w:p w:rsidR="00C05A87" w:rsidRDefault="00C05A87">
      <w:pPr>
        <w:pStyle w:val="Normaltindrag"/>
        <w:spacing w:line="170" w:lineRule="exac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p>
    <w:p w:rsidR="00C05A87" w:rsidRDefault="00C05A87">
      <w:pPr>
        <w:pStyle w:val="Tryckort"/>
      </w:pPr>
      <w:r>
        <w:rPr>
          <w:rStyle w:val="Fotnotsreferens"/>
        </w:rPr>
        <w:footnoteRef/>
      </w:r>
      <w:r>
        <w:t xml:space="preserve"> Härvid har beaktats förslaget att överföra 500 000 000 kr från anslaget Samarbete och utveckling inom Östersjöregionen.</w:t>
      </w:r>
    </w:p>
    <w:sectPr w:rsidR="00C05A87">
      <w:headerReference w:type="default" r:id="rId10"/>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A87" w:rsidRDefault="00C05A87">
      <w:pPr>
        <w:spacing w:before="0" w:line="240" w:lineRule="auto"/>
      </w:pPr>
      <w:r>
        <w:separator/>
      </w:r>
    </w:p>
  </w:endnote>
  <w:endnote w:type="continuationSeparator" w:id="0">
    <w:p w:rsidR="00C05A87" w:rsidRDefault="00C05A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BEHIZ+Sabon-Italic">
    <w:altName w:val="Cambria"/>
    <w:panose1 w:val="00000000000000000000"/>
    <w:charset w:val="00"/>
    <w:family w:val="roman"/>
    <w:notTrueType/>
    <w:pitch w:val="default"/>
    <w:sig w:usb0="00000003" w:usb1="00000000" w:usb2="00000000" w:usb3="00000000" w:csb0="00000001" w:csb1="00000000"/>
  </w:font>
  <w:font w:name="BJBGJZ+Sabon-Roman">
    <w:altName w:val="Cambria"/>
    <w:panose1 w:val="00000000000000000000"/>
    <w:charset w:val="00"/>
    <w:family w:val="roman"/>
    <w:notTrueType/>
    <w:pitch w:val="default"/>
    <w:sig w:usb0="00000003" w:usb1="00000000" w:usb2="00000000" w:usb3="00000000" w:csb0="00000001" w:csb1="00000000"/>
  </w:font>
  <w:font w:name="CGJGCZ+Sabon-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87" w:rsidRDefault="00C05A8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87" w:rsidRDefault="00C05A87">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w:t>
    </w:r>
    <w:r>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A87" w:rsidRDefault="00C05A87"/>
  </w:footnote>
  <w:footnote w:type="continuationSeparator" w:id="0">
    <w:p w:rsidR="00C05A87" w:rsidRDefault="00C05A87">
      <w:pPr>
        <w:spacing w:before="0" w:line="240" w:lineRule="auto"/>
      </w:pPr>
      <w:r>
        <w:continuationSeparator/>
      </w:r>
    </w:p>
  </w:footnote>
  <w:footnote w:id="1">
    <w:p w:rsidR="00C05A87" w:rsidRDefault="00C05A87">
      <w:pPr>
        <w:pStyle w:val="Fotnotstext"/>
      </w:pPr>
    </w:p>
    <w:p w:rsidR="00C05A87" w:rsidRDefault="00C05A87">
      <w:pPr>
        <w:pStyle w:val="Fotnotstext"/>
      </w:pPr>
      <w:r>
        <w:rPr>
          <w:sz w:val="16"/>
        </w:rPr>
        <w:t>Gotab, Stockholm 1997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87" w:rsidRDefault="00C05A87">
    <w:pPr>
      <w:pStyle w:val="SidhuvudKant"/>
      <w:framePr w:hSpace="284" w:wrap="around"/>
    </w:pPr>
    <w:r>
      <w:rPr>
        <w:sz w:val="21"/>
      </w:rPr>
      <w:t>1997/98:UU1y</w:t>
    </w:r>
  </w:p>
  <w:p w:rsidR="00C05A87" w:rsidRDefault="00C05A87">
    <w:pPr>
      <w:pStyle w:val="SidhuvudKant"/>
      <w:framePr w:hSpace="284" w:wrap="around"/>
      <w:rPr>
        <w:vanish/>
      </w:rPr>
    </w:pPr>
    <w:r>
      <w:rPr>
        <w:vanish/>
      </w:rPr>
      <w:t>&gt;B</w:t>
    </w:r>
  </w:p>
  <w:p w:rsidR="00C05A87" w:rsidRDefault="00C05A87">
    <w:pPr>
      <w:pStyle w:val="SidhuvudKant"/>
      <w:framePr w:hSpace="284" w:wrap="around"/>
    </w:pPr>
  </w:p>
  <w:p w:rsidR="00C05A87" w:rsidRDefault="00C05A87">
    <w:pPr>
      <w:pStyle w:val="Sidhuvud"/>
    </w:pPr>
    <w:r>
      <w:rPr>
        <w:vanish/>
      </w:rPr>
      <w:t>&gt;U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87" w:rsidRDefault="00C05A87">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556" r:id="rId2"/>
      </w:object>
    </w:r>
  </w:p>
  <w:p w:rsidR="00C05A87" w:rsidRDefault="00C05A87">
    <w:pPr>
      <w:pStyle w:val="SidhuvudFVapen"/>
      <w:framePr w:wrap="notBeside" w:x="7253" w:y="188"/>
      <w:spacing w:line="230" w:lineRule="auto"/>
      <w:rPr>
        <w:sz w:val="24"/>
      </w:rPr>
    </w:pPr>
    <w:bookmarkStart w:id="12" w:name="BnrVapen"/>
    <w:r>
      <w:rPr>
        <w:sz w:val="24"/>
      </w:rPr>
      <w:t>1997/98</w:t>
    </w:r>
  </w:p>
  <w:p w:rsidR="00C05A87" w:rsidRDefault="00C05A87">
    <w:pPr>
      <w:pStyle w:val="SidhuvudFVapen"/>
      <w:framePr w:wrap="notBeside" w:x="7253" w:y="188"/>
      <w:spacing w:line="230" w:lineRule="auto"/>
      <w:rPr>
        <w:sz w:val="24"/>
      </w:rPr>
    </w:pPr>
    <w:r>
      <w:rPr>
        <w:sz w:val="24"/>
      </w:rPr>
      <w:t xml:space="preserve">UU1y </w:t>
    </w:r>
    <w:bookmarkEnd w:id="12"/>
    <w:r w:rsidR="009C1CA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78672180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15519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05A87" w:rsidRDefault="00C05A87">
    <w:pPr>
      <w:pStyle w:val="SidhuvudFText"/>
      <w:framePr w:w="5727" w:h="2722" w:hRule="exact" w:hSpace="0" w:wrap="notBeside" w:hAnchor="page" w:x="1135" w:y="568"/>
      <w:spacing w:line="400" w:lineRule="exact"/>
      <w:ind w:right="629"/>
      <w:rPr>
        <w:sz w:val="36"/>
      </w:rPr>
    </w:pPr>
    <w:bookmarkStart w:id="13" w:name="DokumentTyp"/>
    <w:r>
      <w:rPr>
        <w:sz w:val="36"/>
      </w:rPr>
      <w:t xml:space="preserve">Utrikesutskottets yttrande </w:t>
    </w:r>
    <w:bookmarkEnd w:id="13"/>
  </w:p>
  <w:p w:rsidR="00C05A87" w:rsidRDefault="00C05A87">
    <w:pPr>
      <w:pStyle w:val="SidhuvudFText"/>
      <w:framePr w:w="5727" w:h="2722" w:hRule="exact" w:hSpace="0" w:wrap="notBeside" w:hAnchor="page" w:x="1135" w:y="568"/>
      <w:spacing w:line="400" w:lineRule="exact"/>
      <w:ind w:right="629"/>
      <w:rPr>
        <w:sz w:val="36"/>
      </w:rPr>
    </w:pPr>
    <w:bookmarkStart w:id="14" w:name="Betänkandenummer"/>
    <w:r>
      <w:rPr>
        <w:sz w:val="36"/>
      </w:rPr>
      <w:t xml:space="preserve">1997/98:UU1y </w:t>
    </w:r>
    <w:bookmarkEnd w:id="14"/>
    <w:r>
      <w:rPr>
        <w:sz w:val="36"/>
      </w:rPr>
      <w:t xml:space="preserve">       </w:t>
    </w:r>
    <w:bookmarkStart w:id="15" w:name="Utkast"/>
    <w:r>
      <w:rPr>
        <w:sz w:val="36"/>
      </w:rPr>
      <w:t xml:space="preserve"> </w:t>
    </w:r>
  </w:p>
  <w:p w:rsidR="00C05A87" w:rsidRDefault="00C05A87">
    <w:pPr>
      <w:pStyle w:val="SidhuvudFText"/>
      <w:framePr w:w="5727" w:h="2722" w:hRule="exact" w:hSpace="0" w:wrap="notBeside" w:hAnchor="page" w:x="1135" w:y="568"/>
      <w:spacing w:before="40" w:after="900" w:line="280" w:lineRule="exact"/>
      <w:ind w:right="629"/>
      <w:rPr>
        <w:sz w:val="26"/>
      </w:rPr>
    </w:pPr>
    <w:bookmarkStart w:id="16" w:name="Rubrik"/>
    <w:bookmarkEnd w:id="15"/>
    <w:r>
      <w:rPr>
        <w:sz w:val="28"/>
      </w:rPr>
      <w:t>Utgiftsområdena 5 och 7 m.m.</w:t>
    </w:r>
    <w:r>
      <w:rPr>
        <w:sz w:val="26"/>
      </w:rPr>
      <w:t xml:space="preserve"> </w:t>
    </w:r>
    <w:bookmarkEnd w:id="16"/>
    <w:r>
      <w:rPr>
        <w:sz w:val="26"/>
      </w:rPr>
      <w:t xml:space="preserve"> </w:t>
    </w:r>
  </w:p>
  <w:p w:rsidR="00C05A87" w:rsidRDefault="00C05A87">
    <w:pPr>
      <w:pStyle w:val="SidhuvudFText"/>
      <w:framePr w:w="5727" w:h="2722" w:hRule="exact" w:hSpace="0" w:wrap="notBeside" w:hAnchor="page" w:x="1135" w:y="568"/>
      <w:spacing w:line="460" w:lineRule="exact"/>
      <w:ind w:right="629"/>
      <w:rPr>
        <w:sz w:val="36"/>
      </w:rPr>
    </w:pPr>
  </w:p>
  <w:p w:rsidR="00C05A87" w:rsidRDefault="00C05A87">
    <w:pPr>
      <w:pStyle w:val="SidhuvudFText"/>
      <w:framePr w:w="5727" w:h="2722" w:hRule="exact" w:hSpace="0" w:wrap="notBeside" w:hAnchor="page" w:x="1135" w:y="568"/>
      <w:spacing w:before="40" w:after="900" w:line="300" w:lineRule="exact"/>
      <w:ind w:right="629"/>
      <w:rPr>
        <w:sz w:val="26"/>
      </w:rPr>
    </w:pPr>
    <w:r>
      <w:rPr>
        <w:sz w:val="26"/>
      </w:rPr>
      <w:t xml:space="preserve"> </w:t>
    </w:r>
  </w:p>
  <w:p w:rsidR="00C05A87" w:rsidRDefault="00C05A87">
    <w:pPr>
      <w:pStyle w:val="SidhuvudFText"/>
      <w:framePr w:hSpace="0" w:wrap="auto" w:vAnchor="margin" w:yAlign="inline"/>
      <w:spacing w:line="400" w:lineRule="exact"/>
      <w:ind w:right="629"/>
    </w:pPr>
  </w:p>
  <w:p w:rsidR="00C05A87" w:rsidRDefault="00C05A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A87" w:rsidRDefault="00C05A87">
    <w:pPr>
      <w:pStyle w:val="SidhuvudKant"/>
      <w:framePr w:wrap="notBeside"/>
      <w:rPr>
        <w:sz w:val="21"/>
      </w:rPr>
    </w:pPr>
    <w:r>
      <w:rPr>
        <w:sz w:val="21"/>
      </w:rPr>
      <w:t>1997/98:UU1y</w:t>
    </w:r>
  </w:p>
  <w:p w:rsidR="00C05A87" w:rsidRDefault="00C05A87">
    <w:pPr>
      <w:pStyle w:val="SidhuvudKant"/>
      <w:framePr w:wrap="notBeside"/>
      <w:rPr>
        <w:sz w:val="20"/>
      </w:rPr>
    </w:pPr>
    <w:r>
      <w:rPr>
        <w:vanish/>
        <w:sz w:val="21"/>
      </w:rPr>
      <w:t>&gt;B</w:t>
    </w:r>
    <w:r>
      <w:rPr>
        <w:sz w:val="20"/>
      </w:rPr>
      <w:t>Bilaga</w:t>
    </w:r>
  </w:p>
  <w:p w:rsidR="00C05A87" w:rsidRDefault="00C05A87">
    <w:pPr>
      <w:pStyle w:val="SidhuvudKant"/>
      <w:framePr w:wrap="notBeside"/>
    </w:pPr>
    <w:r>
      <w:rPr>
        <w:vanish/>
      </w:rPr>
      <w:t>&gt;U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UU1y"/>
    <w:docVar w:name="HelaNamnet" w:val="1997/98:UU1y"/>
    <w:docVar w:name="NR" w:val="1y"/>
    <w:docVar w:name="RUBRIK" w:val="Utgiftsområdena 5 och 7 m.m."/>
    <w:docVar w:name="SkapVERSION" w:val="V7.4 970430"/>
    <w:docVar w:name="SkapÅr" w:val="9798"/>
    <w:docVar w:name="Typer" w:val="SS"/>
    <w:docVar w:name="USK" w:val="UU"/>
    <w:docVar w:name="USKKORT" w:val="UU"/>
    <w:docVar w:name="USKNAMN" w:val="Utrikesutskottets"/>
    <w:docVar w:name="USKNAMNG" w:val="utrikesutskottets"/>
    <w:docVar w:name="Utkast" w:val="Utkast"/>
    <w:docVar w:name="ÅR" w:val="1997/98"/>
  </w:docVars>
  <w:rsids>
    <w:rsidRoot w:val="008E1947"/>
    <w:rsid w:val="008E1947"/>
    <w:rsid w:val="009C1CAF"/>
    <w:rsid w:val="00C05A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F1AF3-8905-4B8B-9EAE-9327F870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3652</Words>
  <Characters>21658</Characters>
  <Application>Microsoft Office Word</Application>
  <DocSecurity>4</DocSecurity>
  <Lines>503</Lines>
  <Paragraphs>196</Paragraphs>
  <ScaleCrop>false</ScaleCrop>
  <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 nr 1y</dc:title>
  <dc:subject>Utrikesutskottets betänkande nr 1y</dc:subject>
  <dc:creator>Riksdagen</dc:creator>
  <cp:keywords>Riksdagen</cp:keywords>
  <cp:lastModifiedBy>Lars Brink</cp:lastModifiedBy>
  <cp:revision>2</cp:revision>
  <cp:lastPrinted>1997-10-31T07:14:00Z</cp:lastPrinted>
  <dcterms:created xsi:type="dcterms:W3CDTF">2025-12-15T18:57:00Z</dcterms:created>
  <dcterms:modified xsi:type="dcterms:W3CDTF">2025-12-15T18:57:00Z</dcterms:modified>
</cp:coreProperties>
</file>