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2F8" w:rsidRPr="00B132F8" w:rsidRDefault="00B132F8">
      <w:pPr>
        <w:pStyle w:val="Frslagsrubrik"/>
        <w:shd w:val="clear" w:color="000000" w:fill="auto"/>
      </w:pPr>
      <w:r w:rsidRPr="00B132F8">
        <w:t>Förslag till riksdagsbeslut</w:t>
      </w:r>
    </w:p>
    <w:p w:rsidR="00B132F8" w:rsidRPr="00B132F8" w:rsidRDefault="00B132F8">
      <w:pPr>
        <w:pStyle w:val="Hemstlatt"/>
        <w:numPr>
          <w:ilvl w:val="0"/>
          <w:numId w:val="1"/>
        </w:numPr>
        <w:shd w:val="clear" w:color="000000" w:fill="auto"/>
      </w:pPr>
      <w:r w:rsidRPr="00B132F8">
        <w:t>Riksdagen anvisar med följande ändringar i förhållande till regeringens förslag anslagen under utgiftsområde 24 Näringsliv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615"/>
        <w:gridCol w:w="2040"/>
        <w:gridCol w:w="1920"/>
        <w:gridCol w:w="1379"/>
      </w:tblGrid>
      <w:tr w:rsidR="00000000" w:rsidRPr="00B132F8">
        <w:tc>
          <w:tcPr>
            <w:tcW w:w="615" w:type="dxa"/>
            <w:tcBorders>
              <w:top w:val="single" w:sz="4" w:space="0" w:color="auto"/>
              <w:left w:val="nil"/>
              <w:bottom w:val="single" w:sz="4" w:space="0" w:color="auto"/>
              <w:right w:val="nil"/>
            </w:tcBorders>
            <w:noWrap/>
          </w:tcPr>
          <w:p w:rsidR="00B132F8" w:rsidRPr="00B132F8" w:rsidRDefault="00B132F8">
            <w:pPr>
              <w:shd w:val="clear" w:color="000000" w:fill="auto"/>
              <w:spacing w:before="60" w:line="200" w:lineRule="exact"/>
              <w:jc w:val="center"/>
              <w:rPr>
                <w:b/>
                <w:bCs/>
                <w:sz w:val="16"/>
                <w:szCs w:val="16"/>
              </w:rPr>
            </w:pPr>
            <w:r w:rsidRPr="00B132F8">
              <w:rPr>
                <w:b/>
                <w:bCs/>
                <w:sz w:val="16"/>
                <w:szCs w:val="16"/>
              </w:rPr>
              <w:t>Anslag</w:t>
            </w:r>
          </w:p>
        </w:tc>
        <w:tc>
          <w:tcPr>
            <w:tcW w:w="2040" w:type="dxa"/>
            <w:tcBorders>
              <w:top w:val="single" w:sz="4" w:space="0" w:color="auto"/>
              <w:left w:val="nil"/>
              <w:bottom w:val="single" w:sz="4" w:space="0" w:color="auto"/>
              <w:right w:val="nil"/>
            </w:tcBorders>
          </w:tcPr>
          <w:p w:rsidR="00B132F8" w:rsidRPr="00B132F8" w:rsidRDefault="00B132F8">
            <w:pPr>
              <w:shd w:val="clear" w:color="000000" w:fill="auto"/>
              <w:spacing w:before="60" w:line="200" w:lineRule="exact"/>
              <w:rPr>
                <w:b/>
                <w:bCs/>
                <w:sz w:val="16"/>
                <w:szCs w:val="16"/>
              </w:rPr>
            </w:pPr>
            <w:r w:rsidRPr="00B132F8">
              <w:rPr>
                <w:b/>
                <w:bCs/>
                <w:sz w:val="16"/>
                <w:szCs w:val="16"/>
              </w:rPr>
              <w:t> </w:t>
            </w:r>
          </w:p>
        </w:tc>
        <w:tc>
          <w:tcPr>
            <w:tcW w:w="1920" w:type="dxa"/>
            <w:tcBorders>
              <w:top w:val="single" w:sz="4" w:space="0" w:color="auto"/>
              <w:left w:val="nil"/>
              <w:bottom w:val="single" w:sz="4" w:space="0" w:color="auto"/>
              <w:right w:val="nil"/>
            </w:tcBorders>
          </w:tcPr>
          <w:p w:rsidR="00B132F8" w:rsidRPr="00B132F8" w:rsidRDefault="00B132F8">
            <w:pPr>
              <w:shd w:val="clear" w:color="000000" w:fill="auto"/>
              <w:spacing w:before="60" w:line="200" w:lineRule="exact"/>
              <w:jc w:val="right"/>
              <w:rPr>
                <w:b/>
                <w:bCs/>
                <w:sz w:val="16"/>
                <w:szCs w:val="16"/>
              </w:rPr>
            </w:pPr>
            <w:r w:rsidRPr="00B132F8">
              <w:rPr>
                <w:b/>
                <w:bCs/>
                <w:sz w:val="16"/>
                <w:szCs w:val="16"/>
              </w:rPr>
              <w:t>Regeringens förslag (tkr)</w:t>
            </w:r>
          </w:p>
        </w:tc>
        <w:tc>
          <w:tcPr>
            <w:tcW w:w="1379" w:type="dxa"/>
            <w:tcBorders>
              <w:top w:val="single" w:sz="4" w:space="0" w:color="auto"/>
              <w:left w:val="nil"/>
              <w:bottom w:val="single" w:sz="4" w:space="0" w:color="auto"/>
              <w:right w:val="nil"/>
            </w:tcBorders>
            <w:noWrap/>
          </w:tcPr>
          <w:p w:rsidR="00B132F8" w:rsidRPr="00B132F8" w:rsidRDefault="00B132F8">
            <w:pPr>
              <w:shd w:val="clear" w:color="000000" w:fill="auto"/>
              <w:spacing w:before="60" w:line="200" w:lineRule="exact"/>
              <w:jc w:val="right"/>
              <w:rPr>
                <w:b/>
                <w:bCs/>
                <w:sz w:val="16"/>
                <w:szCs w:val="16"/>
              </w:rPr>
            </w:pPr>
            <w:r w:rsidRPr="00B132F8">
              <w:rPr>
                <w:b/>
                <w:bCs/>
                <w:sz w:val="16"/>
                <w:szCs w:val="16"/>
              </w:rPr>
              <w:t>Förändring (tkr)</w:t>
            </w:r>
          </w:p>
        </w:tc>
      </w:tr>
      <w:tr w:rsidR="00000000" w:rsidRPr="00B132F8">
        <w:tc>
          <w:tcPr>
            <w:tcW w:w="615" w:type="dxa"/>
            <w:tcBorders>
              <w:top w:val="nil"/>
              <w:left w:val="nil"/>
              <w:bottom w:val="nil"/>
              <w:right w:val="nil"/>
            </w:tcBorders>
            <w:noWrap/>
          </w:tcPr>
          <w:p w:rsidR="00B132F8" w:rsidRPr="00B132F8" w:rsidRDefault="00B132F8">
            <w:pPr>
              <w:shd w:val="clear" w:color="000000" w:fill="auto"/>
              <w:spacing w:before="60" w:line="200" w:lineRule="exact"/>
              <w:rPr>
                <w:sz w:val="16"/>
                <w:szCs w:val="16"/>
              </w:rPr>
            </w:pPr>
            <w:r w:rsidRPr="00B132F8">
              <w:rPr>
                <w:sz w:val="16"/>
                <w:szCs w:val="16"/>
              </w:rPr>
              <w:t>1:2</w:t>
            </w:r>
          </w:p>
        </w:tc>
        <w:tc>
          <w:tcPr>
            <w:tcW w:w="2040" w:type="dxa"/>
            <w:tcBorders>
              <w:top w:val="nil"/>
              <w:left w:val="nil"/>
              <w:bottom w:val="nil"/>
              <w:right w:val="nil"/>
            </w:tcBorders>
            <w:vAlign w:val="bottom"/>
          </w:tcPr>
          <w:p w:rsidR="00B132F8" w:rsidRPr="00B132F8" w:rsidRDefault="00B132F8">
            <w:pPr>
              <w:shd w:val="clear" w:color="000000" w:fill="auto"/>
              <w:spacing w:before="60" w:line="200" w:lineRule="exact"/>
              <w:rPr>
                <w:sz w:val="16"/>
                <w:szCs w:val="16"/>
              </w:rPr>
            </w:pPr>
            <w:r w:rsidRPr="00B132F8">
              <w:rPr>
                <w:sz w:val="16"/>
                <w:szCs w:val="16"/>
              </w:rPr>
              <w:t>Verket för innovationss</w:t>
            </w:r>
            <w:r w:rsidRPr="00B132F8">
              <w:rPr>
                <w:sz w:val="16"/>
                <w:szCs w:val="16"/>
              </w:rPr>
              <w:t>y</w:t>
            </w:r>
            <w:r w:rsidRPr="00B132F8">
              <w:rPr>
                <w:sz w:val="16"/>
                <w:szCs w:val="16"/>
              </w:rPr>
              <w:t>stem: Forskning och utvec</w:t>
            </w:r>
            <w:r w:rsidRPr="00B132F8">
              <w:rPr>
                <w:sz w:val="16"/>
                <w:szCs w:val="16"/>
              </w:rPr>
              <w:t>k</w:t>
            </w:r>
            <w:r w:rsidRPr="00B132F8">
              <w:rPr>
                <w:sz w:val="16"/>
                <w:szCs w:val="16"/>
              </w:rPr>
              <w:t>ling</w:t>
            </w:r>
          </w:p>
        </w:tc>
        <w:tc>
          <w:tcPr>
            <w:tcW w:w="1920" w:type="dxa"/>
            <w:tcBorders>
              <w:top w:val="nil"/>
              <w:left w:val="nil"/>
              <w:bottom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1 938 133</w:t>
            </w:r>
          </w:p>
        </w:tc>
        <w:tc>
          <w:tcPr>
            <w:tcW w:w="1379" w:type="dxa"/>
            <w:tcBorders>
              <w:top w:val="nil"/>
              <w:left w:val="nil"/>
              <w:bottom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100 000</w:t>
            </w:r>
          </w:p>
        </w:tc>
      </w:tr>
      <w:tr w:rsidR="00000000" w:rsidRPr="00B132F8">
        <w:tc>
          <w:tcPr>
            <w:tcW w:w="615" w:type="dxa"/>
            <w:tcBorders>
              <w:top w:val="nil"/>
              <w:left w:val="nil"/>
              <w:bottom w:val="nil"/>
              <w:right w:val="nil"/>
            </w:tcBorders>
            <w:noWrap/>
          </w:tcPr>
          <w:p w:rsidR="00B132F8" w:rsidRPr="00B132F8" w:rsidRDefault="00B132F8">
            <w:pPr>
              <w:shd w:val="clear" w:color="000000" w:fill="auto"/>
              <w:spacing w:before="60" w:line="200" w:lineRule="exact"/>
              <w:rPr>
                <w:sz w:val="16"/>
                <w:szCs w:val="16"/>
              </w:rPr>
            </w:pPr>
            <w:r w:rsidRPr="00B132F8">
              <w:rPr>
                <w:sz w:val="16"/>
                <w:szCs w:val="16"/>
              </w:rPr>
              <w:t>1:4</w:t>
            </w:r>
          </w:p>
        </w:tc>
        <w:tc>
          <w:tcPr>
            <w:tcW w:w="2040" w:type="dxa"/>
            <w:tcBorders>
              <w:top w:val="nil"/>
              <w:left w:val="nil"/>
              <w:bottom w:val="nil"/>
              <w:right w:val="nil"/>
            </w:tcBorders>
            <w:vAlign w:val="bottom"/>
          </w:tcPr>
          <w:p w:rsidR="00B132F8" w:rsidRPr="00B132F8" w:rsidRDefault="00B132F8">
            <w:pPr>
              <w:shd w:val="clear" w:color="000000" w:fill="auto"/>
              <w:spacing w:before="60" w:line="200" w:lineRule="exact"/>
              <w:rPr>
                <w:sz w:val="16"/>
                <w:szCs w:val="16"/>
              </w:rPr>
            </w:pPr>
            <w:r w:rsidRPr="00B132F8">
              <w:rPr>
                <w:sz w:val="16"/>
                <w:szCs w:val="16"/>
              </w:rPr>
              <w:t>Tillväxtverket</w:t>
            </w:r>
          </w:p>
        </w:tc>
        <w:tc>
          <w:tcPr>
            <w:tcW w:w="1920" w:type="dxa"/>
            <w:tcBorders>
              <w:top w:val="nil"/>
              <w:left w:val="nil"/>
              <w:bottom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358 942</w:t>
            </w:r>
          </w:p>
        </w:tc>
        <w:tc>
          <w:tcPr>
            <w:tcW w:w="1379" w:type="dxa"/>
            <w:tcBorders>
              <w:top w:val="nil"/>
              <w:left w:val="nil"/>
              <w:bottom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–70 000</w:t>
            </w:r>
          </w:p>
        </w:tc>
      </w:tr>
      <w:tr w:rsidR="00000000" w:rsidRPr="00B132F8">
        <w:tc>
          <w:tcPr>
            <w:tcW w:w="615" w:type="dxa"/>
            <w:tcBorders>
              <w:top w:val="nil"/>
              <w:left w:val="nil"/>
              <w:bottom w:val="nil"/>
              <w:right w:val="nil"/>
            </w:tcBorders>
            <w:noWrap/>
          </w:tcPr>
          <w:p w:rsidR="00B132F8" w:rsidRPr="00B132F8" w:rsidRDefault="00B132F8">
            <w:pPr>
              <w:shd w:val="clear" w:color="000000" w:fill="auto"/>
              <w:spacing w:before="60" w:line="200" w:lineRule="exact"/>
              <w:rPr>
                <w:sz w:val="16"/>
                <w:szCs w:val="16"/>
              </w:rPr>
            </w:pPr>
            <w:r w:rsidRPr="00B132F8">
              <w:rPr>
                <w:sz w:val="16"/>
                <w:szCs w:val="16"/>
              </w:rPr>
              <w:t>1:5</w:t>
            </w:r>
          </w:p>
        </w:tc>
        <w:tc>
          <w:tcPr>
            <w:tcW w:w="2040" w:type="dxa"/>
            <w:tcBorders>
              <w:top w:val="nil"/>
              <w:left w:val="nil"/>
              <w:bottom w:val="nil"/>
              <w:right w:val="nil"/>
            </w:tcBorders>
            <w:vAlign w:val="bottom"/>
          </w:tcPr>
          <w:p w:rsidR="00B132F8" w:rsidRPr="00B132F8" w:rsidRDefault="00B132F8">
            <w:pPr>
              <w:shd w:val="clear" w:color="000000" w:fill="auto"/>
              <w:spacing w:before="60" w:line="200" w:lineRule="exact"/>
              <w:rPr>
                <w:sz w:val="16"/>
                <w:szCs w:val="16"/>
              </w:rPr>
            </w:pPr>
            <w:r w:rsidRPr="00B132F8">
              <w:rPr>
                <w:sz w:val="16"/>
                <w:szCs w:val="16"/>
              </w:rPr>
              <w:t>Näringslivsutveckling m.m.</w:t>
            </w:r>
          </w:p>
        </w:tc>
        <w:tc>
          <w:tcPr>
            <w:tcW w:w="1920" w:type="dxa"/>
            <w:tcBorders>
              <w:top w:val="nil"/>
              <w:left w:val="nil"/>
              <w:bottom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641 009</w:t>
            </w:r>
          </w:p>
        </w:tc>
        <w:tc>
          <w:tcPr>
            <w:tcW w:w="1379" w:type="dxa"/>
            <w:tcBorders>
              <w:top w:val="nil"/>
              <w:left w:val="nil"/>
              <w:bottom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–90 000</w:t>
            </w:r>
          </w:p>
        </w:tc>
      </w:tr>
      <w:tr w:rsidR="00000000" w:rsidRPr="00B132F8">
        <w:tc>
          <w:tcPr>
            <w:tcW w:w="615" w:type="dxa"/>
            <w:tcBorders>
              <w:top w:val="nil"/>
              <w:left w:val="nil"/>
              <w:bottom w:val="nil"/>
              <w:right w:val="nil"/>
            </w:tcBorders>
            <w:noWrap/>
          </w:tcPr>
          <w:p w:rsidR="00B132F8" w:rsidRPr="00B132F8" w:rsidRDefault="00B132F8">
            <w:pPr>
              <w:shd w:val="clear" w:color="000000" w:fill="auto"/>
              <w:spacing w:before="60" w:line="200" w:lineRule="exact"/>
              <w:rPr>
                <w:sz w:val="16"/>
                <w:szCs w:val="16"/>
              </w:rPr>
            </w:pPr>
            <w:r w:rsidRPr="00B132F8">
              <w:rPr>
                <w:sz w:val="16"/>
                <w:szCs w:val="16"/>
              </w:rPr>
              <w:t>1:7</w:t>
            </w:r>
          </w:p>
        </w:tc>
        <w:tc>
          <w:tcPr>
            <w:tcW w:w="2040" w:type="dxa"/>
            <w:tcBorders>
              <w:top w:val="nil"/>
              <w:left w:val="nil"/>
              <w:bottom w:val="nil"/>
              <w:right w:val="nil"/>
            </w:tcBorders>
            <w:vAlign w:val="bottom"/>
          </w:tcPr>
          <w:p w:rsidR="00B132F8" w:rsidRPr="00B132F8" w:rsidRDefault="00B132F8">
            <w:pPr>
              <w:shd w:val="clear" w:color="000000" w:fill="auto"/>
              <w:spacing w:before="60" w:line="200" w:lineRule="exact"/>
              <w:rPr>
                <w:sz w:val="16"/>
                <w:szCs w:val="16"/>
              </w:rPr>
            </w:pPr>
            <w:r w:rsidRPr="00B132F8">
              <w:rPr>
                <w:sz w:val="16"/>
                <w:szCs w:val="16"/>
              </w:rPr>
              <w:t>Turistfrämjande</w:t>
            </w:r>
          </w:p>
        </w:tc>
        <w:tc>
          <w:tcPr>
            <w:tcW w:w="1920" w:type="dxa"/>
            <w:tcBorders>
              <w:top w:val="nil"/>
              <w:left w:val="nil"/>
              <w:bottom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140 035</w:t>
            </w:r>
          </w:p>
        </w:tc>
        <w:tc>
          <w:tcPr>
            <w:tcW w:w="1379" w:type="dxa"/>
            <w:tcBorders>
              <w:top w:val="nil"/>
              <w:left w:val="nil"/>
              <w:bottom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50 000</w:t>
            </w:r>
          </w:p>
        </w:tc>
      </w:tr>
      <w:tr w:rsidR="00000000" w:rsidRPr="00B132F8">
        <w:tc>
          <w:tcPr>
            <w:tcW w:w="615" w:type="dxa"/>
            <w:tcBorders>
              <w:top w:val="nil"/>
              <w:left w:val="nil"/>
              <w:bottom w:val="nil"/>
              <w:right w:val="nil"/>
            </w:tcBorders>
            <w:noWrap/>
          </w:tcPr>
          <w:p w:rsidR="00B132F8" w:rsidRPr="00B132F8" w:rsidRDefault="00B132F8">
            <w:pPr>
              <w:shd w:val="clear" w:color="000000" w:fill="auto"/>
              <w:spacing w:before="60" w:line="200" w:lineRule="exact"/>
              <w:rPr>
                <w:sz w:val="16"/>
                <w:szCs w:val="16"/>
              </w:rPr>
            </w:pPr>
            <w:r w:rsidRPr="00B132F8">
              <w:rPr>
                <w:sz w:val="16"/>
                <w:szCs w:val="16"/>
              </w:rPr>
              <w:t>2:3</w:t>
            </w:r>
          </w:p>
        </w:tc>
        <w:tc>
          <w:tcPr>
            <w:tcW w:w="2040" w:type="dxa"/>
            <w:tcBorders>
              <w:top w:val="nil"/>
              <w:left w:val="nil"/>
              <w:bottom w:val="nil"/>
              <w:right w:val="nil"/>
            </w:tcBorders>
            <w:vAlign w:val="bottom"/>
          </w:tcPr>
          <w:p w:rsidR="00B132F8" w:rsidRPr="00B132F8" w:rsidRDefault="00B132F8">
            <w:pPr>
              <w:shd w:val="clear" w:color="000000" w:fill="auto"/>
              <w:spacing w:before="60" w:line="200" w:lineRule="exact"/>
              <w:rPr>
                <w:sz w:val="16"/>
                <w:szCs w:val="16"/>
              </w:rPr>
            </w:pPr>
            <w:r w:rsidRPr="00B132F8">
              <w:rPr>
                <w:sz w:val="16"/>
                <w:szCs w:val="16"/>
              </w:rPr>
              <w:t>Exportfrämjande verksamhet</w:t>
            </w:r>
          </w:p>
        </w:tc>
        <w:tc>
          <w:tcPr>
            <w:tcW w:w="1920" w:type="dxa"/>
            <w:tcBorders>
              <w:top w:val="nil"/>
              <w:left w:val="nil"/>
              <w:bottom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193 889</w:t>
            </w:r>
          </w:p>
        </w:tc>
        <w:tc>
          <w:tcPr>
            <w:tcW w:w="1379" w:type="dxa"/>
            <w:tcBorders>
              <w:top w:val="nil"/>
              <w:left w:val="nil"/>
              <w:bottom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40 000</w:t>
            </w:r>
          </w:p>
        </w:tc>
      </w:tr>
      <w:tr w:rsidR="00000000" w:rsidRPr="00B132F8">
        <w:tc>
          <w:tcPr>
            <w:tcW w:w="615" w:type="dxa"/>
            <w:tcBorders>
              <w:top w:val="nil"/>
              <w:left w:val="nil"/>
              <w:right w:val="nil"/>
            </w:tcBorders>
            <w:noWrap/>
          </w:tcPr>
          <w:p w:rsidR="00B132F8" w:rsidRPr="00B132F8" w:rsidRDefault="00B132F8">
            <w:pPr>
              <w:shd w:val="clear" w:color="000000" w:fill="auto"/>
              <w:spacing w:before="60" w:line="200" w:lineRule="exact"/>
              <w:rPr>
                <w:sz w:val="16"/>
                <w:szCs w:val="16"/>
              </w:rPr>
            </w:pPr>
            <w:r w:rsidRPr="00B132F8">
              <w:rPr>
                <w:sz w:val="16"/>
                <w:szCs w:val="16"/>
              </w:rPr>
              <w:t>2:4</w:t>
            </w:r>
          </w:p>
        </w:tc>
        <w:tc>
          <w:tcPr>
            <w:tcW w:w="2040" w:type="dxa"/>
            <w:tcBorders>
              <w:top w:val="nil"/>
              <w:left w:val="nil"/>
              <w:right w:val="nil"/>
            </w:tcBorders>
            <w:vAlign w:val="bottom"/>
          </w:tcPr>
          <w:p w:rsidR="00B132F8" w:rsidRPr="00B132F8" w:rsidRDefault="00B132F8">
            <w:pPr>
              <w:shd w:val="clear" w:color="000000" w:fill="auto"/>
              <w:spacing w:before="60" w:line="200" w:lineRule="exact"/>
              <w:rPr>
                <w:sz w:val="16"/>
                <w:szCs w:val="16"/>
              </w:rPr>
            </w:pPr>
            <w:r w:rsidRPr="00B132F8">
              <w:rPr>
                <w:sz w:val="16"/>
                <w:szCs w:val="16"/>
              </w:rPr>
              <w:t>Investeringsfrämjande</w:t>
            </w:r>
          </w:p>
        </w:tc>
        <w:tc>
          <w:tcPr>
            <w:tcW w:w="1920" w:type="dxa"/>
            <w:tcBorders>
              <w:top w:val="nil"/>
              <w:left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58 863</w:t>
            </w:r>
          </w:p>
        </w:tc>
        <w:tc>
          <w:tcPr>
            <w:tcW w:w="1379" w:type="dxa"/>
            <w:tcBorders>
              <w:top w:val="nil"/>
              <w:left w:val="nil"/>
              <w:right w:val="nil"/>
            </w:tcBorders>
            <w:noWrap/>
            <w:vAlign w:val="bottom"/>
          </w:tcPr>
          <w:p w:rsidR="00B132F8" w:rsidRPr="00B132F8" w:rsidRDefault="00B132F8">
            <w:pPr>
              <w:shd w:val="clear" w:color="000000" w:fill="auto"/>
              <w:spacing w:before="60" w:line="200" w:lineRule="exact"/>
              <w:jc w:val="right"/>
              <w:rPr>
                <w:sz w:val="16"/>
                <w:szCs w:val="16"/>
              </w:rPr>
            </w:pPr>
            <w:r w:rsidRPr="00B132F8">
              <w:rPr>
                <w:sz w:val="16"/>
                <w:szCs w:val="16"/>
              </w:rPr>
              <w:t>30 000</w:t>
            </w:r>
          </w:p>
        </w:tc>
      </w:tr>
      <w:tr w:rsidR="00000000" w:rsidRPr="00B132F8">
        <w:tc>
          <w:tcPr>
            <w:tcW w:w="615" w:type="dxa"/>
            <w:tcBorders>
              <w:top w:val="nil"/>
              <w:left w:val="nil"/>
              <w:bottom w:val="single" w:sz="4" w:space="0" w:color="auto"/>
              <w:right w:val="nil"/>
            </w:tcBorders>
            <w:noWrap/>
          </w:tcPr>
          <w:p w:rsidR="00B132F8" w:rsidRPr="00B132F8" w:rsidRDefault="00B132F8">
            <w:pPr>
              <w:shd w:val="clear" w:color="000000" w:fill="auto"/>
              <w:spacing w:before="60" w:line="200" w:lineRule="exact"/>
              <w:rPr>
                <w:sz w:val="16"/>
                <w:szCs w:val="16"/>
              </w:rPr>
            </w:pPr>
          </w:p>
        </w:tc>
        <w:tc>
          <w:tcPr>
            <w:tcW w:w="2040" w:type="dxa"/>
            <w:tcBorders>
              <w:top w:val="nil"/>
              <w:left w:val="nil"/>
              <w:bottom w:val="single" w:sz="4" w:space="0" w:color="auto"/>
              <w:right w:val="nil"/>
            </w:tcBorders>
            <w:vAlign w:val="bottom"/>
          </w:tcPr>
          <w:p w:rsidR="00B132F8" w:rsidRPr="00B132F8" w:rsidRDefault="00B132F8">
            <w:pPr>
              <w:shd w:val="clear" w:color="000000" w:fill="auto"/>
              <w:spacing w:before="60" w:line="200" w:lineRule="exact"/>
              <w:rPr>
                <w:b/>
                <w:bCs/>
                <w:sz w:val="16"/>
                <w:szCs w:val="16"/>
              </w:rPr>
            </w:pPr>
            <w:r w:rsidRPr="00B132F8">
              <w:rPr>
                <w:b/>
                <w:bCs/>
                <w:sz w:val="16"/>
                <w:szCs w:val="16"/>
              </w:rPr>
              <w:t>Summa</w:t>
            </w:r>
          </w:p>
        </w:tc>
        <w:tc>
          <w:tcPr>
            <w:tcW w:w="1920" w:type="dxa"/>
            <w:tcBorders>
              <w:top w:val="nil"/>
              <w:left w:val="nil"/>
              <w:bottom w:val="single" w:sz="4" w:space="0" w:color="auto"/>
              <w:right w:val="nil"/>
            </w:tcBorders>
            <w:noWrap/>
            <w:vAlign w:val="bottom"/>
          </w:tcPr>
          <w:p w:rsidR="00B132F8" w:rsidRPr="00B132F8" w:rsidRDefault="00B132F8">
            <w:pPr>
              <w:shd w:val="clear" w:color="000000" w:fill="auto"/>
              <w:spacing w:before="60" w:line="200" w:lineRule="exact"/>
              <w:jc w:val="right"/>
              <w:rPr>
                <w:sz w:val="16"/>
                <w:szCs w:val="16"/>
              </w:rPr>
            </w:pPr>
          </w:p>
        </w:tc>
        <w:tc>
          <w:tcPr>
            <w:tcW w:w="1379" w:type="dxa"/>
            <w:tcBorders>
              <w:top w:val="nil"/>
              <w:left w:val="nil"/>
              <w:bottom w:val="single" w:sz="4" w:space="0" w:color="auto"/>
              <w:right w:val="nil"/>
            </w:tcBorders>
            <w:noWrap/>
            <w:vAlign w:val="bottom"/>
          </w:tcPr>
          <w:p w:rsidR="00B132F8" w:rsidRPr="00B132F8" w:rsidRDefault="00B132F8">
            <w:pPr>
              <w:shd w:val="clear" w:color="000000" w:fill="auto"/>
              <w:spacing w:before="60" w:line="200" w:lineRule="exact"/>
              <w:jc w:val="right"/>
              <w:rPr>
                <w:b/>
                <w:bCs/>
                <w:sz w:val="16"/>
                <w:szCs w:val="16"/>
              </w:rPr>
            </w:pPr>
            <w:r w:rsidRPr="00B132F8">
              <w:rPr>
                <w:b/>
                <w:bCs/>
                <w:sz w:val="16"/>
                <w:szCs w:val="16"/>
              </w:rPr>
              <w:t>60 000</w:t>
            </w:r>
          </w:p>
        </w:tc>
      </w:tr>
    </w:tbl>
    <w:p w:rsidR="00B132F8" w:rsidRPr="00B132F8" w:rsidRDefault="00B132F8">
      <w:pPr>
        <w:pStyle w:val="Hemstlatt"/>
        <w:numPr>
          <w:ilvl w:val="0"/>
          <w:numId w:val="1"/>
        </w:numPr>
        <w:shd w:val="clear" w:color="000000" w:fill="auto"/>
      </w:pPr>
      <w:r w:rsidRPr="00B132F8">
        <w:t>Riksdagen tillkännager för regeringen som sin mening vad som anförs i motionen om att regeringen ska återkomma till riksd</w:t>
      </w:r>
      <w:r w:rsidRPr="00B132F8">
        <w:t>a</w:t>
      </w:r>
      <w:r w:rsidRPr="00B132F8">
        <w:t>gen med förslag på inrättandet av en ny riskkapitalfond.</w:t>
      </w:r>
    </w:p>
    <w:p w:rsidR="00B132F8" w:rsidRPr="00B132F8" w:rsidRDefault="00B132F8">
      <w:pPr>
        <w:pStyle w:val="Hemstlatt"/>
        <w:numPr>
          <w:ilvl w:val="0"/>
          <w:numId w:val="1"/>
        </w:numPr>
        <w:shd w:val="clear" w:color="000000" w:fill="auto"/>
      </w:pPr>
      <w:r w:rsidRPr="00B132F8">
        <w:t>Riksdagen tillkännager för regeringen som sin mening vad som anförs i motionen om att inrätta innovationsprogram för en ko</w:t>
      </w:r>
      <w:r w:rsidRPr="00B132F8">
        <w:t>n</w:t>
      </w:r>
      <w:r w:rsidRPr="00B132F8">
        <w:t>kurrenskraftig industri och kunskapsintensiv tjänstesektor.</w:t>
      </w:r>
    </w:p>
    <w:p w:rsidR="00B132F8" w:rsidRPr="00B132F8" w:rsidRDefault="00B132F8">
      <w:pPr>
        <w:pStyle w:val="Hemstlatt"/>
        <w:numPr>
          <w:ilvl w:val="0"/>
          <w:numId w:val="1"/>
        </w:numPr>
        <w:shd w:val="clear" w:color="000000" w:fill="auto"/>
      </w:pPr>
      <w:r w:rsidRPr="00B132F8">
        <w:t>Riksdagen tillkännager för regeringen som sin mening vad som anförs i motionen om åtgärder för ökad konkurren</w:t>
      </w:r>
      <w:r w:rsidRPr="00B132F8">
        <w:t>s</w:t>
      </w:r>
      <w:r w:rsidRPr="00B132F8">
        <w:t>kraft.</w:t>
      </w:r>
    </w:p>
    <w:p w:rsidR="00B132F8" w:rsidRPr="00B132F8" w:rsidRDefault="00B132F8">
      <w:pPr>
        <w:pStyle w:val="Rubrik1"/>
        <w:shd w:val="clear" w:color="000000" w:fill="auto"/>
      </w:pPr>
      <w:r w:rsidRPr="00B132F8">
        <w:t>Motivering</w:t>
      </w:r>
    </w:p>
    <w:p w:rsidR="00B132F8" w:rsidRPr="00B132F8" w:rsidRDefault="00B132F8">
      <w:pPr>
        <w:shd w:val="clear" w:color="000000" w:fill="auto"/>
      </w:pPr>
      <w:r w:rsidRPr="00B132F8">
        <w:t>För att klara den tuffa internationella konkurrensen måste svenska företag ständigt utvecklas och nya växa fram. Vi vill att Sverige ska vara en ledande industrination med en kunskapsintensiv tjänstesektor. Det behövs mer fors</w:t>
      </w:r>
      <w:r w:rsidRPr="00B132F8">
        <w:t>k</w:t>
      </w:r>
      <w:r w:rsidRPr="00B132F8">
        <w:t xml:space="preserve">ning, fler innovationer, mer riskkapital och bättre villkor för småföretag. </w:t>
      </w:r>
      <w:r w:rsidRPr="00B132F8">
        <w:lastRenderedPageBreak/>
        <w:t xml:space="preserve">Forskningen måste kontinuerligt stärkas så att Sverige kan konkurrera med högt kunskapsinnehåll, inte låga löner. Vi vill inrätta innovationsprogram för en konkurrenskraftig industri och kunskapsintensiv tjänstesektor. </w:t>
      </w:r>
    </w:p>
    <w:p w:rsidR="00B132F8" w:rsidRPr="00B132F8" w:rsidRDefault="00B132F8">
      <w:pPr>
        <w:pStyle w:val="Rubrik2"/>
        <w:shd w:val="clear" w:color="000000" w:fill="auto"/>
      </w:pPr>
      <w:r w:rsidRPr="00B132F8">
        <w:t>Anslag 1:2</w:t>
      </w:r>
    </w:p>
    <w:p w:rsidR="00B132F8" w:rsidRPr="00B132F8" w:rsidRDefault="00B132F8">
      <w:pPr>
        <w:shd w:val="clear" w:color="000000" w:fill="auto"/>
      </w:pPr>
      <w:r w:rsidRPr="00B132F8">
        <w:t xml:space="preserve">Vi vill tillföra 100 miljoner kronor per år till Vinnovaprogrammet Forska och väx för att underlätta forskning och utveckling. </w:t>
      </w:r>
    </w:p>
    <w:p w:rsidR="00B132F8" w:rsidRPr="00B132F8" w:rsidRDefault="00B132F8">
      <w:pPr>
        <w:pStyle w:val="Rubrik2"/>
        <w:shd w:val="clear" w:color="000000" w:fill="auto"/>
      </w:pPr>
      <w:r w:rsidRPr="00B132F8">
        <w:t>Anslag 1:4</w:t>
      </w:r>
    </w:p>
    <w:p w:rsidR="00B132F8" w:rsidRPr="00B132F8" w:rsidRDefault="00B132F8">
      <w:pPr>
        <w:shd w:val="clear" w:color="000000" w:fill="auto"/>
      </w:pPr>
      <w:r w:rsidRPr="00B132F8">
        <w:t>Vår mer offensiva politik för näringslivsutveckling och stärkt riskkapitalfö</w:t>
      </w:r>
      <w:r w:rsidRPr="00B132F8">
        <w:t>r</w:t>
      </w:r>
      <w:r w:rsidRPr="00B132F8">
        <w:t>sörjning för små och medelstora företag möjliggör också besparingar på r</w:t>
      </w:r>
      <w:r w:rsidRPr="00B132F8">
        <w:t>e</w:t>
      </w:r>
      <w:r w:rsidRPr="00B132F8">
        <w:t>geringens ökade resurser till Almi (70 miljoner kronor under 1:4) och expor</w:t>
      </w:r>
      <w:r w:rsidRPr="00B132F8">
        <w:t>t</w:t>
      </w:r>
      <w:r w:rsidRPr="00B132F8">
        <w:t xml:space="preserve">främjande (30 miljoner kronor under 2:3). </w:t>
      </w:r>
    </w:p>
    <w:p w:rsidR="00B132F8" w:rsidRPr="00B132F8" w:rsidRDefault="00B132F8">
      <w:pPr>
        <w:pStyle w:val="Rubrik2"/>
        <w:shd w:val="clear" w:color="000000" w:fill="auto"/>
      </w:pPr>
      <w:r w:rsidRPr="00B132F8">
        <w:t>Anslag 1:5</w:t>
      </w:r>
    </w:p>
    <w:p w:rsidR="00B132F8" w:rsidRPr="00B132F8" w:rsidRDefault="00B132F8">
      <w:pPr>
        <w:shd w:val="clear" w:color="000000" w:fill="auto"/>
      </w:pPr>
      <w:r w:rsidRPr="00B132F8">
        <w:t>Vi vill inrätta ett innovationsprogram för en konkurrenskraftig industri och kunskapsintensiv tjänstesektor på 100 miljoner kronor per år. Vi vill därför anslå 10 miljoner mer än regeringens satsning på innovationsstrategi.</w:t>
      </w:r>
    </w:p>
    <w:p w:rsidR="00B132F8" w:rsidRPr="00B132F8" w:rsidRDefault="00B132F8">
      <w:pPr>
        <w:pStyle w:val="Normaltindrag"/>
        <w:shd w:val="clear" w:color="000000" w:fill="auto"/>
      </w:pPr>
      <w:r w:rsidRPr="00B132F8">
        <w:t>Vidare avvisar vi regeringens satsning på 100 miljoner kronor för att frä</w:t>
      </w:r>
      <w:r w:rsidRPr="00B132F8">
        <w:t>m</w:t>
      </w:r>
      <w:r w:rsidRPr="00B132F8">
        <w:t>ja kvinnligt företagande.</w:t>
      </w:r>
    </w:p>
    <w:p w:rsidR="00B132F8" w:rsidRPr="00B132F8" w:rsidRDefault="00B132F8">
      <w:pPr>
        <w:pStyle w:val="Rubrik2"/>
        <w:shd w:val="clear" w:color="000000" w:fill="auto"/>
      </w:pPr>
      <w:r w:rsidRPr="00B132F8">
        <w:t>Anslag 1:7</w:t>
      </w:r>
    </w:p>
    <w:p w:rsidR="00B132F8" w:rsidRPr="00B132F8" w:rsidRDefault="00B132F8">
      <w:pPr>
        <w:shd w:val="clear" w:color="000000" w:fill="auto"/>
      </w:pPr>
      <w:r w:rsidRPr="00B132F8">
        <w:t>Staten bör, i samarbete med kommuner, föreningar och företag, ta ett ökat ansvar för att locka besökare till Sverige. Vi avsätter därför 50 miljoner kr</w:t>
      </w:r>
      <w:r w:rsidRPr="00B132F8">
        <w:t>o</w:t>
      </w:r>
      <w:r w:rsidRPr="00B132F8">
        <w:t xml:space="preserve">nor per år för detta ändamål. </w:t>
      </w:r>
    </w:p>
    <w:p w:rsidR="00B132F8" w:rsidRPr="00B132F8" w:rsidRDefault="00B132F8">
      <w:pPr>
        <w:pStyle w:val="Rubrik2"/>
        <w:shd w:val="clear" w:color="000000" w:fill="auto"/>
      </w:pPr>
      <w:r w:rsidRPr="00B132F8">
        <w:t>Anslag 1:20</w:t>
      </w:r>
    </w:p>
    <w:p w:rsidR="00B132F8" w:rsidRPr="00B132F8" w:rsidRDefault="00B132F8">
      <w:pPr>
        <w:shd w:val="clear" w:color="000000" w:fill="auto"/>
      </w:pPr>
      <w:r w:rsidRPr="00B132F8">
        <w:t xml:space="preserve">Regeringens politik baseras på principen om utförsäljningar av statliga bolag för utförsäljningens egen skull. Den principen avvisar vi. Vi föreslår i stället att de 20 miljoner kronor som regeringen anslår för utgifter i samband med försäljningar av statliga bolag används till en förbättrad förvaltning av de statliga bolagen. Vi flyttar därför inte medel från anslaget. </w:t>
      </w:r>
    </w:p>
    <w:p w:rsidR="00B132F8" w:rsidRPr="00B132F8" w:rsidRDefault="00B132F8">
      <w:pPr>
        <w:pStyle w:val="Rubrik2"/>
        <w:shd w:val="clear" w:color="000000" w:fill="auto"/>
      </w:pPr>
      <w:r w:rsidRPr="00B132F8">
        <w:t>Anslag 2:3 och 2:4</w:t>
      </w:r>
    </w:p>
    <w:p w:rsidR="00B132F8" w:rsidRPr="00B132F8" w:rsidRDefault="00B132F8">
      <w:pPr>
        <w:shd w:val="clear" w:color="000000" w:fill="auto"/>
      </w:pPr>
      <w:r w:rsidRPr="00B132F8">
        <w:t>För att stimulera till internationella affärsrelationer som får mindre företag att vässas och växa vill vi etablera ett nytt program – Konkurrenskraft Sverige. Programmet ska bland annat innehålla främjande av export och av utländska investeringar. Vi anslår 100 miljoner kronor årligen till programmet under 2011 och 2012, fördelat mellan anslagen för export och investeringsfrämja</w:t>
      </w:r>
      <w:r w:rsidRPr="00B132F8">
        <w:t>n</w:t>
      </w:r>
      <w:r w:rsidRPr="00B132F8">
        <w:t>de. Vi avvisar därför regeringens satsning på ökade resurser för exportfrä</w:t>
      </w:r>
      <w:r w:rsidRPr="00B132F8">
        <w:t>m</w:t>
      </w:r>
      <w:r w:rsidRPr="00B132F8">
        <w:t xml:space="preserve">jande på 30 miljoner kronor. </w:t>
      </w:r>
    </w:p>
    <w:p w:rsidR="00B132F8" w:rsidRPr="00B132F8" w:rsidRDefault="00B132F8">
      <w:pPr>
        <w:pStyle w:val="Rubrik2"/>
        <w:shd w:val="clear" w:color="000000" w:fill="auto"/>
      </w:pPr>
      <w:r w:rsidRPr="00B132F8">
        <w:t>Riskkapitalfond</w:t>
      </w:r>
    </w:p>
    <w:p w:rsidR="00B132F8" w:rsidRPr="00B132F8" w:rsidRDefault="00B132F8">
      <w:pPr>
        <w:shd w:val="clear" w:color="000000" w:fill="auto"/>
      </w:pPr>
      <w:r w:rsidRPr="00B132F8">
        <w:t>För att stärka tillgången på riskkapital vill vi också inrätta en riskkapitalfond. Vi vill genomföra en extra utdelning från Vattenfall med 5 miljarder kronor för att skapa en ny riskkapitalfond. Den nya riskkapitalfonden ska agera marknadskompletterande. Fonden ska aktivt stimulera det breda näringslivets kapitalbehov, men med särskilt fokus på innovativa små och medelstora ind</w:t>
      </w:r>
      <w:r w:rsidRPr="00B132F8">
        <w:t>u</w:t>
      </w:r>
      <w:r w:rsidRPr="00B132F8">
        <w:t>stri- och tjänsteföretag. Insatser som stärker det svenska näringslivets långsi</w:t>
      </w:r>
      <w:r w:rsidRPr="00B132F8">
        <w:t>k</w:t>
      </w:r>
      <w:r w:rsidRPr="00B132F8">
        <w:t>tiga konkurrenskraft ska särskilt prioriteras. Detta kan till exempel användas för satsningar på företag som verkar i branschen för miljöteknik.</w:t>
      </w:r>
    </w:p>
    <w:p w:rsidR="00B132F8" w:rsidRPr="00B132F8" w:rsidRDefault="00B132F8">
      <w:pPr>
        <w:pStyle w:val="Rubrik2"/>
        <w:shd w:val="clear" w:color="000000" w:fill="auto"/>
      </w:pPr>
      <w:r w:rsidRPr="00B132F8">
        <w:t>Fler åtgärder för ökad konkurrenskraft</w:t>
      </w:r>
    </w:p>
    <w:p w:rsidR="00B132F8" w:rsidRPr="00B132F8" w:rsidRDefault="00B132F8">
      <w:pPr>
        <w:shd w:val="clear" w:color="000000" w:fill="auto"/>
      </w:pPr>
      <w:r w:rsidRPr="00B132F8">
        <w:t>För att förenkla företagarnas vardag vill vi skapa en one-stop-tillståndsportal och förbättra företagens möjligheter att själva välja karenstid i sjukförsä</w:t>
      </w:r>
      <w:r w:rsidRPr="00B132F8">
        <w:t>k</w:t>
      </w:r>
      <w:r w:rsidRPr="00B132F8">
        <w:t>ringen. Redan 2011 och 2012 vill vi sänka socialavgifterna för småföretag så att det blir billigare att anställa. Vi har också, i likhet med regeringen, som reformambition att under mandatperioden sänka restaurangmomsen, givet att det finns ett varaktigt reformutrymme. Om ytterligare ekonomiskt utrymme uppstår kommer vi att gå vidare med ytterligare lättnader för småföretagen. Det kan handla om sänkningar av momsen i andra delar av tjänstesektorn, sänkta arbetsgivaravgifter, minskade sjuklönekostnader elle</w:t>
      </w:r>
      <w:r w:rsidRPr="00B132F8">
        <w:t>r ett riskkapita</w:t>
      </w:r>
      <w:r w:rsidRPr="00B132F8">
        <w:t>l</w:t>
      </w:r>
      <w:r w:rsidRPr="00B132F8">
        <w:t>avdrag.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2F8">
        <w:trPr>
          <w:cantSplit/>
        </w:trPr>
        <w:tc>
          <w:tcPr>
            <w:tcW w:w="3046" w:type="dxa"/>
          </w:tcPr>
          <w:p w:rsidR="00B132F8" w:rsidRPr="00B132F8" w:rsidRDefault="00B132F8">
            <w:pPr>
              <w:pStyle w:val="UnderskriftDatum"/>
              <w:shd w:val="clear" w:color="000000" w:fill="auto"/>
              <w:spacing w:before="240"/>
            </w:pPr>
            <w:r w:rsidRPr="00B132F8">
              <w:t>Stockholm den 26 oktober 2010</w:t>
            </w:r>
          </w:p>
        </w:tc>
        <w:tc>
          <w:tcPr>
            <w:tcW w:w="3047" w:type="dxa"/>
          </w:tcPr>
          <w:p w:rsidR="00B132F8" w:rsidRPr="00B132F8" w:rsidRDefault="00B132F8">
            <w:pPr>
              <w:pStyle w:val="Underskrifter"/>
              <w:shd w:val="clear" w:color="000000" w:fill="auto"/>
              <w:spacing w:before="240"/>
            </w:pPr>
          </w:p>
        </w:tc>
      </w:tr>
      <w:tr w:rsidR="00000000" w:rsidRPr="00B132F8">
        <w:trPr>
          <w:cantSplit/>
        </w:trPr>
        <w:tc>
          <w:tcPr>
            <w:tcW w:w="3046" w:type="dxa"/>
          </w:tcPr>
          <w:p w:rsidR="00B132F8" w:rsidRPr="00B132F8" w:rsidRDefault="00B132F8">
            <w:pPr>
              <w:pStyle w:val="Underskrifter"/>
              <w:shd w:val="clear" w:color="000000" w:fill="auto"/>
            </w:pPr>
            <w:r w:rsidRPr="00B132F8">
              <w:t>Lars Johansson (S)</w:t>
            </w:r>
          </w:p>
        </w:tc>
        <w:tc>
          <w:tcPr>
            <w:tcW w:w="3046" w:type="dxa"/>
          </w:tcPr>
          <w:p w:rsidR="00B132F8" w:rsidRPr="00B132F8" w:rsidRDefault="00B132F8">
            <w:pPr>
              <w:pStyle w:val="Underskrifter"/>
              <w:shd w:val="clear" w:color="000000" w:fill="auto"/>
            </w:pPr>
          </w:p>
        </w:tc>
      </w:tr>
      <w:tr w:rsidR="00000000" w:rsidRPr="00B132F8">
        <w:trPr>
          <w:cantSplit/>
        </w:trPr>
        <w:tc>
          <w:tcPr>
            <w:tcW w:w="3046" w:type="dxa"/>
          </w:tcPr>
          <w:p w:rsidR="00B132F8" w:rsidRPr="00B132F8" w:rsidRDefault="00B132F8">
            <w:pPr>
              <w:pStyle w:val="Underskrifter"/>
              <w:shd w:val="clear" w:color="000000" w:fill="auto"/>
            </w:pPr>
            <w:r w:rsidRPr="00B132F8">
              <w:t>Maria Wetterstrand (MP)</w:t>
            </w:r>
          </w:p>
        </w:tc>
        <w:tc>
          <w:tcPr>
            <w:tcW w:w="3046" w:type="dxa"/>
          </w:tcPr>
          <w:p w:rsidR="00B132F8" w:rsidRPr="00B132F8" w:rsidRDefault="00B132F8">
            <w:pPr>
              <w:pStyle w:val="Underskrifter"/>
              <w:shd w:val="clear" w:color="000000" w:fill="auto"/>
            </w:pPr>
            <w:r w:rsidRPr="00B132F8">
              <w:t>Kent Persson (V)</w:t>
            </w:r>
          </w:p>
        </w:tc>
      </w:tr>
    </w:tbl>
    <w:p w:rsidR="00B132F8" w:rsidRPr="00B132F8" w:rsidRDefault="00B132F8">
      <w:pPr>
        <w:pStyle w:val="Normaltindrag"/>
        <w:shd w:val="clear" w:color="000000" w:fill="auto"/>
      </w:pPr>
    </w:p>
    <w:sectPr w:rsidR="00000000" w:rsidRPr="00B132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2F8" w:rsidRPr="00B132F8" w:rsidRDefault="00B132F8">
      <w:r w:rsidRPr="00B132F8">
        <w:separator/>
      </w:r>
    </w:p>
  </w:endnote>
  <w:endnote w:type="continuationSeparator" w:id="0">
    <w:p w:rsidR="00B132F8" w:rsidRPr="00B132F8" w:rsidRDefault="00B132F8">
      <w:r w:rsidRPr="00B13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F8" w:rsidRPr="00B132F8" w:rsidRDefault="00B132F8">
    <w:pPr>
      <w:pStyle w:val="Sidfot"/>
    </w:pPr>
    <w:r w:rsidRPr="00B132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413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2F8" w:rsidRDefault="00B132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32F8" w:rsidRDefault="00B132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F8" w:rsidRPr="00B132F8" w:rsidRDefault="00B132F8">
    <w:pPr>
      <w:pStyle w:val="Sidfot"/>
    </w:pPr>
    <w:r w:rsidRPr="00B132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865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2F8" w:rsidRDefault="00B132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32F8" w:rsidRDefault="00B132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F8" w:rsidRPr="00B132F8" w:rsidRDefault="00B132F8">
    <w:pPr>
      <w:pStyle w:val="Sidfot"/>
    </w:pPr>
    <w:r w:rsidRPr="00B132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536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2F8" w:rsidRDefault="00B13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32F8" w:rsidRDefault="00B13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2F8" w:rsidRPr="00B132F8" w:rsidRDefault="00B132F8">
      <w:r w:rsidRPr="00B132F8">
        <w:separator/>
      </w:r>
    </w:p>
  </w:footnote>
  <w:footnote w:type="continuationSeparator" w:id="0">
    <w:p w:rsidR="00B132F8" w:rsidRPr="00B132F8" w:rsidRDefault="00B132F8">
      <w:r w:rsidRPr="00B132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F8" w:rsidRPr="00B132F8" w:rsidRDefault="00B132F8">
    <w:pPr>
      <w:pStyle w:val="Sidhuvud"/>
    </w:pPr>
    <w:r w:rsidRPr="00B132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4729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2F8" w:rsidRDefault="00B132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32F8" w:rsidRDefault="00B132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F8" w:rsidRPr="00B132F8" w:rsidRDefault="00B132F8">
    <w:pPr>
      <w:pStyle w:val="Sidhuvud"/>
    </w:pPr>
    <w:r w:rsidRPr="00B132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790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2F8" w:rsidRDefault="00B132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32F8" w:rsidRDefault="00B132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F8" w:rsidRPr="00B132F8" w:rsidRDefault="00B132F8">
    <w:pPr>
      <w:pStyle w:val="FSHNormal"/>
      <w:tabs>
        <w:tab w:val="right" w:pos="5840"/>
      </w:tabs>
    </w:pPr>
    <w:r w:rsidRPr="00B132F8">
      <w:br/>
    </w:r>
    <w:r w:rsidRPr="00B132F8">
      <w:fldChar w:fldCharType="begin" w:fldLock="1"/>
    </w:r>
    <w:r w:rsidRPr="00B132F8">
      <w:instrText xml:space="preserve"> DOCPROPERTY</w:instrText>
    </w:r>
    <w:r w:rsidRPr="00B132F8">
      <w:rPr>
        <w:sz w:val="18"/>
      </w:rPr>
      <w:instrText xml:space="preserve"> "YearUser" *\charformat </w:instrText>
    </w:r>
    <w:r w:rsidRPr="00B132F8">
      <w:fldChar w:fldCharType="separate"/>
    </w:r>
    <w:r w:rsidRPr="00B132F8">
      <w:t>2010/11</w:t>
    </w:r>
    <w:r w:rsidRPr="00B132F8">
      <w:fldChar w:fldCharType="end"/>
    </w:r>
    <w:r w:rsidRPr="00B132F8">
      <w:t xml:space="preserve"> </w:t>
    </w:r>
    <w:r w:rsidRPr="00B132F8">
      <w:tab/>
      <w:t xml:space="preserve">mnr: </w:t>
    </w:r>
    <w:r w:rsidRPr="00B132F8">
      <w:fldChar w:fldCharType="begin" w:fldLock="1"/>
    </w:r>
    <w:r w:rsidRPr="00B132F8">
      <w:instrText xml:space="preserve"> DOCPROPERTY</w:instrText>
    </w:r>
    <w:r w:rsidRPr="00B132F8">
      <w:rPr>
        <w:sz w:val="18"/>
      </w:rPr>
      <w:instrText xml:space="preserve"> "Motionsnummer" *\charformat </w:instrText>
    </w:r>
    <w:r w:rsidRPr="00B132F8">
      <w:fldChar w:fldCharType="separate"/>
    </w:r>
    <w:r w:rsidRPr="00B132F8">
      <w:t>N361</w:t>
    </w:r>
    <w:r w:rsidRPr="00B132F8">
      <w:fldChar w:fldCharType="end"/>
    </w:r>
    <w:r w:rsidRPr="00B132F8">
      <w:br/>
    </w:r>
    <w:r w:rsidRPr="00B132F8">
      <w:fldChar w:fldCharType="begin" w:fldLock="1"/>
    </w:r>
    <w:r w:rsidRPr="00B132F8">
      <w:instrText xml:space="preserve"> DOCPROPERTY</w:instrText>
    </w:r>
    <w:r w:rsidRPr="00B132F8">
      <w:rPr>
        <w:sz w:val="18"/>
      </w:rPr>
      <w:instrText xml:space="preserve"> "Samling" *\charformat </w:instrText>
    </w:r>
    <w:r w:rsidRPr="00B132F8">
      <w:fldChar w:fldCharType="end"/>
    </w:r>
    <w:r w:rsidRPr="00B132F8">
      <w:tab/>
      <w:t xml:space="preserve">pnr: </w:t>
    </w:r>
    <w:r w:rsidRPr="00B132F8">
      <w:fldChar w:fldCharType="begin" w:fldLock="1"/>
    </w:r>
    <w:r w:rsidRPr="00B132F8">
      <w:instrText xml:space="preserve"> DOCPROPERTY</w:instrText>
    </w:r>
    <w:r w:rsidRPr="00B132F8">
      <w:rPr>
        <w:sz w:val="18"/>
      </w:rPr>
      <w:instrText xml:space="preserve"> "Partinummer" *\charformat </w:instrText>
    </w:r>
    <w:r w:rsidRPr="00B132F8">
      <w:fldChar w:fldCharType="separate"/>
    </w:r>
    <w:r w:rsidRPr="00B132F8">
      <w:t>-V824</w:t>
    </w:r>
    <w:r w:rsidRPr="00B132F8">
      <w:fldChar w:fldCharType="end"/>
    </w:r>
  </w:p>
  <w:p w:rsidR="00B132F8" w:rsidRPr="00B132F8" w:rsidRDefault="00B132F8">
    <w:pPr>
      <w:pStyle w:val="FSHRub1"/>
    </w:pPr>
    <w:r w:rsidRPr="00B132F8">
      <w:t>Motion till riksdagen</w:t>
    </w:r>
    <w:r w:rsidRPr="00B132F8">
      <w:br/>
    </w:r>
    <w:r w:rsidRPr="00B132F8">
      <w:fldChar w:fldCharType="begin" w:fldLock="1"/>
    </w:r>
    <w:r w:rsidRPr="00B132F8">
      <w:instrText xml:space="preserve"> DOCPROPERTY "YearUser" *\charformat </w:instrText>
    </w:r>
    <w:r w:rsidRPr="00B132F8">
      <w:fldChar w:fldCharType="separate"/>
    </w:r>
    <w:r w:rsidRPr="00B132F8">
      <w:t>2010/11</w:t>
    </w:r>
    <w:r w:rsidRPr="00B132F8">
      <w:fldChar w:fldCharType="end"/>
    </w:r>
    <w:r w:rsidRPr="00B132F8">
      <w:t>:</w:t>
    </w:r>
    <w:r w:rsidRPr="00B132F8">
      <w:fldChar w:fldCharType="begin" w:fldLock="1"/>
    </w:r>
    <w:r w:rsidRPr="00B132F8">
      <w:instrText xml:space="preserve"> DOCPROPERTY "Motionsnummer" *\charformat </w:instrText>
    </w:r>
    <w:r w:rsidRPr="00B132F8">
      <w:fldChar w:fldCharType="separate"/>
    </w:r>
    <w:r w:rsidRPr="00B132F8">
      <w:t>N361</w:t>
    </w:r>
    <w:r w:rsidRPr="00B132F8">
      <w:fldChar w:fldCharType="end"/>
    </w:r>
  </w:p>
  <w:p w:rsidR="00B132F8" w:rsidRPr="00B132F8" w:rsidRDefault="00B132F8">
    <w:pPr>
      <w:pStyle w:val="FSHNormalS5"/>
    </w:pPr>
    <w:r w:rsidRPr="00B132F8">
      <w:fldChar w:fldCharType="begin" w:fldLock="1"/>
    </w:r>
    <w:r w:rsidRPr="00B132F8">
      <w:instrText xml:space="preserve"> DOCPROPERTY "MotionarText" *\charformat </w:instrText>
    </w:r>
    <w:r w:rsidRPr="00B132F8">
      <w:fldChar w:fldCharType="separate"/>
    </w:r>
    <w:r w:rsidRPr="00B132F8">
      <w:t>av Lars Johansson m.fl. (S, MP, V)</w:t>
    </w:r>
    <w:r w:rsidRPr="00B132F8">
      <w:fldChar w:fldCharType="end"/>
    </w:r>
    <w:r w:rsidRPr="00B132F8">
      <w:br/>
    </w:r>
    <w:r w:rsidRPr="00B132F8">
      <w:fldChar w:fldCharType="begin" w:fldLock="1"/>
    </w:r>
    <w:r w:rsidRPr="00B132F8">
      <w:instrText xml:space="preserve"> DOCPROPERTY "SvarFrasKort" *\charformat </w:instrText>
    </w:r>
    <w:r w:rsidRPr="00B132F8">
      <w:fldChar w:fldCharType="end"/>
    </w:r>
  </w:p>
  <w:p w:rsidR="00B132F8" w:rsidRPr="00B132F8" w:rsidRDefault="00B132F8">
    <w:pPr>
      <w:pStyle w:val="FSHTitel"/>
    </w:pPr>
    <w:r w:rsidRPr="00B132F8">
      <w:fldChar w:fldCharType="begin" w:fldLock="1"/>
    </w:r>
    <w:r w:rsidRPr="00B132F8">
      <w:instrText xml:space="preserve"> DOCPROPERTY</w:instrText>
    </w:r>
    <w:r w:rsidRPr="00B132F8">
      <w:rPr>
        <w:sz w:val="18"/>
      </w:rPr>
      <w:instrText xml:space="preserve"> "RubrikSvar" *\charformat </w:instrText>
    </w:r>
    <w:r w:rsidRPr="00B132F8">
      <w:fldChar w:fldCharType="separate"/>
    </w:r>
    <w:r w:rsidRPr="00B132F8">
      <w:t>Utgiftsområde 24 Näringsliv</w:t>
    </w:r>
    <w:r w:rsidRPr="00B132F8">
      <w:fldChar w:fldCharType="end"/>
    </w:r>
  </w:p>
  <w:p w:rsidR="00B132F8" w:rsidRPr="00B132F8" w:rsidRDefault="00B132F8">
    <w:pPr>
      <w:pStyle w:val="Normal00"/>
    </w:pPr>
  </w:p>
  <w:p w:rsidR="00B132F8" w:rsidRPr="00B132F8" w:rsidRDefault="00B13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6C2C3B5C">
      <w:start w:val="1"/>
      <w:numFmt w:val="bullet"/>
      <w:lvlText w:val="?"/>
      <w:lvlJc w:val="left"/>
      <w:pPr>
        <w:tabs>
          <w:tab w:val="num" w:pos="720"/>
        </w:tabs>
        <w:ind w:left="720" w:hanging="360"/>
      </w:pPr>
      <w:rPr>
        <w:rFonts w:ascii="Wingdings" w:hAnsi="Wingdings" w:hint="default"/>
      </w:rPr>
    </w:lvl>
    <w:lvl w:ilvl="1" w:tplc="A574C4AA" w:tentative="1">
      <w:start w:val="1"/>
      <w:numFmt w:val="bullet"/>
      <w:lvlText w:val="o"/>
      <w:lvlJc w:val="left"/>
      <w:pPr>
        <w:tabs>
          <w:tab w:val="num" w:pos="1440"/>
        </w:tabs>
        <w:ind w:left="1440" w:hanging="360"/>
      </w:pPr>
      <w:rPr>
        <w:rFonts w:ascii="Courier New" w:hAnsi="Courier New" w:cs="Courier New" w:hint="default"/>
      </w:rPr>
    </w:lvl>
    <w:lvl w:ilvl="2" w:tplc="649641B6" w:tentative="1">
      <w:start w:val="1"/>
      <w:numFmt w:val="bullet"/>
      <w:lvlText w:val="?"/>
      <w:lvlJc w:val="left"/>
      <w:pPr>
        <w:tabs>
          <w:tab w:val="num" w:pos="2160"/>
        </w:tabs>
        <w:ind w:left="2160" w:hanging="360"/>
      </w:pPr>
      <w:rPr>
        <w:rFonts w:ascii="Wingdings" w:hAnsi="Wingdings" w:hint="default"/>
      </w:rPr>
    </w:lvl>
    <w:lvl w:ilvl="3" w:tplc="4A2CED78" w:tentative="1">
      <w:start w:val="1"/>
      <w:numFmt w:val="bullet"/>
      <w:lvlText w:val="?"/>
      <w:lvlJc w:val="left"/>
      <w:pPr>
        <w:tabs>
          <w:tab w:val="num" w:pos="2880"/>
        </w:tabs>
        <w:ind w:left="2880" w:hanging="360"/>
      </w:pPr>
      <w:rPr>
        <w:rFonts w:ascii="Symbol" w:hAnsi="Symbol" w:hint="default"/>
      </w:rPr>
    </w:lvl>
    <w:lvl w:ilvl="4" w:tplc="BF524A00" w:tentative="1">
      <w:start w:val="1"/>
      <w:numFmt w:val="bullet"/>
      <w:lvlText w:val="o"/>
      <w:lvlJc w:val="left"/>
      <w:pPr>
        <w:tabs>
          <w:tab w:val="num" w:pos="3600"/>
        </w:tabs>
        <w:ind w:left="3600" w:hanging="360"/>
      </w:pPr>
      <w:rPr>
        <w:rFonts w:ascii="Courier New" w:hAnsi="Courier New" w:cs="Courier New" w:hint="default"/>
      </w:rPr>
    </w:lvl>
    <w:lvl w:ilvl="5" w:tplc="52782AC6" w:tentative="1">
      <w:start w:val="1"/>
      <w:numFmt w:val="bullet"/>
      <w:lvlText w:val="?"/>
      <w:lvlJc w:val="left"/>
      <w:pPr>
        <w:tabs>
          <w:tab w:val="num" w:pos="4320"/>
        </w:tabs>
        <w:ind w:left="4320" w:hanging="360"/>
      </w:pPr>
      <w:rPr>
        <w:rFonts w:ascii="Wingdings" w:hAnsi="Wingdings" w:hint="default"/>
      </w:rPr>
    </w:lvl>
    <w:lvl w:ilvl="6" w:tplc="3892BFEA" w:tentative="1">
      <w:start w:val="1"/>
      <w:numFmt w:val="bullet"/>
      <w:lvlText w:val="?"/>
      <w:lvlJc w:val="left"/>
      <w:pPr>
        <w:tabs>
          <w:tab w:val="num" w:pos="5040"/>
        </w:tabs>
        <w:ind w:left="5040" w:hanging="360"/>
      </w:pPr>
      <w:rPr>
        <w:rFonts w:ascii="Symbol" w:hAnsi="Symbol" w:hint="default"/>
      </w:rPr>
    </w:lvl>
    <w:lvl w:ilvl="7" w:tplc="1F6A7AF0" w:tentative="1">
      <w:start w:val="1"/>
      <w:numFmt w:val="bullet"/>
      <w:lvlText w:val="o"/>
      <w:lvlJc w:val="left"/>
      <w:pPr>
        <w:tabs>
          <w:tab w:val="num" w:pos="5760"/>
        </w:tabs>
        <w:ind w:left="5760" w:hanging="360"/>
      </w:pPr>
      <w:rPr>
        <w:rFonts w:ascii="Courier New" w:hAnsi="Courier New" w:cs="Courier New" w:hint="default"/>
      </w:rPr>
    </w:lvl>
    <w:lvl w:ilvl="8" w:tplc="DC5EAD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D02A8830">
      <w:start w:val="1"/>
      <w:numFmt w:val="decimal"/>
      <w:lvlText w:val="%1."/>
      <w:lvlJc w:val="left"/>
      <w:pPr>
        <w:tabs>
          <w:tab w:val="num" w:pos="340"/>
        </w:tabs>
        <w:ind w:left="340" w:hanging="340"/>
      </w:pPr>
      <w:rPr>
        <w:rFonts w:cs="Times New Roman"/>
      </w:rPr>
    </w:lvl>
    <w:lvl w:ilvl="1" w:tplc="393AC058" w:tentative="1">
      <w:start w:val="1"/>
      <w:numFmt w:val="lowerLetter"/>
      <w:lvlText w:val="%2."/>
      <w:lvlJc w:val="left"/>
      <w:pPr>
        <w:tabs>
          <w:tab w:val="num" w:pos="1440"/>
        </w:tabs>
        <w:ind w:left="1440" w:hanging="360"/>
      </w:pPr>
      <w:rPr>
        <w:rFonts w:cs="Times New Roman"/>
      </w:rPr>
    </w:lvl>
    <w:lvl w:ilvl="2" w:tplc="889A1E72" w:tentative="1">
      <w:start w:val="1"/>
      <w:numFmt w:val="lowerRoman"/>
      <w:lvlText w:val="%3."/>
      <w:lvlJc w:val="right"/>
      <w:pPr>
        <w:tabs>
          <w:tab w:val="num" w:pos="2160"/>
        </w:tabs>
        <w:ind w:left="2160" w:hanging="180"/>
      </w:pPr>
      <w:rPr>
        <w:rFonts w:cs="Times New Roman"/>
      </w:rPr>
    </w:lvl>
    <w:lvl w:ilvl="3" w:tplc="51D840E8" w:tentative="1">
      <w:start w:val="1"/>
      <w:numFmt w:val="decimal"/>
      <w:lvlText w:val="%4."/>
      <w:lvlJc w:val="left"/>
      <w:pPr>
        <w:tabs>
          <w:tab w:val="num" w:pos="2880"/>
        </w:tabs>
        <w:ind w:left="2880" w:hanging="360"/>
      </w:pPr>
      <w:rPr>
        <w:rFonts w:cs="Times New Roman"/>
      </w:rPr>
    </w:lvl>
    <w:lvl w:ilvl="4" w:tplc="4F0E1F3E" w:tentative="1">
      <w:start w:val="1"/>
      <w:numFmt w:val="lowerLetter"/>
      <w:lvlText w:val="%5."/>
      <w:lvlJc w:val="left"/>
      <w:pPr>
        <w:tabs>
          <w:tab w:val="num" w:pos="3600"/>
        </w:tabs>
        <w:ind w:left="3600" w:hanging="360"/>
      </w:pPr>
      <w:rPr>
        <w:rFonts w:cs="Times New Roman"/>
      </w:rPr>
    </w:lvl>
    <w:lvl w:ilvl="5" w:tplc="0E787400" w:tentative="1">
      <w:start w:val="1"/>
      <w:numFmt w:val="lowerRoman"/>
      <w:lvlText w:val="%6."/>
      <w:lvlJc w:val="right"/>
      <w:pPr>
        <w:tabs>
          <w:tab w:val="num" w:pos="4320"/>
        </w:tabs>
        <w:ind w:left="4320" w:hanging="180"/>
      </w:pPr>
      <w:rPr>
        <w:rFonts w:cs="Times New Roman"/>
      </w:rPr>
    </w:lvl>
    <w:lvl w:ilvl="6" w:tplc="C034398E" w:tentative="1">
      <w:start w:val="1"/>
      <w:numFmt w:val="decimal"/>
      <w:lvlText w:val="%7."/>
      <w:lvlJc w:val="left"/>
      <w:pPr>
        <w:tabs>
          <w:tab w:val="num" w:pos="5040"/>
        </w:tabs>
        <w:ind w:left="5040" w:hanging="360"/>
      </w:pPr>
      <w:rPr>
        <w:rFonts w:cs="Times New Roman"/>
      </w:rPr>
    </w:lvl>
    <w:lvl w:ilvl="7" w:tplc="4EEAC6C6" w:tentative="1">
      <w:start w:val="1"/>
      <w:numFmt w:val="lowerLetter"/>
      <w:lvlText w:val="%8."/>
      <w:lvlJc w:val="left"/>
      <w:pPr>
        <w:tabs>
          <w:tab w:val="num" w:pos="5760"/>
        </w:tabs>
        <w:ind w:left="5760" w:hanging="360"/>
      </w:pPr>
      <w:rPr>
        <w:rFonts w:cs="Times New Roman"/>
      </w:rPr>
    </w:lvl>
    <w:lvl w:ilvl="8" w:tplc="156C1534"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7DB5F44"/>
    <w:multiLevelType w:val="hybridMultilevel"/>
    <w:tmpl w:val="65644186"/>
    <w:lvl w:ilvl="0" w:tplc="C10447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657062">
    <w:abstractNumId w:val="3"/>
  </w:num>
  <w:num w:numId="2" w16cid:durableId="1401650">
    <w:abstractNumId w:val="2"/>
  </w:num>
  <w:num w:numId="3" w16cid:durableId="1132870862">
    <w:abstractNumId w:val="1"/>
  </w:num>
  <w:num w:numId="4" w16cid:durableId="1757939073">
    <w:abstractNumId w:val="0"/>
  </w:num>
  <w:num w:numId="5" w16cid:durableId="1759059509">
    <w:abstractNumId w:val="7"/>
  </w:num>
  <w:num w:numId="6" w16cid:durableId="216626389">
    <w:abstractNumId w:val="6"/>
  </w:num>
  <w:num w:numId="7" w16cid:durableId="1434324660">
    <w:abstractNumId w:val="5"/>
  </w:num>
  <w:num w:numId="8" w16cid:durableId="1301761514">
    <w:abstractNumId w:val="4"/>
  </w:num>
  <w:num w:numId="9" w16cid:durableId="1655724238">
    <w:abstractNumId w:val="8"/>
  </w:num>
  <w:num w:numId="10" w16cid:durableId="347948653">
    <w:abstractNumId w:val="9"/>
  </w:num>
  <w:num w:numId="11" w16cid:durableId="390077242">
    <w:abstractNumId w:val="10"/>
  </w:num>
  <w:num w:numId="12" w16cid:durableId="1220247092">
    <w:abstractNumId w:val="13"/>
  </w:num>
  <w:num w:numId="13" w16cid:durableId="1459302010">
    <w:abstractNumId w:val="15"/>
  </w:num>
  <w:num w:numId="14" w16cid:durableId="709494273">
    <w:abstractNumId w:val="16"/>
  </w:num>
  <w:num w:numId="15" w16cid:durableId="133061690">
    <w:abstractNumId w:val="11"/>
  </w:num>
  <w:num w:numId="16" w16cid:durableId="1980262420">
    <w:abstractNumId w:val="19"/>
  </w:num>
  <w:num w:numId="17" w16cid:durableId="295568990">
    <w:abstractNumId w:val="17"/>
  </w:num>
  <w:num w:numId="18" w16cid:durableId="108936059">
    <w:abstractNumId w:val="14"/>
  </w:num>
  <w:num w:numId="19" w16cid:durableId="570891731">
    <w:abstractNumId w:val="12"/>
  </w:num>
  <w:num w:numId="20" w16cid:durableId="15027729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5FD479D-7B1D-4149-A949-BD9CC9D47A21},{72BBA5B1-2A4C-45F5-AADF-7062D4751E63},{3EA40B84-2474-4E42-A764-D13EB4E0906F}"/>
  </w:docVars>
  <w:rsids>
    <w:rsidRoot w:val="00B93EA4"/>
    <w:rsid w:val="00B132F8"/>
    <w:rsid w:val="00B93E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497B80E-59D8-4B32-BE73-3E25DBCF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7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4159</Characters>
  <Application>Microsoft Office Word</Application>
  <DocSecurity>4</DocSecurity>
  <Lines>112</Lines>
  <Paragraphs>66</Paragraphs>
  <ScaleCrop>false</ScaleCrop>
  <HeadingPairs>
    <vt:vector size="2" baseType="variant">
      <vt:variant>
        <vt:lpstr>Rubrik</vt:lpstr>
      </vt:variant>
      <vt:variant>
        <vt:i4>1</vt:i4>
      </vt:variant>
    </vt:vector>
  </HeadingPairs>
  <TitlesOfParts>
    <vt:vector size="1" baseType="lpstr">
      <vt:lpstr>-V424</vt:lpstr>
    </vt:vector>
  </TitlesOfParts>
  <Company>Riksdagen</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-V424</dc:title>
  <dc:subject>-V424</dc:subject>
  <dc:creator>Riksdagen</dc:creator>
  <cp:keywords>Riksdagen</cp:keywords>
  <dc:description>Versal/gemen i partibeteckning. Gemen i tryck för 0910, versal för 1011 och nyare</dc:description>
  <cp:lastModifiedBy>Lars Brink</cp:lastModifiedBy>
  <cp:revision>2</cp:revision>
  <cp:lastPrinted>2010-11-12T11:39:00Z</cp:lastPrinted>
  <dcterms:created xsi:type="dcterms:W3CDTF">2025-12-18T01:49:00Z</dcterms:created>
  <dcterms:modified xsi:type="dcterms:W3CDTF">2025-12-18T01:49:00Z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24 Näringsliv</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-V824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Lars Johansson m.fl. (S, MP, V)</vt:lpwstr>
  </property>
  <property fmtid="{D5CDD505-2E9C-101B-9397-08002B2CF9AE}" pid="26" name="MotionarLista">
    <vt:lpwstr>Johansson, Lars (S)\Wetterstrand, Maria (MP)\Persson,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Maria Wetterstrand (MP),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20102011000000000086000004240070</vt:lpwstr>
  </property>
  <property fmtid="{D5CDD505-2E9C-101B-9397-08002B2CF9AE}" pid="47" name="datum">
    <vt:lpwstr>101026</vt:lpwstr>
  </property>
  <property fmtid="{D5CDD505-2E9C-101B-9397-08002B2CF9AE}" pid="48" name="avsändar-e-post">
    <vt:lpwstr>dina.fraggidou@riksdagen.se</vt:lpwstr>
  </property>
  <property fmtid="{D5CDD505-2E9C-101B-9397-08002B2CF9AE}" pid="49" name="id">
    <vt:lpwstr>20102011000000000086000004240070</vt:lpwstr>
  </property>
  <property fmtid="{D5CDD505-2E9C-101B-9397-08002B2CF9AE}" pid="50" name="nummer">
    <vt:lpwstr>361</vt:lpwstr>
  </property>
  <property fmtid="{D5CDD505-2E9C-101B-9397-08002B2CF9AE}" pid="51" name="utskottsbeteckning">
    <vt:lpwstr>N</vt:lpwstr>
  </property>
  <property fmtid="{D5CDD505-2E9C-101B-9397-08002B2CF9AE}" pid="52" name="GlobalUID">
    <vt:lpwstr>{F44C6956-BF0F-446A-A5AA-CE27DABA0213}</vt:lpwstr>
  </property>
  <property fmtid="{D5CDD505-2E9C-101B-9397-08002B2CF9AE}" pid="53" name="Överföringar">
    <vt:i4>0</vt:i4>
  </property>
  <property fmtid="{D5CDD505-2E9C-101B-9397-08002B2CF9AE}" pid="54" name="Checksum">
    <vt:lpwstr>*1008251903742*</vt:lpwstr>
  </property>
  <property fmtid="{D5CDD505-2E9C-101B-9397-08002B2CF9AE}" pid="55" name="skuggnummer">
    <vt:lpwstr>2350</vt:lpwstr>
  </property>
  <property fmtid="{D5CDD505-2E9C-101B-9397-08002B2CF9AE}" pid="56" name="urixVersion">
    <vt:lpwstr>4.3.0.0</vt:lpwstr>
  </property>
  <property fmtid="{D5CDD505-2E9C-101B-9397-08002B2CF9AE}" pid="57" name="urixOrigin">
    <vt:lpwstr>101112 13:01:08.168</vt:lpwstr>
  </property>
  <property fmtid="{D5CDD505-2E9C-101B-9397-08002B2CF9AE}" pid="58" name="urixGuid">
    <vt:lpwstr>{2F0CCC5E-7C12-4901-8D3B-4CF6B06C61DB}</vt:lpwstr>
  </property>
</Properties>
</file>