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39B1707D" w:rsidR="00447E69" w:rsidRDefault="00E04650">
            <w:pPr>
              <w:rPr>
                <w:b/>
              </w:rPr>
            </w:pPr>
            <w:r>
              <w:rPr>
                <w:b/>
              </w:rPr>
              <w:t>UTSKOTTSSAMMANTRÄDE 20</w:t>
            </w:r>
            <w:r w:rsidR="00BD09A6">
              <w:rPr>
                <w:b/>
              </w:rPr>
              <w:t>2</w:t>
            </w:r>
            <w:r w:rsidR="00123C5B">
              <w:rPr>
                <w:b/>
              </w:rPr>
              <w:t>3</w:t>
            </w:r>
            <w:r w:rsidR="00E362AB">
              <w:rPr>
                <w:b/>
              </w:rPr>
              <w:t>/2</w:t>
            </w:r>
            <w:r w:rsidR="00123C5B">
              <w:rPr>
                <w:b/>
              </w:rPr>
              <w:t>4</w:t>
            </w:r>
            <w:r w:rsidR="00520D71">
              <w:rPr>
                <w:b/>
              </w:rPr>
              <w:t>:</w:t>
            </w:r>
            <w:r w:rsidR="00E1290A">
              <w:rPr>
                <w:b/>
              </w:rPr>
              <w:t>28</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25CC44E1" w:rsidR="00447E69" w:rsidRDefault="00BB7028" w:rsidP="007765ED">
            <w:r>
              <w:t>20</w:t>
            </w:r>
            <w:r w:rsidR="005F0E85">
              <w:t>2</w:t>
            </w:r>
            <w:r w:rsidR="002B5161">
              <w:t>4</w:t>
            </w:r>
            <w:r w:rsidR="00520D71">
              <w:t>-</w:t>
            </w:r>
            <w:r w:rsidR="00E1290A">
              <w:t>03</w:t>
            </w:r>
            <w:r w:rsidR="00520D71">
              <w:t>-</w:t>
            </w:r>
            <w:r w:rsidR="00E1290A">
              <w:t>05</w:t>
            </w:r>
          </w:p>
        </w:tc>
      </w:tr>
      <w:tr w:rsidR="00447E69" w14:paraId="55018730" w14:textId="77777777">
        <w:tc>
          <w:tcPr>
            <w:tcW w:w="1985" w:type="dxa"/>
          </w:tcPr>
          <w:p w14:paraId="664E9CD2" w14:textId="77777777" w:rsidR="00447E69" w:rsidRDefault="00447E69">
            <w:r>
              <w:t>TID</w:t>
            </w:r>
          </w:p>
        </w:tc>
        <w:tc>
          <w:tcPr>
            <w:tcW w:w="6463" w:type="dxa"/>
          </w:tcPr>
          <w:p w14:paraId="70E324A3" w14:textId="50D17B9A" w:rsidR="00447E69" w:rsidRDefault="00E1290A">
            <w:r>
              <w:t>11</w:t>
            </w:r>
            <w:r w:rsidR="00306F1B">
              <w:t>:00</w:t>
            </w:r>
            <w:r w:rsidR="00FA543D">
              <w:t>–</w:t>
            </w:r>
            <w:r w:rsidR="0029051D">
              <w:t>12:35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1290A" w14:paraId="69FC76FE" w14:textId="77777777" w:rsidTr="0001177E">
        <w:tc>
          <w:tcPr>
            <w:tcW w:w="567" w:type="dxa"/>
          </w:tcPr>
          <w:p w14:paraId="27662E11"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5EC2A8BC" w14:textId="720440D1" w:rsidR="00E1290A" w:rsidRDefault="00E1290A">
            <w:pPr>
              <w:tabs>
                <w:tab w:val="left" w:pos="1701"/>
              </w:tabs>
              <w:rPr>
                <w:b/>
                <w:szCs w:val="23"/>
              </w:rPr>
            </w:pPr>
            <w:r w:rsidRPr="008F27AC">
              <w:rPr>
                <w:b/>
                <w:szCs w:val="23"/>
              </w:rPr>
              <w:t>EU-överläggning om förslag till rådsrekommendation ”Europa på väg” – möjligheter till mobilitet i utbildningssyfte för alla</w:t>
            </w:r>
          </w:p>
          <w:p w14:paraId="28378D2F" w14:textId="77777777" w:rsidR="000D5135" w:rsidRDefault="000D5135">
            <w:pPr>
              <w:tabs>
                <w:tab w:val="left" w:pos="1701"/>
              </w:tabs>
              <w:rPr>
                <w:b/>
                <w:szCs w:val="23"/>
              </w:rPr>
            </w:pPr>
          </w:p>
          <w:p w14:paraId="7728C46B" w14:textId="0D8146DB" w:rsidR="000D5135" w:rsidRDefault="000D5135" w:rsidP="000D51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ett </w:t>
            </w:r>
            <w:r w:rsidRPr="00EA0DD7">
              <w:rPr>
                <w:bCs/>
                <w:snapToGrid w:val="0"/>
              </w:rPr>
              <w:t xml:space="preserve">förslag till rådsrekommendation om </w:t>
            </w:r>
            <w:r>
              <w:rPr>
                <w:bCs/>
                <w:snapToGrid w:val="0"/>
              </w:rPr>
              <w:t>mobilitet i utbildningssyfte.</w:t>
            </w:r>
            <w:r w:rsidRPr="00EA0DD7">
              <w:rPr>
                <w:bCs/>
                <w:snapToGrid w:val="0"/>
              </w:rPr>
              <w:t xml:space="preserve"> </w:t>
            </w:r>
          </w:p>
          <w:p w14:paraId="375753EF" w14:textId="2C3BD9AF" w:rsidR="000D5135" w:rsidRDefault="000D5135" w:rsidP="000D5135">
            <w:pPr>
              <w:tabs>
                <w:tab w:val="left" w:pos="1701"/>
              </w:tabs>
              <w:rPr>
                <w:bCs/>
                <w:snapToGrid w:val="0"/>
              </w:rPr>
            </w:pPr>
          </w:p>
          <w:p w14:paraId="11DAEFA8" w14:textId="77777777" w:rsidR="000D5135" w:rsidRDefault="000D5135" w:rsidP="000D5135">
            <w:pPr>
              <w:tabs>
                <w:tab w:val="left" w:pos="1701"/>
              </w:tabs>
              <w:rPr>
                <w:bCs/>
                <w:i/>
                <w:iCs/>
                <w:snapToGrid w:val="0"/>
              </w:rPr>
            </w:pPr>
            <w:r w:rsidRPr="00EA0DD7">
              <w:rPr>
                <w:bCs/>
                <w:i/>
                <w:iCs/>
                <w:snapToGrid w:val="0"/>
              </w:rPr>
              <w:t>Underlag för överläggningen</w:t>
            </w:r>
          </w:p>
          <w:p w14:paraId="63958554" w14:textId="32370003" w:rsidR="000D5135" w:rsidRDefault="000D5135" w:rsidP="000D5135">
            <w:pPr>
              <w:rPr>
                <w:u w:val="single"/>
              </w:rPr>
            </w:pPr>
            <w:r w:rsidRPr="003502D9">
              <w:t>Överläggningspromemoria från Utbildningsdepartementet (dnr</w:t>
            </w:r>
            <w:r>
              <w:t xml:space="preserve"> </w:t>
            </w:r>
            <w:proofErr w:type="gramStart"/>
            <w:r>
              <w:t>115</w:t>
            </w:r>
            <w:r w:rsidR="00B06C1B">
              <w:t>1</w:t>
            </w:r>
            <w:r>
              <w:t>-2023</w:t>
            </w:r>
            <w:proofErr w:type="gramEnd"/>
            <w:r>
              <w:t>/24)</w:t>
            </w:r>
            <w:r>
              <w:br/>
              <w:t>Rådsdokument ST 5970/24</w:t>
            </w:r>
          </w:p>
          <w:p w14:paraId="0F1ACA98" w14:textId="3387E7B9" w:rsidR="000D5135" w:rsidRDefault="000D5135" w:rsidP="000D5135">
            <w:pPr>
              <w:tabs>
                <w:tab w:val="left" w:pos="1701"/>
              </w:tabs>
              <w:rPr>
                <w:bCs/>
                <w:snapToGrid w:val="0"/>
              </w:rPr>
            </w:pPr>
            <w:proofErr w:type="gramStart"/>
            <w:r w:rsidRPr="00676D1D">
              <w:t>COM(</w:t>
            </w:r>
            <w:proofErr w:type="gramEnd"/>
            <w:r w:rsidRPr="00676D1D">
              <w:t>2023)</w:t>
            </w:r>
            <w:r>
              <w:t> </w:t>
            </w:r>
            <w:r w:rsidRPr="00676D1D">
              <w:t>719</w:t>
            </w:r>
            <w:r>
              <w:br/>
            </w:r>
          </w:p>
          <w:p w14:paraId="7AF493C4" w14:textId="77777777" w:rsidR="000D5135" w:rsidRDefault="000D5135" w:rsidP="000D5135">
            <w:pPr>
              <w:tabs>
                <w:tab w:val="left" w:pos="1701"/>
              </w:tabs>
              <w:rPr>
                <w:bCs/>
                <w:i/>
                <w:iCs/>
                <w:snapToGrid w:val="0"/>
              </w:rPr>
            </w:pPr>
            <w:r w:rsidRPr="00EA0DD7">
              <w:rPr>
                <w:bCs/>
                <w:i/>
                <w:iCs/>
                <w:snapToGrid w:val="0"/>
              </w:rPr>
              <w:t>Regeringens förslag till svensk ståndpunkt</w:t>
            </w:r>
          </w:p>
          <w:p w14:paraId="02B8EC3B" w14:textId="63BEA179" w:rsidR="000D5135" w:rsidRDefault="000D5135" w:rsidP="000D5135">
            <w:pPr>
              <w:tabs>
                <w:tab w:val="left" w:pos="1701"/>
              </w:tabs>
              <w:rPr>
                <w:bCs/>
                <w:snapToGrid w:val="0"/>
              </w:rPr>
            </w:pPr>
            <w:r w:rsidRPr="000D5135">
              <w:rPr>
                <w:bCs/>
                <w:snapToGrid w:val="0"/>
              </w:rPr>
              <w:t>Regeringen anser att arbetet inom utbildningsområdet på EU-nivå ska utgå från en grundläggande respekt för fördelningen av befogenheter mellan EU och medlemsstaterna liksom för de nationella systemen, inklusive beslut om finansiering.</w:t>
            </w:r>
          </w:p>
          <w:p w14:paraId="23459918" w14:textId="77777777" w:rsidR="000D5135" w:rsidRPr="000D5135" w:rsidRDefault="000D5135" w:rsidP="000D5135">
            <w:pPr>
              <w:tabs>
                <w:tab w:val="left" w:pos="1701"/>
              </w:tabs>
              <w:rPr>
                <w:bCs/>
                <w:snapToGrid w:val="0"/>
              </w:rPr>
            </w:pPr>
          </w:p>
          <w:p w14:paraId="0B4B3D8C" w14:textId="400EE40B" w:rsidR="000D5135" w:rsidRDefault="000D5135" w:rsidP="000D5135">
            <w:pPr>
              <w:tabs>
                <w:tab w:val="left" w:pos="1701"/>
              </w:tabs>
              <w:rPr>
                <w:bCs/>
                <w:snapToGrid w:val="0"/>
              </w:rPr>
            </w:pPr>
            <w:r w:rsidRPr="000D5135">
              <w:rPr>
                <w:bCs/>
                <w:snapToGrid w:val="0"/>
              </w:rPr>
              <w:t xml:space="preserve">Regeringen stödjer kommissionens ambition att främja mobilitet i utbildningssyfte. Mobilitet i utbildningssyfte och samarbeten över gränserna är viktiga drivkrafter för kvalitet inom utbildning, och kan bidra till ovärderliga erfarenheter av stor nytta på både individ- och samhällsnivå. </w:t>
            </w:r>
          </w:p>
          <w:p w14:paraId="164F47ED" w14:textId="77777777" w:rsidR="000D5135" w:rsidRPr="000D5135" w:rsidRDefault="000D5135" w:rsidP="000D5135">
            <w:pPr>
              <w:tabs>
                <w:tab w:val="left" w:pos="1701"/>
              </w:tabs>
              <w:rPr>
                <w:bCs/>
                <w:snapToGrid w:val="0"/>
              </w:rPr>
            </w:pPr>
          </w:p>
          <w:p w14:paraId="6FB12C12" w14:textId="5C5FB8DF" w:rsidR="000D5135" w:rsidRDefault="000D5135" w:rsidP="000D5135">
            <w:pPr>
              <w:tabs>
                <w:tab w:val="left" w:pos="1701"/>
              </w:tabs>
              <w:rPr>
                <w:bCs/>
                <w:snapToGrid w:val="0"/>
              </w:rPr>
            </w:pPr>
            <w:r w:rsidRPr="000D5135">
              <w:rPr>
                <w:bCs/>
                <w:snapToGrid w:val="0"/>
              </w:rPr>
              <w:t>Vidare anser regeringen att det är positivt att rekommendationerna har ett inkluderande förhållningssätt där bland annat tillgänglighet pekas ut som viktigt för att fler personer ska kunna delta i mobilitet i utbildningssyfte. Även det nya målet att fler individer med s.k. färre möjligheter bör ges möjlighet att delta i mobilitet i utbildningssyfte visar på detta förhållningssätt.</w:t>
            </w:r>
          </w:p>
          <w:p w14:paraId="5F4417E7" w14:textId="5255F167" w:rsidR="000D5135" w:rsidRDefault="000D5135" w:rsidP="000D5135">
            <w:pPr>
              <w:tabs>
                <w:tab w:val="left" w:pos="1701"/>
              </w:tabs>
              <w:rPr>
                <w:bCs/>
                <w:snapToGrid w:val="0"/>
              </w:rPr>
            </w:pPr>
          </w:p>
          <w:p w14:paraId="572BD92D" w14:textId="77777777" w:rsidR="000D5135" w:rsidRPr="000D5135" w:rsidRDefault="000D5135" w:rsidP="000D5135">
            <w:pPr>
              <w:tabs>
                <w:tab w:val="left" w:pos="1701"/>
              </w:tabs>
              <w:rPr>
                <w:bCs/>
                <w:snapToGrid w:val="0"/>
              </w:rPr>
            </w:pPr>
            <w:r w:rsidRPr="000D5135">
              <w:rPr>
                <w:bCs/>
                <w:snapToGrid w:val="0"/>
              </w:rPr>
              <w:t>Vad gäller de mål som föreslås för mobilitet i utbildningssyfte inom högre utbildning och yrkesutbildning kan regeringen konstatera att de nya målen innebär en ambitionshöjning. Regeringen anser att kriterierna för vilken mobilitet i utbildningssyfte som ska räknas mot målen bör vara flexibelt utformade. Det är viktigt att säkerställa att det är statistiskt möjligt att följa upp målen, med minsta möjliga påverkan på berörda myndigheters och lärosätens administrativa börda.</w:t>
            </w:r>
          </w:p>
          <w:p w14:paraId="48377C06" w14:textId="5825E5AF" w:rsidR="000D5135" w:rsidRDefault="000D5135" w:rsidP="000D5135">
            <w:pPr>
              <w:tabs>
                <w:tab w:val="left" w:pos="1701"/>
              </w:tabs>
              <w:rPr>
                <w:bCs/>
                <w:snapToGrid w:val="0"/>
              </w:rPr>
            </w:pPr>
            <w:r w:rsidRPr="000D5135">
              <w:rPr>
                <w:bCs/>
                <w:snapToGrid w:val="0"/>
              </w:rPr>
              <w:lastRenderedPageBreak/>
              <w:t>Regeringen vill även betona vikten av att administrativa förfaranden som berör olika myndigheter, organisationer eller andra aktörer involverade i mobilitet i utbildningssyfte, på både nationell nivå och EU-nivå, bör vara så enkelt utformade som möjligt.</w:t>
            </w:r>
          </w:p>
          <w:p w14:paraId="40E955F2" w14:textId="77777777" w:rsidR="000D5135" w:rsidRPr="000D5135" w:rsidRDefault="000D5135" w:rsidP="000D5135">
            <w:pPr>
              <w:tabs>
                <w:tab w:val="left" w:pos="1701"/>
              </w:tabs>
              <w:rPr>
                <w:bCs/>
                <w:snapToGrid w:val="0"/>
              </w:rPr>
            </w:pPr>
          </w:p>
          <w:p w14:paraId="139DC281" w14:textId="529309EB" w:rsidR="000D5135" w:rsidRDefault="000D5135" w:rsidP="000D5135">
            <w:pPr>
              <w:tabs>
                <w:tab w:val="left" w:pos="1701"/>
              </w:tabs>
              <w:rPr>
                <w:bCs/>
                <w:snapToGrid w:val="0"/>
              </w:rPr>
            </w:pPr>
            <w:r w:rsidRPr="000D5135">
              <w:rPr>
                <w:bCs/>
                <w:snapToGrid w:val="0"/>
              </w:rPr>
              <w:t>Det är regeringens uppfattning att ambitionen om att mobilitet i utbildningssyfte ska göras miljömässigt hållbar är angelägen. Sverige anser att rekommendationen bör beakta skillnader i mobilitet i utbildningssyfte mellan kvinnor och män.</w:t>
            </w:r>
          </w:p>
          <w:p w14:paraId="6DF05083" w14:textId="77777777" w:rsidR="000D5135" w:rsidRPr="000D5135" w:rsidRDefault="000D5135" w:rsidP="000D5135">
            <w:pPr>
              <w:tabs>
                <w:tab w:val="left" w:pos="1701"/>
              </w:tabs>
              <w:rPr>
                <w:bCs/>
                <w:snapToGrid w:val="0"/>
              </w:rPr>
            </w:pPr>
          </w:p>
          <w:p w14:paraId="461AD941" w14:textId="263B9DEA" w:rsidR="000D5135" w:rsidRDefault="000D5135" w:rsidP="000D5135">
            <w:pPr>
              <w:tabs>
                <w:tab w:val="left" w:pos="1701"/>
              </w:tabs>
              <w:rPr>
                <w:bCs/>
                <w:snapToGrid w:val="0"/>
              </w:rPr>
            </w:pPr>
            <w:r w:rsidRPr="000D5135">
              <w:rPr>
                <w:bCs/>
                <w:snapToGrid w:val="0"/>
              </w:rPr>
              <w:t>Regeringen analyserar konsekvenserna av förslaget, däribland de nya målen, men ser redan nu att det är viktigt att de utformas på ett sätt som gör rekommendationen realistisk och praktiskt möjlig att genomföra, exempelvis genom att målen ska vara strävandemål.</w:t>
            </w:r>
          </w:p>
          <w:p w14:paraId="27F09949" w14:textId="77777777" w:rsidR="000D5135" w:rsidRDefault="000D5135" w:rsidP="000D5135">
            <w:pPr>
              <w:tabs>
                <w:tab w:val="left" w:pos="1701"/>
              </w:tabs>
              <w:rPr>
                <w:bCs/>
                <w:snapToGrid w:val="0"/>
              </w:rPr>
            </w:pPr>
          </w:p>
          <w:p w14:paraId="745EFBBC" w14:textId="77777777" w:rsidR="000D5135" w:rsidRDefault="000D5135" w:rsidP="000D5135">
            <w:pPr>
              <w:tabs>
                <w:tab w:val="left" w:pos="1701"/>
              </w:tabs>
              <w:rPr>
                <w:bCs/>
                <w:i/>
                <w:iCs/>
                <w:snapToGrid w:val="0"/>
              </w:rPr>
            </w:pPr>
            <w:r>
              <w:rPr>
                <w:bCs/>
                <w:i/>
                <w:iCs/>
                <w:snapToGrid w:val="0"/>
              </w:rPr>
              <w:t>Överläggningen</w:t>
            </w:r>
          </w:p>
          <w:p w14:paraId="7AEC3FC6" w14:textId="77777777" w:rsidR="000D5135" w:rsidRPr="0007288A" w:rsidRDefault="000D5135" w:rsidP="000D5135">
            <w:pPr>
              <w:tabs>
                <w:tab w:val="left" w:pos="1701"/>
              </w:tabs>
              <w:rPr>
                <w:bCs/>
                <w:snapToGrid w:val="0"/>
              </w:rPr>
            </w:pPr>
            <w:r w:rsidRPr="0007288A">
              <w:rPr>
                <w:bCs/>
                <w:snapToGrid w:val="0"/>
              </w:rPr>
              <w:t>Ordföranden konstaterade att det fanns stöd för regeringens ståndpunkt.</w:t>
            </w:r>
          </w:p>
          <w:p w14:paraId="54577F19" w14:textId="77777777" w:rsidR="000D5135" w:rsidRPr="0007288A" w:rsidRDefault="000D5135" w:rsidP="000D5135">
            <w:pPr>
              <w:tabs>
                <w:tab w:val="left" w:pos="1701"/>
              </w:tabs>
              <w:rPr>
                <w:bCs/>
                <w:snapToGrid w:val="0"/>
              </w:rPr>
            </w:pPr>
          </w:p>
          <w:p w14:paraId="66415B78" w14:textId="2DF4057E" w:rsidR="000D5135" w:rsidRDefault="000D5135" w:rsidP="000D5135">
            <w:pPr>
              <w:tabs>
                <w:tab w:val="left" w:pos="1701"/>
              </w:tabs>
              <w:rPr>
                <w:bCs/>
                <w:snapToGrid w:val="0"/>
              </w:rPr>
            </w:pPr>
            <w:r w:rsidRPr="0007288A">
              <w:rPr>
                <w:bCs/>
                <w:snapToGrid w:val="0"/>
              </w:rPr>
              <w:t>Denna paragraf förklarades omedelbart justerad.</w:t>
            </w:r>
          </w:p>
          <w:p w14:paraId="16021C18" w14:textId="3FD162A8" w:rsidR="00E1290A" w:rsidRDefault="00E1290A">
            <w:pPr>
              <w:tabs>
                <w:tab w:val="left" w:pos="1701"/>
              </w:tabs>
              <w:rPr>
                <w:b/>
                <w:snapToGrid w:val="0"/>
              </w:rPr>
            </w:pPr>
          </w:p>
        </w:tc>
      </w:tr>
      <w:tr w:rsidR="00E1290A" w14:paraId="58DEFEFA" w14:textId="77777777" w:rsidTr="0001177E">
        <w:tc>
          <w:tcPr>
            <w:tcW w:w="567" w:type="dxa"/>
          </w:tcPr>
          <w:p w14:paraId="16C318FE"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0ABEEC6A" w14:textId="49C3CEEF" w:rsidR="00E1290A" w:rsidRDefault="00E1290A">
            <w:pPr>
              <w:tabs>
                <w:tab w:val="left" w:pos="1701"/>
              </w:tabs>
              <w:rPr>
                <w:b/>
                <w:szCs w:val="23"/>
              </w:rPr>
            </w:pPr>
            <w:r w:rsidRPr="008F27AC">
              <w:rPr>
                <w:b/>
                <w:szCs w:val="23"/>
              </w:rPr>
              <w:t xml:space="preserve">EU-överläggning om utkast till </w:t>
            </w:r>
            <w:proofErr w:type="spellStart"/>
            <w:r w:rsidRPr="008F27AC">
              <w:rPr>
                <w:b/>
                <w:szCs w:val="23"/>
              </w:rPr>
              <w:t>rådsslutsatser</w:t>
            </w:r>
            <w:proofErr w:type="spellEnd"/>
            <w:r w:rsidRPr="008F27AC">
              <w:rPr>
                <w:b/>
                <w:szCs w:val="23"/>
              </w:rPr>
              <w:t xml:space="preserve"> om att främja evidensinformerad politik och praktik inom utbildning för att uppnå det europeiska utbildningsområdet</w:t>
            </w:r>
          </w:p>
          <w:p w14:paraId="77E676FF" w14:textId="5F6FFC1C" w:rsidR="000D5135" w:rsidRDefault="000D5135">
            <w:pPr>
              <w:tabs>
                <w:tab w:val="left" w:pos="1701"/>
              </w:tabs>
              <w:rPr>
                <w:b/>
                <w:szCs w:val="23"/>
              </w:rPr>
            </w:pPr>
          </w:p>
          <w:p w14:paraId="32C1A2C7" w14:textId="3303A595" w:rsidR="000D5135" w:rsidRDefault="000D5135" w:rsidP="000D51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ett </w:t>
            </w:r>
            <w:r w:rsidRPr="000D5135">
              <w:rPr>
                <w:bCs/>
                <w:snapToGrid w:val="0"/>
              </w:rPr>
              <w:t xml:space="preserve">utkast till </w:t>
            </w:r>
            <w:proofErr w:type="spellStart"/>
            <w:r w:rsidRPr="000D5135">
              <w:rPr>
                <w:bCs/>
                <w:snapToGrid w:val="0"/>
              </w:rPr>
              <w:t>rådsslutsatser</w:t>
            </w:r>
            <w:proofErr w:type="spellEnd"/>
            <w:r w:rsidRPr="000D5135">
              <w:rPr>
                <w:bCs/>
                <w:snapToGrid w:val="0"/>
              </w:rPr>
              <w:t xml:space="preserve"> om att främja evidensinformerad politik och praktik inom utbildning för att uppnå det europeiska utbildningsområdet</w:t>
            </w:r>
            <w:r>
              <w:rPr>
                <w:bCs/>
                <w:snapToGrid w:val="0"/>
              </w:rPr>
              <w:t>.</w:t>
            </w:r>
          </w:p>
          <w:p w14:paraId="23BAE0CC" w14:textId="77777777" w:rsidR="000D5135" w:rsidRDefault="000D5135" w:rsidP="000D5135">
            <w:pPr>
              <w:tabs>
                <w:tab w:val="left" w:pos="1701"/>
              </w:tabs>
              <w:rPr>
                <w:bCs/>
                <w:snapToGrid w:val="0"/>
              </w:rPr>
            </w:pPr>
          </w:p>
          <w:p w14:paraId="498E83A9" w14:textId="25D14595" w:rsidR="000D5135" w:rsidRDefault="000D5135" w:rsidP="000D5135">
            <w:pPr>
              <w:tabs>
                <w:tab w:val="left" w:pos="1701"/>
              </w:tabs>
              <w:rPr>
                <w:bCs/>
                <w:i/>
                <w:iCs/>
                <w:snapToGrid w:val="0"/>
              </w:rPr>
            </w:pPr>
            <w:r w:rsidRPr="00EA0DD7">
              <w:rPr>
                <w:bCs/>
                <w:i/>
                <w:iCs/>
                <w:snapToGrid w:val="0"/>
              </w:rPr>
              <w:t>Underlag för överläggningen</w:t>
            </w:r>
          </w:p>
          <w:p w14:paraId="5719391E" w14:textId="77777777" w:rsidR="000D5135" w:rsidRDefault="000D5135" w:rsidP="000D5135">
            <w:pPr>
              <w:rPr>
                <w:u w:val="single"/>
              </w:rPr>
            </w:pPr>
            <w:r w:rsidRPr="003502D9">
              <w:t>Överläggningspromemoria från Utbildningsdepartementet (dnr</w:t>
            </w:r>
            <w:r>
              <w:t xml:space="preserve"> </w:t>
            </w:r>
            <w:proofErr w:type="gramStart"/>
            <w:r>
              <w:t>1152-2023</w:t>
            </w:r>
            <w:proofErr w:type="gramEnd"/>
            <w:r>
              <w:t>/24)</w:t>
            </w:r>
            <w:r>
              <w:br/>
              <w:t>Rådsdokument ST 6460/24</w:t>
            </w:r>
          </w:p>
          <w:p w14:paraId="68671EE5" w14:textId="0C351FAA" w:rsidR="000D5135" w:rsidRDefault="000D5135" w:rsidP="000D5135">
            <w:pPr>
              <w:tabs>
                <w:tab w:val="left" w:pos="1701"/>
              </w:tabs>
              <w:rPr>
                <w:bCs/>
                <w:i/>
                <w:iCs/>
                <w:snapToGrid w:val="0"/>
              </w:rPr>
            </w:pPr>
          </w:p>
          <w:p w14:paraId="6D0C6D3C" w14:textId="51386C81" w:rsidR="000D5135" w:rsidRDefault="000D5135" w:rsidP="000D5135">
            <w:pPr>
              <w:tabs>
                <w:tab w:val="left" w:pos="1701"/>
              </w:tabs>
              <w:rPr>
                <w:bCs/>
                <w:i/>
                <w:iCs/>
                <w:snapToGrid w:val="0"/>
              </w:rPr>
            </w:pPr>
            <w:r w:rsidRPr="00EA0DD7">
              <w:rPr>
                <w:bCs/>
                <w:i/>
                <w:iCs/>
                <w:snapToGrid w:val="0"/>
              </w:rPr>
              <w:t>Regeringens förslag till svensk ståndpunkt</w:t>
            </w:r>
          </w:p>
          <w:p w14:paraId="5515C39E" w14:textId="77777777" w:rsidR="000D5135" w:rsidRDefault="000D5135" w:rsidP="000D5135">
            <w:pPr>
              <w:tabs>
                <w:tab w:val="left" w:pos="1701"/>
              </w:tabs>
              <w:rPr>
                <w:bCs/>
                <w:snapToGrid w:val="0"/>
              </w:rPr>
            </w:pPr>
            <w:r w:rsidRPr="000D5135">
              <w:rPr>
                <w:bCs/>
                <w:snapToGrid w:val="0"/>
              </w:rPr>
              <w:t>Regeringen anser att arbetet inom utbildningsområdet på EU-nivå ska utgå från en grundläggande respekt för fördelningen av befogenheter mellan EU och medlemsstaterna liksom för de nationella systemen, inklusive beslut om finansiering.</w:t>
            </w:r>
          </w:p>
          <w:p w14:paraId="3EFE7A09" w14:textId="77777777" w:rsidR="000D5135" w:rsidRPr="000D5135" w:rsidRDefault="000D5135" w:rsidP="000D5135">
            <w:pPr>
              <w:tabs>
                <w:tab w:val="left" w:pos="1701"/>
              </w:tabs>
              <w:rPr>
                <w:bCs/>
                <w:snapToGrid w:val="0"/>
              </w:rPr>
            </w:pPr>
          </w:p>
          <w:p w14:paraId="439C8BDA" w14:textId="77777777" w:rsidR="000D5135" w:rsidRDefault="000D5135" w:rsidP="000D5135">
            <w:pPr>
              <w:tabs>
                <w:tab w:val="left" w:pos="1701"/>
              </w:tabs>
              <w:rPr>
                <w:bCs/>
                <w:snapToGrid w:val="0"/>
              </w:rPr>
            </w:pPr>
            <w:r w:rsidRPr="000D5135">
              <w:rPr>
                <w:bCs/>
                <w:snapToGrid w:val="0"/>
              </w:rPr>
              <w:t>Regeringen välkomnar att frågan om hur en stark evidensbas för politiska beslut inom utbildning lyfts. Det är viktigt att utbildningsreformer baseras på fakta och evidens så att de investeringar som ger mest mervärde kan identifieras och främjas.</w:t>
            </w:r>
          </w:p>
          <w:p w14:paraId="67AE0934" w14:textId="77777777" w:rsidR="000D5135" w:rsidRDefault="000D5135" w:rsidP="000D5135">
            <w:pPr>
              <w:tabs>
                <w:tab w:val="left" w:pos="1701"/>
              </w:tabs>
              <w:rPr>
                <w:bCs/>
                <w:snapToGrid w:val="0"/>
              </w:rPr>
            </w:pPr>
          </w:p>
          <w:p w14:paraId="1AA3F605" w14:textId="77777777" w:rsidR="000D5135" w:rsidRDefault="000D5135" w:rsidP="000D5135">
            <w:pPr>
              <w:tabs>
                <w:tab w:val="left" w:pos="1701"/>
              </w:tabs>
              <w:rPr>
                <w:bCs/>
                <w:snapToGrid w:val="0"/>
              </w:rPr>
            </w:pPr>
            <w:r w:rsidRPr="000D5135">
              <w:rPr>
                <w:bCs/>
                <w:snapToGrid w:val="0"/>
              </w:rPr>
              <w:t xml:space="preserve">Satsningar på utbildning av god kvalitet för alla är av stor vikt både för samhället och för den enskilda individen. Regeringen anser att det är viktigt att hänsyn tas till utbildningens dubbla målsättningar – dels att förse arbetsmarknaden med rätt utbildad arbetskraft, dels som ett verktyg för individens egen utveckling. Vidare är livslångt lärande och </w:t>
            </w:r>
            <w:r w:rsidRPr="000D5135">
              <w:rPr>
                <w:bCs/>
                <w:snapToGrid w:val="0"/>
              </w:rPr>
              <w:lastRenderedPageBreak/>
              <w:t xml:space="preserve">vikten av kompetensförsörjning för dagens och framtidens behov, exempelvis för den gröna och digitala omställningen, ytterligare områden som regeringen anser är viktiga att lyfta. </w:t>
            </w:r>
          </w:p>
          <w:p w14:paraId="1F21E766" w14:textId="77777777" w:rsidR="000D5135" w:rsidRPr="000D5135" w:rsidRDefault="000D5135" w:rsidP="000D5135">
            <w:pPr>
              <w:tabs>
                <w:tab w:val="left" w:pos="1701"/>
              </w:tabs>
              <w:rPr>
                <w:bCs/>
                <w:snapToGrid w:val="0"/>
              </w:rPr>
            </w:pPr>
          </w:p>
          <w:p w14:paraId="72B6F5C4" w14:textId="77777777" w:rsidR="000D5135" w:rsidRDefault="000D5135" w:rsidP="000D5135">
            <w:pPr>
              <w:tabs>
                <w:tab w:val="left" w:pos="1701"/>
              </w:tabs>
              <w:rPr>
                <w:bCs/>
                <w:snapToGrid w:val="0"/>
              </w:rPr>
            </w:pPr>
            <w:r w:rsidRPr="000D5135">
              <w:rPr>
                <w:bCs/>
                <w:snapToGrid w:val="0"/>
              </w:rPr>
              <w:t>Regeringen anser att öppen vetenskap och transparent, rättvis och öppen tillgång till vetenskapliga publikationer och maximalt nyttjande, samt återanvändning av data är ett av verktygen för att underlätta bred tillgång till kunskap och därmed kunskapsbaserat beslutsfattande.</w:t>
            </w:r>
          </w:p>
          <w:p w14:paraId="6FFF4581" w14:textId="77777777" w:rsidR="000D5135" w:rsidRPr="000D5135" w:rsidRDefault="000D5135" w:rsidP="000D5135">
            <w:pPr>
              <w:tabs>
                <w:tab w:val="left" w:pos="1701"/>
              </w:tabs>
              <w:rPr>
                <w:bCs/>
                <w:snapToGrid w:val="0"/>
              </w:rPr>
            </w:pPr>
          </w:p>
          <w:p w14:paraId="2F1A55E2" w14:textId="77777777" w:rsidR="000D5135" w:rsidRDefault="000D5135" w:rsidP="000D5135">
            <w:pPr>
              <w:tabs>
                <w:tab w:val="left" w:pos="1701"/>
              </w:tabs>
              <w:rPr>
                <w:bCs/>
                <w:snapToGrid w:val="0"/>
              </w:rPr>
            </w:pPr>
            <w:r w:rsidRPr="000D5135">
              <w:rPr>
                <w:bCs/>
                <w:snapToGrid w:val="0"/>
              </w:rPr>
              <w:t>Medlemsstaterna har mycket att lära av varandra när det kommer till effektiv politik i relation till utbildningssatsningar. Diskussioner och utbyte av utvärderingar och erfarenheter av framgångsrika initiativ på utbildningsområdet är därför positivt.</w:t>
            </w:r>
          </w:p>
          <w:p w14:paraId="205D87DC" w14:textId="77777777" w:rsidR="000D5135" w:rsidRPr="000D5135" w:rsidRDefault="000D5135" w:rsidP="000D5135">
            <w:pPr>
              <w:tabs>
                <w:tab w:val="left" w:pos="1701"/>
              </w:tabs>
              <w:rPr>
                <w:bCs/>
                <w:snapToGrid w:val="0"/>
              </w:rPr>
            </w:pPr>
          </w:p>
          <w:p w14:paraId="3F31C4B6" w14:textId="77777777" w:rsidR="000D5135" w:rsidRDefault="000D5135" w:rsidP="000D5135">
            <w:pPr>
              <w:tabs>
                <w:tab w:val="left" w:pos="1701"/>
              </w:tabs>
              <w:rPr>
                <w:bCs/>
                <w:snapToGrid w:val="0"/>
              </w:rPr>
            </w:pPr>
            <w:r w:rsidRPr="000D5135">
              <w:rPr>
                <w:bCs/>
                <w:snapToGrid w:val="0"/>
              </w:rPr>
              <w:t xml:space="preserve">Regeringen anser vidare att det är viktigt att säkerställa att den expertis som finns i samhället och Europa kan utnyttjas så effektivt som möjligt. </w:t>
            </w:r>
          </w:p>
          <w:p w14:paraId="73544006" w14:textId="77777777" w:rsidR="000D5135" w:rsidRPr="000D5135" w:rsidRDefault="000D5135" w:rsidP="000D5135">
            <w:pPr>
              <w:tabs>
                <w:tab w:val="left" w:pos="1701"/>
              </w:tabs>
              <w:rPr>
                <w:bCs/>
                <w:snapToGrid w:val="0"/>
              </w:rPr>
            </w:pPr>
          </w:p>
          <w:p w14:paraId="7B5DBC4A" w14:textId="149E35D7" w:rsidR="000D5135" w:rsidRDefault="000D5135" w:rsidP="000D5135">
            <w:pPr>
              <w:tabs>
                <w:tab w:val="left" w:pos="1701"/>
              </w:tabs>
              <w:rPr>
                <w:bCs/>
                <w:snapToGrid w:val="0"/>
              </w:rPr>
            </w:pPr>
            <w:r w:rsidRPr="000D5135">
              <w:rPr>
                <w:bCs/>
                <w:snapToGrid w:val="0"/>
              </w:rPr>
              <w:t xml:space="preserve">Regeringen anser att det behöver förtydligas vilken </w:t>
            </w:r>
            <w:proofErr w:type="gramStart"/>
            <w:r w:rsidRPr="000D5135">
              <w:rPr>
                <w:bCs/>
                <w:snapToGrid w:val="0"/>
              </w:rPr>
              <w:t>roll kommissionens</w:t>
            </w:r>
            <w:proofErr w:type="gramEnd"/>
            <w:r w:rsidRPr="000D5135">
              <w:rPr>
                <w:bCs/>
                <w:snapToGrid w:val="0"/>
              </w:rPr>
              <w:t xml:space="preserve"> initiativ om lärandelaboratorier är tänkta att ha framöver. Regeringen ser inte behov av ytterligare inrapportering till kommissionen.</w:t>
            </w:r>
          </w:p>
          <w:p w14:paraId="57F01392" w14:textId="77777777" w:rsidR="000D5135" w:rsidRDefault="000D5135" w:rsidP="000D5135">
            <w:pPr>
              <w:tabs>
                <w:tab w:val="left" w:pos="1701"/>
              </w:tabs>
              <w:rPr>
                <w:bCs/>
                <w:snapToGrid w:val="0"/>
              </w:rPr>
            </w:pPr>
          </w:p>
          <w:p w14:paraId="302BBB48" w14:textId="7F79C24C" w:rsidR="000D5135" w:rsidRDefault="000D5135" w:rsidP="000D5135">
            <w:pPr>
              <w:tabs>
                <w:tab w:val="left" w:pos="1701"/>
              </w:tabs>
              <w:rPr>
                <w:bCs/>
                <w:i/>
                <w:iCs/>
                <w:snapToGrid w:val="0"/>
              </w:rPr>
            </w:pPr>
            <w:r>
              <w:rPr>
                <w:bCs/>
                <w:i/>
                <w:iCs/>
                <w:snapToGrid w:val="0"/>
              </w:rPr>
              <w:t>Överläggningen</w:t>
            </w:r>
          </w:p>
          <w:p w14:paraId="18BC7A92" w14:textId="47FDE3CC" w:rsidR="000D5135" w:rsidRDefault="000D5135" w:rsidP="000D5135">
            <w:pPr>
              <w:tabs>
                <w:tab w:val="left" w:pos="1701"/>
              </w:tabs>
              <w:rPr>
                <w:bCs/>
                <w:snapToGrid w:val="0"/>
              </w:rPr>
            </w:pPr>
            <w:r w:rsidRPr="0007288A">
              <w:rPr>
                <w:bCs/>
                <w:snapToGrid w:val="0"/>
              </w:rPr>
              <w:t>Ordföranden konstaterade att det fanns stöd för regeringens ståndpunkt.</w:t>
            </w:r>
          </w:p>
          <w:p w14:paraId="7218D60F" w14:textId="3DD8EC32" w:rsidR="00A41B36" w:rsidRDefault="00A41B36" w:rsidP="000D5135">
            <w:pPr>
              <w:tabs>
                <w:tab w:val="left" w:pos="1701"/>
              </w:tabs>
              <w:rPr>
                <w:bCs/>
                <w:snapToGrid w:val="0"/>
              </w:rPr>
            </w:pPr>
          </w:p>
          <w:p w14:paraId="45E9FF9F" w14:textId="240029EC" w:rsidR="00A41B36" w:rsidRDefault="00A41B36" w:rsidP="000D5135">
            <w:pPr>
              <w:tabs>
                <w:tab w:val="left" w:pos="1701"/>
              </w:tabs>
              <w:rPr>
                <w:bCs/>
                <w:snapToGrid w:val="0"/>
              </w:rPr>
            </w:pPr>
            <w:r w:rsidRPr="002E1ECA">
              <w:rPr>
                <w:bCs/>
                <w:snapToGrid w:val="0"/>
              </w:rPr>
              <w:t xml:space="preserve">Ledamöterna från Socialdemokraterna, Vänsterpartiet och Miljöpartiet </w:t>
            </w:r>
            <w:r w:rsidR="002E1ECA">
              <w:rPr>
                <w:bCs/>
                <w:snapToGrid w:val="0"/>
              </w:rPr>
              <w:t xml:space="preserve">anmälde </w:t>
            </w:r>
            <w:r w:rsidRPr="002E1ECA">
              <w:rPr>
                <w:bCs/>
                <w:snapToGrid w:val="0"/>
              </w:rPr>
              <w:t>följande avvikande ståndpunkt</w:t>
            </w:r>
            <w:r w:rsidR="00017AED" w:rsidRPr="002E1ECA">
              <w:rPr>
                <w:bCs/>
                <w:snapToGrid w:val="0"/>
              </w:rPr>
              <w:t>:</w:t>
            </w:r>
          </w:p>
          <w:p w14:paraId="71BA4AD8" w14:textId="77777777" w:rsidR="002E1ECA" w:rsidRDefault="002E1ECA" w:rsidP="000D5135">
            <w:pPr>
              <w:tabs>
                <w:tab w:val="left" w:pos="1701"/>
              </w:tabs>
              <w:rPr>
                <w:bCs/>
                <w:snapToGrid w:val="0"/>
              </w:rPr>
            </w:pPr>
          </w:p>
          <w:p w14:paraId="2560283F" w14:textId="6D74B9BB" w:rsidR="002E1ECA" w:rsidRDefault="002E1ECA" w:rsidP="002E1ECA">
            <w:pPr>
              <w:tabs>
                <w:tab w:val="left" w:pos="1701"/>
              </w:tabs>
              <w:rPr>
                <w:bCs/>
                <w:snapToGrid w:val="0"/>
              </w:rPr>
            </w:pPr>
            <w:r w:rsidRPr="002E1ECA">
              <w:rPr>
                <w:bCs/>
                <w:snapToGrid w:val="0"/>
              </w:rPr>
              <w:t xml:space="preserve">Vi anser att </w:t>
            </w:r>
            <w:r>
              <w:rPr>
                <w:bCs/>
                <w:snapToGrid w:val="0"/>
              </w:rPr>
              <w:t xml:space="preserve">andra meningen i andra stycket </w:t>
            </w:r>
            <w:r w:rsidRPr="002E1ECA">
              <w:rPr>
                <w:bCs/>
                <w:snapToGrid w:val="0"/>
              </w:rPr>
              <w:t xml:space="preserve">i regeringens förslag till svensk ståndpunkt </w:t>
            </w:r>
            <w:r>
              <w:rPr>
                <w:bCs/>
                <w:snapToGrid w:val="0"/>
              </w:rPr>
              <w:t>bör omformuleras enligt</w:t>
            </w:r>
            <w:r w:rsidRPr="002E1ECA">
              <w:rPr>
                <w:bCs/>
                <w:snapToGrid w:val="0"/>
              </w:rPr>
              <w:t xml:space="preserve"> följande:</w:t>
            </w:r>
          </w:p>
          <w:p w14:paraId="32062C87" w14:textId="31E6F89B" w:rsidR="002E1ECA" w:rsidRDefault="002E1ECA" w:rsidP="002E1ECA">
            <w:pPr>
              <w:tabs>
                <w:tab w:val="left" w:pos="1701"/>
              </w:tabs>
              <w:rPr>
                <w:bCs/>
                <w:snapToGrid w:val="0"/>
              </w:rPr>
            </w:pPr>
          </w:p>
          <w:p w14:paraId="27E1315B" w14:textId="1048ABD6" w:rsidR="002E1ECA" w:rsidRPr="0007288A" w:rsidRDefault="002E1ECA" w:rsidP="000D5135">
            <w:pPr>
              <w:tabs>
                <w:tab w:val="left" w:pos="1701"/>
              </w:tabs>
              <w:rPr>
                <w:bCs/>
                <w:snapToGrid w:val="0"/>
              </w:rPr>
            </w:pPr>
            <w:r w:rsidRPr="000D5135">
              <w:rPr>
                <w:bCs/>
                <w:snapToGrid w:val="0"/>
              </w:rPr>
              <w:t xml:space="preserve">Regeringen välkomnar att frågan om hur en stark evidensbas för politiska beslut inom utbildning lyfts. Det är viktigt att utbildningsreformer baseras på </w:t>
            </w:r>
            <w:r w:rsidRPr="002E1ECA">
              <w:rPr>
                <w:bCs/>
                <w:i/>
                <w:iCs/>
                <w:snapToGrid w:val="0"/>
              </w:rPr>
              <w:t>vetenskap och beprövad erfarenhet</w:t>
            </w:r>
            <w:r w:rsidRPr="000D5135">
              <w:rPr>
                <w:bCs/>
                <w:snapToGrid w:val="0"/>
              </w:rPr>
              <w:t xml:space="preserve"> så att de investeringar som ger mest mervärde kan identifieras och främjas.</w:t>
            </w:r>
          </w:p>
          <w:p w14:paraId="11B6FC79" w14:textId="77777777" w:rsidR="000D5135" w:rsidRPr="0007288A" w:rsidRDefault="000D5135" w:rsidP="000D5135">
            <w:pPr>
              <w:tabs>
                <w:tab w:val="left" w:pos="1701"/>
              </w:tabs>
              <w:rPr>
                <w:bCs/>
                <w:snapToGrid w:val="0"/>
              </w:rPr>
            </w:pPr>
          </w:p>
          <w:p w14:paraId="6627B887" w14:textId="14506EA9" w:rsidR="000D5135" w:rsidRDefault="000D5135">
            <w:pPr>
              <w:tabs>
                <w:tab w:val="left" w:pos="1701"/>
              </w:tabs>
              <w:rPr>
                <w:b/>
                <w:szCs w:val="23"/>
              </w:rPr>
            </w:pPr>
            <w:r w:rsidRPr="0007288A">
              <w:rPr>
                <w:bCs/>
                <w:snapToGrid w:val="0"/>
              </w:rPr>
              <w:t>Denna paragraf förklarades omedelbart justerad.</w:t>
            </w:r>
          </w:p>
          <w:p w14:paraId="55A2929A" w14:textId="7751733D" w:rsidR="00E1290A" w:rsidRDefault="00E1290A">
            <w:pPr>
              <w:tabs>
                <w:tab w:val="left" w:pos="1701"/>
              </w:tabs>
              <w:rPr>
                <w:b/>
                <w:snapToGrid w:val="0"/>
              </w:rPr>
            </w:pPr>
          </w:p>
        </w:tc>
      </w:tr>
      <w:tr w:rsidR="00E1290A" w14:paraId="433A6846" w14:textId="77777777" w:rsidTr="0001177E">
        <w:tc>
          <w:tcPr>
            <w:tcW w:w="567" w:type="dxa"/>
          </w:tcPr>
          <w:p w14:paraId="35D0384A"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2CBEAC3C" w14:textId="2B814D17" w:rsidR="00E1290A" w:rsidRDefault="00E1290A">
            <w:pPr>
              <w:tabs>
                <w:tab w:val="left" w:pos="1701"/>
              </w:tabs>
              <w:rPr>
                <w:b/>
                <w:szCs w:val="23"/>
              </w:rPr>
            </w:pPr>
            <w:r w:rsidRPr="008F27AC">
              <w:rPr>
                <w:b/>
                <w:szCs w:val="23"/>
              </w:rPr>
              <w:t xml:space="preserve">EU-överläggning om förslag till rådsrekommendation om </w:t>
            </w:r>
            <w:r>
              <w:rPr>
                <w:b/>
                <w:szCs w:val="23"/>
              </w:rPr>
              <w:t xml:space="preserve">ökad </w:t>
            </w:r>
            <w:r w:rsidRPr="008F27AC">
              <w:rPr>
                <w:b/>
                <w:szCs w:val="23"/>
              </w:rPr>
              <w:t>forskningssäkerhet</w:t>
            </w:r>
          </w:p>
          <w:p w14:paraId="1A7728CD" w14:textId="6864F1D9" w:rsidR="000D5135" w:rsidRDefault="000D5135">
            <w:pPr>
              <w:tabs>
                <w:tab w:val="left" w:pos="1701"/>
              </w:tabs>
              <w:rPr>
                <w:b/>
                <w:szCs w:val="23"/>
              </w:rPr>
            </w:pPr>
          </w:p>
          <w:p w14:paraId="06CBE8BB" w14:textId="4AFAD87F" w:rsidR="000D5135" w:rsidRDefault="000D5135" w:rsidP="000D51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ett </w:t>
            </w:r>
            <w:r w:rsidRPr="000D5135">
              <w:rPr>
                <w:bCs/>
                <w:snapToGrid w:val="0"/>
              </w:rPr>
              <w:t>förslag till rådsrekommendation om ökad forskningssäkerhet</w:t>
            </w:r>
            <w:r>
              <w:rPr>
                <w:bCs/>
                <w:snapToGrid w:val="0"/>
              </w:rPr>
              <w:t>.</w:t>
            </w:r>
          </w:p>
          <w:p w14:paraId="57AC11AB" w14:textId="77777777" w:rsidR="000D5135" w:rsidRDefault="000D5135" w:rsidP="000D5135">
            <w:pPr>
              <w:tabs>
                <w:tab w:val="left" w:pos="1701"/>
              </w:tabs>
              <w:rPr>
                <w:bCs/>
                <w:snapToGrid w:val="0"/>
              </w:rPr>
            </w:pPr>
          </w:p>
          <w:p w14:paraId="7F2EAEC0" w14:textId="14F0B31B" w:rsidR="000D5135" w:rsidRDefault="000D5135" w:rsidP="000D5135">
            <w:pPr>
              <w:tabs>
                <w:tab w:val="left" w:pos="1701"/>
              </w:tabs>
              <w:rPr>
                <w:bCs/>
                <w:i/>
                <w:iCs/>
                <w:snapToGrid w:val="0"/>
              </w:rPr>
            </w:pPr>
            <w:r w:rsidRPr="00EA0DD7">
              <w:rPr>
                <w:bCs/>
                <w:i/>
                <w:iCs/>
                <w:snapToGrid w:val="0"/>
              </w:rPr>
              <w:t>Underlag för överläggningen</w:t>
            </w:r>
          </w:p>
          <w:p w14:paraId="7113DEEF" w14:textId="15BA159C" w:rsidR="000D5135" w:rsidRDefault="000D5135" w:rsidP="000D5135">
            <w:pPr>
              <w:rPr>
                <w:bCs/>
                <w:i/>
                <w:iCs/>
                <w:snapToGrid w:val="0"/>
              </w:rPr>
            </w:pPr>
            <w:r w:rsidRPr="003502D9">
              <w:t xml:space="preserve">Överläggningspromemoria från Utbildningsdepartementet (dnr </w:t>
            </w:r>
            <w:r>
              <w:t>1158</w:t>
            </w:r>
            <w:r w:rsidRPr="001D2818">
              <w:t>-</w:t>
            </w:r>
            <w:r w:rsidRPr="001D2818">
              <w:lastRenderedPageBreak/>
              <w:t>202</w:t>
            </w:r>
            <w:r>
              <w:t>3</w:t>
            </w:r>
            <w:r w:rsidRPr="001D2818">
              <w:t>/2</w:t>
            </w:r>
            <w:r>
              <w:t>4</w:t>
            </w:r>
            <w:r w:rsidRPr="003502D9">
              <w:t>)</w:t>
            </w:r>
            <w:r>
              <w:br/>
            </w:r>
            <w:r w:rsidRPr="00FD315B">
              <w:t xml:space="preserve">Rådsdokument </w:t>
            </w:r>
            <w:r w:rsidRPr="000F3CCA">
              <w:rPr>
                <w:bCs/>
              </w:rPr>
              <w:t>ST</w:t>
            </w:r>
            <w:r>
              <w:rPr>
                <w:bCs/>
              </w:rPr>
              <w:t xml:space="preserve"> 6598/24</w:t>
            </w:r>
            <w:r>
              <w:rPr>
                <w:bCs/>
              </w:rPr>
              <w:br/>
            </w:r>
            <w:proofErr w:type="gramStart"/>
            <w:r>
              <w:rPr>
                <w:bCs/>
              </w:rPr>
              <w:t>COM(</w:t>
            </w:r>
            <w:proofErr w:type="gramEnd"/>
            <w:r>
              <w:rPr>
                <w:bCs/>
              </w:rPr>
              <w:t>2024) 26</w:t>
            </w:r>
          </w:p>
          <w:p w14:paraId="3CF2EF97" w14:textId="77777777" w:rsidR="000D5135" w:rsidRDefault="000D5135" w:rsidP="000D5135">
            <w:pPr>
              <w:tabs>
                <w:tab w:val="left" w:pos="1701"/>
              </w:tabs>
              <w:rPr>
                <w:bCs/>
                <w:snapToGrid w:val="0"/>
              </w:rPr>
            </w:pPr>
          </w:p>
          <w:p w14:paraId="4EDE46CD" w14:textId="14843F51" w:rsidR="000D5135" w:rsidRDefault="000D5135" w:rsidP="000D5135">
            <w:pPr>
              <w:tabs>
                <w:tab w:val="left" w:pos="1701"/>
              </w:tabs>
              <w:rPr>
                <w:bCs/>
                <w:i/>
                <w:iCs/>
                <w:snapToGrid w:val="0"/>
              </w:rPr>
            </w:pPr>
            <w:r w:rsidRPr="00EA0DD7">
              <w:rPr>
                <w:bCs/>
                <w:i/>
                <w:iCs/>
                <w:snapToGrid w:val="0"/>
              </w:rPr>
              <w:t>Regeringens förslag till svensk ståndpunkt</w:t>
            </w:r>
          </w:p>
          <w:p w14:paraId="5B729F04" w14:textId="629CA133" w:rsidR="000D5135" w:rsidRDefault="000D5135" w:rsidP="000D5135">
            <w:r>
              <w:t>Regeringen välkomnar åtgärder för stärkt forskningssäkerhet och delar synen att i samband med att de internationella spänningarna ökar och forskning och innovation får en allt större geopolitisk betydelse ställs våra forskare och akademiker inför forskningssäkerhetsrisker när de samarbetar internationellt.</w:t>
            </w:r>
          </w:p>
          <w:p w14:paraId="2DE108B4" w14:textId="77777777" w:rsidR="000D5135" w:rsidRDefault="000D5135" w:rsidP="000D5135">
            <w:pPr>
              <w:rPr>
                <w:sz w:val="25"/>
              </w:rPr>
            </w:pPr>
          </w:p>
          <w:p w14:paraId="574B3BFC" w14:textId="2D17BFCD" w:rsidR="000D5135" w:rsidRDefault="000D5135" w:rsidP="000D5135">
            <w:r>
              <w:t>Regeringen anser att internationellt forskningssamarbete i många fall är avgörande för excellent forskning och innovation även i en alltmer osäker och polariserad värld med geopolitiska utmaningar där öppenhet och samarbete riskerar att utnyttjas av främmande makt.</w:t>
            </w:r>
          </w:p>
          <w:p w14:paraId="0325F038" w14:textId="77777777" w:rsidR="000D5135" w:rsidRDefault="000D5135" w:rsidP="000D5135"/>
          <w:p w14:paraId="7C492316" w14:textId="617D5887" w:rsidR="000D5135" w:rsidRDefault="000D5135" w:rsidP="000D5135">
            <w:r>
              <w:t xml:space="preserve">Regeringen anser att Sverige och EU i första hand bör sträva efter enhetliga rekommendationer samt relevanta riktlinjer och stödstrukturer på rätt nivå. För att rekommendationen ska kunna implementeras inom nio månader efter antagande är det önskvärt att åtgärder är samordnade från den europeiska nivån till individnivån. Detta kan säkerställa ett effektivt och samordnat system där riktlinjer kan implementeras praktiskt. </w:t>
            </w:r>
          </w:p>
          <w:p w14:paraId="20BA1820" w14:textId="77777777" w:rsidR="000D5135" w:rsidRDefault="000D5135" w:rsidP="000D5135"/>
          <w:p w14:paraId="1CD3FC74" w14:textId="1E3C4F61" w:rsidR="000D5135" w:rsidRDefault="000D5135" w:rsidP="000D5135">
            <w:r>
              <w:t>Regeringen anser att rekommendationen inte bör leda till ökad administrativ börda eller överlappande ansvar för forskningsfinansierande och -utförande institutioner samt för forskare, då detta skulle kunna påverka den vetenskapliga kvaliteten negativt.</w:t>
            </w:r>
          </w:p>
          <w:p w14:paraId="0ABE0838" w14:textId="77777777" w:rsidR="000D5135" w:rsidRDefault="000D5135" w:rsidP="000D5135"/>
          <w:p w14:paraId="0B88B28E" w14:textId="374E06DD" w:rsidR="000D5135" w:rsidRDefault="000D5135" w:rsidP="000D5135">
            <w:r>
              <w:t>Innan nya stödstrukturer implementeras, såsom den föreslagna rådgivande forskningssäkerhetshubben, bör existerande alternativ beaktas som möjliga värdar för ändamålet för att uppnå en kostnadseffektiv lösning.</w:t>
            </w:r>
          </w:p>
          <w:p w14:paraId="476A20CE" w14:textId="77777777" w:rsidR="000D5135" w:rsidRDefault="000D5135" w:rsidP="000D5135"/>
          <w:p w14:paraId="16369ED8" w14:textId="4D79547A" w:rsidR="000D5135" w:rsidRDefault="000D5135" w:rsidP="000D5135">
            <w:r>
              <w:t>Öppenhet bör utgöra grunden i internationellt forskningssamarbete, samtidigt som det behöver finnas en medvetenhet om behovet av att skydda nationella intressen, kunskap och teknik och möjlighet att agera därvidlag.</w:t>
            </w:r>
          </w:p>
          <w:p w14:paraId="42AABDC3" w14:textId="77777777" w:rsidR="000D5135" w:rsidRDefault="000D5135" w:rsidP="000D5135"/>
          <w:p w14:paraId="48789338" w14:textId="2B3EBBD5" w:rsidR="000D5135" w:rsidRDefault="000D5135" w:rsidP="000D5135">
            <w:r>
              <w:t>Definitionen av forskningssäkerhet behöver vara tydlig och betona ansvarsfull internationalisering.</w:t>
            </w:r>
          </w:p>
          <w:p w14:paraId="20B893A0" w14:textId="77777777" w:rsidR="000D5135" w:rsidRDefault="000D5135" w:rsidP="000D5135"/>
          <w:p w14:paraId="307DC178" w14:textId="1EDBC197" w:rsidR="000D5135" w:rsidRDefault="000D5135" w:rsidP="000D5135">
            <w:pPr>
              <w:rPr>
                <w:bCs/>
                <w:i/>
                <w:iCs/>
                <w:snapToGrid w:val="0"/>
              </w:rPr>
            </w:pPr>
            <w:r>
              <w:t>Medlemsstaternas ansvar över området nationell säkerhet måste även fortsättningsvis respekteras.</w:t>
            </w:r>
          </w:p>
          <w:p w14:paraId="407D1FC7" w14:textId="77777777" w:rsidR="000D5135" w:rsidRDefault="000D5135" w:rsidP="000D5135">
            <w:pPr>
              <w:tabs>
                <w:tab w:val="left" w:pos="1701"/>
              </w:tabs>
              <w:rPr>
                <w:bCs/>
                <w:snapToGrid w:val="0"/>
              </w:rPr>
            </w:pPr>
          </w:p>
          <w:p w14:paraId="323BE9B1" w14:textId="77777777" w:rsidR="000D5135" w:rsidRDefault="000D5135" w:rsidP="000D5135">
            <w:pPr>
              <w:tabs>
                <w:tab w:val="left" w:pos="1701"/>
              </w:tabs>
              <w:rPr>
                <w:bCs/>
                <w:i/>
                <w:iCs/>
                <w:snapToGrid w:val="0"/>
              </w:rPr>
            </w:pPr>
            <w:r>
              <w:rPr>
                <w:bCs/>
                <w:i/>
                <w:iCs/>
                <w:snapToGrid w:val="0"/>
              </w:rPr>
              <w:t>Överläggningen</w:t>
            </w:r>
          </w:p>
          <w:p w14:paraId="039F0693" w14:textId="12FBE601" w:rsidR="000D5135" w:rsidRDefault="000D5135">
            <w:pPr>
              <w:tabs>
                <w:tab w:val="left" w:pos="1701"/>
              </w:tabs>
              <w:rPr>
                <w:b/>
                <w:szCs w:val="23"/>
              </w:rPr>
            </w:pPr>
            <w:r w:rsidRPr="0007288A">
              <w:rPr>
                <w:bCs/>
                <w:snapToGrid w:val="0"/>
              </w:rPr>
              <w:t>Ordföranden konstaterade att det fanns stöd för regeringens ståndpunkt.</w:t>
            </w:r>
          </w:p>
          <w:p w14:paraId="100C4EDF" w14:textId="59805EB8" w:rsidR="00E1290A" w:rsidRDefault="00E1290A">
            <w:pPr>
              <w:tabs>
                <w:tab w:val="left" w:pos="1701"/>
              </w:tabs>
              <w:rPr>
                <w:b/>
                <w:snapToGrid w:val="0"/>
              </w:rPr>
            </w:pPr>
          </w:p>
        </w:tc>
      </w:tr>
      <w:tr w:rsidR="00E1290A" w14:paraId="75A7D6C8" w14:textId="77777777" w:rsidTr="0001177E">
        <w:tc>
          <w:tcPr>
            <w:tcW w:w="567" w:type="dxa"/>
          </w:tcPr>
          <w:p w14:paraId="06D51166"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4FAB641D" w14:textId="6C9F4EDD" w:rsidR="00E1290A" w:rsidRDefault="00E1290A">
            <w:pPr>
              <w:tabs>
                <w:tab w:val="left" w:pos="1701"/>
              </w:tabs>
              <w:rPr>
                <w:b/>
                <w:szCs w:val="23"/>
              </w:rPr>
            </w:pPr>
            <w:r w:rsidRPr="008F27AC">
              <w:rPr>
                <w:b/>
                <w:szCs w:val="23"/>
              </w:rPr>
              <w:t xml:space="preserve">EU-överläggning om utkast till </w:t>
            </w:r>
            <w:proofErr w:type="spellStart"/>
            <w:r w:rsidRPr="008F27AC">
              <w:rPr>
                <w:b/>
                <w:szCs w:val="23"/>
              </w:rPr>
              <w:t>rådsslutsatser</w:t>
            </w:r>
            <w:proofErr w:type="spellEnd"/>
            <w:r w:rsidRPr="008F27AC">
              <w:rPr>
                <w:b/>
                <w:szCs w:val="23"/>
              </w:rPr>
              <w:t xml:space="preserve"> om stärkt kunskapsutnyttjande som ett verktyg för en motståndskraftig </w:t>
            </w:r>
            <w:r w:rsidRPr="008F27AC">
              <w:rPr>
                <w:b/>
                <w:szCs w:val="23"/>
              </w:rPr>
              <w:lastRenderedPageBreak/>
              <w:t>återindustrialisering och öppen strategisk autonomi i Europa</w:t>
            </w:r>
          </w:p>
          <w:p w14:paraId="36A1777C" w14:textId="6B71ABFB" w:rsidR="000D5135" w:rsidRDefault="000D5135">
            <w:pPr>
              <w:tabs>
                <w:tab w:val="left" w:pos="1701"/>
              </w:tabs>
              <w:rPr>
                <w:b/>
                <w:szCs w:val="23"/>
              </w:rPr>
            </w:pPr>
          </w:p>
          <w:p w14:paraId="5B901C31" w14:textId="21D8BDF3" w:rsidR="000D5135" w:rsidRDefault="000D5135" w:rsidP="000D51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ett utkast till </w:t>
            </w:r>
            <w:proofErr w:type="spellStart"/>
            <w:r>
              <w:rPr>
                <w:bCs/>
                <w:snapToGrid w:val="0"/>
              </w:rPr>
              <w:t>r</w:t>
            </w:r>
            <w:r w:rsidRPr="000D5135">
              <w:rPr>
                <w:bCs/>
                <w:snapToGrid w:val="0"/>
              </w:rPr>
              <w:t>ådsslutsatser</w:t>
            </w:r>
            <w:proofErr w:type="spellEnd"/>
            <w:r w:rsidRPr="000D5135">
              <w:rPr>
                <w:bCs/>
                <w:snapToGrid w:val="0"/>
              </w:rPr>
              <w:t xml:space="preserve"> om stärkt kunskapsutnyttjande som ett verktyg för en motståndskraftig återindustrialisering och öppen strategisk autonomi i Europa</w:t>
            </w:r>
            <w:r>
              <w:rPr>
                <w:bCs/>
                <w:snapToGrid w:val="0"/>
              </w:rPr>
              <w:t>.</w:t>
            </w:r>
          </w:p>
          <w:p w14:paraId="42966A74" w14:textId="77777777" w:rsidR="000D5135" w:rsidRDefault="000D5135" w:rsidP="000D5135">
            <w:pPr>
              <w:tabs>
                <w:tab w:val="left" w:pos="1701"/>
              </w:tabs>
              <w:rPr>
                <w:bCs/>
                <w:snapToGrid w:val="0"/>
              </w:rPr>
            </w:pPr>
          </w:p>
          <w:p w14:paraId="1F7ECF24" w14:textId="77777777" w:rsidR="000D5135" w:rsidRDefault="000D5135" w:rsidP="000D5135">
            <w:pPr>
              <w:tabs>
                <w:tab w:val="left" w:pos="1701"/>
              </w:tabs>
              <w:rPr>
                <w:bCs/>
                <w:i/>
                <w:iCs/>
                <w:snapToGrid w:val="0"/>
              </w:rPr>
            </w:pPr>
            <w:r w:rsidRPr="00EA0DD7">
              <w:rPr>
                <w:bCs/>
                <w:i/>
                <w:iCs/>
                <w:snapToGrid w:val="0"/>
              </w:rPr>
              <w:t>Underlag för överläggningen</w:t>
            </w:r>
          </w:p>
          <w:p w14:paraId="5EDD5A3D" w14:textId="76F3A40E" w:rsidR="000D5135" w:rsidRDefault="000D5135" w:rsidP="000D5135">
            <w:pPr>
              <w:tabs>
                <w:tab w:val="left" w:pos="1701"/>
              </w:tabs>
              <w:rPr>
                <w:bCs/>
                <w:snapToGrid w:val="0"/>
              </w:rPr>
            </w:pPr>
            <w:r w:rsidRPr="003502D9">
              <w:t xml:space="preserve">Överläggningspromemoria från Utbildningsdepartementet (dnr </w:t>
            </w:r>
            <w:proofErr w:type="gramStart"/>
            <w:r>
              <w:t>1153</w:t>
            </w:r>
            <w:r w:rsidRPr="001D2818">
              <w:t>-202</w:t>
            </w:r>
            <w:r>
              <w:t>3</w:t>
            </w:r>
            <w:proofErr w:type="gramEnd"/>
            <w:r w:rsidRPr="001D2818">
              <w:t>/2</w:t>
            </w:r>
            <w:r>
              <w:t>4</w:t>
            </w:r>
            <w:r w:rsidRPr="003502D9">
              <w:t>)</w:t>
            </w:r>
            <w:r>
              <w:br/>
            </w:r>
            <w:r w:rsidRPr="00FD315B">
              <w:t xml:space="preserve">Rådsdokument </w:t>
            </w:r>
            <w:r w:rsidRPr="000F3CCA">
              <w:rPr>
                <w:bCs/>
              </w:rPr>
              <w:t>ST</w:t>
            </w:r>
            <w:r>
              <w:rPr>
                <w:bCs/>
              </w:rPr>
              <w:t xml:space="preserve"> 5885/24</w:t>
            </w:r>
          </w:p>
          <w:p w14:paraId="6CDBBEE8" w14:textId="346DAA3D" w:rsidR="000D5135" w:rsidRDefault="000D5135" w:rsidP="000D5135">
            <w:pPr>
              <w:tabs>
                <w:tab w:val="left" w:pos="1701"/>
              </w:tabs>
              <w:rPr>
                <w:bCs/>
                <w:i/>
                <w:iCs/>
                <w:snapToGrid w:val="0"/>
              </w:rPr>
            </w:pPr>
            <w:r w:rsidRPr="00EA0DD7">
              <w:rPr>
                <w:bCs/>
                <w:i/>
                <w:iCs/>
                <w:snapToGrid w:val="0"/>
              </w:rPr>
              <w:t>Regeringens förslag till svensk ståndpunkt</w:t>
            </w:r>
          </w:p>
          <w:p w14:paraId="7B57DFB9" w14:textId="422D8AD7" w:rsidR="000D5135" w:rsidRDefault="000D5135" w:rsidP="000D5135">
            <w:pPr>
              <w:tabs>
                <w:tab w:val="left" w:pos="1701"/>
              </w:tabs>
              <w:rPr>
                <w:bCs/>
                <w:snapToGrid w:val="0"/>
              </w:rPr>
            </w:pPr>
            <w:r w:rsidRPr="000D5135">
              <w:rPr>
                <w:bCs/>
                <w:snapToGrid w:val="0"/>
              </w:rPr>
              <w:t>Regeringen framhåller värdet av öppen strategisk autonomi för nyttiggörande av kunskap, vilket kan stärka svenska intressen internationellt.</w:t>
            </w:r>
          </w:p>
          <w:p w14:paraId="68343CA2" w14:textId="77777777" w:rsidR="000D5135" w:rsidRPr="000D5135" w:rsidRDefault="000D5135" w:rsidP="000D5135">
            <w:pPr>
              <w:tabs>
                <w:tab w:val="left" w:pos="1701"/>
              </w:tabs>
              <w:rPr>
                <w:bCs/>
                <w:snapToGrid w:val="0"/>
              </w:rPr>
            </w:pPr>
          </w:p>
          <w:p w14:paraId="752EA448" w14:textId="37070D96" w:rsidR="000D5135" w:rsidRDefault="000D5135" w:rsidP="000D5135">
            <w:pPr>
              <w:tabs>
                <w:tab w:val="left" w:pos="1701"/>
              </w:tabs>
              <w:rPr>
                <w:bCs/>
                <w:snapToGrid w:val="0"/>
              </w:rPr>
            </w:pPr>
            <w:r w:rsidRPr="000D5135">
              <w:rPr>
                <w:bCs/>
                <w:snapToGrid w:val="0"/>
              </w:rPr>
              <w:t xml:space="preserve">Regeringen anser att förslaget till </w:t>
            </w:r>
            <w:proofErr w:type="spellStart"/>
            <w:r w:rsidRPr="000D5135">
              <w:rPr>
                <w:bCs/>
                <w:snapToGrid w:val="0"/>
              </w:rPr>
              <w:t>rådsslutsatser</w:t>
            </w:r>
            <w:proofErr w:type="spellEnd"/>
            <w:r w:rsidRPr="000D5135">
              <w:rPr>
                <w:bCs/>
                <w:snapToGrid w:val="0"/>
              </w:rPr>
              <w:t xml:space="preserve"> kan bidra till att olika aktörer bättre kan dra nytta av resultaten från forskning och innovation.</w:t>
            </w:r>
          </w:p>
          <w:p w14:paraId="24A0FB33" w14:textId="77777777" w:rsidR="000D5135" w:rsidRPr="000D5135" w:rsidRDefault="000D5135" w:rsidP="000D5135">
            <w:pPr>
              <w:tabs>
                <w:tab w:val="left" w:pos="1701"/>
              </w:tabs>
              <w:rPr>
                <w:bCs/>
                <w:snapToGrid w:val="0"/>
              </w:rPr>
            </w:pPr>
          </w:p>
          <w:p w14:paraId="19614389" w14:textId="4ED1A6D9" w:rsidR="000D5135" w:rsidRDefault="000D5135" w:rsidP="000D5135">
            <w:pPr>
              <w:tabs>
                <w:tab w:val="left" w:pos="1701"/>
              </w:tabs>
              <w:rPr>
                <w:bCs/>
                <w:snapToGrid w:val="0"/>
              </w:rPr>
            </w:pPr>
            <w:r w:rsidRPr="000D5135">
              <w:rPr>
                <w:bCs/>
                <w:snapToGrid w:val="0"/>
              </w:rPr>
              <w:t>Regeringen betonar att en viktig byggsten i kunskapsutnyttjande är att mer av forskares verksamhet ska bli tillgänglig att exploatera för företag och att det ska ske både tidigare och enklare. Fortsatt arbete med att höja relevans och kvalitet i, samt styrning av EU-programmen, är angeläget.</w:t>
            </w:r>
          </w:p>
          <w:p w14:paraId="5BFAAC12" w14:textId="77777777" w:rsidR="000D5135" w:rsidRPr="000D5135" w:rsidRDefault="000D5135" w:rsidP="000D5135">
            <w:pPr>
              <w:tabs>
                <w:tab w:val="left" w:pos="1701"/>
              </w:tabs>
              <w:rPr>
                <w:bCs/>
                <w:snapToGrid w:val="0"/>
              </w:rPr>
            </w:pPr>
          </w:p>
          <w:p w14:paraId="6E28C518" w14:textId="3AA81531" w:rsidR="000D5135" w:rsidRDefault="000D5135" w:rsidP="000D5135">
            <w:pPr>
              <w:tabs>
                <w:tab w:val="left" w:pos="1701"/>
              </w:tabs>
              <w:rPr>
                <w:bCs/>
                <w:i/>
                <w:iCs/>
                <w:snapToGrid w:val="0"/>
              </w:rPr>
            </w:pPr>
            <w:r w:rsidRPr="000D5135">
              <w:rPr>
                <w:bCs/>
                <w:snapToGrid w:val="0"/>
              </w:rPr>
              <w:t xml:space="preserve">Regeringen poängterar vikten av att stå fast vid excellenskriteriet i genomförandet av forsknings- och innovationssatsningar och i satsningar på viktiga teknikområden. </w:t>
            </w:r>
          </w:p>
          <w:p w14:paraId="4537C7F0" w14:textId="77777777" w:rsidR="000D5135" w:rsidRDefault="000D5135" w:rsidP="000D5135">
            <w:pPr>
              <w:tabs>
                <w:tab w:val="left" w:pos="1701"/>
              </w:tabs>
              <w:rPr>
                <w:bCs/>
                <w:snapToGrid w:val="0"/>
              </w:rPr>
            </w:pPr>
          </w:p>
          <w:p w14:paraId="07FE0D32" w14:textId="77777777" w:rsidR="000D5135" w:rsidRDefault="000D5135" w:rsidP="000D5135">
            <w:pPr>
              <w:tabs>
                <w:tab w:val="left" w:pos="1701"/>
              </w:tabs>
              <w:rPr>
                <w:bCs/>
                <w:i/>
                <w:iCs/>
                <w:snapToGrid w:val="0"/>
              </w:rPr>
            </w:pPr>
            <w:r>
              <w:rPr>
                <w:bCs/>
                <w:i/>
                <w:iCs/>
                <w:snapToGrid w:val="0"/>
              </w:rPr>
              <w:t>Överläggningen</w:t>
            </w:r>
          </w:p>
          <w:p w14:paraId="384CE3D2" w14:textId="77777777" w:rsidR="000D5135" w:rsidRPr="0007288A" w:rsidRDefault="000D5135" w:rsidP="000D5135">
            <w:pPr>
              <w:tabs>
                <w:tab w:val="left" w:pos="1701"/>
              </w:tabs>
              <w:rPr>
                <w:bCs/>
                <w:snapToGrid w:val="0"/>
              </w:rPr>
            </w:pPr>
            <w:r w:rsidRPr="0007288A">
              <w:rPr>
                <w:bCs/>
                <w:snapToGrid w:val="0"/>
              </w:rPr>
              <w:t>Ordföranden konstaterade att det fanns stöd för regeringens ståndpunkt.</w:t>
            </w:r>
          </w:p>
          <w:p w14:paraId="78CCD304" w14:textId="77777777" w:rsidR="000D5135" w:rsidRPr="0007288A" w:rsidRDefault="000D5135" w:rsidP="000D5135">
            <w:pPr>
              <w:tabs>
                <w:tab w:val="left" w:pos="1701"/>
              </w:tabs>
              <w:rPr>
                <w:bCs/>
                <w:snapToGrid w:val="0"/>
              </w:rPr>
            </w:pPr>
          </w:p>
          <w:p w14:paraId="02DFB785" w14:textId="647A2085" w:rsidR="000D5135" w:rsidRDefault="000D5135">
            <w:pPr>
              <w:tabs>
                <w:tab w:val="left" w:pos="1701"/>
              </w:tabs>
              <w:rPr>
                <w:b/>
                <w:szCs w:val="23"/>
              </w:rPr>
            </w:pPr>
            <w:r w:rsidRPr="0007288A">
              <w:rPr>
                <w:bCs/>
                <w:snapToGrid w:val="0"/>
              </w:rPr>
              <w:t>Denna paragraf förklarades omedelbart justerad.</w:t>
            </w:r>
          </w:p>
          <w:p w14:paraId="37092A48" w14:textId="3E8D5966" w:rsidR="00E1290A" w:rsidRDefault="00E1290A">
            <w:pPr>
              <w:tabs>
                <w:tab w:val="left" w:pos="1701"/>
              </w:tabs>
              <w:rPr>
                <w:b/>
                <w:snapToGrid w:val="0"/>
              </w:rPr>
            </w:pPr>
          </w:p>
        </w:tc>
      </w:tr>
      <w:tr w:rsidR="00E1290A" w14:paraId="75A41DBA" w14:textId="77777777" w:rsidTr="0001177E">
        <w:tc>
          <w:tcPr>
            <w:tcW w:w="567" w:type="dxa"/>
          </w:tcPr>
          <w:p w14:paraId="4B46526C"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0CAEFE27" w14:textId="6BE57283" w:rsidR="00E1290A" w:rsidRDefault="00E1290A">
            <w:pPr>
              <w:tabs>
                <w:tab w:val="left" w:pos="1701"/>
              </w:tabs>
              <w:rPr>
                <w:b/>
                <w:szCs w:val="23"/>
              </w:rPr>
            </w:pPr>
            <w:r w:rsidRPr="008F27AC">
              <w:rPr>
                <w:b/>
                <w:szCs w:val="23"/>
              </w:rPr>
              <w:t>EU-överläggning om kommissionens vitbok om forskning som omfattar teknik med potential för dubbla användningsområde</w:t>
            </w:r>
            <w:r w:rsidR="000D5135">
              <w:rPr>
                <w:b/>
                <w:szCs w:val="23"/>
              </w:rPr>
              <w:t>n</w:t>
            </w:r>
          </w:p>
          <w:p w14:paraId="1E748F67" w14:textId="78AE306A" w:rsidR="000D5135" w:rsidRDefault="000D5135">
            <w:pPr>
              <w:tabs>
                <w:tab w:val="left" w:pos="1701"/>
              </w:tabs>
              <w:rPr>
                <w:b/>
                <w:szCs w:val="23"/>
              </w:rPr>
            </w:pPr>
          </w:p>
          <w:p w14:paraId="68E73BF8" w14:textId="45F85FA5" w:rsidR="000D5135" w:rsidRDefault="000D5135" w:rsidP="000D51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w:t>
            </w:r>
            <w:r w:rsidRPr="000D5135">
              <w:rPr>
                <w:bCs/>
                <w:snapToGrid w:val="0"/>
              </w:rPr>
              <w:t>kommissionens vitbok om forskning som omfattar teknik med potential för dubbla användningsområden</w:t>
            </w:r>
            <w:r>
              <w:rPr>
                <w:bCs/>
                <w:snapToGrid w:val="0"/>
              </w:rPr>
              <w:t>.</w:t>
            </w:r>
          </w:p>
          <w:p w14:paraId="09F478DB" w14:textId="77777777" w:rsidR="000D5135" w:rsidRDefault="000D5135" w:rsidP="000D5135">
            <w:pPr>
              <w:tabs>
                <w:tab w:val="left" w:pos="1701"/>
              </w:tabs>
              <w:rPr>
                <w:bCs/>
                <w:snapToGrid w:val="0"/>
              </w:rPr>
            </w:pPr>
          </w:p>
          <w:p w14:paraId="02CD2249" w14:textId="77777777" w:rsidR="000D5135" w:rsidRDefault="000D5135" w:rsidP="000D5135">
            <w:pPr>
              <w:tabs>
                <w:tab w:val="left" w:pos="1701"/>
              </w:tabs>
              <w:rPr>
                <w:bCs/>
                <w:i/>
                <w:iCs/>
                <w:snapToGrid w:val="0"/>
              </w:rPr>
            </w:pPr>
            <w:r w:rsidRPr="00EA0DD7">
              <w:rPr>
                <w:bCs/>
                <w:i/>
                <w:iCs/>
                <w:snapToGrid w:val="0"/>
              </w:rPr>
              <w:t>Underlag för överläggningen</w:t>
            </w:r>
          </w:p>
          <w:p w14:paraId="73BB7582" w14:textId="57F25A20" w:rsidR="000D5135" w:rsidRDefault="000D5135" w:rsidP="000D5135">
            <w:pPr>
              <w:rPr>
                <w:bCs/>
              </w:rPr>
            </w:pPr>
            <w:r w:rsidRPr="003502D9">
              <w:t xml:space="preserve">Överläggningspromemoria från Utbildningsdepartementet (dnr </w:t>
            </w:r>
            <w:r>
              <w:t>1154</w:t>
            </w:r>
            <w:r w:rsidRPr="001D2818">
              <w:t>-202</w:t>
            </w:r>
            <w:r>
              <w:t>3</w:t>
            </w:r>
            <w:r w:rsidRPr="001D2818">
              <w:t>/2</w:t>
            </w:r>
            <w:r>
              <w:t>4</w:t>
            </w:r>
            <w:r w:rsidRPr="003502D9">
              <w:t>)</w:t>
            </w:r>
            <w:r>
              <w:br/>
            </w:r>
            <w:proofErr w:type="gramStart"/>
            <w:r>
              <w:t>COM(</w:t>
            </w:r>
            <w:proofErr w:type="gramEnd"/>
            <w:r>
              <w:t>2024) 27</w:t>
            </w:r>
          </w:p>
          <w:p w14:paraId="12A8EAE4" w14:textId="77777777" w:rsidR="000D5135" w:rsidRDefault="000D5135" w:rsidP="000D5135">
            <w:pPr>
              <w:tabs>
                <w:tab w:val="left" w:pos="1701"/>
              </w:tabs>
              <w:rPr>
                <w:bCs/>
                <w:snapToGrid w:val="0"/>
              </w:rPr>
            </w:pPr>
          </w:p>
          <w:p w14:paraId="7547F249" w14:textId="41B908AA" w:rsidR="000D5135" w:rsidRDefault="000D5135" w:rsidP="000D5135">
            <w:pPr>
              <w:tabs>
                <w:tab w:val="left" w:pos="1701"/>
              </w:tabs>
              <w:rPr>
                <w:bCs/>
                <w:i/>
                <w:iCs/>
                <w:snapToGrid w:val="0"/>
              </w:rPr>
            </w:pPr>
            <w:r w:rsidRPr="00EA0DD7">
              <w:rPr>
                <w:bCs/>
                <w:i/>
                <w:iCs/>
                <w:snapToGrid w:val="0"/>
              </w:rPr>
              <w:t>Regeringens förslag till svensk ståndpunkt</w:t>
            </w:r>
          </w:p>
          <w:p w14:paraId="550E9F52" w14:textId="1F31BBE6" w:rsidR="000D5135" w:rsidRDefault="000D5135" w:rsidP="000D5135">
            <w:r>
              <w:lastRenderedPageBreak/>
              <w:t>Regeringen välkomnar en balanserad europeisk ansats för att bättre skydda gemensamma värderingar och intressen och stärka vår forskningssäkerhet, samtidigt som eventuella negativa effekter på forskning bör begränsas.</w:t>
            </w:r>
          </w:p>
          <w:p w14:paraId="52023381" w14:textId="77777777" w:rsidR="000D5135" w:rsidRDefault="000D5135" w:rsidP="000D5135">
            <w:pPr>
              <w:rPr>
                <w:sz w:val="25"/>
              </w:rPr>
            </w:pPr>
          </w:p>
          <w:p w14:paraId="2D02FB03" w14:textId="397ECA9C" w:rsidR="000D5135" w:rsidRDefault="000D5135" w:rsidP="000D5135">
            <w:r>
              <w:t>Regeringen understryker att EU:s ramprogram för forskning och innovation ska bidra med samhällslösningar till alla sektorer. Utöver marknadslösningar och kommersialisering av resultat ska ramprogrammet även bidra med lösningar och nytta för offentlig sektor och civilsamhället i stort, samt bidra till ett mer inkluderande och demokratiskt samhälle.  Regeringen understryker att excellens även i fortsättningen ska vara det viktigaste urvalskriteriet för forskning och innovation inom ramprogrammet.</w:t>
            </w:r>
          </w:p>
          <w:p w14:paraId="502F87FB" w14:textId="77777777" w:rsidR="000D5135" w:rsidRDefault="000D5135" w:rsidP="000D5135"/>
          <w:p w14:paraId="66645CFB" w14:textId="4A8082B2" w:rsidR="000D5135" w:rsidRDefault="000D5135" w:rsidP="000D5135">
            <w:r>
              <w:t>Då de föreslagna tre alternativen innebär ett stort skifte i tidigare gängse ordning för ramprogrammet för forskning och innovation anser regeringen att det finns behov av ytterligare analyser av vilka konsekvenser en föränd</w:t>
            </w:r>
            <w:r>
              <w:softHyphen/>
              <w:t xml:space="preserve">ring kan komma att ha på ramprogrammets olika instrument. </w:t>
            </w:r>
          </w:p>
          <w:p w14:paraId="3F22D0B0" w14:textId="77777777" w:rsidR="000D5135" w:rsidRDefault="000D5135" w:rsidP="000D5135"/>
          <w:p w14:paraId="728E4329" w14:textId="0F8D91E3" w:rsidR="000D5135" w:rsidRDefault="000D5135" w:rsidP="000D5135">
            <w:pPr>
              <w:tabs>
                <w:tab w:val="left" w:pos="1701"/>
              </w:tabs>
              <w:rPr>
                <w:bCs/>
                <w:i/>
                <w:iCs/>
                <w:snapToGrid w:val="0"/>
              </w:rPr>
            </w:pPr>
            <w:r>
              <w:t>Regeringen understryker vikten av att de fem olika initiativen i kommissionens paket om ekonomisk säkerhet samordnas ur ett helhetsperspektiv för att undvika överlappande eller motstridiga initiativ och rekommendationer.</w:t>
            </w:r>
          </w:p>
          <w:p w14:paraId="6426D9F8" w14:textId="77777777" w:rsidR="000D5135" w:rsidRDefault="000D5135" w:rsidP="000D5135">
            <w:pPr>
              <w:tabs>
                <w:tab w:val="left" w:pos="1701"/>
              </w:tabs>
              <w:rPr>
                <w:bCs/>
                <w:snapToGrid w:val="0"/>
              </w:rPr>
            </w:pPr>
          </w:p>
          <w:p w14:paraId="4184FE3F" w14:textId="77777777" w:rsidR="000D5135" w:rsidRDefault="000D5135" w:rsidP="000D5135">
            <w:pPr>
              <w:tabs>
                <w:tab w:val="left" w:pos="1701"/>
              </w:tabs>
              <w:rPr>
                <w:bCs/>
                <w:i/>
                <w:iCs/>
                <w:snapToGrid w:val="0"/>
              </w:rPr>
            </w:pPr>
            <w:r>
              <w:rPr>
                <w:bCs/>
                <w:i/>
                <w:iCs/>
                <w:snapToGrid w:val="0"/>
              </w:rPr>
              <w:t>Överläggningen</w:t>
            </w:r>
          </w:p>
          <w:p w14:paraId="4D845615" w14:textId="65965113" w:rsidR="000D5135" w:rsidRDefault="000D5135">
            <w:pPr>
              <w:tabs>
                <w:tab w:val="left" w:pos="1701"/>
              </w:tabs>
              <w:rPr>
                <w:b/>
                <w:szCs w:val="23"/>
              </w:rPr>
            </w:pPr>
            <w:r w:rsidRPr="0007288A">
              <w:rPr>
                <w:bCs/>
                <w:snapToGrid w:val="0"/>
              </w:rPr>
              <w:t>Ordföranden konstaterade att det fanns stöd för regeringens ståndpunkt.</w:t>
            </w:r>
          </w:p>
          <w:p w14:paraId="63D4CC07" w14:textId="20DB0080" w:rsidR="00E1290A" w:rsidRDefault="00E1290A">
            <w:pPr>
              <w:tabs>
                <w:tab w:val="left" w:pos="1701"/>
              </w:tabs>
              <w:rPr>
                <w:b/>
                <w:snapToGrid w:val="0"/>
              </w:rPr>
            </w:pPr>
          </w:p>
        </w:tc>
      </w:tr>
      <w:tr w:rsidR="00E1290A" w14:paraId="7B52214B" w14:textId="77777777" w:rsidTr="0001177E">
        <w:tc>
          <w:tcPr>
            <w:tcW w:w="567" w:type="dxa"/>
          </w:tcPr>
          <w:p w14:paraId="2DB55A63"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65DE73BC" w14:textId="52B1353F" w:rsidR="00E1290A" w:rsidRDefault="00E1290A">
            <w:pPr>
              <w:tabs>
                <w:tab w:val="left" w:pos="1701"/>
              </w:tabs>
              <w:rPr>
                <w:b/>
                <w:szCs w:val="23"/>
              </w:rPr>
            </w:pPr>
            <w:r w:rsidRPr="008F27AC">
              <w:rPr>
                <w:b/>
                <w:szCs w:val="23"/>
              </w:rPr>
              <w:t xml:space="preserve">EU-överläggning om utkast till </w:t>
            </w:r>
            <w:proofErr w:type="spellStart"/>
            <w:r w:rsidRPr="008F27AC">
              <w:rPr>
                <w:b/>
                <w:szCs w:val="23"/>
              </w:rPr>
              <w:t>rådsslutsatser</w:t>
            </w:r>
            <w:proofErr w:type="spellEnd"/>
            <w:r w:rsidRPr="008F27AC">
              <w:rPr>
                <w:b/>
                <w:szCs w:val="23"/>
              </w:rPr>
              <w:t xml:space="preserve"> om kommissionens halvtidsutvärdering av unionens rymdprogram</w:t>
            </w:r>
          </w:p>
          <w:p w14:paraId="73548893" w14:textId="0D0875AD" w:rsidR="000D5135" w:rsidRDefault="000D5135">
            <w:pPr>
              <w:tabs>
                <w:tab w:val="left" w:pos="1701"/>
              </w:tabs>
              <w:rPr>
                <w:b/>
                <w:szCs w:val="23"/>
              </w:rPr>
            </w:pPr>
          </w:p>
          <w:p w14:paraId="7BC61DB7" w14:textId="7E2ABAB9" w:rsidR="000D5135" w:rsidRDefault="000D5135" w:rsidP="000D51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ett </w:t>
            </w:r>
            <w:r w:rsidRPr="000D5135">
              <w:rPr>
                <w:bCs/>
                <w:snapToGrid w:val="0"/>
              </w:rPr>
              <w:t xml:space="preserve">utkast till </w:t>
            </w:r>
            <w:proofErr w:type="spellStart"/>
            <w:r w:rsidRPr="000D5135">
              <w:rPr>
                <w:bCs/>
                <w:snapToGrid w:val="0"/>
              </w:rPr>
              <w:t>rådsslutsatser</w:t>
            </w:r>
            <w:proofErr w:type="spellEnd"/>
            <w:r w:rsidRPr="000D5135">
              <w:rPr>
                <w:bCs/>
                <w:snapToGrid w:val="0"/>
              </w:rPr>
              <w:t xml:space="preserve"> om kommissionens halvtidsutvärdering av unionens rymdprogram</w:t>
            </w:r>
            <w:r>
              <w:rPr>
                <w:bCs/>
                <w:snapToGrid w:val="0"/>
              </w:rPr>
              <w:t>.</w:t>
            </w:r>
          </w:p>
          <w:p w14:paraId="7A6EE20C" w14:textId="77777777" w:rsidR="000D5135" w:rsidRDefault="000D5135" w:rsidP="000D5135">
            <w:pPr>
              <w:tabs>
                <w:tab w:val="left" w:pos="1701"/>
              </w:tabs>
              <w:rPr>
                <w:bCs/>
                <w:snapToGrid w:val="0"/>
              </w:rPr>
            </w:pPr>
          </w:p>
          <w:p w14:paraId="0AE2EE35" w14:textId="77777777" w:rsidR="000D5135" w:rsidRDefault="000D5135" w:rsidP="000D5135">
            <w:pPr>
              <w:tabs>
                <w:tab w:val="left" w:pos="1701"/>
              </w:tabs>
              <w:rPr>
                <w:bCs/>
                <w:i/>
                <w:iCs/>
                <w:snapToGrid w:val="0"/>
              </w:rPr>
            </w:pPr>
            <w:r w:rsidRPr="00EA0DD7">
              <w:rPr>
                <w:bCs/>
                <w:i/>
                <w:iCs/>
                <w:snapToGrid w:val="0"/>
              </w:rPr>
              <w:t>Underlag för överläggningen</w:t>
            </w:r>
          </w:p>
          <w:p w14:paraId="272927BE" w14:textId="70E67E02" w:rsidR="000D5135" w:rsidRDefault="000D5135" w:rsidP="000D5135">
            <w:pPr>
              <w:rPr>
                <w:bCs/>
              </w:rPr>
            </w:pPr>
            <w:r w:rsidRPr="003502D9">
              <w:t xml:space="preserve">Överläggningspromemoria från Utbildningsdepartementet (dnr </w:t>
            </w:r>
            <w:proofErr w:type="gramStart"/>
            <w:r>
              <w:t>1155</w:t>
            </w:r>
            <w:r w:rsidRPr="001D2818">
              <w:t>-202</w:t>
            </w:r>
            <w:r>
              <w:t>3</w:t>
            </w:r>
            <w:proofErr w:type="gramEnd"/>
            <w:r w:rsidRPr="001D2818">
              <w:t>/2</w:t>
            </w:r>
            <w:r>
              <w:t>4</w:t>
            </w:r>
            <w:r w:rsidRPr="003502D9">
              <w:t>)</w:t>
            </w:r>
          </w:p>
          <w:p w14:paraId="3ED926DE" w14:textId="77777777" w:rsidR="000D5135" w:rsidRDefault="000D5135" w:rsidP="000D5135">
            <w:pPr>
              <w:tabs>
                <w:tab w:val="left" w:pos="1701"/>
              </w:tabs>
              <w:rPr>
                <w:bCs/>
                <w:snapToGrid w:val="0"/>
              </w:rPr>
            </w:pPr>
          </w:p>
          <w:p w14:paraId="2BB4F4A8" w14:textId="77777777" w:rsidR="000D5135" w:rsidRDefault="000D5135" w:rsidP="000D5135">
            <w:pPr>
              <w:tabs>
                <w:tab w:val="left" w:pos="1701"/>
              </w:tabs>
              <w:rPr>
                <w:bCs/>
                <w:i/>
                <w:iCs/>
                <w:snapToGrid w:val="0"/>
              </w:rPr>
            </w:pPr>
            <w:r w:rsidRPr="00EA0DD7">
              <w:rPr>
                <w:bCs/>
                <w:i/>
                <w:iCs/>
                <w:snapToGrid w:val="0"/>
              </w:rPr>
              <w:t>Regeringens förslag till svensk ståndpunkt</w:t>
            </w:r>
          </w:p>
          <w:p w14:paraId="77D1397D" w14:textId="2BBCCE58" w:rsidR="000D5135" w:rsidRDefault="000D5135" w:rsidP="000D5135">
            <w:pPr>
              <w:tabs>
                <w:tab w:val="left" w:pos="1701"/>
              </w:tabs>
            </w:pPr>
            <w:r>
              <w:t>Regeringen anser att rymdprogrammet ska bidra till ekonomisk tillväxt, konkurrenskraft och sysselsättning.</w:t>
            </w:r>
          </w:p>
          <w:p w14:paraId="0544C13E" w14:textId="77777777" w:rsidR="000D5135" w:rsidRPr="000D5135" w:rsidRDefault="000D5135" w:rsidP="000D5135">
            <w:pPr>
              <w:tabs>
                <w:tab w:val="left" w:pos="1701"/>
              </w:tabs>
            </w:pPr>
          </w:p>
          <w:p w14:paraId="30977230" w14:textId="39B60EA3" w:rsidR="000D5135" w:rsidRDefault="000D5135" w:rsidP="000D5135">
            <w:pPr>
              <w:tabs>
                <w:tab w:val="left" w:pos="1701"/>
              </w:tabs>
            </w:pPr>
            <w:r>
              <w:t xml:space="preserve">Regeringen framhåller vikten av att rymdprogrammet bidrar till ökad samhällsnytta genom att säkerställa tillgång till </w:t>
            </w:r>
            <w:proofErr w:type="gramStart"/>
            <w:r>
              <w:t>fri och öppen data</w:t>
            </w:r>
            <w:proofErr w:type="gramEnd"/>
            <w:r>
              <w:t xml:space="preserve"> för nedströms applikationer och tjänster. </w:t>
            </w:r>
          </w:p>
          <w:p w14:paraId="185C5603" w14:textId="77777777" w:rsidR="000D5135" w:rsidRDefault="000D5135" w:rsidP="000D5135">
            <w:pPr>
              <w:tabs>
                <w:tab w:val="left" w:pos="1701"/>
              </w:tabs>
            </w:pPr>
          </w:p>
          <w:p w14:paraId="3D0465FE" w14:textId="77777777" w:rsidR="000D5135" w:rsidRDefault="000D5135" w:rsidP="000D5135">
            <w:pPr>
              <w:tabs>
                <w:tab w:val="left" w:pos="1701"/>
              </w:tabs>
            </w:pPr>
            <w:r>
              <w:t xml:space="preserve">Regeringen understryker att rymdprogrammet ska ta hänsyn till unionens utrikes-, försvars- och säkerhetspolitiska intressen och även </w:t>
            </w:r>
            <w:r>
              <w:lastRenderedPageBreak/>
              <w:t>bidra till att stärka dessa.</w:t>
            </w:r>
          </w:p>
          <w:p w14:paraId="581A9AFC" w14:textId="77777777" w:rsidR="000D5135" w:rsidRDefault="000D5135" w:rsidP="000D5135">
            <w:pPr>
              <w:tabs>
                <w:tab w:val="left" w:pos="1701"/>
              </w:tabs>
              <w:rPr>
                <w:bCs/>
                <w:snapToGrid w:val="0"/>
              </w:rPr>
            </w:pPr>
          </w:p>
          <w:p w14:paraId="0FB89A1B" w14:textId="77777777" w:rsidR="000D5135" w:rsidRDefault="000D5135" w:rsidP="000D5135">
            <w:pPr>
              <w:tabs>
                <w:tab w:val="left" w:pos="1701"/>
              </w:tabs>
              <w:rPr>
                <w:bCs/>
                <w:i/>
                <w:iCs/>
                <w:snapToGrid w:val="0"/>
              </w:rPr>
            </w:pPr>
            <w:r>
              <w:rPr>
                <w:bCs/>
                <w:i/>
                <w:iCs/>
                <w:snapToGrid w:val="0"/>
              </w:rPr>
              <w:t>Överläggningen</w:t>
            </w:r>
          </w:p>
          <w:p w14:paraId="18973482" w14:textId="1D09B298" w:rsidR="000D5135" w:rsidRDefault="000D5135">
            <w:pPr>
              <w:tabs>
                <w:tab w:val="left" w:pos="1701"/>
              </w:tabs>
              <w:rPr>
                <w:bCs/>
                <w:snapToGrid w:val="0"/>
              </w:rPr>
            </w:pPr>
            <w:r w:rsidRPr="0007288A">
              <w:rPr>
                <w:bCs/>
                <w:snapToGrid w:val="0"/>
              </w:rPr>
              <w:t>Ordföranden konstaterade att det fanns stöd för regeringens ståndpunkt.</w:t>
            </w:r>
          </w:p>
          <w:p w14:paraId="181531E2" w14:textId="00277B94" w:rsidR="00A41B36" w:rsidRDefault="00A41B36">
            <w:pPr>
              <w:tabs>
                <w:tab w:val="left" w:pos="1701"/>
              </w:tabs>
              <w:rPr>
                <w:bCs/>
                <w:snapToGrid w:val="0"/>
              </w:rPr>
            </w:pPr>
          </w:p>
          <w:p w14:paraId="05BC9364" w14:textId="476524BA" w:rsidR="00A41B36" w:rsidRDefault="00A41B36">
            <w:pPr>
              <w:tabs>
                <w:tab w:val="left" w:pos="1701"/>
              </w:tabs>
              <w:rPr>
                <w:bCs/>
                <w:snapToGrid w:val="0"/>
              </w:rPr>
            </w:pPr>
            <w:r w:rsidRPr="003246C7">
              <w:rPr>
                <w:bCs/>
                <w:snapToGrid w:val="0"/>
              </w:rPr>
              <w:t>Ledamoten från Vänsterpartiet anmälde följande avvikande ståndpunkt</w:t>
            </w:r>
            <w:r w:rsidR="00017AED" w:rsidRPr="003246C7">
              <w:rPr>
                <w:bCs/>
                <w:snapToGrid w:val="0"/>
              </w:rPr>
              <w:t>:</w:t>
            </w:r>
          </w:p>
          <w:p w14:paraId="0E3EBD27" w14:textId="17EB42E2" w:rsidR="003246C7" w:rsidRDefault="003246C7">
            <w:pPr>
              <w:tabs>
                <w:tab w:val="left" w:pos="1701"/>
              </w:tabs>
              <w:rPr>
                <w:bCs/>
                <w:snapToGrid w:val="0"/>
              </w:rPr>
            </w:pPr>
          </w:p>
          <w:p w14:paraId="3771970B" w14:textId="5831CFF2" w:rsidR="003246C7" w:rsidRDefault="003246C7">
            <w:pPr>
              <w:tabs>
                <w:tab w:val="left" w:pos="1701"/>
              </w:tabs>
              <w:rPr>
                <w:b/>
                <w:szCs w:val="23"/>
              </w:rPr>
            </w:pPr>
            <w:r w:rsidRPr="003246C7">
              <w:rPr>
                <w:bCs/>
                <w:snapToGrid w:val="0"/>
              </w:rPr>
              <w:t>Rymden ska ej militariseras och den personliga integriteten måste säkras i rymdpolitiken. Jag vill därför anmäla att jag härmed lämnar in en avvikande ståndpunkt eftersom regeringen inte avser ändra sin ståndpunkt gällande dessa frågor. </w:t>
            </w:r>
          </w:p>
          <w:p w14:paraId="21595658" w14:textId="71550645" w:rsidR="00E1290A" w:rsidRDefault="00E1290A">
            <w:pPr>
              <w:tabs>
                <w:tab w:val="left" w:pos="1701"/>
              </w:tabs>
              <w:rPr>
                <w:b/>
                <w:snapToGrid w:val="0"/>
              </w:rPr>
            </w:pPr>
          </w:p>
        </w:tc>
      </w:tr>
      <w:tr w:rsidR="00E1290A" w14:paraId="2F94B5B8" w14:textId="77777777" w:rsidTr="0001177E">
        <w:tc>
          <w:tcPr>
            <w:tcW w:w="567" w:type="dxa"/>
          </w:tcPr>
          <w:p w14:paraId="0BCBF4F4"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15103682" w14:textId="7F072D87" w:rsidR="00E1290A" w:rsidRDefault="00E1290A">
            <w:pPr>
              <w:tabs>
                <w:tab w:val="left" w:pos="1701"/>
              </w:tabs>
              <w:rPr>
                <w:b/>
                <w:szCs w:val="23"/>
              </w:rPr>
            </w:pPr>
            <w:r w:rsidRPr="008F27AC">
              <w:rPr>
                <w:b/>
                <w:szCs w:val="23"/>
              </w:rPr>
              <w:t>EU-information om aktuella EU-frågor, forskning och rymd, under våren 2024</w:t>
            </w:r>
          </w:p>
          <w:p w14:paraId="516A815D" w14:textId="7DF1A738" w:rsidR="000D5135" w:rsidRDefault="000D5135">
            <w:pPr>
              <w:tabs>
                <w:tab w:val="left" w:pos="1701"/>
              </w:tabs>
              <w:rPr>
                <w:b/>
                <w:szCs w:val="23"/>
              </w:rPr>
            </w:pPr>
          </w:p>
          <w:p w14:paraId="3AA918C3" w14:textId="7476CEDC" w:rsidR="000D5135" w:rsidRDefault="000D5135">
            <w:pPr>
              <w:tabs>
                <w:tab w:val="left" w:pos="1701"/>
              </w:tabs>
              <w:rPr>
                <w:b/>
                <w:szCs w:val="23"/>
              </w:rPr>
            </w:pPr>
            <w:r>
              <w:rPr>
                <w:bCs/>
                <w:snapToGrid w:val="0"/>
              </w:rPr>
              <w:t>Statssekreterare Maria Nilsson,</w:t>
            </w:r>
            <w:r w:rsidRPr="00FA4063">
              <w:rPr>
                <w:bCs/>
                <w:snapToGrid w:val="0"/>
              </w:rPr>
              <w:t xml:space="preserve"> biträdd av medarbetare från Utbildningsdepartementet, </w:t>
            </w:r>
            <w:r>
              <w:rPr>
                <w:bCs/>
                <w:snapToGrid w:val="0"/>
              </w:rPr>
              <w:t>in</w:t>
            </w:r>
            <w:r w:rsidRPr="000D5135">
              <w:rPr>
                <w:bCs/>
                <w:snapToGrid w:val="0"/>
              </w:rPr>
              <w:t xml:space="preserve">formerade om </w:t>
            </w:r>
            <w:r w:rsidRPr="000D5135">
              <w:rPr>
                <w:bCs/>
                <w:szCs w:val="23"/>
              </w:rPr>
              <w:t>aktuella EU-frågor inom forsknings</w:t>
            </w:r>
            <w:r>
              <w:rPr>
                <w:bCs/>
                <w:szCs w:val="23"/>
              </w:rPr>
              <w:t>-</w:t>
            </w:r>
            <w:r w:rsidRPr="000D5135">
              <w:rPr>
                <w:bCs/>
                <w:szCs w:val="23"/>
              </w:rPr>
              <w:t xml:space="preserve"> och rymdområdet under våren 2024.</w:t>
            </w:r>
          </w:p>
          <w:p w14:paraId="2A80F070" w14:textId="220AD814" w:rsidR="00E1290A" w:rsidRDefault="00E1290A">
            <w:pPr>
              <w:tabs>
                <w:tab w:val="left" w:pos="1701"/>
              </w:tabs>
              <w:rPr>
                <w:b/>
                <w:snapToGrid w:val="0"/>
              </w:rPr>
            </w:pPr>
          </w:p>
        </w:tc>
      </w:tr>
      <w:tr w:rsidR="00E1290A" w14:paraId="65F4DDC6" w14:textId="77777777" w:rsidTr="0001177E">
        <w:tc>
          <w:tcPr>
            <w:tcW w:w="567" w:type="dxa"/>
          </w:tcPr>
          <w:p w14:paraId="1D52353B"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6E921736" w14:textId="61DCBAD6" w:rsidR="00E1290A" w:rsidRDefault="00E1290A">
            <w:pPr>
              <w:tabs>
                <w:tab w:val="left" w:pos="1701"/>
              </w:tabs>
              <w:rPr>
                <w:b/>
                <w:szCs w:val="23"/>
              </w:rPr>
            </w:pPr>
            <w:r w:rsidRPr="008F27AC">
              <w:rPr>
                <w:b/>
                <w:szCs w:val="23"/>
              </w:rPr>
              <w:t>EU-information inför Konkurrenskraftsrådet med rymdministrarna den 23 maj 2024</w:t>
            </w:r>
          </w:p>
          <w:p w14:paraId="6BF89961" w14:textId="3B20FED2" w:rsidR="000D5135" w:rsidRDefault="000D5135">
            <w:pPr>
              <w:tabs>
                <w:tab w:val="left" w:pos="1701"/>
              </w:tabs>
              <w:rPr>
                <w:b/>
                <w:szCs w:val="23"/>
              </w:rPr>
            </w:pPr>
          </w:p>
          <w:p w14:paraId="7BDC9D5F" w14:textId="1AF08B35" w:rsidR="000D5135" w:rsidRDefault="000D5135">
            <w:pPr>
              <w:tabs>
                <w:tab w:val="left" w:pos="1701"/>
              </w:tabs>
              <w:rPr>
                <w:b/>
                <w:szCs w:val="23"/>
              </w:rPr>
            </w:pPr>
            <w:r>
              <w:rPr>
                <w:bCs/>
                <w:snapToGrid w:val="0"/>
              </w:rPr>
              <w:t>Statssekreterare Maria Nilsson,</w:t>
            </w:r>
            <w:r w:rsidRPr="00FA4063">
              <w:rPr>
                <w:bCs/>
                <w:snapToGrid w:val="0"/>
              </w:rPr>
              <w:t xml:space="preserve"> biträdd av medarbetare från Utbildningsdepartementet, </w:t>
            </w:r>
            <w:r>
              <w:rPr>
                <w:bCs/>
                <w:snapToGrid w:val="0"/>
              </w:rPr>
              <w:t xml:space="preserve">informerade om </w:t>
            </w:r>
            <w:r w:rsidRPr="000D5135">
              <w:rPr>
                <w:bCs/>
                <w:snapToGrid w:val="0"/>
              </w:rPr>
              <w:t>Konkurrenskraftsrådet</w:t>
            </w:r>
            <w:r>
              <w:rPr>
                <w:bCs/>
                <w:snapToGrid w:val="0"/>
              </w:rPr>
              <w:t xml:space="preserve">s kommande möte </w:t>
            </w:r>
            <w:r w:rsidRPr="000D5135">
              <w:rPr>
                <w:bCs/>
                <w:snapToGrid w:val="0"/>
              </w:rPr>
              <w:t>med rymdministrarna den 23 maj 2024</w:t>
            </w:r>
            <w:r>
              <w:rPr>
                <w:bCs/>
                <w:snapToGrid w:val="0"/>
              </w:rPr>
              <w:t>.</w:t>
            </w:r>
          </w:p>
          <w:p w14:paraId="75D0CA7C" w14:textId="6B1DBABF" w:rsidR="00E1290A" w:rsidRDefault="00E1290A">
            <w:pPr>
              <w:tabs>
                <w:tab w:val="left" w:pos="1701"/>
              </w:tabs>
              <w:rPr>
                <w:b/>
                <w:snapToGrid w:val="0"/>
              </w:rPr>
            </w:pPr>
          </w:p>
        </w:tc>
      </w:tr>
      <w:tr w:rsidR="00E1290A" w14:paraId="4B8E1A95" w14:textId="77777777" w:rsidTr="0001177E">
        <w:tc>
          <w:tcPr>
            <w:tcW w:w="567" w:type="dxa"/>
          </w:tcPr>
          <w:p w14:paraId="2937B04B" w14:textId="77777777" w:rsidR="00E1290A" w:rsidRPr="003B4DE8" w:rsidRDefault="00E1290A" w:rsidP="003B4DE8">
            <w:pPr>
              <w:pStyle w:val="Liststycke"/>
              <w:numPr>
                <w:ilvl w:val="0"/>
                <w:numId w:val="2"/>
              </w:numPr>
              <w:tabs>
                <w:tab w:val="left" w:pos="1701"/>
              </w:tabs>
              <w:rPr>
                <w:b/>
                <w:snapToGrid w:val="0"/>
              </w:rPr>
            </w:pPr>
          </w:p>
        </w:tc>
        <w:tc>
          <w:tcPr>
            <w:tcW w:w="6946" w:type="dxa"/>
            <w:gridSpan w:val="2"/>
          </w:tcPr>
          <w:p w14:paraId="0E585432" w14:textId="25D3ECE5" w:rsidR="00E1290A" w:rsidRDefault="00E1290A">
            <w:pPr>
              <w:tabs>
                <w:tab w:val="left" w:pos="1701"/>
              </w:tabs>
              <w:rPr>
                <w:b/>
                <w:szCs w:val="23"/>
              </w:rPr>
            </w:pPr>
            <w:r>
              <w:rPr>
                <w:b/>
                <w:szCs w:val="23"/>
              </w:rPr>
              <w:t>Information från Utbildningsdepartementet om proposition 2023/24:79 Att lättare få läsa i snabbare takt och på en högre nivå</w:t>
            </w:r>
          </w:p>
          <w:p w14:paraId="4E33C28A" w14:textId="32BB0E90" w:rsidR="00D87015" w:rsidRDefault="00D87015">
            <w:pPr>
              <w:tabs>
                <w:tab w:val="left" w:pos="1701"/>
              </w:tabs>
              <w:rPr>
                <w:b/>
                <w:szCs w:val="23"/>
              </w:rPr>
            </w:pPr>
          </w:p>
          <w:p w14:paraId="4D2A6967" w14:textId="42046EB0" w:rsidR="00D87015" w:rsidRDefault="00D87015">
            <w:pPr>
              <w:tabs>
                <w:tab w:val="left" w:pos="1701"/>
              </w:tabs>
              <w:rPr>
                <w:b/>
                <w:szCs w:val="23"/>
              </w:rPr>
            </w:pPr>
            <w:r w:rsidRPr="003207C7">
              <w:rPr>
                <w:bCs/>
                <w:szCs w:val="23"/>
              </w:rPr>
              <w:t xml:space="preserve">Statssekreterare </w:t>
            </w:r>
            <w:r>
              <w:rPr>
                <w:bCs/>
                <w:szCs w:val="23"/>
              </w:rPr>
              <w:t>Katarina Lundahl, med medarbetare</w:t>
            </w:r>
            <w:r w:rsidR="000D5135">
              <w:rPr>
                <w:bCs/>
                <w:szCs w:val="23"/>
              </w:rPr>
              <w:t xml:space="preserve"> från Utbildningsdepartementet</w:t>
            </w:r>
            <w:r>
              <w:rPr>
                <w:bCs/>
                <w:szCs w:val="23"/>
              </w:rPr>
              <w:t xml:space="preserve">, informerade om proposition </w:t>
            </w:r>
            <w:r w:rsidRPr="00D87015">
              <w:rPr>
                <w:bCs/>
                <w:szCs w:val="23"/>
              </w:rPr>
              <w:t>2023/24:79 Att lättare få läsa i snabbare takt och på en högre nivå</w:t>
            </w:r>
            <w:r w:rsidR="00A34066">
              <w:rPr>
                <w:bCs/>
                <w:szCs w:val="23"/>
              </w:rPr>
              <w:t>.</w:t>
            </w:r>
          </w:p>
          <w:p w14:paraId="5872EA29" w14:textId="3270040E" w:rsidR="00E1290A" w:rsidRDefault="00E1290A">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577A86A1"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23C5B">
              <w:rPr>
                <w:snapToGrid w:val="0"/>
                <w:sz w:val="23"/>
                <w:szCs w:val="23"/>
              </w:rPr>
              <w:t>3</w:t>
            </w:r>
            <w:r w:rsidR="00267FC1" w:rsidRPr="008D4BF2">
              <w:rPr>
                <w:snapToGrid w:val="0"/>
                <w:sz w:val="23"/>
                <w:szCs w:val="23"/>
              </w:rPr>
              <w:t>/</w:t>
            </w:r>
            <w:r w:rsidR="00E362AB" w:rsidRPr="008D4BF2">
              <w:rPr>
                <w:snapToGrid w:val="0"/>
                <w:sz w:val="23"/>
                <w:szCs w:val="23"/>
              </w:rPr>
              <w:t>2</w:t>
            </w:r>
            <w:r w:rsidR="00123C5B">
              <w:rPr>
                <w:snapToGrid w:val="0"/>
                <w:sz w:val="23"/>
                <w:szCs w:val="23"/>
              </w:rPr>
              <w:t>4</w:t>
            </w:r>
            <w:r w:rsidR="00A2367D" w:rsidRPr="008D4BF2">
              <w:rPr>
                <w:snapToGrid w:val="0"/>
                <w:sz w:val="23"/>
                <w:szCs w:val="23"/>
              </w:rPr>
              <w:t>:</w:t>
            </w:r>
            <w:r w:rsidR="00E1290A">
              <w:rPr>
                <w:snapToGrid w:val="0"/>
                <w:sz w:val="23"/>
                <w:szCs w:val="23"/>
              </w:rPr>
              <w:t>27</w:t>
            </w:r>
            <w:r w:rsidR="00447E69">
              <w:rPr>
                <w:snapToGrid w:val="0"/>
              </w:rPr>
              <w:t>.</w:t>
            </w:r>
          </w:p>
          <w:p w14:paraId="69A855E0" w14:textId="77777777" w:rsidR="00447E69" w:rsidRDefault="00447E69">
            <w:pPr>
              <w:tabs>
                <w:tab w:val="left" w:pos="1701"/>
              </w:tabs>
              <w:rPr>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7AFA3ECE" w14:textId="6D485DB1" w:rsidR="00E1290A" w:rsidRPr="00306F1B" w:rsidRDefault="00306F1B">
            <w:pPr>
              <w:tabs>
                <w:tab w:val="left" w:pos="1701"/>
              </w:tabs>
              <w:rPr>
                <w:bCs/>
                <w:snapToGrid w:val="0"/>
              </w:rPr>
            </w:pPr>
            <w:r>
              <w:rPr>
                <w:bCs/>
                <w:snapToGrid w:val="0"/>
              </w:rPr>
              <w:t xml:space="preserve">Inkomna EU-dokument anmäldes enligt bilaga </w:t>
            </w:r>
            <w:r w:rsidR="00E1290A">
              <w:rPr>
                <w:bCs/>
                <w:snapToGrid w:val="0"/>
              </w:rPr>
              <w:t>2</w:t>
            </w:r>
            <w:r>
              <w:rPr>
                <w:bCs/>
                <w:snapToGrid w:val="0"/>
              </w:rPr>
              <w:t xml:space="preserve">. </w:t>
            </w:r>
          </w:p>
          <w:p w14:paraId="7D9B4CE5" w14:textId="28C60CA4" w:rsidR="00306F1B" w:rsidRDefault="00306F1B">
            <w:pPr>
              <w:tabs>
                <w:tab w:val="left" w:pos="1701"/>
              </w:tabs>
              <w:rPr>
                <w:b/>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775619CA" w:rsidR="008D4BF2" w:rsidRDefault="00E1290A" w:rsidP="00BB7028">
            <w:pPr>
              <w:tabs>
                <w:tab w:val="left" w:pos="1701"/>
              </w:tabs>
              <w:rPr>
                <w:b/>
                <w:bCs/>
              </w:rPr>
            </w:pPr>
            <w:r w:rsidRPr="000B72D5">
              <w:rPr>
                <w:b/>
                <w:bCs/>
              </w:rPr>
              <w:t xml:space="preserve">Mottagande av motionsyrkanden </w:t>
            </w:r>
          </w:p>
          <w:p w14:paraId="3D286214" w14:textId="1AFEA925" w:rsidR="00E1290A" w:rsidRDefault="00E1290A" w:rsidP="00BB7028">
            <w:pPr>
              <w:tabs>
                <w:tab w:val="left" w:pos="1701"/>
              </w:tabs>
              <w:rPr>
                <w:b/>
                <w:bCs/>
              </w:rPr>
            </w:pPr>
          </w:p>
          <w:p w14:paraId="3CD2A796" w14:textId="09589189" w:rsidR="00E1290A" w:rsidRDefault="00F92BF5" w:rsidP="00BB7028">
            <w:pPr>
              <w:tabs>
                <w:tab w:val="left" w:pos="1701"/>
              </w:tabs>
              <w:rPr>
                <w:b/>
                <w:bCs/>
              </w:rPr>
            </w:pPr>
            <w:r w:rsidRPr="00F92BF5">
              <w:t>U</w:t>
            </w:r>
            <w:r>
              <w:t>tskottet beslutade att ta emot motion 2023/24</w:t>
            </w:r>
            <w:r w:rsidR="00D87015">
              <w:t xml:space="preserve">:905 yrkande 12 av </w:t>
            </w:r>
            <w:bookmarkStart w:id="0" w:name="_Hlk160019420"/>
            <w:r w:rsidR="00D87015" w:rsidRPr="000B72D5">
              <w:rPr>
                <w:snapToGrid w:val="0"/>
                <w:color w:val="000000"/>
              </w:rPr>
              <w:t>Amanda Lind m.fl. (MP)</w:t>
            </w:r>
            <w:bookmarkEnd w:id="0"/>
            <w:r w:rsidR="00D87015">
              <w:rPr>
                <w:snapToGrid w:val="0"/>
                <w:color w:val="000000"/>
              </w:rPr>
              <w:t xml:space="preserve"> och </w:t>
            </w:r>
            <w:r w:rsidR="00D87015">
              <w:t xml:space="preserve">motion 2023/24:1036 yrkande 1 och 2 av </w:t>
            </w:r>
            <w:r w:rsidR="00D87015" w:rsidRPr="000B72D5">
              <w:rPr>
                <w:snapToGrid w:val="0"/>
                <w:color w:val="000000"/>
              </w:rPr>
              <w:t>Anna Wallentheim (S)</w:t>
            </w:r>
            <w:r w:rsidR="00D87015">
              <w:t xml:space="preserve"> från kulturutskottet som kulturutskottet beslutade att överlämna vid dess sammanträden den 15 februari och 27 februari. </w:t>
            </w:r>
          </w:p>
          <w:p w14:paraId="16211517" w14:textId="77777777" w:rsidR="00656420" w:rsidRDefault="00656420" w:rsidP="00E1290A">
            <w:pPr>
              <w:tabs>
                <w:tab w:val="left" w:pos="1701"/>
              </w:tabs>
              <w:rPr>
                <w:snapToGrid w:val="0"/>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62CD133F" w:rsidR="008D4BF2" w:rsidRDefault="00E1290A" w:rsidP="00BB7028">
            <w:pPr>
              <w:tabs>
                <w:tab w:val="left" w:pos="1701"/>
              </w:tabs>
              <w:rPr>
                <w:b/>
                <w:bCs/>
              </w:rPr>
            </w:pPr>
            <w:r w:rsidRPr="008C3599">
              <w:rPr>
                <w:b/>
                <w:bCs/>
              </w:rPr>
              <w:t>Lärare och elever</w:t>
            </w:r>
            <w:r w:rsidRPr="00E04686">
              <w:rPr>
                <w:b/>
                <w:bCs/>
              </w:rPr>
              <w:t xml:space="preserve"> (UbU</w:t>
            </w:r>
            <w:r>
              <w:rPr>
                <w:b/>
                <w:bCs/>
              </w:rPr>
              <w:t>11</w:t>
            </w:r>
            <w:r w:rsidRPr="00E04686">
              <w:rPr>
                <w:b/>
                <w:bCs/>
              </w:rPr>
              <w:t>)</w:t>
            </w:r>
          </w:p>
          <w:p w14:paraId="7068322C" w14:textId="77777777" w:rsidR="00E1290A" w:rsidRDefault="00E1290A" w:rsidP="00BB7028">
            <w:pPr>
              <w:tabs>
                <w:tab w:val="left" w:pos="1701"/>
              </w:tabs>
              <w:rPr>
                <w:b/>
                <w:bCs/>
              </w:rPr>
            </w:pPr>
          </w:p>
          <w:p w14:paraId="1FA0E968" w14:textId="1BDA095D" w:rsidR="008D4BF2" w:rsidRPr="008D4BF2" w:rsidRDefault="008D4BF2" w:rsidP="00BB7028">
            <w:pPr>
              <w:tabs>
                <w:tab w:val="left" w:pos="1701"/>
              </w:tabs>
            </w:pPr>
            <w:r w:rsidRPr="008D4BF2">
              <w:t xml:space="preserve">Utskottet </w:t>
            </w:r>
            <w:r w:rsidR="00306F1B">
              <w:t>behandlade</w:t>
            </w:r>
            <w:r w:rsidRPr="008D4BF2">
              <w:t xml:space="preserve"> motioner. </w:t>
            </w:r>
          </w:p>
          <w:p w14:paraId="20302469" w14:textId="77777777" w:rsidR="008D4BF2" w:rsidRPr="008D4BF2" w:rsidRDefault="008D4BF2" w:rsidP="00BB7028">
            <w:pPr>
              <w:tabs>
                <w:tab w:val="left" w:pos="1701"/>
              </w:tabs>
            </w:pPr>
          </w:p>
          <w:p w14:paraId="2EC4F3E7" w14:textId="77777777" w:rsidR="008D4BF2" w:rsidRDefault="008D4BF2" w:rsidP="00BB7028">
            <w:pPr>
              <w:tabs>
                <w:tab w:val="left" w:pos="1701"/>
              </w:tabs>
              <w:rPr>
                <w:b/>
                <w:bCs/>
              </w:rPr>
            </w:pPr>
            <w:r w:rsidRPr="008D4BF2">
              <w:t>Ärendet bordlades.</w:t>
            </w:r>
            <w:r>
              <w:rPr>
                <w:b/>
                <w:bCs/>
              </w:rPr>
              <w:t xml:space="preserve"> </w:t>
            </w:r>
          </w:p>
          <w:p w14:paraId="1ABB43A7" w14:textId="42AE2B6E" w:rsidR="008D4BF2" w:rsidRPr="008D4BF2" w:rsidRDefault="008D4BF2" w:rsidP="00BB7028">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1AE312F0"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E1290A">
              <w:rPr>
                <w:szCs w:val="24"/>
              </w:rPr>
              <w:t>tors</w:t>
            </w:r>
            <w:r w:rsidR="00BB7028">
              <w:rPr>
                <w:szCs w:val="24"/>
              </w:rPr>
              <w:t xml:space="preserve">dagen den </w:t>
            </w:r>
            <w:r w:rsidR="00E1290A">
              <w:rPr>
                <w:szCs w:val="24"/>
              </w:rPr>
              <w:t>7</w:t>
            </w:r>
            <w:r w:rsidR="00575176">
              <w:rPr>
                <w:szCs w:val="24"/>
              </w:rPr>
              <w:t xml:space="preserve"> </w:t>
            </w:r>
            <w:r w:rsidR="00E1290A">
              <w:rPr>
                <w:szCs w:val="24"/>
              </w:rPr>
              <w:t>mars</w:t>
            </w:r>
            <w:r w:rsidR="008D4BF2">
              <w:rPr>
                <w:szCs w:val="24"/>
              </w:rPr>
              <w:t xml:space="preserve"> </w:t>
            </w:r>
            <w:r w:rsidR="00BB7028">
              <w:rPr>
                <w:szCs w:val="24"/>
              </w:rPr>
              <w:t>20</w:t>
            </w:r>
            <w:r w:rsidR="005F0E85">
              <w:rPr>
                <w:szCs w:val="24"/>
              </w:rPr>
              <w:t>2</w:t>
            </w:r>
            <w:r w:rsidR="002B5161">
              <w:rPr>
                <w:szCs w:val="24"/>
              </w:rPr>
              <w:t>4</w:t>
            </w:r>
            <w:r>
              <w:rPr>
                <w:szCs w:val="24"/>
              </w:rPr>
              <w:t xml:space="preserve"> kl. </w:t>
            </w:r>
            <w:r w:rsidR="00E1290A">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7CB6613C" w:rsidR="003B4DE8" w:rsidRDefault="003B4DE8" w:rsidP="003B4DE8">
            <w:pPr>
              <w:tabs>
                <w:tab w:val="left" w:pos="1701"/>
              </w:tabs>
              <w:rPr>
                <w:b/>
              </w:rPr>
            </w:pPr>
          </w:p>
          <w:p w14:paraId="7BBD3E25" w14:textId="77777777" w:rsidR="00B06C1B" w:rsidRDefault="00B06C1B"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2184BF94" w:rsidR="00D817DA" w:rsidRDefault="00B06C1B" w:rsidP="00D817DA">
            <w:pPr>
              <w:tabs>
                <w:tab w:val="left" w:pos="1701"/>
              </w:tabs>
            </w:pPr>
            <w:r>
              <w:t>Lotta Lann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138825FB" w:rsidR="00D817DA" w:rsidRDefault="00D817DA" w:rsidP="00D817DA">
            <w:pPr>
              <w:tabs>
                <w:tab w:val="left" w:pos="1701"/>
              </w:tabs>
            </w:pPr>
            <w:r w:rsidRPr="00C56172">
              <w:t xml:space="preserve">Justeras </w:t>
            </w:r>
            <w:r w:rsidR="00E1290A">
              <w:t>tors</w:t>
            </w:r>
            <w:r w:rsidRPr="00C56172">
              <w:t xml:space="preserve">dagen </w:t>
            </w:r>
            <w:r w:rsidR="008D4BF2">
              <w:t xml:space="preserve">den </w:t>
            </w:r>
            <w:r w:rsidR="00E1290A">
              <w:t>7</w:t>
            </w:r>
            <w:r w:rsidR="008D4BF2">
              <w:t xml:space="preserve"> </w:t>
            </w:r>
            <w:r w:rsidR="00E1290A">
              <w:t>mars</w:t>
            </w:r>
            <w:r w:rsidR="00BB7028">
              <w:t xml:space="preserve"> 20</w:t>
            </w:r>
            <w:r w:rsidR="005F0E85">
              <w:t>2</w:t>
            </w:r>
            <w:r w:rsidR="002B5161">
              <w:t>4</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6A9CC9E1" w:rsidR="00822AF4" w:rsidRPr="00310016" w:rsidRDefault="00822AF4" w:rsidP="007A14AA">
            <w:pPr>
              <w:tabs>
                <w:tab w:val="left" w:pos="1276"/>
              </w:tabs>
              <w:rPr>
                <w:b/>
              </w:rPr>
            </w:pPr>
            <w:r w:rsidRPr="00DB43E0">
              <w:t>202</w:t>
            </w:r>
            <w:r w:rsidR="00123C5B">
              <w:t>3</w:t>
            </w:r>
            <w:r w:rsidRPr="00DB43E0">
              <w:t>/2</w:t>
            </w:r>
            <w:r w:rsidR="00123C5B">
              <w:t>4</w:t>
            </w:r>
            <w:r w:rsidRPr="00DB43E0">
              <w:t>:</w:t>
            </w:r>
            <w:r w:rsidR="00E1290A">
              <w:t>28</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1389748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264F8E">
              <w:rPr>
                <w:sz w:val="22"/>
              </w:rPr>
              <w:t xml:space="preserve"> </w:t>
            </w:r>
            <w:r w:rsidR="00F12711">
              <w:rPr>
                <w:sz w:val="22"/>
              </w:rPr>
              <w:t>1–</w:t>
            </w:r>
            <w:r w:rsidR="00264F8E">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14:paraId="1B6C0EF0" w14:textId="6793B5A5"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B06C1B">
              <w:rPr>
                <w:sz w:val="22"/>
              </w:rPr>
              <w:t xml:space="preserve"> </w:t>
            </w:r>
            <w:proofErr w:type="gramStart"/>
            <w:r w:rsidR="00264F8E">
              <w:rPr>
                <w:sz w:val="22"/>
              </w:rPr>
              <w:t>10</w:t>
            </w:r>
            <w:r w:rsidR="00B06C1B">
              <w:rPr>
                <w:sz w:val="22"/>
              </w:rPr>
              <w:t>-14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264F8E" w:rsidRPr="00C145F4"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0EDA14FD"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264F8E" w:rsidRPr="00C145F4"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5F63EF3F"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264F8E" w:rsidRPr="00C145F4" w:rsidRDefault="00264F8E" w:rsidP="00264F8E">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17DE2CB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4BAD6B5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264F8E" w:rsidRPr="00C145F4" w:rsidRDefault="00264F8E" w:rsidP="00264F8E">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41662061"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36013B40"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264F8E" w:rsidRPr="0000117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264F8E" w:rsidRPr="00C145F4" w:rsidRDefault="00264F8E" w:rsidP="00264F8E">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05F4F00D"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7B7D815B"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264F8E" w:rsidRPr="00C145F4" w:rsidRDefault="00264F8E" w:rsidP="00264F8E">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20A9C8CA"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39EA3728"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264F8E" w:rsidRPr="00C145F4" w:rsidRDefault="00264F8E" w:rsidP="00264F8E">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2C88AB5A"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40571D6F"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264F8E" w:rsidRPr="00EC27A5"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264F8E" w:rsidRPr="00C145F4" w:rsidRDefault="00264F8E" w:rsidP="00264F8E">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1222577E"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3A29038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264F8E" w:rsidRPr="00C145F4" w:rsidRDefault="00264F8E" w:rsidP="00264F8E">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28AC6C03"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204A6A8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58F86C7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264F8E" w:rsidRPr="00C145F4" w:rsidRDefault="00264F8E" w:rsidP="00264F8E">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25941C49"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68A0423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264F8E" w:rsidRPr="00C145F4" w:rsidRDefault="00264F8E" w:rsidP="00264F8E">
            <w:pPr>
              <w:rPr>
                <w:sz w:val="22"/>
                <w:szCs w:val="22"/>
              </w:rPr>
            </w:pPr>
            <w:r w:rsidRPr="00C145F4">
              <w:rPr>
                <w:sz w:val="22"/>
                <w:szCs w:val="22"/>
              </w:rPr>
              <w:t xml:space="preserve">Aylin </w:t>
            </w:r>
            <w:r>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E435CB3"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43D0E88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6912FC8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4C54445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264F8E" w:rsidRPr="00C145F4" w:rsidRDefault="00264F8E" w:rsidP="00264F8E">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3E0DEDF8"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6BE731E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264F8E" w:rsidRPr="00C145F4" w:rsidRDefault="00264F8E" w:rsidP="00264F8E">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376F0794"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4C28DEF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7916773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264F8E" w:rsidRPr="00C145F4" w:rsidRDefault="00264F8E" w:rsidP="00264F8E">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3982935B"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391F864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1BAA7EF9" w:rsidR="00264F8E" w:rsidRPr="00C145F4" w:rsidRDefault="00264F8E" w:rsidP="00264F8E">
            <w:pPr>
              <w:rPr>
                <w:sz w:val="22"/>
                <w:szCs w:val="22"/>
              </w:rPr>
            </w:pPr>
            <w:r>
              <w:rPr>
                <w:sz w:val="22"/>
                <w:szCs w:val="22"/>
              </w:rPr>
              <w:t>Anders Ådahl</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004CFA7C"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3EAABBD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46C8F28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6DC5E48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264F8E" w:rsidRPr="00C145F4" w:rsidRDefault="00264F8E" w:rsidP="00264F8E">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615BD4AF"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6484D41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264F8E" w:rsidRPr="00C145F4" w:rsidRDefault="00264F8E" w:rsidP="00264F8E">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1AFB3A7B" w:rsidR="00264F8E" w:rsidRDefault="00264F8E" w:rsidP="00264F8E">
            <w: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264F8E" w:rsidRDefault="00264F8E" w:rsidP="00264F8E"/>
        </w:tc>
        <w:tc>
          <w:tcPr>
            <w:tcW w:w="356" w:type="dxa"/>
            <w:tcBorders>
              <w:top w:val="single" w:sz="6" w:space="0" w:color="auto"/>
              <w:left w:val="single" w:sz="6" w:space="0" w:color="auto"/>
              <w:bottom w:val="single" w:sz="6" w:space="0" w:color="auto"/>
              <w:right w:val="single" w:sz="6" w:space="0" w:color="auto"/>
            </w:tcBorders>
          </w:tcPr>
          <w:p w14:paraId="64CAEAD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264F8E" w:rsidRPr="003D41A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264F8E" w:rsidRPr="00C145F4" w:rsidRDefault="00264F8E" w:rsidP="00264F8E">
            <w:pPr>
              <w:rPr>
                <w:sz w:val="22"/>
                <w:szCs w:val="22"/>
              </w:rPr>
            </w:pPr>
            <w:r>
              <w:rPr>
                <w:sz w:val="22"/>
                <w:szCs w:val="22"/>
              </w:rPr>
              <w:t>Sara Gille</w:t>
            </w:r>
            <w:r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264F8E" w:rsidRPr="00C145F4" w:rsidRDefault="00264F8E" w:rsidP="00264F8E">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2CF42FA0"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057A93E5"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64F8E"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264F8E" w:rsidRPr="00C145F4" w:rsidRDefault="00264F8E" w:rsidP="00264F8E">
            <w:pPr>
              <w:rPr>
                <w:sz w:val="22"/>
                <w:szCs w:val="22"/>
              </w:rPr>
            </w:pPr>
            <w:r>
              <w:rPr>
                <w:sz w:val="22"/>
                <w:szCs w:val="22"/>
              </w:rPr>
              <w:t>Oliver Rosengren (M)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097F2648"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64F8E"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264F8E" w:rsidRPr="00C145F4" w:rsidRDefault="00264F8E" w:rsidP="00264F8E">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786C8B2D"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264F8E" w:rsidRPr="009E1FCA"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64F8E"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264F8E" w:rsidRPr="003D22AA" w:rsidRDefault="00264F8E" w:rsidP="00264F8E">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64F8E"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264F8E" w:rsidRPr="00C145F4" w:rsidRDefault="00264F8E" w:rsidP="00264F8E">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64F8E"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264F8E" w:rsidRPr="00C145F4" w:rsidRDefault="00264F8E" w:rsidP="00264F8E">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264F8E" w:rsidRPr="00402D5D"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64F8E"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264F8E" w:rsidRPr="00C145F4" w:rsidRDefault="00264F8E" w:rsidP="00264F8E">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264F8E" w:rsidRPr="00C145F4" w:rsidRDefault="00264F8E" w:rsidP="00264F8E">
            <w:pPr>
              <w:rPr>
                <w:sz w:val="22"/>
                <w:szCs w:val="22"/>
              </w:rPr>
            </w:pPr>
            <w:r w:rsidRPr="003E324A">
              <w:rPr>
                <w:sz w:val="22"/>
                <w:szCs w:val="22"/>
              </w:rPr>
              <w:t>Michael Rubbestad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264F8E" w:rsidRPr="00C145F4" w:rsidRDefault="00264F8E" w:rsidP="00264F8E">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264F8E" w:rsidRPr="00C145F4" w:rsidRDefault="00264F8E" w:rsidP="00264F8E">
            <w:pPr>
              <w:rPr>
                <w:sz w:val="22"/>
                <w:szCs w:val="22"/>
              </w:rPr>
            </w:pPr>
            <w:r>
              <w:rPr>
                <w:sz w:val="22"/>
                <w:szCs w:val="22"/>
              </w:rPr>
              <w:t>Katarina Tolgfors</w:t>
            </w:r>
            <w:r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264F8E" w:rsidRPr="00C145F4" w:rsidRDefault="00264F8E" w:rsidP="00264F8E">
            <w:pPr>
              <w:rPr>
                <w:sz w:val="22"/>
                <w:szCs w:val="22"/>
              </w:rPr>
            </w:pPr>
            <w:r w:rsidRPr="00210E6C">
              <w:rPr>
                <w:sz w:val="22"/>
                <w:szCs w:val="22"/>
              </w:rPr>
              <w:t xml:space="preserve">Nadja Awad </w:t>
            </w:r>
            <w:r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F3CA4DB"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264F8E" w:rsidRPr="00C145F4" w:rsidRDefault="00264F8E" w:rsidP="00264F8E">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0342925A" w:rsidR="00264F8E" w:rsidRPr="00C145F4" w:rsidRDefault="00264F8E" w:rsidP="00264F8E">
            <w:pPr>
              <w:rPr>
                <w:sz w:val="22"/>
                <w:szCs w:val="22"/>
              </w:rPr>
            </w:pPr>
            <w:r>
              <w:rPr>
                <w:sz w:val="22"/>
                <w:szCs w:val="22"/>
              </w:rPr>
              <w:t>Vakant</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2BF5312E"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264F8E" w:rsidRPr="00C145F4" w:rsidRDefault="00264F8E" w:rsidP="00264F8E">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264F8E" w:rsidRPr="00C145F4" w:rsidRDefault="00264F8E" w:rsidP="00264F8E">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264F8E" w:rsidRPr="00C145F4" w:rsidRDefault="00264F8E" w:rsidP="00264F8E">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264F8E" w:rsidRPr="00C145F4" w:rsidRDefault="00264F8E" w:rsidP="00264F8E">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52674E05" w:rsidR="00264F8E" w:rsidRPr="00C145F4" w:rsidRDefault="00264F8E" w:rsidP="00264F8E">
            <w:pPr>
              <w:rPr>
                <w:sz w:val="22"/>
                <w:szCs w:val="22"/>
              </w:rPr>
            </w:pPr>
            <w:r>
              <w:rPr>
                <w:sz w:val="22"/>
                <w:szCs w:val="22"/>
              </w:rPr>
              <w:t>Vakant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264F8E" w:rsidRPr="00C145F4" w:rsidRDefault="00264F8E" w:rsidP="00264F8E">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264F8E" w:rsidRPr="00C145F4" w:rsidRDefault="00264F8E" w:rsidP="00264F8E">
            <w:pPr>
              <w:rPr>
                <w:sz w:val="22"/>
                <w:szCs w:val="22"/>
              </w:rPr>
            </w:pPr>
            <w:r w:rsidRPr="0000051E">
              <w:rPr>
                <w:sz w:val="22"/>
                <w:szCs w:val="22"/>
              </w:rPr>
              <w:t xml:space="preserve">Anna Lasses </w:t>
            </w:r>
            <w:r>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264F8E" w:rsidRPr="00C145F4" w:rsidRDefault="00264F8E" w:rsidP="00264F8E">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264F8E" w:rsidRPr="00C145F4" w:rsidRDefault="00264F8E" w:rsidP="00264F8E">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264F8E" w:rsidRDefault="00264F8E" w:rsidP="00264F8E">
            <w:pPr>
              <w:rPr>
                <w:sz w:val="22"/>
                <w:szCs w:val="22"/>
              </w:rPr>
            </w:pPr>
            <w:r>
              <w:rPr>
                <w:sz w:val="22"/>
                <w:szCs w:val="22"/>
              </w:rPr>
              <w:lastRenderedPageBreak/>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264F8E" w:rsidRDefault="00264F8E" w:rsidP="00264F8E">
            <w:pPr>
              <w:rPr>
                <w:sz w:val="22"/>
                <w:szCs w:val="22"/>
              </w:rPr>
            </w:pPr>
            <w:r>
              <w:rPr>
                <w:sz w:val="22"/>
                <w:szCs w:val="22"/>
              </w:rPr>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264F8E" w:rsidRDefault="00264F8E" w:rsidP="00264F8E">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264F8E" w:rsidRDefault="00264F8E" w:rsidP="00264F8E">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64F8E" w:rsidRDefault="00264F8E" w:rsidP="00264F8E">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270103E5"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B69536F" w14:textId="2B9A32A4" w:rsidR="00264F8E" w:rsidRDefault="00264F8E" w:rsidP="00264F8E">
            <w:pPr>
              <w:rPr>
                <w:sz w:val="22"/>
                <w:szCs w:val="22"/>
              </w:rPr>
            </w:pPr>
            <w:r>
              <w:rPr>
                <w:sz w:val="22"/>
                <w:szCs w:val="22"/>
              </w:rPr>
              <w:t>Mona Smedman (C)</w:t>
            </w:r>
          </w:p>
        </w:tc>
        <w:tc>
          <w:tcPr>
            <w:tcW w:w="356" w:type="dxa"/>
            <w:gridSpan w:val="2"/>
            <w:tcBorders>
              <w:top w:val="single" w:sz="6" w:space="0" w:color="auto"/>
              <w:left w:val="single" w:sz="6" w:space="0" w:color="auto"/>
              <w:bottom w:val="single" w:sz="6" w:space="0" w:color="auto"/>
              <w:right w:val="single" w:sz="6" w:space="0" w:color="auto"/>
            </w:tcBorders>
          </w:tcPr>
          <w:p w14:paraId="22B2B4B3" w14:textId="243212BB"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CAF5A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F7544" w14:textId="06A54302"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828AD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164655"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502F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0BB7D"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4595D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2DEA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75972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5444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895B1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77E02"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9DC9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1AB975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AC01CEC" w14:textId="7B85DAF9" w:rsidR="00264F8E" w:rsidRDefault="00264F8E" w:rsidP="00264F8E">
            <w:pPr>
              <w:rPr>
                <w:sz w:val="22"/>
                <w:szCs w:val="22"/>
              </w:rPr>
            </w:pPr>
            <w:r>
              <w:rPr>
                <w:sz w:val="22"/>
                <w:szCs w:val="22"/>
              </w:rPr>
              <w:t>Paula Örn (S)</w:t>
            </w:r>
          </w:p>
        </w:tc>
        <w:tc>
          <w:tcPr>
            <w:tcW w:w="356" w:type="dxa"/>
            <w:gridSpan w:val="2"/>
            <w:tcBorders>
              <w:top w:val="single" w:sz="6" w:space="0" w:color="auto"/>
              <w:left w:val="single" w:sz="6" w:space="0" w:color="auto"/>
              <w:bottom w:val="single" w:sz="6" w:space="0" w:color="auto"/>
              <w:right w:val="single" w:sz="6" w:space="0" w:color="auto"/>
            </w:tcBorders>
          </w:tcPr>
          <w:p w14:paraId="672270D5" w14:textId="4E82859F"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F992F"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78F1" w14:textId="0D085AE1"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590795C"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8CA70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05A8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E0CF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344DB"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54E1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919B9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B353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0569E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CA47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EA2D4"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6FA9C55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0167D6E" w14:textId="463D6E40" w:rsidR="00264F8E" w:rsidRDefault="00264F8E" w:rsidP="00264F8E">
            <w:pPr>
              <w:rPr>
                <w:sz w:val="22"/>
                <w:szCs w:val="22"/>
              </w:rPr>
            </w:pPr>
            <w:r>
              <w:rPr>
                <w:sz w:val="22"/>
                <w:szCs w:val="22"/>
              </w:rPr>
              <w:t>Lena Bäckelin (S)</w:t>
            </w:r>
          </w:p>
        </w:tc>
        <w:tc>
          <w:tcPr>
            <w:tcW w:w="356" w:type="dxa"/>
            <w:gridSpan w:val="2"/>
            <w:tcBorders>
              <w:top w:val="single" w:sz="6" w:space="0" w:color="auto"/>
              <w:left w:val="single" w:sz="6" w:space="0" w:color="auto"/>
              <w:bottom w:val="single" w:sz="6" w:space="0" w:color="auto"/>
              <w:right w:val="single" w:sz="6" w:space="0" w:color="auto"/>
            </w:tcBorders>
          </w:tcPr>
          <w:p w14:paraId="19D6B07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D88D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B7B3B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646E1"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89DF96"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5339A9"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DCC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3D12E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0B47F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D4A7F7"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CBBB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FB628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FFD493"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8AC4BA"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64F8E" w14:paraId="7CC363F1" w14:textId="77777777" w:rsidTr="007A14AA">
        <w:trPr>
          <w:trHeight w:val="263"/>
        </w:trPr>
        <w:tc>
          <w:tcPr>
            <w:tcW w:w="3614" w:type="dxa"/>
          </w:tcPr>
          <w:p w14:paraId="17DEF8D5" w14:textId="77777777" w:rsidR="00264F8E" w:rsidRPr="003D41A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264F8E" w14:paraId="70E609D0" w14:textId="77777777" w:rsidTr="007A14AA">
        <w:trPr>
          <w:trHeight w:val="262"/>
        </w:trPr>
        <w:tc>
          <w:tcPr>
            <w:tcW w:w="3614" w:type="dxa"/>
          </w:tcPr>
          <w:p w14:paraId="6EDE1E1E" w14:textId="77777777" w:rsidR="00264F8E" w:rsidRPr="003D41A2"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264F8E" w:rsidRDefault="00264F8E" w:rsidP="00264F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137EAB80" w14:textId="1C7FBE52" w:rsidR="00575176" w:rsidRDefault="00575176" w:rsidP="008D4BF2"/>
    <w:p w14:paraId="0E10259D" w14:textId="6949140F" w:rsidR="00AB2E46" w:rsidRDefault="00AB2E46" w:rsidP="00405754">
      <w:pPr>
        <w:widowControl/>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17AED"/>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135"/>
    <w:rsid w:val="000D534A"/>
    <w:rsid w:val="000E5FA0"/>
    <w:rsid w:val="000E611E"/>
    <w:rsid w:val="000E65A3"/>
    <w:rsid w:val="000F18FE"/>
    <w:rsid w:val="000F3EEE"/>
    <w:rsid w:val="000F4556"/>
    <w:rsid w:val="00100A34"/>
    <w:rsid w:val="00123C5B"/>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7D45"/>
    <w:rsid w:val="00210E6C"/>
    <w:rsid w:val="0022226E"/>
    <w:rsid w:val="00224EC3"/>
    <w:rsid w:val="00237DB6"/>
    <w:rsid w:val="00241043"/>
    <w:rsid w:val="002462FF"/>
    <w:rsid w:val="00253162"/>
    <w:rsid w:val="002608E3"/>
    <w:rsid w:val="00264F8E"/>
    <w:rsid w:val="00267FC1"/>
    <w:rsid w:val="002711A1"/>
    <w:rsid w:val="002830F8"/>
    <w:rsid w:val="002871AD"/>
    <w:rsid w:val="0029051D"/>
    <w:rsid w:val="0029458D"/>
    <w:rsid w:val="002A3434"/>
    <w:rsid w:val="002B5161"/>
    <w:rsid w:val="002C7850"/>
    <w:rsid w:val="002D5CD8"/>
    <w:rsid w:val="002E1ECA"/>
    <w:rsid w:val="002E7435"/>
    <w:rsid w:val="002E7751"/>
    <w:rsid w:val="002F31F6"/>
    <w:rsid w:val="002F53A6"/>
    <w:rsid w:val="00303E1D"/>
    <w:rsid w:val="00306F1B"/>
    <w:rsid w:val="00310016"/>
    <w:rsid w:val="003125C1"/>
    <w:rsid w:val="00313972"/>
    <w:rsid w:val="003246C7"/>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402D5D"/>
    <w:rsid w:val="0040376B"/>
    <w:rsid w:val="00405754"/>
    <w:rsid w:val="00407517"/>
    <w:rsid w:val="00411691"/>
    <w:rsid w:val="004214D1"/>
    <w:rsid w:val="00424C64"/>
    <w:rsid w:val="0042750F"/>
    <w:rsid w:val="004309E7"/>
    <w:rsid w:val="00437505"/>
    <w:rsid w:val="00447E69"/>
    <w:rsid w:val="004514FD"/>
    <w:rsid w:val="00453542"/>
    <w:rsid w:val="0045482B"/>
    <w:rsid w:val="004610E6"/>
    <w:rsid w:val="004674B5"/>
    <w:rsid w:val="00483EB5"/>
    <w:rsid w:val="004875DF"/>
    <w:rsid w:val="004C4C01"/>
    <w:rsid w:val="004C7522"/>
    <w:rsid w:val="004E024A"/>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6F6ADE"/>
    <w:rsid w:val="006F6F56"/>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0525A"/>
    <w:rsid w:val="00A06F09"/>
    <w:rsid w:val="00A102DB"/>
    <w:rsid w:val="00A10ED0"/>
    <w:rsid w:val="00A13D11"/>
    <w:rsid w:val="00A2367D"/>
    <w:rsid w:val="00A25C8C"/>
    <w:rsid w:val="00A26086"/>
    <w:rsid w:val="00A34066"/>
    <w:rsid w:val="00A35508"/>
    <w:rsid w:val="00A370F4"/>
    <w:rsid w:val="00A41B36"/>
    <w:rsid w:val="00A428EC"/>
    <w:rsid w:val="00A47DB2"/>
    <w:rsid w:val="00A65178"/>
    <w:rsid w:val="00A66B33"/>
    <w:rsid w:val="00A84772"/>
    <w:rsid w:val="00A956F9"/>
    <w:rsid w:val="00AB2E46"/>
    <w:rsid w:val="00AB3B80"/>
    <w:rsid w:val="00AB5776"/>
    <w:rsid w:val="00AC33D3"/>
    <w:rsid w:val="00AD44A0"/>
    <w:rsid w:val="00AF0314"/>
    <w:rsid w:val="00AF4D2B"/>
    <w:rsid w:val="00AF62C3"/>
    <w:rsid w:val="00B06C1B"/>
    <w:rsid w:val="00B1265F"/>
    <w:rsid w:val="00B22FB7"/>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0939"/>
    <w:rsid w:val="00D14067"/>
    <w:rsid w:val="00D16550"/>
    <w:rsid w:val="00D21331"/>
    <w:rsid w:val="00D35718"/>
    <w:rsid w:val="00D4759F"/>
    <w:rsid w:val="00D63878"/>
    <w:rsid w:val="00D65276"/>
    <w:rsid w:val="00D67D14"/>
    <w:rsid w:val="00D73858"/>
    <w:rsid w:val="00D75785"/>
    <w:rsid w:val="00D817DA"/>
    <w:rsid w:val="00D81F84"/>
    <w:rsid w:val="00D85D67"/>
    <w:rsid w:val="00D87015"/>
    <w:rsid w:val="00DA2684"/>
    <w:rsid w:val="00DB43E0"/>
    <w:rsid w:val="00DB451F"/>
    <w:rsid w:val="00DC3214"/>
    <w:rsid w:val="00DE08F2"/>
    <w:rsid w:val="00DE3264"/>
    <w:rsid w:val="00DE45C0"/>
    <w:rsid w:val="00E03441"/>
    <w:rsid w:val="00E03CFD"/>
    <w:rsid w:val="00E04650"/>
    <w:rsid w:val="00E1290A"/>
    <w:rsid w:val="00E12E8A"/>
    <w:rsid w:val="00E13501"/>
    <w:rsid w:val="00E15C69"/>
    <w:rsid w:val="00E15FBD"/>
    <w:rsid w:val="00E1627A"/>
    <w:rsid w:val="00E23AB7"/>
    <w:rsid w:val="00E2514D"/>
    <w:rsid w:val="00E362AB"/>
    <w:rsid w:val="00E45BEC"/>
    <w:rsid w:val="00E52F02"/>
    <w:rsid w:val="00E72E3F"/>
    <w:rsid w:val="00E776AC"/>
    <w:rsid w:val="00E77ADF"/>
    <w:rsid w:val="00E810DC"/>
    <w:rsid w:val="00E81B4F"/>
    <w:rsid w:val="00E93918"/>
    <w:rsid w:val="00EB577E"/>
    <w:rsid w:val="00EC27A5"/>
    <w:rsid w:val="00EC418A"/>
    <w:rsid w:val="00EE4C8A"/>
    <w:rsid w:val="00EE73D8"/>
    <w:rsid w:val="00F12574"/>
    <w:rsid w:val="00F12711"/>
    <w:rsid w:val="00F23954"/>
    <w:rsid w:val="00F33EF9"/>
    <w:rsid w:val="00F44908"/>
    <w:rsid w:val="00F46F0D"/>
    <w:rsid w:val="00F573AC"/>
    <w:rsid w:val="00F7021F"/>
    <w:rsid w:val="00F70C44"/>
    <w:rsid w:val="00F72877"/>
    <w:rsid w:val="00F816D5"/>
    <w:rsid w:val="00F8533C"/>
    <w:rsid w:val="00F92BF5"/>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D87015"/>
    <w:rPr>
      <w:color w:val="0000FF"/>
      <w:u w:val="single"/>
    </w:rPr>
  </w:style>
  <w:style w:type="paragraph" w:styleId="Brdtext">
    <w:name w:val="Body Text"/>
    <w:basedOn w:val="Normal"/>
    <w:link w:val="BrdtextChar"/>
    <w:unhideWhenUsed/>
    <w:qFormat/>
    <w:rsid w:val="000D513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0D5135"/>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0262">
      <w:bodyDiv w:val="1"/>
      <w:marLeft w:val="0"/>
      <w:marRight w:val="0"/>
      <w:marTop w:val="0"/>
      <w:marBottom w:val="0"/>
      <w:divBdr>
        <w:top w:val="none" w:sz="0" w:space="0" w:color="auto"/>
        <w:left w:val="none" w:sz="0" w:space="0" w:color="auto"/>
        <w:bottom w:val="none" w:sz="0" w:space="0" w:color="auto"/>
        <w:right w:val="none" w:sz="0" w:space="0" w:color="auto"/>
      </w:divBdr>
    </w:div>
    <w:div w:id="411315137">
      <w:bodyDiv w:val="1"/>
      <w:marLeft w:val="0"/>
      <w:marRight w:val="0"/>
      <w:marTop w:val="0"/>
      <w:marBottom w:val="0"/>
      <w:divBdr>
        <w:top w:val="none" w:sz="0" w:space="0" w:color="auto"/>
        <w:left w:val="none" w:sz="0" w:space="0" w:color="auto"/>
        <w:bottom w:val="none" w:sz="0" w:space="0" w:color="auto"/>
        <w:right w:val="none" w:sz="0" w:space="0" w:color="auto"/>
      </w:divBdr>
    </w:div>
    <w:div w:id="482627372">
      <w:bodyDiv w:val="1"/>
      <w:marLeft w:val="0"/>
      <w:marRight w:val="0"/>
      <w:marTop w:val="0"/>
      <w:marBottom w:val="0"/>
      <w:divBdr>
        <w:top w:val="none" w:sz="0" w:space="0" w:color="auto"/>
        <w:left w:val="none" w:sz="0" w:space="0" w:color="auto"/>
        <w:bottom w:val="none" w:sz="0" w:space="0" w:color="auto"/>
        <w:right w:val="none" w:sz="0" w:space="0" w:color="auto"/>
      </w:divBdr>
    </w:div>
    <w:div w:id="664623441">
      <w:bodyDiv w:val="1"/>
      <w:marLeft w:val="0"/>
      <w:marRight w:val="0"/>
      <w:marTop w:val="0"/>
      <w:marBottom w:val="0"/>
      <w:divBdr>
        <w:top w:val="none" w:sz="0" w:space="0" w:color="auto"/>
        <w:left w:val="none" w:sz="0" w:space="0" w:color="auto"/>
        <w:bottom w:val="none" w:sz="0" w:space="0" w:color="auto"/>
        <w:right w:val="none" w:sz="0" w:space="0" w:color="auto"/>
      </w:divBdr>
    </w:div>
    <w:div w:id="1116801451">
      <w:bodyDiv w:val="1"/>
      <w:marLeft w:val="0"/>
      <w:marRight w:val="0"/>
      <w:marTop w:val="0"/>
      <w:marBottom w:val="0"/>
      <w:divBdr>
        <w:top w:val="none" w:sz="0" w:space="0" w:color="auto"/>
        <w:left w:val="none" w:sz="0" w:space="0" w:color="auto"/>
        <w:bottom w:val="none" w:sz="0" w:space="0" w:color="auto"/>
        <w:right w:val="none" w:sz="0" w:space="0" w:color="auto"/>
      </w:divBdr>
    </w:div>
    <w:div w:id="1237058505">
      <w:bodyDiv w:val="1"/>
      <w:marLeft w:val="0"/>
      <w:marRight w:val="0"/>
      <w:marTop w:val="0"/>
      <w:marBottom w:val="0"/>
      <w:divBdr>
        <w:top w:val="none" w:sz="0" w:space="0" w:color="auto"/>
        <w:left w:val="none" w:sz="0" w:space="0" w:color="auto"/>
        <w:bottom w:val="none" w:sz="0" w:space="0" w:color="auto"/>
        <w:right w:val="none" w:sz="0" w:space="0" w:color="auto"/>
      </w:divBdr>
    </w:div>
    <w:div w:id="1269848733">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49681306">
      <w:bodyDiv w:val="1"/>
      <w:marLeft w:val="0"/>
      <w:marRight w:val="0"/>
      <w:marTop w:val="0"/>
      <w:marBottom w:val="0"/>
      <w:divBdr>
        <w:top w:val="none" w:sz="0" w:space="0" w:color="auto"/>
        <w:left w:val="none" w:sz="0" w:space="0" w:color="auto"/>
        <w:bottom w:val="none" w:sz="0" w:space="0" w:color="auto"/>
        <w:right w:val="none" w:sz="0" w:space="0" w:color="auto"/>
      </w:divBdr>
    </w:div>
    <w:div w:id="19337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2102</Words>
  <Characters>14515</Characters>
  <Application>Microsoft Office Word</Application>
  <DocSecurity>0</DocSecurity>
  <Lines>120</Lines>
  <Paragraphs>33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2024-03-14T09:45:00Z</dcterms:created>
  <dcterms:modified xsi:type="dcterms:W3CDTF">2024-03-14T09:46:00Z</dcterms:modified>
</cp:coreProperties>
</file>