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15415" w:rsidTr="00BF31FF">
        <w:tc>
          <w:tcPr>
            <w:tcW w:w="9141" w:type="dxa"/>
          </w:tcPr>
          <w:p w:rsidR="00915415" w:rsidRDefault="006A48A1" w:rsidP="006A48A1">
            <w:r>
              <w:t>KULTURUTSKOTTET</w:t>
            </w:r>
          </w:p>
        </w:tc>
      </w:tr>
    </w:tbl>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A12B6E">
              <w:rPr>
                <w:b/>
              </w:rPr>
              <w:t>8</w:t>
            </w:r>
            <w:r w:rsidR="001A3A0D">
              <w:rPr>
                <w:b/>
              </w:rPr>
              <w:t>/</w:t>
            </w:r>
            <w:r w:rsidR="000A25F7">
              <w:rPr>
                <w:b/>
              </w:rPr>
              <w:t>1</w:t>
            </w:r>
            <w:r w:rsidR="00A12B6E">
              <w:rPr>
                <w:b/>
              </w:rPr>
              <w:t>9</w:t>
            </w:r>
            <w:r w:rsidR="00915415">
              <w:rPr>
                <w:b/>
              </w:rPr>
              <w:t>:</w:t>
            </w:r>
            <w:r w:rsidR="00C27255">
              <w:rPr>
                <w:b/>
              </w:rPr>
              <w:t>10</w:t>
            </w:r>
          </w:p>
          <w:p w:rsidR="00915415" w:rsidRDefault="00915415">
            <w:pPr>
              <w:rPr>
                <w:b/>
              </w:rPr>
            </w:pPr>
          </w:p>
        </w:tc>
      </w:tr>
      <w:tr w:rsidR="00915415">
        <w:tc>
          <w:tcPr>
            <w:tcW w:w="1985" w:type="dxa"/>
          </w:tcPr>
          <w:p w:rsidR="00915415" w:rsidRDefault="00915415">
            <w:r>
              <w:t>DATUM</w:t>
            </w:r>
          </w:p>
        </w:tc>
        <w:tc>
          <w:tcPr>
            <w:tcW w:w="6463" w:type="dxa"/>
          </w:tcPr>
          <w:p w:rsidR="00915415" w:rsidRDefault="009B0683" w:rsidP="00327A63">
            <w:r>
              <w:t>Torsdagen den 15 november 2018</w:t>
            </w:r>
          </w:p>
        </w:tc>
      </w:tr>
      <w:tr w:rsidR="00915415">
        <w:tc>
          <w:tcPr>
            <w:tcW w:w="1985" w:type="dxa"/>
          </w:tcPr>
          <w:p w:rsidR="00915415" w:rsidRDefault="00915415">
            <w:r>
              <w:t>TID</w:t>
            </w:r>
          </w:p>
        </w:tc>
        <w:tc>
          <w:tcPr>
            <w:tcW w:w="6463" w:type="dxa"/>
          </w:tcPr>
          <w:p w:rsidR="00915415" w:rsidRDefault="000B5580" w:rsidP="004F7BFA">
            <w:r>
              <w:t xml:space="preserve">Kl. </w:t>
            </w:r>
            <w:r w:rsidR="009B0683">
              <w:t>10.00–</w:t>
            </w:r>
            <w:r w:rsidR="004F7BFA">
              <w:t>10.50</w:t>
            </w:r>
          </w:p>
        </w:tc>
      </w:tr>
      <w:tr w:rsidR="00915415">
        <w:tc>
          <w:tcPr>
            <w:tcW w:w="1985" w:type="dxa"/>
          </w:tcPr>
          <w:p w:rsidR="00915415" w:rsidRDefault="00915415">
            <w:r>
              <w:t>NÄRVARANDE</w:t>
            </w:r>
          </w:p>
        </w:tc>
        <w:tc>
          <w:tcPr>
            <w:tcW w:w="6463" w:type="dxa"/>
          </w:tcPr>
          <w:p w:rsidR="00915415" w:rsidRDefault="003E2D14">
            <w:r>
              <w:t>Se bilaga</w:t>
            </w:r>
          </w:p>
        </w:tc>
      </w:tr>
    </w:tbl>
    <w:p w:rsidR="002A29C8" w:rsidRDefault="002A29C8">
      <w:pPr>
        <w:tabs>
          <w:tab w:val="left" w:pos="1701"/>
        </w:tabs>
        <w:rPr>
          <w:snapToGrid w:val="0"/>
          <w:color w:val="000000"/>
        </w:rPr>
      </w:pPr>
    </w:p>
    <w:p w:rsidR="00BF31FF" w:rsidRDefault="00BF31FF">
      <w:pPr>
        <w:tabs>
          <w:tab w:val="left" w:pos="1701"/>
        </w:tabs>
        <w:rPr>
          <w:snapToGrid w:val="0"/>
          <w:color w:val="000000"/>
        </w:rPr>
      </w:pPr>
    </w:p>
    <w:p w:rsidR="00FE4626" w:rsidRDefault="00FE4626">
      <w:pPr>
        <w:tabs>
          <w:tab w:val="left" w:pos="1701"/>
        </w:tabs>
        <w:rPr>
          <w:snapToGrid w:val="0"/>
          <w:color w:val="000000"/>
        </w:rPr>
      </w:pPr>
    </w:p>
    <w:p w:rsidR="00765ADA" w:rsidRDefault="00765ADA">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9B0683">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gridSpan w:val="2"/>
          </w:tcPr>
          <w:p w:rsidR="00E876D3" w:rsidRPr="00C7246E" w:rsidRDefault="009B0683">
            <w:pPr>
              <w:tabs>
                <w:tab w:val="left" w:pos="1701"/>
              </w:tabs>
              <w:rPr>
                <w:snapToGrid w:val="0"/>
              </w:rPr>
            </w:pPr>
            <w:r>
              <w:rPr>
                <w:snapToGrid w:val="0"/>
              </w:rPr>
              <w:t>Justerades protokoll 2018/19:9 av den 13 november 2018.</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327A63">
        <w:tc>
          <w:tcPr>
            <w:tcW w:w="567" w:type="dxa"/>
          </w:tcPr>
          <w:p w:rsidR="00327A63" w:rsidRPr="00371A95" w:rsidRDefault="00E0198B" w:rsidP="00327A63">
            <w:pPr>
              <w:tabs>
                <w:tab w:val="left" w:pos="1701"/>
              </w:tabs>
              <w:rPr>
                <w:b/>
                <w:snapToGrid w:val="0"/>
              </w:rPr>
            </w:pPr>
            <w:r>
              <w:rPr>
                <w:b/>
                <w:snapToGrid w:val="0"/>
              </w:rPr>
              <w:t>§ 2</w:t>
            </w:r>
          </w:p>
        </w:tc>
        <w:tc>
          <w:tcPr>
            <w:tcW w:w="6947" w:type="dxa"/>
            <w:gridSpan w:val="2"/>
          </w:tcPr>
          <w:p w:rsidR="00327A63" w:rsidRPr="00371A95" w:rsidRDefault="009B0683" w:rsidP="00327A63">
            <w:pPr>
              <w:tabs>
                <w:tab w:val="left" w:pos="1701"/>
              </w:tabs>
              <w:rPr>
                <w:b/>
                <w:snapToGrid w:val="0"/>
              </w:rPr>
            </w:pPr>
            <w:r>
              <w:rPr>
                <w:b/>
                <w:snapToGrid w:val="0"/>
              </w:rPr>
              <w:t>EU:s nya ungdomsstrategi (KrU5)</w:t>
            </w:r>
          </w:p>
        </w:tc>
      </w:tr>
      <w:tr w:rsidR="00327A63">
        <w:tc>
          <w:tcPr>
            <w:tcW w:w="567" w:type="dxa"/>
          </w:tcPr>
          <w:p w:rsidR="00327A63" w:rsidRPr="00371A95" w:rsidRDefault="00327A63" w:rsidP="00327A63">
            <w:pPr>
              <w:tabs>
                <w:tab w:val="left" w:pos="1701"/>
              </w:tabs>
              <w:rPr>
                <w:b/>
                <w:snapToGrid w:val="0"/>
              </w:rPr>
            </w:pPr>
          </w:p>
        </w:tc>
        <w:tc>
          <w:tcPr>
            <w:tcW w:w="6947" w:type="dxa"/>
            <w:gridSpan w:val="2"/>
          </w:tcPr>
          <w:p w:rsidR="00327A63" w:rsidRDefault="00256301" w:rsidP="00966CED">
            <w:pPr>
              <w:tabs>
                <w:tab w:val="left" w:pos="1701"/>
              </w:tabs>
              <w:rPr>
                <w:snapToGrid w:val="0"/>
              </w:rPr>
            </w:pPr>
            <w:r>
              <w:rPr>
                <w:snapToGrid w:val="0"/>
              </w:rPr>
              <w:t>Fortsattes behandlingen av meddelandet om EU:s nya ungdomsstrategi (jfr prot. 2018/19:8.4 och 2018/19:9.7).</w:t>
            </w:r>
          </w:p>
          <w:p w:rsidR="00256301" w:rsidRDefault="00256301" w:rsidP="00966CED">
            <w:pPr>
              <w:tabs>
                <w:tab w:val="left" w:pos="1701"/>
              </w:tabs>
              <w:rPr>
                <w:snapToGrid w:val="0"/>
              </w:rPr>
            </w:pPr>
          </w:p>
          <w:p w:rsidR="00256301" w:rsidRDefault="00256301" w:rsidP="00966CED">
            <w:pPr>
              <w:tabs>
                <w:tab w:val="left" w:pos="1701"/>
              </w:tabs>
              <w:rPr>
                <w:snapToGrid w:val="0"/>
              </w:rPr>
            </w:pPr>
            <w:r>
              <w:rPr>
                <w:snapToGrid w:val="0"/>
              </w:rPr>
              <w:t>Utskottet fattade beslut i ärendet.</w:t>
            </w:r>
          </w:p>
          <w:p w:rsidR="00256301" w:rsidRDefault="00256301" w:rsidP="00966CED">
            <w:pPr>
              <w:tabs>
                <w:tab w:val="left" w:pos="1701"/>
              </w:tabs>
              <w:rPr>
                <w:snapToGrid w:val="0"/>
              </w:rPr>
            </w:pPr>
            <w:r>
              <w:rPr>
                <w:snapToGrid w:val="0"/>
              </w:rPr>
              <w:t>Utlåtande 2018/19:KrU5 justerades.</w:t>
            </w:r>
          </w:p>
          <w:p w:rsidR="00256301" w:rsidRDefault="00256301" w:rsidP="00966CED">
            <w:pPr>
              <w:tabs>
                <w:tab w:val="left" w:pos="1701"/>
              </w:tabs>
              <w:rPr>
                <w:snapToGrid w:val="0"/>
              </w:rPr>
            </w:pPr>
          </w:p>
          <w:p w:rsidR="00256301" w:rsidRPr="00371A95" w:rsidRDefault="00256301" w:rsidP="00966CED">
            <w:pPr>
              <w:tabs>
                <w:tab w:val="left" w:pos="1701"/>
              </w:tabs>
              <w:rPr>
                <w:snapToGrid w:val="0"/>
              </w:rPr>
            </w:pPr>
            <w:r>
              <w:rPr>
                <w:snapToGrid w:val="0"/>
              </w:rPr>
              <w:t>SD-ledamöterna anmälde en motivreservation</w:t>
            </w:r>
            <w:r w:rsidR="008B1BB6">
              <w:rPr>
                <w:snapToGrid w:val="0"/>
              </w:rPr>
              <w:t>.</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snapToGrid w:val="0"/>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181ACF">
              <w:rPr>
                <w:b/>
                <w:snapToGrid w:val="0"/>
              </w:rPr>
              <w:t>3</w:t>
            </w:r>
          </w:p>
        </w:tc>
        <w:tc>
          <w:tcPr>
            <w:tcW w:w="6947" w:type="dxa"/>
            <w:gridSpan w:val="2"/>
          </w:tcPr>
          <w:p w:rsidR="00327A63" w:rsidRPr="008A7BD3" w:rsidRDefault="00256301" w:rsidP="00327A63">
            <w:pPr>
              <w:tabs>
                <w:tab w:val="left" w:pos="1701"/>
              </w:tabs>
              <w:rPr>
                <w:b/>
                <w:snapToGrid w:val="0"/>
              </w:rPr>
            </w:pPr>
            <w:r>
              <w:rPr>
                <w:b/>
                <w:snapToGrid w:val="0"/>
              </w:rPr>
              <w:t>Information inför ministerrådet</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256301" w:rsidRPr="00C7246E" w:rsidRDefault="00256301" w:rsidP="00FE4626">
            <w:pPr>
              <w:tabs>
                <w:tab w:val="left" w:pos="1701"/>
              </w:tabs>
              <w:rPr>
                <w:snapToGrid w:val="0"/>
              </w:rPr>
            </w:pPr>
            <w:r>
              <w:rPr>
                <w:snapToGrid w:val="0"/>
              </w:rPr>
              <w:t xml:space="preserve">Statssekreterare Leif Jacobsson, Finansdepartementet, informerade om förslag om förordning om import av kulturföremål (dnr </w:t>
            </w:r>
            <w:r w:rsidR="00A41816">
              <w:rPr>
                <w:snapToGrid w:val="0"/>
              </w:rPr>
              <w:t>845</w:t>
            </w:r>
            <w:r>
              <w:rPr>
                <w:snapToGrid w:val="0"/>
              </w:rPr>
              <w:t>-2018/19).</w:t>
            </w:r>
          </w:p>
        </w:tc>
      </w:tr>
      <w:tr w:rsidR="00327A63" w:rsidRPr="00777F75">
        <w:tc>
          <w:tcPr>
            <w:tcW w:w="567" w:type="dxa"/>
          </w:tcPr>
          <w:p w:rsidR="00327A63" w:rsidRPr="00777F75" w:rsidRDefault="00327A63" w:rsidP="00327A63">
            <w:pPr>
              <w:tabs>
                <w:tab w:val="left" w:pos="1701"/>
              </w:tabs>
              <w:rPr>
                <w:b/>
                <w:snapToGrid w:val="0"/>
              </w:rPr>
            </w:pPr>
          </w:p>
        </w:tc>
        <w:tc>
          <w:tcPr>
            <w:tcW w:w="6947" w:type="dxa"/>
            <w:gridSpan w:val="2"/>
          </w:tcPr>
          <w:p w:rsidR="00327A63" w:rsidRPr="00777F75" w:rsidRDefault="00327A63" w:rsidP="00327A63">
            <w:pPr>
              <w:tabs>
                <w:tab w:val="left" w:pos="1701"/>
              </w:tabs>
              <w:rPr>
                <w:snapToGrid w:val="0"/>
                <w:u w:val="single"/>
              </w:rPr>
            </w:pPr>
          </w:p>
        </w:tc>
      </w:tr>
      <w:tr w:rsidR="004F7BFA" w:rsidRPr="00777F75">
        <w:tc>
          <w:tcPr>
            <w:tcW w:w="567" w:type="dxa"/>
          </w:tcPr>
          <w:p w:rsidR="004F7BFA" w:rsidRDefault="004F7BFA" w:rsidP="004F7BFA">
            <w:pPr>
              <w:tabs>
                <w:tab w:val="left" w:pos="1701"/>
              </w:tabs>
              <w:rPr>
                <w:b/>
                <w:snapToGrid w:val="0"/>
              </w:rPr>
            </w:pPr>
            <w:r>
              <w:rPr>
                <w:b/>
                <w:snapToGrid w:val="0"/>
              </w:rPr>
              <w:t>§ 4</w:t>
            </w:r>
          </w:p>
        </w:tc>
        <w:tc>
          <w:tcPr>
            <w:tcW w:w="6947" w:type="dxa"/>
            <w:gridSpan w:val="2"/>
          </w:tcPr>
          <w:p w:rsidR="004F7BFA" w:rsidRDefault="004F7BFA" w:rsidP="004F7BFA">
            <w:pPr>
              <w:tabs>
                <w:tab w:val="left" w:pos="1701"/>
              </w:tabs>
              <w:rPr>
                <w:b/>
                <w:snapToGrid w:val="0"/>
              </w:rPr>
            </w:pPr>
            <w:r>
              <w:rPr>
                <w:b/>
                <w:snapToGrid w:val="0"/>
              </w:rPr>
              <w:t>Inkomna skrivelser</w:t>
            </w:r>
          </w:p>
        </w:tc>
      </w:tr>
      <w:tr w:rsidR="004F7BFA" w:rsidRPr="00777F75">
        <w:tc>
          <w:tcPr>
            <w:tcW w:w="567" w:type="dxa"/>
          </w:tcPr>
          <w:p w:rsidR="004F7BFA" w:rsidRDefault="004F7BFA" w:rsidP="004F7BFA">
            <w:pPr>
              <w:tabs>
                <w:tab w:val="left" w:pos="1701"/>
              </w:tabs>
              <w:rPr>
                <w:b/>
                <w:snapToGrid w:val="0"/>
              </w:rPr>
            </w:pPr>
          </w:p>
        </w:tc>
        <w:tc>
          <w:tcPr>
            <w:tcW w:w="6947" w:type="dxa"/>
            <w:gridSpan w:val="2"/>
          </w:tcPr>
          <w:p w:rsidR="00FE4626" w:rsidRDefault="004F7BFA" w:rsidP="00A41816">
            <w:pPr>
              <w:tabs>
                <w:tab w:val="left" w:pos="1701"/>
              </w:tabs>
              <w:rPr>
                <w:snapToGrid w:val="0"/>
              </w:rPr>
            </w:pPr>
            <w:r>
              <w:rPr>
                <w:snapToGrid w:val="0"/>
              </w:rPr>
              <w:t xml:space="preserve">Kanslichefen anmälde två inkomna skrivelser </w:t>
            </w:r>
            <w:r w:rsidR="00A41816">
              <w:rPr>
                <w:snapToGrid w:val="0"/>
              </w:rPr>
              <w:t>(</w:t>
            </w:r>
            <w:r>
              <w:rPr>
                <w:snapToGrid w:val="0"/>
              </w:rPr>
              <w:t>dnr 768-2018/19 och</w:t>
            </w:r>
            <w:r w:rsidR="00A41816">
              <w:rPr>
                <w:snapToGrid w:val="0"/>
              </w:rPr>
              <w:t xml:space="preserve"> </w:t>
            </w:r>
            <w:r>
              <w:rPr>
                <w:snapToGrid w:val="0"/>
              </w:rPr>
              <w:t>dnr 770-2018/19</w:t>
            </w:r>
            <w:r w:rsidR="00A41816">
              <w:rPr>
                <w:snapToGrid w:val="0"/>
              </w:rPr>
              <w:t>)</w:t>
            </w:r>
            <w:r>
              <w:rPr>
                <w:snapToGrid w:val="0"/>
              </w:rPr>
              <w:t>.</w:t>
            </w:r>
            <w:r w:rsidR="00FE4626">
              <w:rPr>
                <w:snapToGrid w:val="0"/>
              </w:rPr>
              <w:t xml:space="preserve"> </w:t>
            </w:r>
          </w:p>
          <w:p w:rsidR="00FE4626" w:rsidRDefault="00FE4626" w:rsidP="00A41816">
            <w:pPr>
              <w:tabs>
                <w:tab w:val="left" w:pos="1701"/>
              </w:tabs>
              <w:rPr>
                <w:snapToGrid w:val="0"/>
              </w:rPr>
            </w:pPr>
          </w:p>
          <w:p w:rsidR="004F7BFA" w:rsidRPr="00FC2280" w:rsidRDefault="00FE4626" w:rsidP="00A41816">
            <w:pPr>
              <w:tabs>
                <w:tab w:val="left" w:pos="1701"/>
              </w:tabs>
              <w:rPr>
                <w:snapToGrid w:val="0"/>
              </w:rPr>
            </w:pPr>
            <w:r>
              <w:rPr>
                <w:snapToGrid w:val="0"/>
              </w:rPr>
              <w:t>Vidare anmälde kanslichefen att det inkommit skrivelser med anledning av betänkande 2018/19:KrU2 Långsiktig finansiering och stärkt oberoende för public service (dnr 776-2018/19 och 780-2018/19).</w:t>
            </w:r>
          </w:p>
        </w:tc>
      </w:tr>
      <w:tr w:rsidR="004F7BFA" w:rsidRPr="00777F75">
        <w:tc>
          <w:tcPr>
            <w:tcW w:w="567" w:type="dxa"/>
          </w:tcPr>
          <w:p w:rsidR="004F7BFA" w:rsidRPr="00777F75" w:rsidRDefault="004F7BFA" w:rsidP="00327A63">
            <w:pPr>
              <w:tabs>
                <w:tab w:val="left" w:pos="1701"/>
              </w:tabs>
              <w:rPr>
                <w:b/>
                <w:snapToGrid w:val="0"/>
              </w:rPr>
            </w:pPr>
          </w:p>
        </w:tc>
        <w:tc>
          <w:tcPr>
            <w:tcW w:w="6947" w:type="dxa"/>
            <w:gridSpan w:val="2"/>
          </w:tcPr>
          <w:p w:rsidR="004F7BFA" w:rsidRPr="00777F75" w:rsidRDefault="004F7BFA" w:rsidP="00327A63">
            <w:pPr>
              <w:tabs>
                <w:tab w:val="left" w:pos="1701"/>
              </w:tabs>
              <w:rPr>
                <w:snapToGrid w:val="0"/>
                <w:u w:val="single"/>
              </w:rPr>
            </w:pPr>
          </w:p>
        </w:tc>
      </w:tr>
      <w:tr w:rsidR="00327A63" w:rsidRPr="00777F75">
        <w:tc>
          <w:tcPr>
            <w:tcW w:w="567" w:type="dxa"/>
          </w:tcPr>
          <w:p w:rsidR="00327A63" w:rsidRPr="00777F75" w:rsidRDefault="00327A63" w:rsidP="00327A63">
            <w:pPr>
              <w:tabs>
                <w:tab w:val="left" w:pos="1701"/>
              </w:tabs>
              <w:rPr>
                <w:b/>
                <w:snapToGrid w:val="0"/>
              </w:rPr>
            </w:pPr>
            <w:r>
              <w:rPr>
                <w:b/>
                <w:snapToGrid w:val="0"/>
              </w:rPr>
              <w:t xml:space="preserve">§ </w:t>
            </w:r>
            <w:r w:rsidR="00BF31FF">
              <w:rPr>
                <w:b/>
                <w:snapToGrid w:val="0"/>
              </w:rPr>
              <w:t>5</w:t>
            </w:r>
          </w:p>
        </w:tc>
        <w:tc>
          <w:tcPr>
            <w:tcW w:w="6947" w:type="dxa"/>
            <w:gridSpan w:val="2"/>
          </w:tcPr>
          <w:p w:rsidR="00327A63" w:rsidRPr="002D577C" w:rsidRDefault="00FF6513" w:rsidP="00327A63">
            <w:pPr>
              <w:tabs>
                <w:tab w:val="left" w:pos="1701"/>
              </w:tabs>
              <w:rPr>
                <w:b/>
                <w:snapToGrid w:val="0"/>
              </w:rPr>
            </w:pPr>
            <w:r>
              <w:rPr>
                <w:b/>
                <w:snapToGrid w:val="0"/>
              </w:rPr>
              <w:t>Överläggning med regeringen</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FF6513" w:rsidP="00327A63">
            <w:pPr>
              <w:tabs>
                <w:tab w:val="left" w:pos="1701"/>
              </w:tabs>
              <w:rPr>
                <w:snapToGrid w:val="0"/>
              </w:rPr>
            </w:pPr>
            <w:r>
              <w:rPr>
                <w:snapToGrid w:val="0"/>
              </w:rPr>
              <w:t xml:space="preserve">Utskottet överlade med statssekreterare Agneta Karlsson, Socialdepartementet, om </w:t>
            </w:r>
            <w:proofErr w:type="spellStart"/>
            <w:r>
              <w:rPr>
                <w:snapToGrid w:val="0"/>
              </w:rPr>
              <w:t>rådsslutsatser</w:t>
            </w:r>
            <w:proofErr w:type="spellEnd"/>
            <w:r>
              <w:rPr>
                <w:snapToGrid w:val="0"/>
              </w:rPr>
              <w:t xml:space="preserve"> om idrottens ekonomiska dimension och dess socioekonomiska fördelar.</w:t>
            </w:r>
          </w:p>
          <w:p w:rsidR="00FF6513" w:rsidRDefault="00FF6513" w:rsidP="00327A63">
            <w:pPr>
              <w:tabs>
                <w:tab w:val="left" w:pos="1701"/>
              </w:tabs>
              <w:rPr>
                <w:snapToGrid w:val="0"/>
              </w:rPr>
            </w:pPr>
          </w:p>
          <w:p w:rsidR="00FF6513" w:rsidRDefault="00FF6513" w:rsidP="00FF6513">
            <w:pPr>
              <w:tabs>
                <w:tab w:val="left" w:pos="1701"/>
              </w:tabs>
              <w:rPr>
                <w:snapToGrid w:val="0"/>
              </w:rPr>
            </w:pPr>
            <w:r>
              <w:rPr>
                <w:snapToGrid w:val="0"/>
              </w:rPr>
              <w:t>Underlaget utgjordes av den promemoria som tidigare skickats från Socialdepartementet (dnr 823-2018/19) där följande ståndpunkt anges:</w:t>
            </w:r>
          </w:p>
          <w:p w:rsidR="00FF6513" w:rsidRDefault="00FF6513" w:rsidP="00FF6513">
            <w:pPr>
              <w:tabs>
                <w:tab w:val="left" w:pos="1701"/>
              </w:tabs>
              <w:rPr>
                <w:snapToGrid w:val="0"/>
              </w:rPr>
            </w:pPr>
          </w:p>
          <w:p w:rsidR="00FF6513" w:rsidRDefault="00FF6513" w:rsidP="00FF6513">
            <w:pPr>
              <w:tabs>
                <w:tab w:val="left" w:pos="1701"/>
              </w:tabs>
              <w:rPr>
                <w:snapToGrid w:val="0"/>
              </w:rPr>
            </w:pPr>
            <w:r w:rsidRPr="00FF6513">
              <w:rPr>
                <w:snapToGrid w:val="0"/>
              </w:rPr>
              <w:t xml:space="preserve">Regeringen anser att utkastet till </w:t>
            </w:r>
            <w:proofErr w:type="spellStart"/>
            <w:r w:rsidRPr="00FF6513">
              <w:rPr>
                <w:snapToGrid w:val="0"/>
              </w:rPr>
              <w:t>rådsslutsatser</w:t>
            </w:r>
            <w:proofErr w:type="spellEnd"/>
            <w:r w:rsidRPr="00FF6513">
              <w:rPr>
                <w:snapToGrid w:val="0"/>
              </w:rPr>
              <w:t xml:space="preserve"> om idrottens ekonomiska</w:t>
            </w:r>
            <w:r>
              <w:rPr>
                <w:snapToGrid w:val="0"/>
              </w:rPr>
              <w:t xml:space="preserve"> </w:t>
            </w:r>
            <w:r w:rsidRPr="00FF6513">
              <w:rPr>
                <w:snapToGrid w:val="0"/>
              </w:rPr>
              <w:t>dimension och dess socioekonomiska fördelar är balanserat. Regeringen anser</w:t>
            </w:r>
            <w:r>
              <w:rPr>
                <w:snapToGrid w:val="0"/>
              </w:rPr>
              <w:t xml:space="preserve"> </w:t>
            </w:r>
            <w:r w:rsidRPr="00FF6513">
              <w:rPr>
                <w:snapToGrid w:val="0"/>
              </w:rPr>
              <w:t>att idrottsrörelsens självständighet ska värnas. Regeringens bedömning är att de</w:t>
            </w:r>
            <w:r>
              <w:rPr>
                <w:snapToGrid w:val="0"/>
              </w:rPr>
              <w:t xml:space="preserve"> </w:t>
            </w:r>
            <w:r w:rsidRPr="00FF6513">
              <w:rPr>
                <w:snapToGrid w:val="0"/>
              </w:rPr>
              <w:t xml:space="preserve">föreslagna </w:t>
            </w:r>
            <w:proofErr w:type="spellStart"/>
            <w:r w:rsidRPr="00FF6513">
              <w:rPr>
                <w:snapToGrid w:val="0"/>
              </w:rPr>
              <w:t>rådsslutsatserna</w:t>
            </w:r>
            <w:proofErr w:type="spellEnd"/>
            <w:r w:rsidRPr="00FF6513">
              <w:rPr>
                <w:snapToGrid w:val="0"/>
              </w:rPr>
              <w:t xml:space="preserve"> håller sig inom EU:s kompetens på idrottsområdet</w:t>
            </w:r>
            <w:r>
              <w:rPr>
                <w:snapToGrid w:val="0"/>
              </w:rPr>
              <w:t xml:space="preserve"> </w:t>
            </w:r>
            <w:r w:rsidRPr="00FF6513">
              <w:rPr>
                <w:snapToGrid w:val="0"/>
              </w:rPr>
              <w:t>så som den är uttryckt i artikel 165 i fördraget om EU:s funktionssätt.</w:t>
            </w:r>
            <w:r>
              <w:rPr>
                <w:snapToGrid w:val="0"/>
              </w:rPr>
              <w:t xml:space="preserve"> </w:t>
            </w:r>
            <w:r w:rsidRPr="00FF6513">
              <w:rPr>
                <w:snapToGrid w:val="0"/>
              </w:rPr>
              <w:t xml:space="preserve">Regeringen </w:t>
            </w:r>
            <w:r w:rsidRPr="00FF6513">
              <w:rPr>
                <w:snapToGrid w:val="0"/>
              </w:rPr>
              <w:lastRenderedPageBreak/>
              <w:t>föreslår därför att Sverige ställer sig bakom antagandet av</w:t>
            </w:r>
            <w:r>
              <w:rPr>
                <w:snapToGrid w:val="0"/>
              </w:rPr>
              <w:t xml:space="preserve"> </w:t>
            </w:r>
            <w:r w:rsidRPr="00FF6513">
              <w:rPr>
                <w:snapToGrid w:val="0"/>
              </w:rPr>
              <w:t>slutsatserna om idrottens ekonomiska dimension och dess socioekonomiska</w:t>
            </w:r>
            <w:r>
              <w:rPr>
                <w:snapToGrid w:val="0"/>
              </w:rPr>
              <w:t xml:space="preserve"> </w:t>
            </w:r>
            <w:r w:rsidRPr="00FF6513">
              <w:rPr>
                <w:snapToGrid w:val="0"/>
              </w:rPr>
              <w:t>fördelar.</w:t>
            </w:r>
          </w:p>
          <w:p w:rsidR="00FF6513" w:rsidRDefault="00FF6513" w:rsidP="00FF6513">
            <w:pPr>
              <w:tabs>
                <w:tab w:val="left" w:pos="1701"/>
              </w:tabs>
              <w:rPr>
                <w:snapToGrid w:val="0"/>
              </w:rPr>
            </w:pPr>
          </w:p>
          <w:p w:rsidR="004B64EA" w:rsidRDefault="004B64EA" w:rsidP="004B64EA">
            <w:pPr>
              <w:tabs>
                <w:tab w:val="left" w:pos="1701"/>
              </w:tabs>
              <w:rPr>
                <w:snapToGrid w:val="0"/>
              </w:rPr>
            </w:pPr>
            <w:r>
              <w:rPr>
                <w:snapToGrid w:val="0"/>
              </w:rPr>
              <w:t>Ordföranden konstaterade att det i utskottet fanns stöd för regeringens ståndpunkt.</w:t>
            </w:r>
          </w:p>
          <w:p w:rsidR="004B64EA" w:rsidRDefault="004B64EA" w:rsidP="00FF6513">
            <w:pPr>
              <w:tabs>
                <w:tab w:val="left" w:pos="1701"/>
              </w:tabs>
              <w:rPr>
                <w:snapToGrid w:val="0"/>
              </w:rPr>
            </w:pPr>
          </w:p>
          <w:p w:rsidR="00FF6513" w:rsidRPr="008A7BD3" w:rsidRDefault="00FF6513" w:rsidP="004F7BFA">
            <w:pPr>
              <w:tabs>
                <w:tab w:val="left" w:pos="1701"/>
              </w:tabs>
              <w:rPr>
                <w:snapToGrid w:val="0"/>
              </w:rPr>
            </w:pPr>
            <w:r>
              <w:rPr>
                <w:snapToGrid w:val="0"/>
              </w:rPr>
              <w:t>Denna paragraf förklarades omedelbart justerad.</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327A63" w:rsidP="00327A63">
            <w:pPr>
              <w:tabs>
                <w:tab w:val="left" w:pos="1701"/>
              </w:tabs>
              <w:rPr>
                <w:b/>
                <w:snapToGrid w:val="0"/>
              </w:rPr>
            </w:pPr>
          </w:p>
        </w:tc>
      </w:tr>
      <w:tr w:rsidR="00E60139">
        <w:tc>
          <w:tcPr>
            <w:tcW w:w="567" w:type="dxa"/>
          </w:tcPr>
          <w:p w:rsidR="00E60139" w:rsidRDefault="00E60139" w:rsidP="00BF31FF">
            <w:pPr>
              <w:tabs>
                <w:tab w:val="left" w:pos="1701"/>
              </w:tabs>
              <w:rPr>
                <w:b/>
                <w:snapToGrid w:val="0"/>
              </w:rPr>
            </w:pPr>
            <w:r>
              <w:rPr>
                <w:b/>
                <w:snapToGrid w:val="0"/>
              </w:rPr>
              <w:t xml:space="preserve">§ </w:t>
            </w:r>
            <w:r w:rsidR="00BF31FF">
              <w:rPr>
                <w:b/>
                <w:snapToGrid w:val="0"/>
              </w:rPr>
              <w:t>6</w:t>
            </w:r>
          </w:p>
        </w:tc>
        <w:tc>
          <w:tcPr>
            <w:tcW w:w="6947" w:type="dxa"/>
            <w:gridSpan w:val="2"/>
          </w:tcPr>
          <w:p w:rsidR="00E60139" w:rsidRDefault="00FF6513" w:rsidP="00327A63">
            <w:pPr>
              <w:tabs>
                <w:tab w:val="left" w:pos="1701"/>
              </w:tabs>
              <w:rPr>
                <w:b/>
                <w:snapToGrid w:val="0"/>
              </w:rPr>
            </w:pPr>
            <w:r>
              <w:rPr>
                <w:b/>
                <w:snapToGrid w:val="0"/>
              </w:rPr>
              <w:t>Information inför ministerrådet</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Pr="00E60139" w:rsidRDefault="00FF6513" w:rsidP="004F7BFA">
            <w:pPr>
              <w:tabs>
                <w:tab w:val="left" w:pos="1701"/>
              </w:tabs>
              <w:rPr>
                <w:snapToGrid w:val="0"/>
              </w:rPr>
            </w:pPr>
            <w:r>
              <w:rPr>
                <w:snapToGrid w:val="0"/>
              </w:rPr>
              <w:t xml:space="preserve">Statssekreterare Agneta Karlsson, Socialdepartementet, informerade inför riktlinjedebatt om </w:t>
            </w:r>
            <w:r w:rsidR="00FA05E6">
              <w:rPr>
                <w:snapToGrid w:val="0"/>
              </w:rPr>
              <w:t>större idrottsevenemang som drivkraft för innovation</w:t>
            </w:r>
            <w:r>
              <w:rPr>
                <w:snapToGrid w:val="0"/>
              </w:rPr>
              <w:t xml:space="preserve"> (</w:t>
            </w:r>
            <w:r w:rsidR="006A756F">
              <w:rPr>
                <w:snapToGrid w:val="0"/>
              </w:rPr>
              <w:t>dn</w:t>
            </w:r>
            <w:r>
              <w:rPr>
                <w:snapToGrid w:val="0"/>
              </w:rPr>
              <w:t xml:space="preserve">r </w:t>
            </w:r>
            <w:r w:rsidR="006A756F">
              <w:rPr>
                <w:snapToGrid w:val="0"/>
              </w:rPr>
              <w:t>824</w:t>
            </w:r>
            <w:r>
              <w:rPr>
                <w:snapToGrid w:val="0"/>
              </w:rPr>
              <w:t>-2018/19).</w:t>
            </w:r>
          </w:p>
        </w:tc>
      </w:tr>
      <w:tr w:rsidR="00E60139">
        <w:tc>
          <w:tcPr>
            <w:tcW w:w="567" w:type="dxa"/>
          </w:tcPr>
          <w:p w:rsidR="00E60139" w:rsidRDefault="00E60139" w:rsidP="00327A63">
            <w:pPr>
              <w:tabs>
                <w:tab w:val="left" w:pos="1701"/>
              </w:tabs>
              <w:rPr>
                <w:b/>
                <w:snapToGrid w:val="0"/>
              </w:rPr>
            </w:pPr>
          </w:p>
        </w:tc>
        <w:tc>
          <w:tcPr>
            <w:tcW w:w="6947" w:type="dxa"/>
            <w:gridSpan w:val="2"/>
          </w:tcPr>
          <w:p w:rsidR="00E60139" w:rsidRDefault="00E60139" w:rsidP="00327A63">
            <w:pPr>
              <w:tabs>
                <w:tab w:val="left" w:pos="1701"/>
              </w:tabs>
              <w:rPr>
                <w:b/>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BF31FF">
              <w:rPr>
                <w:b/>
                <w:snapToGrid w:val="0"/>
              </w:rPr>
              <w:t>7</w:t>
            </w:r>
          </w:p>
        </w:tc>
        <w:tc>
          <w:tcPr>
            <w:tcW w:w="6947" w:type="dxa"/>
            <w:gridSpan w:val="2"/>
          </w:tcPr>
          <w:p w:rsidR="00327A63" w:rsidRPr="00A577B2" w:rsidRDefault="006A756F" w:rsidP="00327A63">
            <w:pPr>
              <w:tabs>
                <w:tab w:val="left" w:pos="1701"/>
              </w:tabs>
              <w:rPr>
                <w:b/>
                <w:snapToGrid w:val="0"/>
              </w:rPr>
            </w:pPr>
            <w:r>
              <w:rPr>
                <w:b/>
                <w:snapToGrid w:val="0"/>
              </w:rPr>
              <w:t>Överläggning med regeringen</w:t>
            </w:r>
          </w:p>
        </w:tc>
      </w:tr>
      <w:tr w:rsidR="002F3D32">
        <w:tc>
          <w:tcPr>
            <w:tcW w:w="567" w:type="dxa"/>
          </w:tcPr>
          <w:p w:rsidR="002F3D32" w:rsidRDefault="002F3D32" w:rsidP="00327A63">
            <w:pPr>
              <w:tabs>
                <w:tab w:val="left" w:pos="1701"/>
              </w:tabs>
              <w:rPr>
                <w:b/>
                <w:snapToGrid w:val="0"/>
              </w:rPr>
            </w:pPr>
          </w:p>
        </w:tc>
        <w:tc>
          <w:tcPr>
            <w:tcW w:w="6947" w:type="dxa"/>
            <w:gridSpan w:val="2"/>
          </w:tcPr>
          <w:p w:rsidR="002F3D32" w:rsidRDefault="006A756F" w:rsidP="00E60139">
            <w:pPr>
              <w:tabs>
                <w:tab w:val="left" w:pos="1701"/>
              </w:tabs>
              <w:rPr>
                <w:snapToGrid w:val="0"/>
              </w:rPr>
            </w:pPr>
            <w:r>
              <w:rPr>
                <w:snapToGrid w:val="0"/>
              </w:rPr>
              <w:t xml:space="preserve">Utskottet överlade med kultur- och demokratiminister Alice Bah </w:t>
            </w:r>
            <w:proofErr w:type="spellStart"/>
            <w:r>
              <w:rPr>
                <w:snapToGrid w:val="0"/>
              </w:rPr>
              <w:t>Kuhnke</w:t>
            </w:r>
            <w:proofErr w:type="spellEnd"/>
            <w:r>
              <w:rPr>
                <w:snapToGrid w:val="0"/>
              </w:rPr>
              <w:t xml:space="preserve">, Kulturdepartementet, om förslag till </w:t>
            </w:r>
            <w:proofErr w:type="spellStart"/>
            <w:r>
              <w:rPr>
                <w:snapToGrid w:val="0"/>
              </w:rPr>
              <w:t>rådsslutsatser</w:t>
            </w:r>
            <w:proofErr w:type="spellEnd"/>
            <w:r>
              <w:rPr>
                <w:snapToGrid w:val="0"/>
              </w:rPr>
              <w:t xml:space="preserve"> om arbetsplan för kultur 2019–2022.</w:t>
            </w:r>
          </w:p>
          <w:p w:rsidR="006A756F" w:rsidRDefault="006A756F" w:rsidP="00E60139">
            <w:pPr>
              <w:tabs>
                <w:tab w:val="left" w:pos="1701"/>
              </w:tabs>
              <w:rPr>
                <w:snapToGrid w:val="0"/>
              </w:rPr>
            </w:pPr>
          </w:p>
          <w:p w:rsidR="006A756F" w:rsidRDefault="006A756F" w:rsidP="00E60139">
            <w:pPr>
              <w:tabs>
                <w:tab w:val="left" w:pos="1701"/>
              </w:tabs>
              <w:rPr>
                <w:snapToGrid w:val="0"/>
              </w:rPr>
            </w:pPr>
            <w:r>
              <w:rPr>
                <w:snapToGrid w:val="0"/>
              </w:rPr>
              <w:t>Underlaget utgjordes av den promemoria som tidigare har skickats från Kulturdepartementet (dnr 811-2018/19) där följande ståndpunkt anges:</w:t>
            </w:r>
          </w:p>
          <w:p w:rsidR="006A756F" w:rsidRDefault="006A756F" w:rsidP="00E60139">
            <w:pPr>
              <w:tabs>
                <w:tab w:val="left" w:pos="1701"/>
              </w:tabs>
              <w:rPr>
                <w:snapToGrid w:val="0"/>
              </w:rPr>
            </w:pPr>
          </w:p>
          <w:p w:rsidR="006A756F" w:rsidRDefault="006A756F" w:rsidP="006A756F">
            <w:pPr>
              <w:tabs>
                <w:tab w:val="left" w:pos="1701"/>
              </w:tabs>
              <w:rPr>
                <w:snapToGrid w:val="0"/>
              </w:rPr>
            </w:pPr>
            <w:r w:rsidRPr="006A756F">
              <w:rPr>
                <w:snapToGrid w:val="0"/>
              </w:rPr>
              <w:t xml:space="preserve">Regeringens bedömning är att de föreslagna </w:t>
            </w:r>
            <w:proofErr w:type="spellStart"/>
            <w:r w:rsidRPr="006A756F">
              <w:rPr>
                <w:snapToGrid w:val="0"/>
              </w:rPr>
              <w:t>rådsslutsatserna</w:t>
            </w:r>
            <w:proofErr w:type="spellEnd"/>
            <w:r w:rsidRPr="006A756F">
              <w:rPr>
                <w:snapToGrid w:val="0"/>
              </w:rPr>
              <w:t xml:space="preserve"> om rådets</w:t>
            </w:r>
            <w:r>
              <w:rPr>
                <w:snapToGrid w:val="0"/>
              </w:rPr>
              <w:t xml:space="preserve"> </w:t>
            </w:r>
            <w:r w:rsidRPr="006A756F">
              <w:rPr>
                <w:snapToGrid w:val="0"/>
              </w:rPr>
              <w:t>arbetsplan för kultur håller sig inom EU:s kompetens på kulturområdet så</w:t>
            </w:r>
            <w:r>
              <w:rPr>
                <w:snapToGrid w:val="0"/>
              </w:rPr>
              <w:t xml:space="preserve"> </w:t>
            </w:r>
            <w:r w:rsidRPr="006A756F">
              <w:rPr>
                <w:snapToGrid w:val="0"/>
              </w:rPr>
              <w:t>som den är uttryckt i artikel 167 i fördraget om EU:s funktionssätt.</w:t>
            </w:r>
            <w:r>
              <w:rPr>
                <w:snapToGrid w:val="0"/>
              </w:rPr>
              <w:t xml:space="preserve"> </w:t>
            </w:r>
          </w:p>
          <w:p w:rsidR="006A756F" w:rsidRDefault="006A756F" w:rsidP="006A756F">
            <w:pPr>
              <w:tabs>
                <w:tab w:val="left" w:pos="1701"/>
              </w:tabs>
              <w:rPr>
                <w:snapToGrid w:val="0"/>
              </w:rPr>
            </w:pPr>
          </w:p>
          <w:p w:rsidR="006A756F" w:rsidRDefault="006A756F" w:rsidP="006A756F">
            <w:pPr>
              <w:tabs>
                <w:tab w:val="left" w:pos="1701"/>
              </w:tabs>
              <w:rPr>
                <w:snapToGrid w:val="0"/>
              </w:rPr>
            </w:pPr>
            <w:r w:rsidRPr="006A756F">
              <w:rPr>
                <w:snapToGrid w:val="0"/>
              </w:rPr>
              <w:t>Sverige har framgångsrikt verkar för att betydelsen av konstnärlig frihet</w:t>
            </w:r>
            <w:r>
              <w:rPr>
                <w:snapToGrid w:val="0"/>
              </w:rPr>
              <w:t xml:space="preserve"> </w:t>
            </w:r>
            <w:r w:rsidRPr="006A756F">
              <w:rPr>
                <w:snapToGrid w:val="0"/>
              </w:rPr>
              <w:t>uppmärksammas i rådets arbetsplan för kultur 2019–2022. Regeringen</w:t>
            </w:r>
            <w:r>
              <w:rPr>
                <w:snapToGrid w:val="0"/>
              </w:rPr>
              <w:t xml:space="preserve"> </w:t>
            </w:r>
            <w:r w:rsidRPr="006A756F">
              <w:rPr>
                <w:snapToGrid w:val="0"/>
              </w:rPr>
              <w:t>stödjer även övriga prioriteringar i arbetsplanen och föreslår därför att</w:t>
            </w:r>
            <w:r>
              <w:rPr>
                <w:snapToGrid w:val="0"/>
              </w:rPr>
              <w:t xml:space="preserve"> </w:t>
            </w:r>
            <w:r w:rsidRPr="006A756F">
              <w:rPr>
                <w:snapToGrid w:val="0"/>
              </w:rPr>
              <w:t>Sverige ställer sig bakom antagandet av rådets slutsatser om rådets arbetsplan</w:t>
            </w:r>
            <w:r>
              <w:rPr>
                <w:snapToGrid w:val="0"/>
              </w:rPr>
              <w:t xml:space="preserve"> </w:t>
            </w:r>
            <w:r w:rsidRPr="006A756F">
              <w:rPr>
                <w:snapToGrid w:val="0"/>
              </w:rPr>
              <w:t>för kultur för perioden 2019–2022.</w:t>
            </w:r>
          </w:p>
          <w:p w:rsidR="006A756F" w:rsidRDefault="006A756F" w:rsidP="006A756F">
            <w:pPr>
              <w:tabs>
                <w:tab w:val="left" w:pos="1701"/>
              </w:tabs>
              <w:rPr>
                <w:snapToGrid w:val="0"/>
              </w:rPr>
            </w:pPr>
          </w:p>
          <w:p w:rsidR="004B64EA" w:rsidRDefault="004B64EA" w:rsidP="004B64EA">
            <w:pPr>
              <w:tabs>
                <w:tab w:val="left" w:pos="1701"/>
              </w:tabs>
              <w:rPr>
                <w:snapToGrid w:val="0"/>
              </w:rPr>
            </w:pPr>
            <w:r>
              <w:rPr>
                <w:snapToGrid w:val="0"/>
              </w:rPr>
              <w:t>Ordföranden konstaterade att det i utskottet fanns stöd för regeringens ståndpunkt.</w:t>
            </w:r>
          </w:p>
          <w:p w:rsidR="004B64EA" w:rsidRDefault="004B64EA" w:rsidP="006A756F">
            <w:pPr>
              <w:tabs>
                <w:tab w:val="left" w:pos="1701"/>
              </w:tabs>
              <w:rPr>
                <w:snapToGrid w:val="0"/>
              </w:rPr>
            </w:pPr>
          </w:p>
          <w:p w:rsidR="006A756F" w:rsidRDefault="006A756F" w:rsidP="006A756F">
            <w:pPr>
              <w:tabs>
                <w:tab w:val="left" w:pos="1701"/>
              </w:tabs>
              <w:rPr>
                <w:snapToGrid w:val="0"/>
              </w:rPr>
            </w:pPr>
            <w:r>
              <w:rPr>
                <w:snapToGrid w:val="0"/>
              </w:rPr>
              <w:t>SD-ledamöterna anmälde följande avvikande mening:</w:t>
            </w:r>
          </w:p>
          <w:p w:rsidR="006A756F" w:rsidRDefault="006A756F" w:rsidP="006A756F">
            <w:pPr>
              <w:tabs>
                <w:tab w:val="left" w:pos="1701"/>
              </w:tabs>
              <w:rPr>
                <w:snapToGrid w:val="0"/>
              </w:rPr>
            </w:pPr>
          </w:p>
          <w:p w:rsidR="00435D5A" w:rsidRDefault="00435D5A" w:rsidP="00435D5A">
            <w:pPr>
              <w:spacing w:line="276" w:lineRule="auto"/>
            </w:pPr>
            <w:r>
              <w:t>Sverigedemokraterna har tidigare anmält en avvikande mening i samband med överläggningarna om den svenska ståndpunkten i förhållande till nuvarande arbetsplan för kultur. Våra synpunkter kvarstår och då regeringens ambition är att knyta samman kommande arbetsplan med föregående, så anmäler vi åter avvikande mening. För oss är det viktigt att understryka att</w:t>
            </w:r>
            <w:r w:rsidRPr="004B3475">
              <w:t xml:space="preserve"> när det gäller kulturområdet så gäller i artikel 167 i fördr</w:t>
            </w:r>
            <w:r>
              <w:t xml:space="preserve">aget om EU:s funktionssätt att </w:t>
            </w:r>
            <w:r w:rsidRPr="004B3475">
              <w:t>Europaparlamentet och rådet i enlighet med det ord</w:t>
            </w:r>
            <w:r>
              <w:t>inarie lagstiftningsförfarandet kan</w:t>
            </w:r>
            <w:r w:rsidRPr="004B3475">
              <w:t xml:space="preserve"> besluta om stimulansåtgärder som dock inte får omfatta någon harmonisering av medlemsstaternas lagar eller andra förf</w:t>
            </w:r>
            <w:r>
              <w:t>attningar. D</w:t>
            </w:r>
            <w:r w:rsidRPr="004B3475">
              <w:t>et nationella självbestämmandet ska</w:t>
            </w:r>
            <w:r>
              <w:t>,</w:t>
            </w:r>
            <w:r w:rsidRPr="004B3475">
              <w:t xml:space="preserve"> även enligt </w:t>
            </w:r>
            <w:r w:rsidRPr="004B3475">
              <w:lastRenderedPageBreak/>
              <w:t>EU självt</w:t>
            </w:r>
            <w:r>
              <w:t>,</w:t>
            </w:r>
            <w:r w:rsidRPr="004B3475">
              <w:t xml:space="preserve"> tas stor hänsyn till i ku</w:t>
            </w:r>
            <w:r>
              <w:t>lturfrågor. Vi kan samtidigt konstatera att det diskuteras</w:t>
            </w:r>
            <w:r w:rsidRPr="004B3475">
              <w:t xml:space="preserve"> finansiering av olika kulturinsatser i underlaget</w:t>
            </w:r>
            <w:r>
              <w:t xml:space="preserve"> till detta ärende</w:t>
            </w:r>
            <w:r w:rsidRPr="004B3475">
              <w:t>, t.ex. på ku</w:t>
            </w:r>
            <w:r>
              <w:t>lturarvsområdet, vilket för vår del ställs</w:t>
            </w:r>
            <w:r w:rsidRPr="004B3475">
              <w:t xml:space="preserve"> mot att Sverigedemokraterna anser att kulturfrågor helt är en nationell angelägenhet, och budgetd</w:t>
            </w:r>
            <w:r>
              <w:t xml:space="preserve">rivna program är enligt oss en </w:t>
            </w:r>
            <w:r w:rsidRPr="004B3475">
              <w:t>överträdelse mot denna hållning.</w:t>
            </w:r>
          </w:p>
          <w:p w:rsidR="00435D5A" w:rsidRDefault="00435D5A" w:rsidP="00435D5A">
            <w:pPr>
              <w:spacing w:line="276" w:lineRule="auto"/>
            </w:pPr>
          </w:p>
          <w:p w:rsidR="00435D5A" w:rsidRDefault="00435D5A" w:rsidP="00435D5A">
            <w:pPr>
              <w:spacing w:line="276" w:lineRule="auto"/>
            </w:pPr>
            <w:r>
              <w:t xml:space="preserve">Vi kan vidare också konstatera att man i </w:t>
            </w:r>
            <w:proofErr w:type="spellStart"/>
            <w:r>
              <w:t>rådsslutsatserna</w:t>
            </w:r>
            <w:proofErr w:type="spellEnd"/>
            <w:r>
              <w:t xml:space="preserve"> poängterar betydelsen av konstnärlig frihet, i vilket vi kan instämma, men i anslutning till det förordas också en form av identitetspolitiska inslag, vilket vi finner olyckligt i sammanhanget. Mot bakgrund av ovanstående anmäler vi avvikande mening mot att arbeta vidare med förslaget, såsom regeringen och utskottsmajoriteten avser att göra.</w:t>
            </w:r>
          </w:p>
          <w:p w:rsidR="006A756F" w:rsidRDefault="006A756F" w:rsidP="006A756F">
            <w:pPr>
              <w:tabs>
                <w:tab w:val="left" w:pos="1701"/>
              </w:tabs>
              <w:rPr>
                <w:snapToGrid w:val="0"/>
              </w:rPr>
            </w:pPr>
          </w:p>
          <w:p w:rsidR="006A756F" w:rsidRPr="002F3D32" w:rsidRDefault="006A756F" w:rsidP="004F7BFA">
            <w:pPr>
              <w:tabs>
                <w:tab w:val="left" w:pos="1701"/>
              </w:tabs>
              <w:rPr>
                <w:snapToGrid w:val="0"/>
              </w:rPr>
            </w:pPr>
            <w:r>
              <w:rPr>
                <w:snapToGrid w:val="0"/>
              </w:rPr>
              <w:t>Denna paragraf förklarades omedelbart justerad.</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E20D4E" w:rsidRDefault="00327A63" w:rsidP="00327A63">
            <w:pPr>
              <w:tabs>
                <w:tab w:val="left" w:pos="1701"/>
              </w:tabs>
              <w:rPr>
                <w:b/>
                <w:snapToGrid w:val="0"/>
              </w:rPr>
            </w:pPr>
          </w:p>
        </w:tc>
      </w:tr>
      <w:tr w:rsidR="00327A63">
        <w:tc>
          <w:tcPr>
            <w:tcW w:w="567" w:type="dxa"/>
          </w:tcPr>
          <w:p w:rsidR="00327A63" w:rsidRDefault="00327A63" w:rsidP="00327A63">
            <w:pPr>
              <w:tabs>
                <w:tab w:val="left" w:pos="1701"/>
              </w:tabs>
              <w:rPr>
                <w:b/>
                <w:snapToGrid w:val="0"/>
              </w:rPr>
            </w:pPr>
            <w:r>
              <w:rPr>
                <w:b/>
                <w:snapToGrid w:val="0"/>
              </w:rPr>
              <w:t xml:space="preserve">§ </w:t>
            </w:r>
            <w:r w:rsidR="00BF31FF">
              <w:rPr>
                <w:b/>
                <w:snapToGrid w:val="0"/>
              </w:rPr>
              <w:t>8</w:t>
            </w:r>
          </w:p>
        </w:tc>
        <w:tc>
          <w:tcPr>
            <w:tcW w:w="6947" w:type="dxa"/>
            <w:gridSpan w:val="2"/>
          </w:tcPr>
          <w:p w:rsidR="00327A63" w:rsidRPr="002D577C" w:rsidRDefault="006A756F" w:rsidP="00327A63">
            <w:pPr>
              <w:tabs>
                <w:tab w:val="left" w:pos="1701"/>
              </w:tabs>
              <w:rPr>
                <w:b/>
                <w:snapToGrid w:val="0"/>
              </w:rPr>
            </w:pPr>
            <w:r>
              <w:rPr>
                <w:b/>
                <w:snapToGrid w:val="0"/>
              </w:rPr>
              <w:t>Nästa sammanträde</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Default="006A756F" w:rsidP="00327A63">
            <w:pPr>
              <w:tabs>
                <w:tab w:val="left" w:pos="1701"/>
              </w:tabs>
              <w:rPr>
                <w:snapToGrid w:val="0"/>
              </w:rPr>
            </w:pPr>
            <w:r>
              <w:rPr>
                <w:snapToGrid w:val="0"/>
              </w:rPr>
              <w:t xml:space="preserve">Utskottet beslutade att nästa sammanträde ska äga rum torsdagen </w:t>
            </w:r>
            <w:r w:rsidR="004B19BE">
              <w:rPr>
                <w:snapToGrid w:val="0"/>
              </w:rPr>
              <w:br/>
            </w:r>
            <w:r>
              <w:rPr>
                <w:snapToGrid w:val="0"/>
              </w:rPr>
              <w:t>den 22 november 2018 kl. 10.00.</w:t>
            </w:r>
          </w:p>
        </w:tc>
      </w:tr>
      <w:tr w:rsidR="00327A63">
        <w:tc>
          <w:tcPr>
            <w:tcW w:w="567" w:type="dxa"/>
          </w:tcPr>
          <w:p w:rsidR="00327A63" w:rsidRDefault="00327A63" w:rsidP="00327A63">
            <w:pPr>
              <w:tabs>
                <w:tab w:val="left" w:pos="1701"/>
              </w:tabs>
              <w:rPr>
                <w:b/>
                <w:snapToGrid w:val="0"/>
              </w:rPr>
            </w:pPr>
          </w:p>
        </w:tc>
        <w:tc>
          <w:tcPr>
            <w:tcW w:w="6947" w:type="dxa"/>
            <w:gridSpan w:val="2"/>
          </w:tcPr>
          <w:p w:rsidR="00327A63" w:rsidRPr="00E20D4E"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rPr>
                <w:b/>
                <w:snapToGrid w:val="0"/>
              </w:rPr>
            </w:pPr>
          </w:p>
        </w:tc>
      </w:tr>
      <w:tr w:rsidR="00327A63">
        <w:trPr>
          <w:gridAfter w:val="1"/>
          <w:wAfter w:w="358" w:type="dxa"/>
        </w:trPr>
        <w:tc>
          <w:tcPr>
            <w:tcW w:w="7156" w:type="dxa"/>
            <w:gridSpan w:val="2"/>
          </w:tcPr>
          <w:p w:rsidR="00327A63" w:rsidRDefault="00327A63" w:rsidP="00327A63">
            <w:pPr>
              <w:tabs>
                <w:tab w:val="left" w:pos="1701"/>
              </w:tabs>
            </w:pPr>
            <w:r>
              <w:t>Vid protokollet</w:t>
            </w:r>
          </w:p>
          <w:p w:rsidR="00327A63" w:rsidRDefault="00327A63" w:rsidP="00327A63">
            <w:pPr>
              <w:tabs>
                <w:tab w:val="left" w:pos="1701"/>
              </w:tabs>
            </w:pPr>
          </w:p>
          <w:p w:rsidR="00327A63" w:rsidRDefault="00327A63" w:rsidP="00327A63">
            <w:pPr>
              <w:tabs>
                <w:tab w:val="left" w:pos="1701"/>
              </w:tabs>
            </w:pPr>
          </w:p>
          <w:p w:rsidR="00181ACF" w:rsidRDefault="00181ACF" w:rsidP="00327A63">
            <w:pPr>
              <w:tabs>
                <w:tab w:val="left" w:pos="1701"/>
              </w:tabs>
            </w:pPr>
          </w:p>
          <w:p w:rsidR="00327A63" w:rsidRDefault="006A756F" w:rsidP="00327A63">
            <w:pPr>
              <w:tabs>
                <w:tab w:val="left" w:pos="1701"/>
              </w:tabs>
            </w:pPr>
            <w:r>
              <w:t>Charlotte Rundelius</w:t>
            </w: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p>
          <w:p w:rsidR="00327A63" w:rsidRDefault="00327A63" w:rsidP="00327A63">
            <w:pPr>
              <w:tabs>
                <w:tab w:val="left" w:pos="1701"/>
              </w:tabs>
            </w:pPr>
            <w:r>
              <w:t>Justeras</w:t>
            </w:r>
          </w:p>
          <w:p w:rsidR="00327A63" w:rsidRDefault="00327A63" w:rsidP="00327A63">
            <w:pPr>
              <w:tabs>
                <w:tab w:val="left" w:pos="1701"/>
              </w:tabs>
            </w:pPr>
          </w:p>
          <w:p w:rsidR="00327A63" w:rsidRDefault="00327A63" w:rsidP="00327A63">
            <w:pPr>
              <w:tabs>
                <w:tab w:val="left" w:pos="1701"/>
              </w:tabs>
            </w:pPr>
          </w:p>
          <w:p w:rsidR="00A12B6E" w:rsidRDefault="00A12B6E" w:rsidP="00327A63">
            <w:pPr>
              <w:tabs>
                <w:tab w:val="left" w:pos="1701"/>
              </w:tabs>
            </w:pPr>
          </w:p>
          <w:p w:rsidR="00181ACF" w:rsidRDefault="00452D87" w:rsidP="00327A63">
            <w:pPr>
              <w:tabs>
                <w:tab w:val="left" w:pos="1701"/>
              </w:tabs>
            </w:pPr>
            <w:r>
              <w:t>Christer Nylander</w:t>
            </w:r>
          </w:p>
          <w:p w:rsidR="00327A63" w:rsidRDefault="00327A63" w:rsidP="00327A63">
            <w:pPr>
              <w:tabs>
                <w:tab w:val="left" w:pos="1701"/>
              </w:tabs>
            </w:pPr>
          </w:p>
          <w:p w:rsidR="00A12B6E" w:rsidRDefault="00A12B6E" w:rsidP="00327A63">
            <w:pPr>
              <w:tabs>
                <w:tab w:val="left" w:pos="1701"/>
              </w:tabs>
            </w:pPr>
          </w:p>
          <w:p w:rsidR="00A12B6E" w:rsidRDefault="00A12B6E" w:rsidP="00327A63">
            <w:pPr>
              <w:tabs>
                <w:tab w:val="left" w:pos="1701"/>
              </w:tabs>
            </w:pPr>
          </w:p>
          <w:p w:rsidR="00327A63" w:rsidRDefault="00327A63" w:rsidP="00327A63">
            <w:pPr>
              <w:tabs>
                <w:tab w:val="left" w:pos="1701"/>
              </w:tabs>
              <w:rPr>
                <w:b/>
              </w:rPr>
            </w:pPr>
            <w:r>
              <w:rPr>
                <w:b/>
              </w:rPr>
              <w:t>Bilaga</w:t>
            </w:r>
          </w:p>
          <w:p w:rsidR="00327A63" w:rsidRPr="00A93957" w:rsidRDefault="00327A63" w:rsidP="00327A63">
            <w:pPr>
              <w:tabs>
                <w:tab w:val="left" w:pos="1701"/>
              </w:tabs>
            </w:pPr>
            <w:r>
              <w:t>Närvaroförteckning</w:t>
            </w:r>
          </w:p>
        </w:tc>
      </w:tr>
    </w:tbl>
    <w:p w:rsidR="00915415" w:rsidRDefault="00915415" w:rsidP="00915415">
      <w:pPr>
        <w:tabs>
          <w:tab w:val="left" w:pos="1276"/>
        </w:tabs>
        <w:ind w:left="-1134" w:firstLine="1134"/>
      </w:pPr>
    </w:p>
    <w:p w:rsidR="00360A0F" w:rsidRDefault="00360A0F"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34"/>
        <w:gridCol w:w="336"/>
        <w:gridCol w:w="334"/>
        <w:gridCol w:w="336"/>
        <w:gridCol w:w="334"/>
        <w:gridCol w:w="336"/>
        <w:gridCol w:w="334"/>
        <w:gridCol w:w="271"/>
        <w:gridCol w:w="65"/>
        <w:gridCol w:w="334"/>
        <w:gridCol w:w="339"/>
        <w:gridCol w:w="337"/>
        <w:gridCol w:w="334"/>
        <w:gridCol w:w="21"/>
      </w:tblGrid>
      <w:tr w:rsidR="00360A0F" w:rsidRPr="00EA4FB9" w:rsidTr="00695D42">
        <w:trPr>
          <w:trHeight w:val="590"/>
        </w:trPr>
        <w:tc>
          <w:tcPr>
            <w:tcW w:w="4643" w:type="dxa"/>
            <w:tcBorders>
              <w:top w:val="nil"/>
              <w:left w:val="nil"/>
              <w:bottom w:val="nil"/>
              <w:right w:val="nil"/>
            </w:tcBorders>
          </w:tcPr>
          <w:p w:rsidR="00360A0F" w:rsidRDefault="00360A0F" w:rsidP="00695D42">
            <w:pPr>
              <w:tabs>
                <w:tab w:val="left" w:pos="1701"/>
              </w:tabs>
            </w:pPr>
            <w:r>
              <w:br/>
              <w:t>KULTURUTSKOTTET</w:t>
            </w:r>
          </w:p>
        </w:tc>
        <w:tc>
          <w:tcPr>
            <w:tcW w:w="3322" w:type="dxa"/>
            <w:gridSpan w:val="11"/>
            <w:tcBorders>
              <w:top w:val="nil"/>
              <w:left w:val="nil"/>
              <w:bottom w:val="nil"/>
              <w:right w:val="nil"/>
            </w:tcBorders>
          </w:tcPr>
          <w:p w:rsidR="00360A0F" w:rsidRDefault="00360A0F" w:rsidP="00695D42">
            <w:pPr>
              <w:tabs>
                <w:tab w:val="left" w:pos="1701"/>
              </w:tabs>
              <w:jc w:val="center"/>
              <w:rPr>
                <w:b/>
              </w:rPr>
            </w:pPr>
          </w:p>
        </w:tc>
        <w:tc>
          <w:tcPr>
            <w:tcW w:w="1430" w:type="dxa"/>
            <w:gridSpan w:val="6"/>
            <w:tcBorders>
              <w:top w:val="nil"/>
              <w:left w:val="nil"/>
              <w:bottom w:val="nil"/>
              <w:right w:val="nil"/>
            </w:tcBorders>
          </w:tcPr>
          <w:p w:rsidR="00360A0F" w:rsidRPr="00EA4FB9" w:rsidRDefault="00360A0F" w:rsidP="00695D42">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2018/19:10</w:t>
            </w:r>
          </w:p>
        </w:tc>
      </w:tr>
      <w:tr w:rsidR="00360A0F"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667" w:type="dxa"/>
            <w:gridSpan w:val="2"/>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1–3</w:t>
            </w:r>
          </w:p>
        </w:tc>
        <w:tc>
          <w:tcPr>
            <w:tcW w:w="670" w:type="dxa"/>
            <w:gridSpan w:val="2"/>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4–6</w:t>
            </w:r>
          </w:p>
        </w:tc>
        <w:tc>
          <w:tcPr>
            <w:tcW w:w="670" w:type="dxa"/>
            <w:gridSpan w:val="2"/>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7–8</w:t>
            </w:r>
          </w:p>
        </w:tc>
        <w:tc>
          <w:tcPr>
            <w:tcW w:w="670" w:type="dxa"/>
            <w:gridSpan w:val="2"/>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3"/>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8A7775"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360A0F" w:rsidRPr="008A7775" w:rsidRDefault="00360A0F" w:rsidP="00695D42">
            <w:pPr>
              <w:rPr>
                <w:lang w:val="fr-FR"/>
              </w:rPr>
            </w:pPr>
            <w:r w:rsidRPr="008A7775">
              <w:rPr>
                <w:lang w:val="fr-FR"/>
              </w:rPr>
              <w:t xml:space="preserve">Vasiliki Tsouplaki (V), vice </w:t>
            </w:r>
            <w:proofErr w:type="spellStart"/>
            <w:r w:rsidRPr="008A7775">
              <w:rPr>
                <w:lang w:val="fr-FR"/>
              </w:rPr>
              <w:t>ordf</w:t>
            </w:r>
            <w:proofErr w:type="spellEnd"/>
            <w:r w:rsidRPr="008A7775">
              <w:rPr>
                <w:lang w:val="fr-FR"/>
              </w:rPr>
              <w:t>.</w:t>
            </w:r>
          </w:p>
        </w:tc>
        <w:tc>
          <w:tcPr>
            <w:tcW w:w="332"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5"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6"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D</w:t>
            </w:r>
          </w:p>
        </w:tc>
        <w:tc>
          <w:tcPr>
            <w:tcW w:w="336"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9"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7"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360A0F" w:rsidRPr="008A7775"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360A0F" w:rsidRPr="0012084D"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12084D" w:rsidRDefault="00360A0F" w:rsidP="00695D42">
            <w:pPr>
              <w:rPr>
                <w:lang w:val="en-US"/>
              </w:rPr>
            </w:pPr>
            <w:proofErr w:type="spellStart"/>
            <w:r>
              <w:rPr>
                <w:lang w:val="en-US"/>
              </w:rPr>
              <w:t>Lawen</w:t>
            </w:r>
            <w:proofErr w:type="spellEnd"/>
            <w:r>
              <w:rPr>
                <w:lang w:val="en-US"/>
              </w:rPr>
              <w:t xml:space="preserve"> </w:t>
            </w:r>
            <w:proofErr w:type="spellStart"/>
            <w:r>
              <w:rPr>
                <w:lang w:val="en-US"/>
              </w:rPr>
              <w:t>Redar</w:t>
            </w:r>
            <w:proofErr w:type="spellEnd"/>
            <w:r>
              <w:rPr>
                <w:lang w:val="en-US"/>
              </w:rPr>
              <w:t xml:space="preserve"> (S)</w:t>
            </w:r>
          </w:p>
        </w:tc>
        <w:tc>
          <w:tcPr>
            <w:tcW w:w="332"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12084D"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pPr>
              <w:rPr>
                <w:lang w:val="en-US"/>
              </w:rPr>
            </w:pPr>
            <w:r>
              <w:rPr>
                <w:lang w:val="en-US"/>
              </w:rPr>
              <w:lastRenderedPageBreak/>
              <w:t xml:space="preserve">Lotta </w:t>
            </w:r>
            <w:proofErr w:type="spellStart"/>
            <w:r>
              <w:rPr>
                <w:lang w:val="en-US"/>
              </w:rPr>
              <w:t>Finstorp</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E84917" w:rsidRDefault="00360A0F" w:rsidP="00695D42">
            <w:pPr>
              <w:rPr>
                <w:lang w:val="en-US"/>
              </w:rPr>
            </w:pPr>
            <w:r>
              <w:rPr>
                <w:lang w:val="en-US"/>
              </w:rPr>
              <w:t>Hans Hoff (S)</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N</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N</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N</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843A98" w:rsidRDefault="00360A0F" w:rsidP="00695D42">
            <w:pPr>
              <w:rPr>
                <w:lang w:val="en-US"/>
              </w:rPr>
            </w:pPr>
            <w:proofErr w:type="spellStart"/>
            <w:r>
              <w:rPr>
                <w:lang w:val="en-US"/>
              </w:rPr>
              <w:t>Annicka</w:t>
            </w:r>
            <w:proofErr w:type="spellEnd"/>
            <w:r>
              <w:rPr>
                <w:lang w:val="en-US"/>
              </w:rPr>
              <w:t xml:space="preserve"> </w:t>
            </w:r>
            <w:proofErr w:type="spellStart"/>
            <w:r>
              <w:rPr>
                <w:lang w:val="en-US"/>
              </w:rPr>
              <w:t>Engblom</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E84917" w:rsidRDefault="00360A0F" w:rsidP="00695D42">
            <w:pPr>
              <w:rPr>
                <w:lang w:val="en-US"/>
              </w:rPr>
            </w:pPr>
            <w:r>
              <w:rPr>
                <w:lang w:val="en-US"/>
              </w:rPr>
              <w:t>Aron Emilsson (SD)</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C929D4" w:rsidRDefault="00360A0F" w:rsidP="00695D42">
            <w:pPr>
              <w:rPr>
                <w:lang w:val="en-US"/>
              </w:rPr>
            </w:pPr>
            <w:r>
              <w:rPr>
                <w:lang w:val="en-US"/>
              </w:rPr>
              <w:t xml:space="preserve">Lars </w:t>
            </w:r>
            <w:proofErr w:type="spellStart"/>
            <w:r>
              <w:rPr>
                <w:lang w:val="en-US"/>
              </w:rPr>
              <w:t>Mejern</w:t>
            </w:r>
            <w:proofErr w:type="spellEnd"/>
            <w:r>
              <w:rPr>
                <w:lang w:val="en-US"/>
              </w:rPr>
              <w:t xml:space="preserve"> Larsson (S)</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Per Lodenius (C)</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 xml:space="preserve">Ann-Britt </w:t>
            </w:r>
            <w:proofErr w:type="spellStart"/>
            <w:r>
              <w:t>Åsebol</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Angelika Bengtsson (SD)</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Anna Wallentheim (S)</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Roland Utbult (KD)</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Åsa Karlsson (S)</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Jonas Andersson i Linköping (SD)</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5370B9"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 xml:space="preserve">Anna </w:t>
            </w:r>
            <w:proofErr w:type="spellStart"/>
            <w:r>
              <w:t>Sibinska</w:t>
            </w:r>
            <w:proofErr w:type="spellEnd"/>
            <w:r>
              <w:t xml:space="preserve"> (MP)</w:t>
            </w:r>
          </w:p>
        </w:tc>
        <w:tc>
          <w:tcPr>
            <w:tcW w:w="332"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5370B9"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A3483F"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A3483F" w:rsidRDefault="00360A0F" w:rsidP="00695D42">
            <w:r>
              <w:t xml:space="preserve">Viktor </w:t>
            </w:r>
            <w:proofErr w:type="spellStart"/>
            <w:r>
              <w:t>Wärnick</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6"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60A0F" w:rsidRPr="00A3483F"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A3483F" w:rsidRDefault="00360A0F" w:rsidP="00695D42">
            <w:pPr>
              <w:spacing w:line="240" w:lineRule="atLeast"/>
            </w:pPr>
          </w:p>
        </w:tc>
        <w:tc>
          <w:tcPr>
            <w:tcW w:w="332"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Pr="00A3483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60A0F"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rPr>
                <w:b/>
                <w:i/>
                <w:sz w:val="22"/>
              </w:rPr>
              <w:t>SUPPLEANTER</w:t>
            </w:r>
          </w:p>
        </w:tc>
        <w:tc>
          <w:tcPr>
            <w:tcW w:w="332"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Azadeh Rojhan Gustafsson (S)</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 xml:space="preserve">John </w:t>
            </w:r>
            <w:proofErr w:type="spellStart"/>
            <w:r>
              <w:t>Weinerhall</w:t>
            </w:r>
            <w:proofErr w:type="spellEnd"/>
            <w:r>
              <w:t xml:space="preserve"> (M)</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Caroline Helmersson Olsson (S)</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rPr>
                <w:lang w:val="en-US"/>
              </w:rPr>
            </w:pPr>
            <w:r>
              <w:rPr>
                <w:lang w:val="en-US"/>
              </w:rPr>
              <w:t xml:space="preserve">Marta </w:t>
            </w:r>
            <w:proofErr w:type="spellStart"/>
            <w:r>
              <w:rPr>
                <w:lang w:val="en-US"/>
              </w:rPr>
              <w:t>Obminska</w:t>
            </w:r>
            <w:proofErr w:type="spellEnd"/>
            <w:r>
              <w:rPr>
                <w:lang w:val="en-US"/>
              </w:rPr>
              <w:t xml:space="preserve"> (M)</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Cassandra Sundin (SD)</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D</w:t>
            </w: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D</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Pyry Niemi (S)</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Peter Helander (C)</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Jon Thorbjörnson (V)</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N</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Ulrika Jörgensen (M)</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C564AA"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C564AA" w:rsidRDefault="00360A0F" w:rsidP="00695D42">
            <w:r w:rsidRPr="00C564AA">
              <w:t>Mattias Karlsson i Norrhult (SD)</w:t>
            </w:r>
          </w:p>
        </w:tc>
        <w:tc>
          <w:tcPr>
            <w:tcW w:w="332"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C564AA"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 xml:space="preserve">Petter </w:t>
            </w:r>
            <w:proofErr w:type="spellStart"/>
            <w:r>
              <w:t>Löberg</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Vakant</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Linus Sköld (S)</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Maria Arnholm (L)</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 xml:space="preserve">Michael </w:t>
            </w:r>
            <w:proofErr w:type="spellStart"/>
            <w:r>
              <w:t>Rubbestad</w:t>
            </w:r>
            <w:proofErr w:type="spellEnd"/>
            <w:r>
              <w:t xml:space="preserve"> (SD)</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Emma Hult (MP)</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Louise Meijer (M)</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Charlotte Quensel (SD)</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Sara Seppälä (SD)</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Bengt Eliasson (L)</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Default="00360A0F" w:rsidP="00695D42">
            <w:r>
              <w:t>Lina Nordquist (L)</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 xml:space="preserve">Niels </w:t>
            </w:r>
            <w:proofErr w:type="spellStart"/>
            <w:r>
              <w:t>Paarup</w:t>
            </w:r>
            <w:proofErr w:type="spellEnd"/>
            <w:r>
              <w:t>-Petersen (C)</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roofErr w:type="spellStart"/>
            <w:r>
              <w:t>Momodou</w:t>
            </w:r>
            <w:proofErr w:type="spellEnd"/>
            <w:r>
              <w:t xml:space="preserve"> Malcolm </w:t>
            </w:r>
            <w:proofErr w:type="spellStart"/>
            <w:r>
              <w:t>Jallow</w:t>
            </w:r>
            <w:proofErr w:type="spellEnd"/>
            <w:r>
              <w:t xml:space="preserve"> (V)</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 xml:space="preserve">Jimmy </w:t>
            </w:r>
            <w:proofErr w:type="spellStart"/>
            <w:r>
              <w:t>Loord</w:t>
            </w:r>
            <w:proofErr w:type="spellEnd"/>
            <w:r>
              <w:t xml:space="preserve"> (KD)</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r>
              <w:t xml:space="preserve">Michael </w:t>
            </w:r>
            <w:proofErr w:type="spellStart"/>
            <w:r>
              <w:t>Anefur</w:t>
            </w:r>
            <w:proofErr w:type="spellEnd"/>
            <w:r>
              <w:t xml:space="preserve"> (KD)</w:t>
            </w:r>
          </w:p>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RPr="00426117"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tc>
        <w:tc>
          <w:tcPr>
            <w:tcW w:w="332"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360A0F" w:rsidRPr="00426117"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360A0F" w:rsidTr="00695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360A0F" w:rsidRDefault="00360A0F" w:rsidP="00695D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360A0F" w:rsidRDefault="00360A0F" w:rsidP="00915415">
      <w:pPr>
        <w:tabs>
          <w:tab w:val="left" w:pos="1276"/>
        </w:tabs>
        <w:ind w:left="-1134" w:firstLine="1134"/>
      </w:pPr>
      <w:bookmarkStart w:id="0" w:name="_GoBack"/>
      <w:bookmarkEnd w:id="0"/>
    </w:p>
    <w:sectPr w:rsidR="00360A0F">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176B1"/>
    <w:rsid w:val="000851E9"/>
    <w:rsid w:val="000A25F7"/>
    <w:rsid w:val="000B258B"/>
    <w:rsid w:val="000B5580"/>
    <w:rsid w:val="000B645D"/>
    <w:rsid w:val="000D2701"/>
    <w:rsid w:val="000F59C3"/>
    <w:rsid w:val="0010373D"/>
    <w:rsid w:val="00125573"/>
    <w:rsid w:val="001460C1"/>
    <w:rsid w:val="00176692"/>
    <w:rsid w:val="00181ACF"/>
    <w:rsid w:val="001A3A0D"/>
    <w:rsid w:val="001C6F45"/>
    <w:rsid w:val="00256301"/>
    <w:rsid w:val="002A29C8"/>
    <w:rsid w:val="002D577C"/>
    <w:rsid w:val="002D720C"/>
    <w:rsid w:val="002F3D32"/>
    <w:rsid w:val="00327A63"/>
    <w:rsid w:val="0035489E"/>
    <w:rsid w:val="00360A0F"/>
    <w:rsid w:val="003E2D14"/>
    <w:rsid w:val="003E7E7F"/>
    <w:rsid w:val="00435D5A"/>
    <w:rsid w:val="004523A2"/>
    <w:rsid w:val="00452C0D"/>
    <w:rsid w:val="00452D87"/>
    <w:rsid w:val="00463BA3"/>
    <w:rsid w:val="004B13B3"/>
    <w:rsid w:val="004B19BE"/>
    <w:rsid w:val="004B64EA"/>
    <w:rsid w:val="004F7BFA"/>
    <w:rsid w:val="00503F49"/>
    <w:rsid w:val="00515CCF"/>
    <w:rsid w:val="005163AE"/>
    <w:rsid w:val="00567EC1"/>
    <w:rsid w:val="005C4B06"/>
    <w:rsid w:val="005E0940"/>
    <w:rsid w:val="00657E3E"/>
    <w:rsid w:val="00662476"/>
    <w:rsid w:val="006728E0"/>
    <w:rsid w:val="006744D6"/>
    <w:rsid w:val="006910B4"/>
    <w:rsid w:val="006A48A1"/>
    <w:rsid w:val="006A756F"/>
    <w:rsid w:val="00712610"/>
    <w:rsid w:val="00735421"/>
    <w:rsid w:val="007602C7"/>
    <w:rsid w:val="00765ADA"/>
    <w:rsid w:val="007728BA"/>
    <w:rsid w:val="00777F75"/>
    <w:rsid w:val="0079420E"/>
    <w:rsid w:val="007A26A9"/>
    <w:rsid w:val="00803A1E"/>
    <w:rsid w:val="00804314"/>
    <w:rsid w:val="00815EBC"/>
    <w:rsid w:val="00872206"/>
    <w:rsid w:val="008A1F44"/>
    <w:rsid w:val="008A4A2C"/>
    <w:rsid w:val="008A7BD3"/>
    <w:rsid w:val="008B1BB6"/>
    <w:rsid w:val="008E7991"/>
    <w:rsid w:val="00915415"/>
    <w:rsid w:val="009213E5"/>
    <w:rsid w:val="0094466A"/>
    <w:rsid w:val="00966CED"/>
    <w:rsid w:val="00994A3E"/>
    <w:rsid w:val="00997393"/>
    <w:rsid w:val="009B0683"/>
    <w:rsid w:val="009D5CF5"/>
    <w:rsid w:val="00A0699B"/>
    <w:rsid w:val="00A10FB2"/>
    <w:rsid w:val="00A12B6E"/>
    <w:rsid w:val="00A22F91"/>
    <w:rsid w:val="00A41816"/>
    <w:rsid w:val="00A577B2"/>
    <w:rsid w:val="00A72732"/>
    <w:rsid w:val="00A837EC"/>
    <w:rsid w:val="00A93957"/>
    <w:rsid w:val="00AD022A"/>
    <w:rsid w:val="00AE6EEB"/>
    <w:rsid w:val="00AF7F08"/>
    <w:rsid w:val="00B1514D"/>
    <w:rsid w:val="00B45880"/>
    <w:rsid w:val="00B47A54"/>
    <w:rsid w:val="00BA7834"/>
    <w:rsid w:val="00BF31FF"/>
    <w:rsid w:val="00C27255"/>
    <w:rsid w:val="00C7246E"/>
    <w:rsid w:val="00CA3C93"/>
    <w:rsid w:val="00CF350D"/>
    <w:rsid w:val="00D03C95"/>
    <w:rsid w:val="00D15AC1"/>
    <w:rsid w:val="00D17499"/>
    <w:rsid w:val="00DA0C91"/>
    <w:rsid w:val="00DD1050"/>
    <w:rsid w:val="00E0198B"/>
    <w:rsid w:val="00E168C2"/>
    <w:rsid w:val="00E20D4E"/>
    <w:rsid w:val="00E60139"/>
    <w:rsid w:val="00E811BF"/>
    <w:rsid w:val="00E86865"/>
    <w:rsid w:val="00E876D3"/>
    <w:rsid w:val="00EC284A"/>
    <w:rsid w:val="00F01380"/>
    <w:rsid w:val="00F04474"/>
    <w:rsid w:val="00FA05E6"/>
    <w:rsid w:val="00FA7F95"/>
    <w:rsid w:val="00FC116A"/>
    <w:rsid w:val="00FC2280"/>
    <w:rsid w:val="00FE4626"/>
    <w:rsid w:val="00FF65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7F0A"/>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6063</Characters>
  <Application>Microsoft Office Word</Application>
  <DocSecurity>0</DocSecurity>
  <Lines>6063</Lines>
  <Paragraphs>772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2018-11-19T12:22:00Z</cp:lastPrinted>
  <dcterms:created xsi:type="dcterms:W3CDTF">2018-11-22T11:50:00Z</dcterms:created>
  <dcterms:modified xsi:type="dcterms:W3CDTF">2018-11-22T11:50:00Z</dcterms:modified>
</cp:coreProperties>
</file>