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67127D" w:rsidRPr="00005077">
        <w:tc>
          <w:tcPr>
            <w:tcW w:w="2268" w:type="dxa"/>
          </w:tcPr>
          <w:p w:rsidR="0067127D" w:rsidRPr="00005077" w:rsidRDefault="0067127D" w:rsidP="007242A3">
            <w:pPr>
              <w:framePr w:w="5035" w:h="1644" w:wrap="notBeside" w:vAnchor="page" w:hAnchor="page" w:x="6573" w:y="721"/>
              <w:rPr>
                <w:rFonts w:ascii="TradeGothic" w:hAnsi="TradeGothic"/>
                <w:i/>
                <w:sz w:val="18"/>
              </w:rPr>
            </w:pPr>
          </w:p>
        </w:tc>
        <w:tc>
          <w:tcPr>
            <w:tcW w:w="2999" w:type="dxa"/>
            <w:gridSpan w:val="2"/>
          </w:tcPr>
          <w:p w:rsidR="0067127D" w:rsidRPr="000552E4" w:rsidRDefault="0067127D" w:rsidP="007242A3">
            <w:pPr>
              <w:framePr w:w="5035" w:h="1644" w:wrap="notBeside" w:vAnchor="page" w:hAnchor="page" w:x="6573" w:y="721"/>
              <w:rPr>
                <w:rFonts w:ascii="TradeGothic" w:hAnsi="TradeGothic"/>
                <w:sz w:val="18"/>
              </w:rPr>
            </w:pPr>
          </w:p>
        </w:tc>
      </w:tr>
      <w:tr w:rsidR="0067127D" w:rsidRPr="00005077">
        <w:tc>
          <w:tcPr>
            <w:tcW w:w="2268" w:type="dxa"/>
          </w:tcPr>
          <w:p w:rsidR="0067127D" w:rsidRPr="00005077" w:rsidRDefault="0067127D" w:rsidP="007242A3">
            <w:pPr>
              <w:framePr w:w="5035" w:h="1644" w:wrap="notBeside" w:vAnchor="page" w:hAnchor="page" w:x="6573" w:y="721"/>
              <w:rPr>
                <w:rFonts w:ascii="TradeGothic" w:hAnsi="TradeGothic"/>
                <w:b/>
                <w:sz w:val="22"/>
              </w:rPr>
            </w:pPr>
            <w:r>
              <w:rPr>
                <w:rFonts w:ascii="TradeGothic" w:hAnsi="TradeGothic"/>
                <w:b/>
                <w:sz w:val="22"/>
              </w:rPr>
              <w:t>Annotering</w:t>
            </w:r>
          </w:p>
        </w:tc>
        <w:tc>
          <w:tcPr>
            <w:tcW w:w="2999" w:type="dxa"/>
            <w:gridSpan w:val="2"/>
          </w:tcPr>
          <w:p w:rsidR="0067127D" w:rsidRPr="00005077" w:rsidRDefault="0067127D" w:rsidP="007C14A6">
            <w:pPr>
              <w:framePr w:w="5035" w:h="1644" w:wrap="notBeside" w:vAnchor="page" w:hAnchor="page" w:x="6573" w:y="721"/>
              <w:rPr>
                <w:rFonts w:ascii="TradeGothic" w:hAnsi="TradeGothic"/>
                <w:b/>
                <w:sz w:val="22"/>
              </w:rPr>
            </w:pPr>
          </w:p>
        </w:tc>
      </w:tr>
      <w:tr w:rsidR="0067127D" w:rsidRPr="00005077">
        <w:tc>
          <w:tcPr>
            <w:tcW w:w="3402" w:type="dxa"/>
            <w:gridSpan w:val="2"/>
          </w:tcPr>
          <w:p w:rsidR="0067127D" w:rsidRPr="00005077" w:rsidRDefault="0067127D" w:rsidP="007242A3">
            <w:pPr>
              <w:framePr w:w="5035" w:h="1644" w:wrap="notBeside" w:vAnchor="page" w:hAnchor="page" w:x="6573" w:y="721"/>
            </w:pPr>
          </w:p>
        </w:tc>
        <w:tc>
          <w:tcPr>
            <w:tcW w:w="1865" w:type="dxa"/>
          </w:tcPr>
          <w:p w:rsidR="0067127D" w:rsidRPr="00005077" w:rsidRDefault="0067127D" w:rsidP="007242A3">
            <w:pPr>
              <w:framePr w:w="5035" w:h="1644" w:wrap="notBeside" w:vAnchor="page" w:hAnchor="page" w:x="6573" w:y="721"/>
            </w:pPr>
          </w:p>
        </w:tc>
      </w:tr>
      <w:tr w:rsidR="0067127D" w:rsidRPr="00005077">
        <w:tc>
          <w:tcPr>
            <w:tcW w:w="2268" w:type="dxa"/>
          </w:tcPr>
          <w:p w:rsidR="0067127D" w:rsidRPr="00005077" w:rsidRDefault="0067127D" w:rsidP="00BC50DF">
            <w:pPr>
              <w:framePr w:w="5035" w:h="1644" w:wrap="notBeside" w:vAnchor="page" w:hAnchor="page" w:x="6573" w:y="721"/>
            </w:pPr>
            <w:r>
              <w:t>2013-12-02</w:t>
            </w:r>
          </w:p>
        </w:tc>
        <w:tc>
          <w:tcPr>
            <w:tcW w:w="2999" w:type="dxa"/>
            <w:gridSpan w:val="2"/>
          </w:tcPr>
          <w:p w:rsidR="0067127D" w:rsidRPr="00AD1C07" w:rsidRDefault="0067127D" w:rsidP="003E582C">
            <w:pPr>
              <w:framePr w:w="5035" w:h="1644" w:wrap="notBeside" w:vAnchor="page" w:hAnchor="page" w:x="6573" w:y="721"/>
              <w:rPr>
                <w:sz w:val="20"/>
              </w:rPr>
            </w:pPr>
          </w:p>
        </w:tc>
      </w:tr>
      <w:tr w:rsidR="0067127D" w:rsidRPr="00005077">
        <w:tc>
          <w:tcPr>
            <w:tcW w:w="2268" w:type="dxa"/>
          </w:tcPr>
          <w:p w:rsidR="0067127D" w:rsidRPr="00005077" w:rsidRDefault="0067127D" w:rsidP="007242A3">
            <w:pPr>
              <w:framePr w:w="5035" w:h="1644" w:wrap="notBeside" w:vAnchor="page" w:hAnchor="page" w:x="6573" w:y="721"/>
            </w:pPr>
          </w:p>
        </w:tc>
        <w:tc>
          <w:tcPr>
            <w:tcW w:w="2999" w:type="dxa"/>
            <w:gridSpan w:val="2"/>
          </w:tcPr>
          <w:p w:rsidR="0067127D" w:rsidRPr="00005077" w:rsidRDefault="0067127D" w:rsidP="007242A3">
            <w:pPr>
              <w:framePr w:w="5035" w:h="1644" w:wrap="notBeside" w:vAnchor="page" w:hAnchor="page" w:x="6573" w:y="721"/>
            </w:pPr>
          </w:p>
        </w:tc>
      </w:tr>
    </w:tbl>
    <w:p w:rsidR="0067127D" w:rsidRPr="00F31507" w:rsidRDefault="0067127D" w:rsidP="00F31507">
      <w:pPr>
        <w:rPr>
          <w:vanish/>
        </w:rPr>
      </w:pPr>
    </w:p>
    <w:tbl>
      <w:tblPr>
        <w:tblW w:w="4928" w:type="dxa"/>
        <w:tblLayout w:type="fixed"/>
        <w:tblLook w:val="0000"/>
      </w:tblPr>
      <w:tblGrid>
        <w:gridCol w:w="4928"/>
      </w:tblGrid>
      <w:tr w:rsidR="0067127D" w:rsidRPr="00005077" w:rsidTr="00D50C6A">
        <w:trPr>
          <w:trHeight w:val="284"/>
        </w:trPr>
        <w:tc>
          <w:tcPr>
            <w:tcW w:w="4928" w:type="dxa"/>
          </w:tcPr>
          <w:p w:rsidR="0067127D" w:rsidRPr="00005077" w:rsidRDefault="0067127D">
            <w:pPr>
              <w:pStyle w:val="Avsndare"/>
              <w:framePr w:h="2483" w:wrap="notBeside" w:x="1504"/>
              <w:rPr>
                <w:b/>
                <w:i w:val="0"/>
                <w:sz w:val="22"/>
              </w:rPr>
            </w:pPr>
            <w:r>
              <w:rPr>
                <w:b/>
                <w:i w:val="0"/>
                <w:sz w:val="22"/>
              </w:rPr>
              <w:t>Finansdepartementet</w:t>
            </w:r>
          </w:p>
        </w:tc>
      </w:tr>
      <w:tr w:rsidR="0067127D" w:rsidRPr="00005077" w:rsidTr="00D50C6A">
        <w:trPr>
          <w:trHeight w:val="284"/>
        </w:trPr>
        <w:tc>
          <w:tcPr>
            <w:tcW w:w="4928" w:type="dxa"/>
          </w:tcPr>
          <w:p w:rsidR="0067127D" w:rsidRPr="00005077" w:rsidRDefault="0067127D">
            <w:pPr>
              <w:pStyle w:val="Avsndare"/>
              <w:framePr w:h="2483" w:wrap="notBeside" w:x="1504"/>
              <w:rPr>
                <w:bCs/>
                <w:iCs/>
              </w:rPr>
            </w:pPr>
          </w:p>
        </w:tc>
      </w:tr>
      <w:tr w:rsidR="0067127D" w:rsidRPr="00005077" w:rsidTr="00D50C6A">
        <w:trPr>
          <w:trHeight w:val="284"/>
        </w:trPr>
        <w:tc>
          <w:tcPr>
            <w:tcW w:w="4928" w:type="dxa"/>
          </w:tcPr>
          <w:p w:rsidR="0067127D" w:rsidRPr="00005077" w:rsidRDefault="0067127D">
            <w:pPr>
              <w:pStyle w:val="Avsndare"/>
              <w:framePr w:h="2483" w:wrap="notBeside" w:x="1504"/>
              <w:rPr>
                <w:bCs/>
                <w:iCs/>
              </w:rPr>
            </w:pPr>
          </w:p>
        </w:tc>
      </w:tr>
      <w:tr w:rsidR="0067127D" w:rsidRPr="00005077" w:rsidTr="00D50C6A">
        <w:trPr>
          <w:trHeight w:val="284"/>
        </w:trPr>
        <w:tc>
          <w:tcPr>
            <w:tcW w:w="4928" w:type="dxa"/>
          </w:tcPr>
          <w:p w:rsidR="0067127D" w:rsidRPr="00005077" w:rsidRDefault="0067127D">
            <w:pPr>
              <w:pStyle w:val="Avsndare"/>
              <w:framePr w:h="2483" w:wrap="notBeside" w:x="1504"/>
              <w:rPr>
                <w:bCs/>
                <w:iCs/>
              </w:rPr>
            </w:pPr>
          </w:p>
        </w:tc>
      </w:tr>
      <w:tr w:rsidR="0067127D" w:rsidRPr="00005077" w:rsidTr="00D50C6A">
        <w:trPr>
          <w:trHeight w:val="284"/>
        </w:trPr>
        <w:tc>
          <w:tcPr>
            <w:tcW w:w="4928" w:type="dxa"/>
          </w:tcPr>
          <w:p w:rsidR="0067127D" w:rsidRPr="00005077" w:rsidRDefault="0067127D">
            <w:pPr>
              <w:pStyle w:val="Avsndare"/>
              <w:framePr w:h="2483" w:wrap="notBeside" w:x="1504"/>
              <w:rPr>
                <w:bCs/>
                <w:iCs/>
              </w:rPr>
            </w:pPr>
          </w:p>
        </w:tc>
      </w:tr>
      <w:tr w:rsidR="0067127D" w:rsidRPr="00005077" w:rsidTr="00D50C6A">
        <w:trPr>
          <w:trHeight w:val="284"/>
        </w:trPr>
        <w:tc>
          <w:tcPr>
            <w:tcW w:w="4928" w:type="dxa"/>
          </w:tcPr>
          <w:p w:rsidR="0067127D" w:rsidRPr="00005077" w:rsidRDefault="0067127D">
            <w:pPr>
              <w:pStyle w:val="Avsndare"/>
              <w:framePr w:h="2483" w:wrap="notBeside" w:x="1504"/>
              <w:rPr>
                <w:bCs/>
                <w:iCs/>
              </w:rPr>
            </w:pPr>
          </w:p>
        </w:tc>
      </w:tr>
      <w:tr w:rsidR="0067127D" w:rsidRPr="00005077" w:rsidTr="00D50C6A">
        <w:trPr>
          <w:trHeight w:val="284"/>
        </w:trPr>
        <w:tc>
          <w:tcPr>
            <w:tcW w:w="4928" w:type="dxa"/>
          </w:tcPr>
          <w:p w:rsidR="0067127D" w:rsidRPr="00005077" w:rsidRDefault="0067127D">
            <w:pPr>
              <w:pStyle w:val="Avsndare"/>
              <w:framePr w:h="2483" w:wrap="notBeside" w:x="1504"/>
              <w:rPr>
                <w:bCs/>
                <w:iCs/>
              </w:rPr>
            </w:pPr>
          </w:p>
        </w:tc>
      </w:tr>
    </w:tbl>
    <w:p w:rsidR="0067127D" w:rsidRDefault="0067127D">
      <w:pPr>
        <w:framePr w:w="4400" w:h="2523" w:wrap="notBeside" w:vAnchor="page" w:hAnchor="page" w:x="6453" w:y="2445"/>
        <w:ind w:left="142"/>
      </w:pPr>
      <w:r>
        <w:t>Till: Riksdagen</w:t>
      </w:r>
    </w:p>
    <w:p w:rsidR="0067127D" w:rsidRDefault="0067127D">
      <w:pPr>
        <w:framePr w:w="4400" w:h="2523" w:wrap="notBeside" w:vAnchor="page" w:hAnchor="page" w:x="6453" w:y="2445"/>
        <w:ind w:left="142"/>
      </w:pPr>
    </w:p>
    <w:p w:rsidR="0067127D" w:rsidRDefault="0067127D">
      <w:pPr>
        <w:framePr w:w="4400" w:h="2523" w:wrap="notBeside" w:vAnchor="page" w:hAnchor="page" w:x="6453" w:y="2445"/>
        <w:ind w:left="142"/>
      </w:pPr>
      <w:r>
        <w:t xml:space="preserve">Ekofinrådets möte den </w:t>
      </w:r>
    </w:p>
    <w:p w:rsidR="0067127D" w:rsidRPr="00005077" w:rsidRDefault="0067127D">
      <w:pPr>
        <w:framePr w:w="4400" w:h="2523" w:wrap="notBeside" w:vAnchor="page" w:hAnchor="page" w:x="6453" w:y="2445"/>
        <w:ind w:left="142"/>
      </w:pPr>
      <w:r>
        <w:t>10 december i Bryssel</w:t>
      </w:r>
    </w:p>
    <w:p w:rsidR="0067127D" w:rsidRDefault="0067127D" w:rsidP="00005077">
      <w:pPr>
        <w:pStyle w:val="RKrubrik"/>
        <w:pBdr>
          <w:bottom w:val="single" w:sz="4" w:space="1" w:color="000000"/>
        </w:pBdr>
        <w:spacing w:before="0" w:after="0"/>
      </w:pPr>
      <w:r>
        <w:t>Kommenterad dagordning</w:t>
      </w:r>
    </w:p>
    <w:p w:rsidR="0067127D" w:rsidRPr="003E582C" w:rsidRDefault="0067127D" w:rsidP="003E582C">
      <w:pPr>
        <w:pStyle w:val="RKnormal"/>
        <w:rPr>
          <w:sz w:val="20"/>
        </w:rPr>
      </w:pPr>
      <w:r w:rsidRPr="003E582C">
        <w:rPr>
          <w:sz w:val="20"/>
        </w:rPr>
        <w:t>- enligt den preliminära dagordning som framkom i Coreper den</w:t>
      </w:r>
      <w:r>
        <w:rPr>
          <w:sz w:val="20"/>
        </w:rPr>
        <w:t xml:space="preserve"> 27 november</w:t>
      </w:r>
    </w:p>
    <w:p w:rsidR="0067127D" w:rsidRDefault="0067127D" w:rsidP="005735E9">
      <w:pPr>
        <w:pStyle w:val="Heading2"/>
        <w:numPr>
          <w:ilvl w:val="0"/>
          <w:numId w:val="3"/>
        </w:numPr>
        <w:rPr>
          <w:lang w:eastAsia="sv-SE"/>
        </w:rPr>
      </w:pPr>
      <w:r>
        <w:rPr>
          <w:lang w:eastAsia="sv-SE"/>
        </w:rPr>
        <w:t>Godkännande av den preliminära dagordningen</w:t>
      </w:r>
    </w:p>
    <w:p w:rsidR="0067127D" w:rsidRDefault="0067127D" w:rsidP="00196DDE">
      <w:pPr>
        <w:pStyle w:val="Heading2"/>
        <w:rPr>
          <w:u w:val="single"/>
        </w:rPr>
      </w:pPr>
      <w:r>
        <w:rPr>
          <w:u w:val="single"/>
        </w:rPr>
        <w:t>Lagstiftande verksamhet</w:t>
      </w:r>
    </w:p>
    <w:p w:rsidR="0067127D" w:rsidRDefault="0067127D" w:rsidP="005735E9">
      <w:pPr>
        <w:pStyle w:val="Heading2"/>
        <w:numPr>
          <w:ilvl w:val="0"/>
          <w:numId w:val="3"/>
        </w:numPr>
        <w:rPr>
          <w:rStyle w:val="Strong"/>
          <w:b/>
        </w:rPr>
      </w:pPr>
      <w:r w:rsidRPr="0028134B">
        <w:rPr>
          <w:rStyle w:val="Strong"/>
          <w:b/>
        </w:rPr>
        <w:t xml:space="preserve">Godkännande av </w:t>
      </w:r>
      <w:r>
        <w:rPr>
          <w:rStyle w:val="Strong"/>
          <w:b/>
        </w:rPr>
        <w:t>A-punktslistan</w:t>
      </w:r>
    </w:p>
    <w:p w:rsidR="0067127D" w:rsidRPr="00045E00" w:rsidRDefault="0067127D" w:rsidP="00045E00">
      <w:pPr>
        <w:pStyle w:val="Heading2"/>
        <w:numPr>
          <w:ilvl w:val="0"/>
          <w:numId w:val="3"/>
        </w:numPr>
        <w:rPr>
          <w:bCs/>
          <w:lang w:eastAsia="sv-SE"/>
        </w:rPr>
      </w:pPr>
      <w:r>
        <w:rPr>
          <w:bCs/>
          <w:lang w:eastAsia="sv-SE"/>
        </w:rPr>
        <w:t xml:space="preserve">Återhämtning och rekonstruktion av banker </w:t>
      </w:r>
    </w:p>
    <w:p w:rsidR="0067127D" w:rsidRDefault="0067127D" w:rsidP="00652C08">
      <w:pPr>
        <w:pStyle w:val="RKnormal"/>
        <w:numPr>
          <w:ilvl w:val="0"/>
          <w:numId w:val="5"/>
        </w:numPr>
      </w:pPr>
      <w:r w:rsidRPr="0038399B">
        <w:t>Beaktande av Europaparlamentets ändringar som förberedelse för en politisk överenskommelse</w:t>
      </w:r>
    </w:p>
    <w:p w:rsidR="0067127D" w:rsidRDefault="0067127D" w:rsidP="006E2749">
      <w:pPr>
        <w:pStyle w:val="RKnormal"/>
        <w:ind w:left="2880"/>
      </w:pPr>
    </w:p>
    <w:p w:rsidR="0067127D" w:rsidRDefault="0067127D" w:rsidP="008630DE">
      <w:pPr>
        <w:pStyle w:val="RKnormal"/>
      </w:pPr>
      <w:r w:rsidRPr="00C25367">
        <w:t xml:space="preserve">Rådet har att ta ställning till Europaparlamentets ändringsförslag i </w:t>
      </w:r>
      <w:r>
        <w:t xml:space="preserve"> krishanteringsdirektivet (BRRD</w:t>
      </w:r>
      <w:r w:rsidRPr="00C25367">
        <w:t xml:space="preserve">) inför fortsatta trilogförhandlingar. </w:t>
      </w:r>
    </w:p>
    <w:p w:rsidR="0067127D" w:rsidRDefault="0067127D" w:rsidP="008630DE"/>
    <w:p w:rsidR="0067127D" w:rsidRDefault="0067127D" w:rsidP="008630DE">
      <w:pPr>
        <w:rPr>
          <w:i/>
        </w:rPr>
      </w:pPr>
      <w:r w:rsidRPr="00F700D5">
        <w:t xml:space="preserve">Överläggning har skett med Finansutskottet vid ett tillfälle, 2012-08-28. Finansutskottet har informerats vid </w:t>
      </w:r>
      <w:r>
        <w:t>sju</w:t>
      </w:r>
      <w:r w:rsidRPr="00F700D5">
        <w:t xml:space="preserve"> tillfällen, senast 2013-</w:t>
      </w:r>
      <w:r>
        <w:t>11-26</w:t>
      </w:r>
      <w:r w:rsidRPr="00F700D5">
        <w:t xml:space="preserve">. Samråd med EU-nämnden har skett vid </w:t>
      </w:r>
      <w:r>
        <w:t>fem</w:t>
      </w:r>
      <w:r w:rsidRPr="00F700D5">
        <w:t xml:space="preserve"> tillfällen, senast 2013-06</w:t>
      </w:r>
      <w:r>
        <w:t>-26</w:t>
      </w:r>
      <w:r w:rsidRPr="00F700D5">
        <w:t>.</w:t>
      </w:r>
    </w:p>
    <w:p w:rsidR="0067127D" w:rsidRDefault="0067127D" w:rsidP="008630DE">
      <w:pPr>
        <w:rPr>
          <w:color w:val="000000"/>
        </w:rPr>
      </w:pPr>
    </w:p>
    <w:p w:rsidR="0067127D" w:rsidRDefault="0067127D" w:rsidP="008630DE">
      <w:pPr>
        <w:rPr>
          <w:color w:val="000000"/>
        </w:rPr>
      </w:pPr>
      <w:r>
        <w:rPr>
          <w:color w:val="000000"/>
        </w:rPr>
        <w:t>Kommissionen presenterade den 6 juni 2012 ett direktivförslag till EU-ramverk för hantering av banker, kreditmarknadsföretag och värdepappersföretag i kris. Direktivet syftar till att säkerställa att myndigheter har trovärdiga verktyg för att avveckla institut på ett sätt som minimerar spridningsrisker och samtidigt bibehåller tillgången på grundläggande finansiella tjänster.</w:t>
      </w:r>
      <w:r>
        <w:t xml:space="preserve"> (För vidare information, se </w:t>
      </w:r>
      <w:r>
        <w:rPr>
          <w:color w:val="000000"/>
        </w:rPr>
        <w:t>faktapromemoria 2011/12:FPM165.)</w:t>
      </w:r>
    </w:p>
    <w:p w:rsidR="0067127D" w:rsidRDefault="0067127D" w:rsidP="008630DE">
      <w:pPr>
        <w:pStyle w:val="RKnormal"/>
        <w:spacing w:line="240" w:lineRule="auto"/>
        <w:rPr>
          <w:color w:val="000000"/>
        </w:rPr>
      </w:pPr>
      <w:bookmarkStart w:id="0" w:name="_GoBack"/>
      <w:bookmarkEnd w:id="0"/>
    </w:p>
    <w:p w:rsidR="0067127D" w:rsidRDefault="0067127D" w:rsidP="008630DE">
      <w:r>
        <w:t xml:space="preserve">En allmän inriktning nåddes i rådet i juni 2013, och därefter påbörjades trilogförhandlingar med parlamentet som det litauiska ordförandeskapet ämnar slutföra till årets slut. </w:t>
      </w:r>
    </w:p>
    <w:p w:rsidR="0067127D" w:rsidRDefault="0067127D" w:rsidP="008630DE">
      <w:r w:rsidRPr="00CA33E2">
        <w:t>I Europaparlamentets ändringar föreslås vissa statliga verktyg, som i stort överensstämmer med den sortens verktyg som regeringen under förhandlingarna har förespråkat och som Sverige tidigare använt sig av vid hantering av bankkriser.</w:t>
      </w:r>
    </w:p>
    <w:p w:rsidR="0067127D" w:rsidRDefault="0067127D" w:rsidP="008630DE">
      <w:pPr>
        <w:pStyle w:val="RKnormal"/>
        <w:spacing w:line="240" w:lineRule="auto"/>
        <w:rPr>
          <w:color w:val="000000"/>
        </w:rPr>
      </w:pPr>
    </w:p>
    <w:p w:rsidR="0067127D" w:rsidRDefault="0067127D" w:rsidP="008630DE">
      <w:pPr>
        <w:pStyle w:val="RKnormal"/>
        <w:spacing w:line="240" w:lineRule="auto"/>
        <w:rPr>
          <w:color w:val="000000"/>
        </w:rPr>
      </w:pPr>
      <w:r>
        <w:rPr>
          <w:color w:val="000000"/>
        </w:rPr>
        <w:t>Regering</w:t>
      </w:r>
      <w:r w:rsidRPr="001F26AD">
        <w:rPr>
          <w:color w:val="000000"/>
        </w:rPr>
        <w:t xml:space="preserve">en </w:t>
      </w:r>
      <w:r>
        <w:rPr>
          <w:color w:val="000000"/>
        </w:rPr>
        <w:t xml:space="preserve">ställer sig </w:t>
      </w:r>
      <w:r w:rsidRPr="001F26AD">
        <w:rPr>
          <w:color w:val="000000"/>
        </w:rPr>
        <w:t xml:space="preserve">tveksam till en tvingande tillämpning av </w:t>
      </w:r>
      <w:r>
        <w:rPr>
          <w:color w:val="000000"/>
        </w:rPr>
        <w:t>bail-in-</w:t>
      </w:r>
      <w:r w:rsidRPr="001F26AD">
        <w:rPr>
          <w:color w:val="000000"/>
        </w:rPr>
        <w:t>verktyget i alla lägen och förespråkar nationell flexibilitet i bedömningen.Regeringen stödjer Europaparlamentets</w:t>
      </w:r>
      <w:r>
        <w:rPr>
          <w:color w:val="000000"/>
        </w:rPr>
        <w:t xml:space="preserve"> förslag att inkludera vissa statliga verktyg. Vidare anser regeringen att föreliggande förslag ger alltför stora befogenheter till Europeiska bankmyndigheten (EBA) vad gäller möjlighet att utöva bindande medling och utfärda bindande tekniska standarder.</w:t>
      </w:r>
    </w:p>
    <w:p w:rsidR="0067127D" w:rsidRDefault="0067127D" w:rsidP="008630DE">
      <w:pPr>
        <w:pStyle w:val="RKnormal"/>
        <w:spacing w:line="240" w:lineRule="auto"/>
        <w:rPr>
          <w:color w:val="000000"/>
        </w:rPr>
      </w:pPr>
    </w:p>
    <w:p w:rsidR="0067127D" w:rsidRDefault="0067127D" w:rsidP="00045E00">
      <w:pPr>
        <w:pStyle w:val="Heading2"/>
        <w:numPr>
          <w:ilvl w:val="0"/>
          <w:numId w:val="3"/>
        </w:numPr>
        <w:rPr>
          <w:bCs/>
          <w:lang w:eastAsia="sv-SE"/>
        </w:rPr>
      </w:pPr>
      <w:r>
        <w:rPr>
          <w:bCs/>
          <w:lang w:eastAsia="sv-SE"/>
        </w:rPr>
        <w:t>Insättningsgarantidirektivet</w:t>
      </w:r>
    </w:p>
    <w:p w:rsidR="0067127D" w:rsidRDefault="0067127D" w:rsidP="00652C08">
      <w:pPr>
        <w:pStyle w:val="RKnormal"/>
        <w:numPr>
          <w:ilvl w:val="0"/>
          <w:numId w:val="5"/>
        </w:numPr>
      </w:pPr>
      <w:r w:rsidRPr="0038399B">
        <w:t>Beaktande av Europaparlamentets ändringar som förberedelse för en politisk överenskommelse</w:t>
      </w:r>
    </w:p>
    <w:p w:rsidR="0067127D" w:rsidRDefault="0067127D" w:rsidP="00652C08">
      <w:pPr>
        <w:pStyle w:val="RKnormal"/>
      </w:pPr>
    </w:p>
    <w:p w:rsidR="0067127D" w:rsidRDefault="0067127D" w:rsidP="008630DE">
      <w:pPr>
        <w:pStyle w:val="RKnormal"/>
      </w:pPr>
      <w:r>
        <w:t xml:space="preserve">Rådet har att ta ställning till Europaparlamentets ändringsförslag i insättningsgarantidirektivet (DGS) inför fortsatta trilogförhandlingar. </w:t>
      </w:r>
    </w:p>
    <w:p w:rsidR="0067127D" w:rsidRDefault="0067127D" w:rsidP="008630DE">
      <w:pPr>
        <w:pStyle w:val="RKnormal"/>
      </w:pPr>
    </w:p>
    <w:p w:rsidR="0067127D" w:rsidRDefault="0067127D" w:rsidP="008630DE">
      <w:r>
        <w:t xml:space="preserve">Överläggning har skett med Finansutskottet den 30 november 2010. Finansutskottet har därutöver informerats flera gånger, senast i december 2012. Information och samråd med EU-nämnden skedde senast i juni 2013. </w:t>
      </w:r>
    </w:p>
    <w:p w:rsidR="0067127D" w:rsidRDefault="0067127D" w:rsidP="008630DE"/>
    <w:p w:rsidR="0067127D" w:rsidRDefault="0067127D" w:rsidP="008630DE">
      <w:r>
        <w:t>Den 12 juli 2010 presenterade kommissionen ett förslag till ett omarbetat insättningsgarantidirektiv (se faktapromemoria 2009/10:FPM121). Förslaget syftar till att harmonisera och stärka insättningsgarantisystemen i EU och därigenom öka konsumenternas skydd samt främja den finansiella stabiliteten. Förslaget innebär bl.a. att det införs harmoniserade regler för finansieringen av insättningsgaranti</w:t>
      </w:r>
      <w:r>
        <w:softHyphen/>
        <w:t xml:space="preserve">systemen, att utbetalningstiden vid ersättningsfall förkortas och att informationen till insättarna förbättras. </w:t>
      </w:r>
    </w:p>
    <w:p w:rsidR="0067127D" w:rsidRDefault="0067127D" w:rsidP="008630DE"/>
    <w:p w:rsidR="0067127D" w:rsidRDefault="0067127D" w:rsidP="008630DE">
      <w:r>
        <w:t>Förhandlingar har förts i rådet sedan hösten 2010. Vid Coreper den 17 juni 2011 enades medlemsstaterna om en allmän inriktning. Sedan september 2011 har förhandlingar förts med Europaparlamentet.Förhandlingarna är ännu inte avslutade och befinner sig sedan oktober 2013 i en andra läsning. Ordförandeskapet ämnar slutföra dem tidigt nästa år.</w:t>
      </w:r>
    </w:p>
    <w:p w:rsidR="0067127D" w:rsidRDefault="0067127D" w:rsidP="008630DE"/>
    <w:p w:rsidR="0067127D" w:rsidRDefault="0067127D" w:rsidP="008630DE">
      <w:r>
        <w:t>Krishanterings</w:t>
      </w:r>
      <w:r>
        <w:softHyphen/>
        <w:t>direktivet (BRRD) har direkta kopplingar till insättningsgarantidirektivet vad gäller frågor om finansiering och hur medel i insättningsgarantifonderna kan få användas vid avveckling av banker. Krishanteringsdirektivet förhandlas som nämnts ovan fortfarande i trilog med Europaparlamentet.</w:t>
      </w:r>
    </w:p>
    <w:p w:rsidR="0067127D" w:rsidRDefault="0067127D" w:rsidP="008630DE"/>
    <w:p w:rsidR="0067127D" w:rsidRPr="00343E0A" w:rsidRDefault="0067127D" w:rsidP="008630DE">
      <w:r>
        <w:t xml:space="preserve">Finansieringskopplingarna till krishanteringsdirektivet gör att de båda direktiven måste hanteras parallellt. Regeringens ståndpunkt är oförändrad sedan tidigare: </w:t>
      </w:r>
      <w:r w:rsidRPr="00775CDA">
        <w:t>ersättningsbeloppet ska kunna anges i svenska kronor</w:t>
      </w:r>
      <w:r>
        <w:t>, den svenska modellen där en myndighet ansvarar för insättningsgarantin ska behållas, och fondens målnivå måste vara en miniminivå som medlemsstaterna är fria att överskrida.</w:t>
      </w:r>
    </w:p>
    <w:p w:rsidR="0067127D" w:rsidRDefault="0067127D" w:rsidP="00045E00">
      <w:pPr>
        <w:pStyle w:val="Heading2"/>
        <w:numPr>
          <w:ilvl w:val="0"/>
          <w:numId w:val="3"/>
        </w:numPr>
      </w:pPr>
      <w:r>
        <w:rPr>
          <w:bCs/>
          <w:lang w:eastAsia="sv-SE"/>
        </w:rPr>
        <w:t xml:space="preserve">Gemensam avvecklingsmekanism </w:t>
      </w:r>
    </w:p>
    <w:p w:rsidR="0067127D" w:rsidRDefault="0067127D" w:rsidP="00652C08">
      <w:pPr>
        <w:pStyle w:val="RKnormal"/>
        <w:numPr>
          <w:ilvl w:val="0"/>
          <w:numId w:val="5"/>
        </w:numPr>
      </w:pPr>
      <w:r>
        <w:t xml:space="preserve">Allmän inriktning </w:t>
      </w:r>
    </w:p>
    <w:p w:rsidR="0067127D" w:rsidRDefault="0067127D" w:rsidP="008630DE">
      <w:pPr>
        <w:pStyle w:val="RKnormal"/>
      </w:pPr>
    </w:p>
    <w:p w:rsidR="0067127D" w:rsidRDefault="0067127D" w:rsidP="008630DE">
      <w:pPr>
        <w:pStyle w:val="RKnormal"/>
      </w:pPr>
      <w:r>
        <w:t>Avsikten är att rådet ska enas om en allmän inriktning om en förordning om en gemensam avvecklingsmekanism (SRM) för de medlemsstater som deltar i bankunionen.</w:t>
      </w:r>
    </w:p>
    <w:p w:rsidR="0067127D" w:rsidRDefault="0067127D" w:rsidP="00652C08">
      <w:pPr>
        <w:pStyle w:val="RKnormal"/>
      </w:pPr>
    </w:p>
    <w:p w:rsidR="0067127D" w:rsidRDefault="0067127D" w:rsidP="008630DE">
      <w:r>
        <w:t>Samråd med EU-nämnden skedde senast 2013-11-12, överläggning i finansutskottet senast 2013-11-26.</w:t>
      </w:r>
    </w:p>
    <w:p w:rsidR="0067127D" w:rsidRDefault="0067127D" w:rsidP="00652C08">
      <w:pPr>
        <w:pStyle w:val="RKnormal"/>
      </w:pPr>
    </w:p>
    <w:p w:rsidR="0067127D" w:rsidRDefault="0067127D" w:rsidP="008630DE">
      <w:pPr>
        <w:pStyle w:val="RKnormal"/>
        <w:spacing w:line="240" w:lineRule="auto"/>
        <w:rPr>
          <w:color w:val="000000"/>
          <w:szCs w:val="24"/>
        </w:rPr>
      </w:pPr>
      <w:r>
        <w:rPr>
          <w:color w:val="000000"/>
        </w:rPr>
        <w:t xml:space="preserve">Förslaget om en </w:t>
      </w:r>
      <w:r>
        <w:rPr>
          <w:color w:val="000000"/>
          <w:szCs w:val="24"/>
        </w:rPr>
        <w:t xml:space="preserve">gemensam avvecklingsmekanism </w:t>
      </w:r>
      <w:r>
        <w:rPr>
          <w:szCs w:val="24"/>
        </w:rPr>
        <w:t>är en komponent i bankunionen. Det skulle innebära att bankavveckling i de medlemsstater som ingår i bankunionen – i nuläget euroländerna – sker centralt och att kommissionen får befogenhet att besluta om avveckling av enskilda banker. Det skapas också en gemensam avvecklingsfond för att täcka avvecklingskostnader.</w:t>
      </w:r>
      <w:r>
        <w:rPr>
          <w:color w:val="000000"/>
          <w:szCs w:val="24"/>
        </w:rPr>
        <w:t xml:space="preserve"> Mer information om förslaget finns i FaktaPM (2012/13:FPM148).</w:t>
      </w:r>
    </w:p>
    <w:p w:rsidR="0067127D" w:rsidRDefault="0067127D" w:rsidP="00652C08">
      <w:pPr>
        <w:pStyle w:val="RKnormal"/>
      </w:pPr>
    </w:p>
    <w:p w:rsidR="0067127D" w:rsidRDefault="0067127D" w:rsidP="008630DE">
      <w:pPr>
        <w:pStyle w:val="RKnormal"/>
        <w:spacing w:line="240" w:lineRule="auto"/>
        <w:rPr>
          <w:color w:val="000000"/>
          <w:sz w:val="28"/>
          <w:szCs w:val="28"/>
        </w:rPr>
      </w:pPr>
      <w:r>
        <w:rPr>
          <w:color w:val="000000"/>
        </w:rPr>
        <w:t>Regeringen anser att den nya mekanismen inte får leda till att medlemsstater som inte deltar i bankunionen diskrimineras. Det är också viktigt att de nationella avvecklingsmyndigheterna från de deltagande medlemsstaterna ges så stort inflytande som möjligt i beslutsfattandet inom mekanismen.</w:t>
      </w:r>
    </w:p>
    <w:p w:rsidR="0067127D" w:rsidRPr="00045E00" w:rsidRDefault="0067127D" w:rsidP="00045E00">
      <w:pPr>
        <w:pStyle w:val="Heading2"/>
        <w:numPr>
          <w:ilvl w:val="0"/>
          <w:numId w:val="3"/>
        </w:numPr>
        <w:rPr>
          <w:bCs/>
          <w:lang w:eastAsia="sv-SE"/>
        </w:rPr>
      </w:pPr>
      <w:r>
        <w:rPr>
          <w:bCs/>
          <w:lang w:eastAsia="sv-SE"/>
        </w:rPr>
        <w:t xml:space="preserve">Betalningsbalansstödsförordningen </w:t>
      </w:r>
    </w:p>
    <w:p w:rsidR="0067127D" w:rsidRDefault="0067127D" w:rsidP="00652C08">
      <w:pPr>
        <w:pStyle w:val="RKnormal"/>
        <w:numPr>
          <w:ilvl w:val="0"/>
          <w:numId w:val="5"/>
        </w:numPr>
      </w:pPr>
      <w:r>
        <w:t>Lägesrappport</w:t>
      </w:r>
    </w:p>
    <w:p w:rsidR="0067127D" w:rsidRDefault="0067127D" w:rsidP="00867A26">
      <w:pPr>
        <w:pStyle w:val="RKnormal"/>
      </w:pPr>
    </w:p>
    <w:p w:rsidR="0067127D" w:rsidRDefault="0067127D" w:rsidP="008630DE">
      <w:pPr>
        <w:pStyle w:val="RKnormal"/>
      </w:pPr>
      <w:r>
        <w:t xml:space="preserve">Rådet ska ha en diskussion om utkastet till ny förordning för betalningsbalansstöd. </w:t>
      </w:r>
    </w:p>
    <w:p w:rsidR="0067127D" w:rsidRDefault="0067127D" w:rsidP="008630DE">
      <w:pPr>
        <w:pStyle w:val="RKnormal"/>
      </w:pPr>
    </w:p>
    <w:p w:rsidR="0067127D" w:rsidRDefault="0067127D" w:rsidP="008630DE">
      <w:pPr>
        <w:pStyle w:val="RKnormal"/>
      </w:pPr>
      <w:r>
        <w:rPr>
          <w:szCs w:val="22"/>
        </w:rPr>
        <w:t xml:space="preserve">I juni 2012 presenterade kommissionen ett förslag till en ny förordning om EU:s betalningsbalansstöd för icke-euroländer. Den ska ersätta den existerande förordningen från 2002. Kommissionen har framhållit att syftet med det nya förslaget till förordning bland annat är att uppnå mer lika villkor för finansiellt stöd för EU:s alla medlemsstater, förbättra stödinstrumenten i förordningen och att anpassa förordningen till den förstärkta ekonomisk-politiska samordningen. Ett reviderat förslag inkom till Regeringskansliet den 8 juni 2013, vilket innehöll mer omfattande ändringar av förordningen än kommissionens ursprungliga förslag. Ett PM med information om förslaget skickades till Finansutskottet 26 juni 2013. </w:t>
      </w:r>
      <w:r>
        <w:t>Den förnyade förordningen för betalningsbalansstöd har hittills substansbehandlats i en rådsarbetsgrupp och det föreligger nu ett kompromissförslag från det litauiska ordförandeskapet. Ordförandeskapet har signalerat att man har för avsikt att stänga förhandlingarna under sitt ordförandeskap.</w:t>
      </w:r>
    </w:p>
    <w:p w:rsidR="0067127D" w:rsidRDefault="0067127D" w:rsidP="008630DE">
      <w:pPr>
        <w:pStyle w:val="RKnormal"/>
      </w:pPr>
    </w:p>
    <w:p w:rsidR="0067127D" w:rsidRDefault="0067127D" w:rsidP="00652C08">
      <w:pPr>
        <w:pStyle w:val="RKnormal"/>
      </w:pPr>
      <w:r>
        <w:t xml:space="preserve">Regeringen kan acceptera den kompromisstext som lagts fram och stödjer inriktningen i den nya förordningen som bland annat innebär att inkludera existerande praxis och att anpassa den till den förstärkta ekonomisk-politiska samordningen i EU. Regeringen anser att betalningsbalansstödet utgör ett viktigt stöd till icke-euroländer i ekonomisk kris och att det ska kunna fortsätta tillämpas vid behov, som det har gjorts i tex Lettland. </w:t>
      </w:r>
    </w:p>
    <w:p w:rsidR="0067127D" w:rsidRDefault="0067127D" w:rsidP="006E2749">
      <w:pPr>
        <w:pStyle w:val="Heading2"/>
        <w:numPr>
          <w:ilvl w:val="0"/>
          <w:numId w:val="3"/>
        </w:numPr>
      </w:pPr>
      <w:r>
        <w:t xml:space="preserve">Sparandedirektivet </w:t>
      </w:r>
    </w:p>
    <w:p w:rsidR="0067127D" w:rsidRPr="00652C08" w:rsidRDefault="0067127D" w:rsidP="00652C08">
      <w:pPr>
        <w:pStyle w:val="RKnormal"/>
        <w:numPr>
          <w:ilvl w:val="0"/>
          <w:numId w:val="5"/>
        </w:numPr>
      </w:pPr>
      <w:r>
        <w:t>Politisk överenskommelse</w:t>
      </w:r>
    </w:p>
    <w:p w:rsidR="0067127D" w:rsidRDefault="0067127D" w:rsidP="008630DE">
      <w:pPr>
        <w:pStyle w:val="RKnormal"/>
      </w:pPr>
    </w:p>
    <w:p w:rsidR="0067127D" w:rsidRDefault="0067127D" w:rsidP="008630DE">
      <w:pPr>
        <w:pStyle w:val="RKnormal"/>
      </w:pPr>
      <w:r>
        <w:t xml:space="preserve">Det litauiska ordförandeskapet har ambitionen att rådet ska träffa en politisk överenskommelse om ett reviderat sparandedirektiv. </w:t>
      </w:r>
    </w:p>
    <w:p w:rsidR="0067127D" w:rsidRDefault="0067127D" w:rsidP="00E31D70">
      <w:pPr>
        <w:pStyle w:val="RKnormal"/>
      </w:pPr>
    </w:p>
    <w:p w:rsidR="0067127D" w:rsidRDefault="0067127D" w:rsidP="008630DE">
      <w:pPr>
        <w:rPr>
          <w:i/>
        </w:rPr>
      </w:pPr>
      <w:r>
        <w:t xml:space="preserve">Samråd med EU-nämnden skedde senast inför Ekofin den 15 november 2013. </w:t>
      </w:r>
    </w:p>
    <w:p w:rsidR="0067127D" w:rsidRDefault="0067127D" w:rsidP="00E31D70">
      <w:pPr>
        <w:pStyle w:val="RKnormal"/>
      </w:pPr>
    </w:p>
    <w:p w:rsidR="0067127D" w:rsidRDefault="0067127D" w:rsidP="008630DE">
      <w:pPr>
        <w:pStyle w:val="RKnormal"/>
      </w:pPr>
      <w:r>
        <w:t xml:space="preserve">Med utgångspunkt från en rapport i september 2008 om hur sparandedirektivet har fungerat i praktisk tillämpning föreslog kommissionen den 13 november 2008 en rad ändringar i direktivet. De viktigaste ändringarna gäller definitionen av räntebetalningar, som föreslogs bli vidare än i dag. Förslaget omarbetades grundligt främst under det svenska ordförandeskapet 2009. </w:t>
      </w:r>
    </w:p>
    <w:p w:rsidR="0067127D" w:rsidRDefault="0067127D" w:rsidP="008630DE">
      <w:pPr>
        <w:pStyle w:val="RKnormal"/>
      </w:pPr>
    </w:p>
    <w:p w:rsidR="0067127D" w:rsidRDefault="0067127D" w:rsidP="008630DE">
      <w:pPr>
        <w:pStyle w:val="RKnormal"/>
      </w:pPr>
      <w:r>
        <w:t xml:space="preserve">Det pågår sedan en tid ett intensivt arbete med att få till stånd ett brett automatiskt informationsutbyte om kapitalinkomster. Inom OECD arbetar man bl.a. med en global standard för formatet för sådant utbyte, liksom en modell för bilaterala eller multilaterala överenskommelser om utbytet. Inom EU behandlas ett förslag om att bygga ut det automatiska utbytet enligt direktivet om administrativt samarbete till att omfatta alla slags kapitalinkomster. Det råder enighet om att arbetet måste bedrivas samordnat, med inriktning på en enda, global standard för det bredare informationsutbytet. </w:t>
      </w:r>
    </w:p>
    <w:p w:rsidR="0067127D" w:rsidRDefault="0067127D" w:rsidP="00E31D70">
      <w:pPr>
        <w:pStyle w:val="RKnormal"/>
      </w:pPr>
    </w:p>
    <w:p w:rsidR="0067127D" w:rsidRDefault="0067127D" w:rsidP="008630DE">
      <w:pPr>
        <w:pStyle w:val="RKnormal"/>
      </w:pPr>
      <w:r>
        <w:t xml:space="preserve">Vid Ekofin den 15 november uttalade Sverige stöd för ett bredare automatiskt informationsutbyte om kapitalinkomster än det som regleras i sparandedirektivet. </w:t>
      </w:r>
    </w:p>
    <w:p w:rsidR="0067127D" w:rsidRDefault="0067127D" w:rsidP="008630DE">
      <w:pPr>
        <w:pStyle w:val="RKnormal"/>
      </w:pPr>
    </w:p>
    <w:p w:rsidR="0067127D" w:rsidRDefault="0067127D" w:rsidP="00E31D70">
      <w:pPr>
        <w:pStyle w:val="RKnormal"/>
      </w:pPr>
      <w:r>
        <w:t xml:space="preserve">Samtidigt som arbetet med ett brett automatiskt informationsutbyte går vidare anser regeringen att det är angeläget att det reviderade sparandedirektivet antas snarast möjligt, så att man kan täppa till de kryphål som det nuvarande direktivet är behäftat med. </w:t>
      </w:r>
    </w:p>
    <w:p w:rsidR="0067127D" w:rsidRDefault="0067127D" w:rsidP="00652C08">
      <w:pPr>
        <w:pStyle w:val="Heading2"/>
        <w:numPr>
          <w:ilvl w:val="0"/>
          <w:numId w:val="3"/>
        </w:numPr>
      </w:pPr>
      <w:r>
        <w:t xml:space="preserve">Övriga frågor </w:t>
      </w:r>
    </w:p>
    <w:p w:rsidR="0067127D" w:rsidRDefault="0067127D" w:rsidP="00652C08">
      <w:pPr>
        <w:pStyle w:val="RKnormal"/>
      </w:pPr>
    </w:p>
    <w:p w:rsidR="0067127D" w:rsidRPr="00B44D04" w:rsidRDefault="0067127D" w:rsidP="00B44D04">
      <w:pPr>
        <w:pStyle w:val="Heading2"/>
        <w:rPr>
          <w:u w:val="single"/>
        </w:rPr>
      </w:pPr>
      <w:r>
        <w:rPr>
          <w:u w:val="single"/>
        </w:rPr>
        <w:t>Icke lagstiftande verksamhet</w:t>
      </w:r>
    </w:p>
    <w:p w:rsidR="0067127D" w:rsidRPr="00EF07F1" w:rsidRDefault="0067127D" w:rsidP="005735E9">
      <w:pPr>
        <w:pStyle w:val="Heading2"/>
        <w:numPr>
          <w:ilvl w:val="0"/>
          <w:numId w:val="3"/>
        </w:numPr>
      </w:pPr>
      <w:r>
        <w:t>Godkännande av A-punktslistan</w:t>
      </w:r>
    </w:p>
    <w:p w:rsidR="0067127D" w:rsidRDefault="0067127D" w:rsidP="00C45434">
      <w:pPr>
        <w:pStyle w:val="Heading2"/>
        <w:numPr>
          <w:ilvl w:val="0"/>
          <w:numId w:val="3"/>
        </w:numPr>
      </w:pPr>
      <w:r>
        <w:t>Ekofinrådets rapport till Europeiska rådet om skattefrågor</w:t>
      </w:r>
    </w:p>
    <w:p w:rsidR="0067127D" w:rsidRDefault="0067127D" w:rsidP="00C45434">
      <w:pPr>
        <w:pStyle w:val="RKnormal"/>
        <w:numPr>
          <w:ilvl w:val="0"/>
          <w:numId w:val="5"/>
        </w:numPr>
      </w:pPr>
      <w:r>
        <w:t xml:space="preserve">Godkännande </w:t>
      </w:r>
    </w:p>
    <w:p w:rsidR="0067127D" w:rsidRDefault="0067127D" w:rsidP="00C45434">
      <w:pPr>
        <w:pStyle w:val="RKnormal"/>
      </w:pPr>
    </w:p>
    <w:p w:rsidR="0067127D" w:rsidRPr="00C45434" w:rsidRDefault="0067127D" w:rsidP="00C45434">
      <w:pPr>
        <w:pStyle w:val="RKnormal"/>
      </w:pPr>
      <w:r>
        <w:t>Punkten kommer att bli en a-punkt.</w:t>
      </w:r>
    </w:p>
    <w:p w:rsidR="0067127D" w:rsidRDefault="0067127D" w:rsidP="00F17ABC">
      <w:pPr>
        <w:pStyle w:val="Heading2"/>
        <w:keepLines/>
        <w:numPr>
          <w:ilvl w:val="0"/>
          <w:numId w:val="3"/>
        </w:numPr>
      </w:pPr>
      <w:r>
        <w:t>Rapport från finansministrarna om skattefrågor inom ramen för europluspakten</w:t>
      </w:r>
    </w:p>
    <w:p w:rsidR="0067127D" w:rsidRDefault="0067127D" w:rsidP="00C45434">
      <w:pPr>
        <w:pStyle w:val="RKnormal"/>
        <w:numPr>
          <w:ilvl w:val="0"/>
          <w:numId w:val="5"/>
        </w:numPr>
      </w:pPr>
      <w:r>
        <w:t xml:space="preserve">Godkännande </w:t>
      </w:r>
    </w:p>
    <w:p w:rsidR="0067127D" w:rsidRDefault="0067127D" w:rsidP="00C45434">
      <w:pPr>
        <w:pStyle w:val="RKnormal"/>
      </w:pPr>
    </w:p>
    <w:p w:rsidR="0067127D" w:rsidRPr="006E2749" w:rsidRDefault="0067127D" w:rsidP="00C45434">
      <w:pPr>
        <w:pStyle w:val="RKnormal"/>
      </w:pPr>
      <w:r>
        <w:t>Punkten kommer att bli en a-punkt.</w:t>
      </w:r>
    </w:p>
    <w:p w:rsidR="0067127D" w:rsidRDefault="0067127D" w:rsidP="00F17ABC">
      <w:pPr>
        <w:pStyle w:val="Heading2"/>
        <w:keepLines/>
        <w:numPr>
          <w:ilvl w:val="0"/>
          <w:numId w:val="3"/>
        </w:numPr>
      </w:pPr>
      <w:r>
        <w:t>Uppförandekoden (företagsbeskattning)</w:t>
      </w:r>
    </w:p>
    <w:p w:rsidR="0067127D" w:rsidRDefault="0067127D" w:rsidP="00C45434">
      <w:pPr>
        <w:pStyle w:val="Heading2"/>
        <w:keepLines/>
        <w:numPr>
          <w:ilvl w:val="0"/>
          <w:numId w:val="6"/>
        </w:numPr>
        <w:spacing w:before="0"/>
      </w:pPr>
      <w:r>
        <w:t>Rapport till rådet</w:t>
      </w:r>
    </w:p>
    <w:p w:rsidR="0067127D" w:rsidRDefault="0067127D" w:rsidP="00C45434">
      <w:pPr>
        <w:pStyle w:val="Heading2"/>
        <w:keepLines/>
        <w:numPr>
          <w:ilvl w:val="0"/>
          <w:numId w:val="6"/>
        </w:numPr>
        <w:spacing w:before="0"/>
      </w:pPr>
      <w:r>
        <w:t>Utkast till rådets slutsatser</w:t>
      </w:r>
    </w:p>
    <w:p w:rsidR="0067127D" w:rsidRDefault="0067127D" w:rsidP="006E2749">
      <w:pPr>
        <w:pStyle w:val="RKnormal"/>
        <w:numPr>
          <w:ilvl w:val="3"/>
          <w:numId w:val="3"/>
        </w:numPr>
      </w:pPr>
      <w:r>
        <w:t>Godkännande</w:t>
      </w:r>
    </w:p>
    <w:p w:rsidR="0067127D" w:rsidRDefault="0067127D" w:rsidP="00C45434">
      <w:pPr>
        <w:pStyle w:val="RKnormal"/>
      </w:pPr>
    </w:p>
    <w:p w:rsidR="0067127D" w:rsidRDefault="0067127D" w:rsidP="00E60F06">
      <w:pPr>
        <w:pStyle w:val="RKnormal"/>
      </w:pPr>
      <w:r>
        <w:t>Rådet ska anta slutsatser om den rapport som uppförandekodgruppen ska lämna till rådet om sitt arbete under det litauiska ordförandeskapet.</w:t>
      </w:r>
    </w:p>
    <w:p w:rsidR="0067127D" w:rsidRDefault="0067127D" w:rsidP="00E60F06">
      <w:pPr>
        <w:pStyle w:val="RKnormal"/>
        <w:spacing w:line="240" w:lineRule="auto"/>
        <w:rPr>
          <w:color w:val="000000"/>
        </w:rPr>
      </w:pPr>
    </w:p>
    <w:p w:rsidR="0067127D" w:rsidRDefault="0067127D" w:rsidP="00E60F06">
      <w:pPr>
        <w:pStyle w:val="RKnormal"/>
        <w:spacing w:line="240" w:lineRule="auto"/>
        <w:rPr>
          <w:color w:val="000000"/>
        </w:rPr>
      </w:pPr>
      <w:r>
        <w:rPr>
          <w:color w:val="000000"/>
        </w:rPr>
        <w:t xml:space="preserve">I december 1997 antog rådet en resolution om en uppförandekod för företagsbeskattning. Syftet med koden är att motverka skadlig skattekonkurrens. En särskild högnivågrupp inom rådet har inrättats för att genomföra uppförandekodens principer. </w:t>
      </w:r>
    </w:p>
    <w:p w:rsidR="0067127D" w:rsidRDefault="0067127D" w:rsidP="00E60F06">
      <w:pPr>
        <w:pStyle w:val="RKnormal"/>
        <w:spacing w:line="240" w:lineRule="auto"/>
        <w:rPr>
          <w:color w:val="000000"/>
        </w:rPr>
      </w:pPr>
    </w:p>
    <w:p w:rsidR="0067127D" w:rsidRDefault="0067127D" w:rsidP="00E60F06">
      <w:pPr>
        <w:pStyle w:val="RKnormal"/>
        <w:spacing w:line="240" w:lineRule="auto"/>
        <w:rPr>
          <w:color w:val="000000"/>
        </w:rPr>
      </w:pPr>
      <w:r>
        <w:rPr>
          <w:color w:val="000000"/>
        </w:rPr>
        <w:t xml:space="preserve">Uppförandekodgruppen ska lämna en rapport till Ekofinrådet om sitt arbete under det litauiska ordförandeskapet. Gruppen har fortsatt sitt arbete med att granska nya skatteåtgärder (frysning) och avveckling av skatteåtgärder som bedömts vara skadliga. Vidare har gruppen arbetat med frågor som ingår i det arbetspaket som beslutades av rådet i december 2011. </w:t>
      </w:r>
      <w:r>
        <w:t>Det rör sig om förhållandet till tredje länder, administrativ praxis, åtgärder för att motverka skattebedrägeri och annat missbruk samt övervakning av genomförande av överenskomna riktlinjer.</w:t>
      </w:r>
    </w:p>
    <w:p w:rsidR="0067127D" w:rsidRDefault="0067127D" w:rsidP="00E60F06">
      <w:pPr>
        <w:rPr>
          <w:color w:val="000000"/>
        </w:rPr>
      </w:pPr>
    </w:p>
    <w:p w:rsidR="0067127D" w:rsidRDefault="0067127D" w:rsidP="00E60F06">
      <w:r>
        <w:rPr>
          <w:color w:val="000000"/>
        </w:rPr>
        <w:t>Regeringen kan ställa sig bakom utkastet till slutsatser.</w:t>
      </w:r>
    </w:p>
    <w:p w:rsidR="0067127D" w:rsidRDefault="0067127D" w:rsidP="00320369">
      <w:pPr>
        <w:pStyle w:val="Heading2"/>
        <w:keepLines/>
        <w:numPr>
          <w:ilvl w:val="0"/>
          <w:numId w:val="3"/>
        </w:numPr>
      </w:pPr>
      <w:r>
        <w:t xml:space="preserve">Revisionsrättens årsrapport om genomförande av budgeten för budgetåret 2012 </w:t>
      </w:r>
    </w:p>
    <w:p w:rsidR="0067127D" w:rsidRDefault="0067127D" w:rsidP="00A04D07">
      <w:pPr>
        <w:pStyle w:val="RKnormal"/>
        <w:numPr>
          <w:ilvl w:val="3"/>
          <w:numId w:val="3"/>
        </w:numPr>
      </w:pPr>
      <w:r>
        <w:t xml:space="preserve">Presentation </w:t>
      </w:r>
    </w:p>
    <w:p w:rsidR="0067127D" w:rsidRDefault="0067127D" w:rsidP="00E60F06">
      <w:pPr>
        <w:pStyle w:val="RKnormal"/>
      </w:pPr>
    </w:p>
    <w:p w:rsidR="0067127D" w:rsidRDefault="0067127D" w:rsidP="00E60F06">
      <w:pPr>
        <w:pStyle w:val="RKnormal"/>
      </w:pPr>
      <w:r>
        <w:t>Revisionsrättens ska presentera årsrapporten för kommissionens genomförande av budgeten 2012.</w:t>
      </w:r>
    </w:p>
    <w:p w:rsidR="0067127D" w:rsidRDefault="0067127D" w:rsidP="003E0182">
      <w:pPr>
        <w:tabs>
          <w:tab w:val="left" w:pos="2835"/>
        </w:tabs>
        <w:spacing w:line="240" w:lineRule="auto"/>
        <w:rPr>
          <w:color w:val="000000"/>
        </w:rPr>
      </w:pPr>
    </w:p>
    <w:p w:rsidR="0067127D" w:rsidRDefault="0067127D" w:rsidP="00E60F06">
      <w:pPr>
        <w:pStyle w:val="RKnormal"/>
      </w:pPr>
      <w:r w:rsidRPr="001F79C9">
        <w:rPr>
          <w:lang w:val="da-DK"/>
        </w:rPr>
        <w:t xml:space="preserve">Årsrapporten blev offentlig den 5 november 2013. </w:t>
      </w:r>
      <w:r>
        <w:t xml:space="preserve">HG Wessberg (Sveriges ledamot i revisionsrätten) presenterade årsrapporten för EU-nämnden den 6 november. </w:t>
      </w:r>
    </w:p>
    <w:p w:rsidR="0067127D" w:rsidRDefault="0067127D" w:rsidP="00E60F06">
      <w:pPr>
        <w:pStyle w:val="RKnormal"/>
        <w:spacing w:line="240" w:lineRule="auto"/>
      </w:pPr>
    </w:p>
    <w:p w:rsidR="0067127D" w:rsidRDefault="0067127D" w:rsidP="00E60F06">
      <w:pPr>
        <w:pStyle w:val="RKnormal"/>
      </w:pPr>
      <w:r>
        <w:t>Varje år lämnar revisionsrätten sin årsrapport över EU:s budgetgenomförande för föregående budgetår. Årsrapporten innehåller en revisionsförklaring (DAS) om räkenskapernas tillförlitlighet och de underliggande transaktionernas laglighet och korrekthet. I årsrapporten sammanfattas även revisionsrättens granskningar under föregående budgetår.</w:t>
      </w:r>
    </w:p>
    <w:p w:rsidR="0067127D" w:rsidRDefault="0067127D" w:rsidP="00E60F06">
      <w:pPr>
        <w:pStyle w:val="RKnormal"/>
        <w:spacing w:line="240" w:lineRule="auto"/>
        <w:rPr>
          <w:color w:val="000000"/>
        </w:rPr>
      </w:pPr>
    </w:p>
    <w:p w:rsidR="0067127D" w:rsidRDefault="0067127D" w:rsidP="00E60F06">
      <w:pPr>
        <w:pStyle w:val="RKnormal"/>
        <w:spacing w:line="240" w:lineRule="auto"/>
      </w:pPr>
      <w:r>
        <w:rPr>
          <w:color w:val="000000"/>
        </w:rPr>
        <w:t xml:space="preserve">Årsrapporten kommer efter presentationen att beredas vidare. </w:t>
      </w:r>
      <w:r>
        <w:t>Beredningen i budgetkommittén ska resultera i en rekommendation från rådet till Europaparlamentet huruvida Europeiska kommissionen ska beviljas ansvarsfrihet för budgetgenomförandet för det aktuella budgetåret.</w:t>
      </w:r>
    </w:p>
    <w:p w:rsidR="0067127D" w:rsidRDefault="0067127D" w:rsidP="00E60F06">
      <w:pPr>
        <w:pStyle w:val="RKnormal"/>
      </w:pPr>
    </w:p>
    <w:p w:rsidR="0067127D" w:rsidRDefault="0067127D" w:rsidP="00E60F06">
      <w:pPr>
        <w:pStyle w:val="RKnormal"/>
      </w:pPr>
      <w:r>
        <w:t xml:space="preserve">Regeringen fäster stor vikt vid att de medel som hanteras av kommissionen, övriga EU-institutioner och medlemsstaterna förvaltas på ett korrekt och effektivt sätt. Revisionsrättens årsrapport utgör ett viktigt underlag för att säkra att så sker. </w:t>
      </w:r>
    </w:p>
    <w:p w:rsidR="0067127D" w:rsidRDefault="0067127D" w:rsidP="003E0182">
      <w:pPr>
        <w:tabs>
          <w:tab w:val="left" w:pos="2835"/>
        </w:tabs>
        <w:spacing w:line="240" w:lineRule="auto"/>
        <w:rPr>
          <w:color w:val="000000"/>
        </w:rPr>
      </w:pPr>
    </w:p>
    <w:p w:rsidR="0067127D" w:rsidRDefault="0067127D" w:rsidP="00C1636D">
      <w:pPr>
        <w:pStyle w:val="Heading2"/>
        <w:numPr>
          <w:ilvl w:val="0"/>
          <w:numId w:val="3"/>
        </w:numPr>
      </w:pPr>
      <w:r>
        <w:t xml:space="preserve">Förfarande vid makroekonomiska obalanser – KOM:s rapport om förvarningsmekanismen </w:t>
      </w:r>
    </w:p>
    <w:p w:rsidR="0067127D" w:rsidRDefault="0067127D" w:rsidP="00C45434">
      <w:pPr>
        <w:pStyle w:val="RKnormal"/>
        <w:numPr>
          <w:ilvl w:val="3"/>
          <w:numId w:val="3"/>
        </w:numPr>
      </w:pPr>
      <w:r>
        <w:t>Diskussion</w:t>
      </w:r>
    </w:p>
    <w:p w:rsidR="0067127D" w:rsidRDefault="0067127D" w:rsidP="00E60F06">
      <w:pPr>
        <w:pStyle w:val="RKnormal"/>
        <w:spacing w:line="240" w:lineRule="auto"/>
        <w:rPr>
          <w:lang w:eastAsia="sv-SE"/>
        </w:rPr>
      </w:pPr>
    </w:p>
    <w:p w:rsidR="0067127D" w:rsidRDefault="0067127D" w:rsidP="00E60F06">
      <w:pPr>
        <w:pStyle w:val="RKnormal"/>
        <w:spacing w:line="240" w:lineRule="auto"/>
        <w:rPr>
          <w:i/>
        </w:rPr>
      </w:pPr>
      <w:r>
        <w:t xml:space="preserve">Vid mötet kommer kommissionen presentera den årliga förvarningsrapporten om makroekonomiska obalanser (Alert Mechanism Report) för 2014 och rådet ska ha en första diskussion om rapporten. </w:t>
      </w:r>
    </w:p>
    <w:p w:rsidR="0067127D" w:rsidRDefault="0067127D" w:rsidP="00B44D04">
      <w:pPr>
        <w:rPr>
          <w:lang w:eastAsia="sv-SE"/>
        </w:rPr>
      </w:pPr>
    </w:p>
    <w:p w:rsidR="0067127D" w:rsidRDefault="0067127D" w:rsidP="00E60F06">
      <w:pPr>
        <w:pStyle w:val="RKnormal"/>
      </w:pPr>
      <w:r>
        <w:t>Den årliga förvarningsrapporten om makroekonomiska obalanser</w:t>
      </w:r>
      <w:r>
        <w:rPr>
          <w:color w:val="000000"/>
        </w:rPr>
        <w:t xml:space="preserve"> 2014 publicerades den 13 november.</w:t>
      </w:r>
      <w:r>
        <w:t xml:space="preserve"> Rapporten är en del av det makroekonomiska obalansförfarandet, vilket är ett komplement till den finanspolitiska övervakningen i stabilitets- och tillväxtpakten. Denna process ska bestå av övervakning i syfte att förebygga och korrigera makroekonomiska obalanser. Detta sker genom uppföljning av ett antal ekonomiska variabler i en resultattavla (”scoreboarden”). Denna varningsmekanism utgör en första vägledning inför en djupare analys av eventuella obalanser. </w:t>
      </w:r>
    </w:p>
    <w:p w:rsidR="0067127D" w:rsidRDefault="0067127D" w:rsidP="00E60F06">
      <w:pPr>
        <w:pStyle w:val="RKnormal"/>
      </w:pPr>
    </w:p>
    <w:p w:rsidR="0067127D" w:rsidRDefault="0067127D" w:rsidP="00E60F06">
      <w:pPr>
        <w:pStyle w:val="RKnormal"/>
      </w:pPr>
      <w:r>
        <w:t xml:space="preserve">Kommissionen presenterar i rapporten att den planerar att göra en fördjupad granskning av de medlemsstater som den bedömer kan ha drabbats av obalanser, eller kan riskera att drabbas av obalanser. Kommissionen har meddelat att de avser att presentera de fördjupade analyserna i mars 2014 och dessa ska sedan diskuteras av rådet. </w:t>
      </w:r>
    </w:p>
    <w:p w:rsidR="0067127D" w:rsidRDefault="0067127D" w:rsidP="00B44D04">
      <w:pPr>
        <w:rPr>
          <w:lang w:eastAsia="sv-SE"/>
        </w:rPr>
      </w:pPr>
    </w:p>
    <w:p w:rsidR="0067127D" w:rsidRDefault="0067127D" w:rsidP="00D41FC3">
      <w:pPr>
        <w:pStyle w:val="ListBullet"/>
        <w:numPr>
          <w:ilvl w:val="0"/>
          <w:numId w:val="0"/>
        </w:numPr>
        <w:tabs>
          <w:tab w:val="left" w:pos="1304"/>
        </w:tabs>
        <w:rPr>
          <w:lang w:eastAsia="sv-SE"/>
        </w:rPr>
      </w:pPr>
      <w:r>
        <w:t>Sverige välkomnar kommissionens årliga förvarningsrapport om makroekonomiska obalanser.</w:t>
      </w:r>
    </w:p>
    <w:p w:rsidR="0067127D" w:rsidRDefault="0067127D" w:rsidP="00C45434">
      <w:pPr>
        <w:pStyle w:val="Heading2"/>
        <w:numPr>
          <w:ilvl w:val="0"/>
          <w:numId w:val="3"/>
        </w:numPr>
      </w:pPr>
      <w:r>
        <w:t xml:space="preserve">Den årliga tillväxtrapporten 2014 </w:t>
      </w:r>
    </w:p>
    <w:p w:rsidR="0067127D" w:rsidRDefault="0067127D" w:rsidP="00C45434">
      <w:pPr>
        <w:pStyle w:val="RKnormal"/>
        <w:numPr>
          <w:ilvl w:val="3"/>
          <w:numId w:val="3"/>
        </w:numPr>
      </w:pPr>
      <w:r>
        <w:t>Diskussion</w:t>
      </w:r>
    </w:p>
    <w:p w:rsidR="0067127D" w:rsidRDefault="0067127D" w:rsidP="00D41FC3">
      <w:pPr>
        <w:pStyle w:val="RKnormal"/>
        <w:spacing w:line="240" w:lineRule="auto"/>
      </w:pPr>
    </w:p>
    <w:p w:rsidR="0067127D" w:rsidRPr="00D41FC3" w:rsidRDefault="0067127D" w:rsidP="00D41FC3">
      <w:pPr>
        <w:pStyle w:val="RKnormal"/>
        <w:spacing w:line="240" w:lineRule="auto"/>
        <w:rPr>
          <w:i/>
        </w:rPr>
      </w:pPr>
      <w:r>
        <w:t xml:space="preserve">Vid mötet kommer kommissionen att presentera tillväxtrapporten (AGS) för 2014 och rådet ska ha en första diskussion om rapporten. </w:t>
      </w:r>
    </w:p>
    <w:p w:rsidR="0067127D" w:rsidRDefault="0067127D" w:rsidP="00C45434">
      <w:pPr>
        <w:pStyle w:val="RKnormal"/>
      </w:pPr>
    </w:p>
    <w:p w:rsidR="0067127D" w:rsidRDefault="0067127D" w:rsidP="00D41FC3">
      <w:r>
        <w:t xml:space="preserve">Ss Wåglund Söderström samrådde med EU-nämnden 2013-11-15 inför presentation </w:t>
      </w:r>
      <w:r w:rsidRPr="0076642D">
        <w:t>av AGS i GAC. 2013-11-29 samrådde näringsminister</w:t>
      </w:r>
      <w:r>
        <w:t>n</w:t>
      </w:r>
      <w:r w:rsidRPr="0076642D">
        <w:t xml:space="preserve"> och handelsministern med EU</w:t>
      </w:r>
      <w:r>
        <w:t xml:space="preserve">-nämnden </w:t>
      </w:r>
      <w:r w:rsidRPr="0076642D">
        <w:t>inför presentation</w:t>
      </w:r>
      <w:r>
        <w:t xml:space="preserve"> i KKR. 2013-12-06 samråder även </w:t>
      </w:r>
      <w:r w:rsidRPr="0076642D">
        <w:t xml:space="preserve">arbetsmarknadsministern </w:t>
      </w:r>
      <w:r>
        <w:t xml:space="preserve">med EU-nämnden inför presentation och diskussion i EPSCO. </w:t>
      </w:r>
    </w:p>
    <w:p w:rsidR="0067127D" w:rsidRDefault="0067127D" w:rsidP="00C45434">
      <w:pPr>
        <w:pStyle w:val="RKnormal"/>
      </w:pPr>
    </w:p>
    <w:p w:rsidR="0067127D" w:rsidRDefault="0067127D" w:rsidP="00D41FC3">
      <w:pPr>
        <w:pStyle w:val="RKnormal"/>
        <w:spacing w:line="240" w:lineRule="auto"/>
        <w:rPr>
          <w:color w:val="000000"/>
        </w:rPr>
      </w:pPr>
      <w:r>
        <w:rPr>
          <w:color w:val="000000"/>
        </w:rPr>
        <w:t xml:space="preserve">Tillväxtrapporten 2014 publicerades den 13 november och utgör starten på 2014 års europeiska termin. I rapporten redovisar kommissionen sina prioriteringar inom den ekonomiska politiken och sysselsättningspolitiken för 2014. </w:t>
      </w:r>
    </w:p>
    <w:p w:rsidR="0067127D" w:rsidRDefault="0067127D" w:rsidP="00D41FC3">
      <w:pPr>
        <w:pStyle w:val="RKnormal"/>
        <w:spacing w:line="240" w:lineRule="auto"/>
        <w:rPr>
          <w:color w:val="000000"/>
        </w:rPr>
      </w:pPr>
    </w:p>
    <w:p w:rsidR="0067127D" w:rsidRDefault="0067127D" w:rsidP="00D41FC3">
      <w:pPr>
        <w:pStyle w:val="RKnormal"/>
        <w:spacing w:line="240" w:lineRule="auto"/>
        <w:rPr>
          <w:color w:val="000000"/>
        </w:rPr>
      </w:pPr>
      <w:r>
        <w:rPr>
          <w:color w:val="000000"/>
        </w:rPr>
        <w:t xml:space="preserve">Europeiska rådet i december förväntas välkomna de övergripande prioriteringar som föreslås i tillväxtrapporten. I början av nästa år ska olika rådskonstellationer, inkluderat Ekofin, ha fortsatta diskussioner om dessa prioriteringar och anta slutsatser inför Europeiska rådets möte i mars, som är vägledande inför medlemsstaternas rapportering inom Europa 2020 och stabilitets- och tillväxtpakten. </w:t>
      </w:r>
    </w:p>
    <w:p w:rsidR="0067127D" w:rsidRDefault="0067127D" w:rsidP="00C45434">
      <w:pPr>
        <w:pStyle w:val="RKnormal"/>
      </w:pPr>
    </w:p>
    <w:p w:rsidR="0067127D" w:rsidRDefault="0067127D" w:rsidP="00D41FC3">
      <w:pPr>
        <w:pStyle w:val="RKnormal"/>
        <w:spacing w:line="240" w:lineRule="auto"/>
        <w:rPr>
          <w:color w:val="000000"/>
        </w:rPr>
      </w:pPr>
      <w:r>
        <w:rPr>
          <w:color w:val="000000"/>
        </w:rPr>
        <w:t xml:space="preserve">Regeringen välkomnar rapporten och kan på ett övergripande plan fortsatt ställa sig </w:t>
      </w:r>
      <w:r>
        <w:t xml:space="preserve">bakom de fem föreslagna prioriteringarna. </w:t>
      </w:r>
    </w:p>
    <w:p w:rsidR="0067127D" w:rsidRDefault="0067127D" w:rsidP="00C45434">
      <w:pPr>
        <w:pStyle w:val="Heading2"/>
        <w:numPr>
          <w:ilvl w:val="0"/>
          <w:numId w:val="3"/>
        </w:numPr>
      </w:pPr>
      <w:r>
        <w:t xml:space="preserve">Bedömning av de ekonomiska partnerskapsprogrammen </w:t>
      </w:r>
    </w:p>
    <w:p w:rsidR="0067127D" w:rsidRDefault="0067127D" w:rsidP="00C45434">
      <w:pPr>
        <w:pStyle w:val="RKnormal"/>
        <w:numPr>
          <w:ilvl w:val="3"/>
          <w:numId w:val="3"/>
        </w:numPr>
      </w:pPr>
      <w:r>
        <w:t>Utkast till rådets yttrande</w:t>
      </w:r>
    </w:p>
    <w:p w:rsidR="0067127D" w:rsidRDefault="0067127D" w:rsidP="00D41FC3"/>
    <w:p w:rsidR="0067127D" w:rsidRDefault="0067127D" w:rsidP="00D41FC3">
      <w:r>
        <w:t>Rådet ska godkänna yttranden föreslagna av kommissionen angående ekonomiska partnerskapsprogram (EPP) som tagits fram av Spanien, Frankrike. Malta, Nederländerna och Slovenien.</w:t>
      </w:r>
    </w:p>
    <w:p w:rsidR="0067127D" w:rsidRDefault="0067127D" w:rsidP="00D41FC3"/>
    <w:p w:rsidR="0067127D" w:rsidRDefault="0067127D" w:rsidP="00D41FC3">
      <w:r>
        <w:t>Ekonomiska partnerskapsprogram är till för att stärka övervakningen av de offentliga finanserna i euroområdets medlemsstater och ska tas fram av länder som inträder i förfarandet om allt för stora underskott eller länder som får förlängd tidsfrist att åtgärda sitt allt för stora underskott. Programmen ska innehålla planer för strukturella reformer som permanent kan förstärka de offentliga finanserna.</w:t>
      </w:r>
    </w:p>
    <w:p w:rsidR="0067127D" w:rsidRDefault="0067127D" w:rsidP="00D41FC3"/>
    <w:p w:rsidR="0067127D" w:rsidRDefault="0067127D" w:rsidP="00D41FC3">
      <w:r>
        <w:t>Regeringen anser att strukturella reformer är nyckeln till en stark och hållbar återhämtning i Europa. Sådana reformer kan vara särskilt viktiga i länder som är i processen för alltför stora underskott.</w:t>
      </w:r>
    </w:p>
    <w:p w:rsidR="0067127D" w:rsidRDefault="0067127D" w:rsidP="00D41FC3"/>
    <w:p w:rsidR="0067127D" w:rsidRDefault="0067127D" w:rsidP="00D41FC3">
      <w:r>
        <w:t xml:space="preserve">Endast euroländer deltar i beslut som rör dessa program.  </w:t>
      </w:r>
    </w:p>
    <w:p w:rsidR="0067127D" w:rsidRPr="00C45434" w:rsidRDefault="0067127D" w:rsidP="00C45434">
      <w:pPr>
        <w:pStyle w:val="Heading2"/>
        <w:numPr>
          <w:ilvl w:val="0"/>
          <w:numId w:val="3"/>
        </w:numPr>
      </w:pPr>
      <w:r>
        <w:t xml:space="preserve">Genomförande av stabilitets- och tillväxtpakten </w:t>
      </w:r>
    </w:p>
    <w:p w:rsidR="0067127D" w:rsidRDefault="0067127D" w:rsidP="00C45434">
      <w:pPr>
        <w:pStyle w:val="RKnormal"/>
        <w:numPr>
          <w:ilvl w:val="3"/>
          <w:numId w:val="8"/>
        </w:numPr>
      </w:pPr>
      <w:r>
        <w:t>Utkast till rådets beslut</w:t>
      </w:r>
    </w:p>
    <w:p w:rsidR="0067127D" w:rsidRDefault="0067127D" w:rsidP="00D41FC3">
      <w:pPr>
        <w:pStyle w:val="RKnormal"/>
        <w:numPr>
          <w:ilvl w:val="3"/>
          <w:numId w:val="8"/>
        </w:numPr>
      </w:pPr>
      <w:r>
        <w:t xml:space="preserve">Utkast till rådets rekommendationer </w:t>
      </w:r>
    </w:p>
    <w:p w:rsidR="0067127D" w:rsidRDefault="0067127D" w:rsidP="00D41FC3"/>
    <w:p w:rsidR="0067127D" w:rsidRDefault="0067127D" w:rsidP="00D41FC3">
      <w:r>
        <w:t>Ekofinrådet väntas anta rekommendationer och beslut inom ramen för stabilitets- och tillväxtpaktens korrigerande del.</w:t>
      </w:r>
    </w:p>
    <w:p w:rsidR="0067127D" w:rsidRDefault="0067127D" w:rsidP="00D41FC3"/>
    <w:p w:rsidR="0067127D" w:rsidRDefault="0067127D" w:rsidP="00D41FC3">
      <w:r>
        <w:t xml:space="preserve">För närvarande befinner sig 17 medlemsstater i underskottsförfarande vilket innebär att de bryter mot stabilitets- och tillväxtpaktens regler om alltför stora underskott i den offentliga sektorns finanser. </w:t>
      </w:r>
    </w:p>
    <w:p w:rsidR="0067127D" w:rsidRDefault="0067127D" w:rsidP="00D41FC3"/>
    <w:p w:rsidR="0067127D" w:rsidRDefault="0067127D" w:rsidP="00D41FC3">
      <w:r>
        <w:t>Polen bedöms inte ha tagit tillräckligt effektiva åtgärder för att komma till rätta med sitt alltför stora underskott och Rådet väntas ge Polen en ny rekommendation att åtgärda de för stora underskotten till 2015.</w:t>
      </w:r>
    </w:p>
    <w:p w:rsidR="0067127D" w:rsidRDefault="0067127D" w:rsidP="00D41FC3"/>
    <w:p w:rsidR="0067127D" w:rsidRDefault="0067127D" w:rsidP="00D41FC3">
      <w:r w:rsidRPr="00D41FC3">
        <w:t xml:space="preserve">Regeringen avser att ställa sig bakom kommissionens rekommendationer. </w:t>
      </w:r>
      <w:r>
        <w:t>Endast länder med euro som valuta har rösträtt då beslut tas gällande andra euroländer. Samtliga medlemsstater deltar i besluten för icke-euroländer. Berörd medlemsstats röst räknas inte.</w:t>
      </w:r>
    </w:p>
    <w:p w:rsidR="0067127D" w:rsidRPr="00C45434" w:rsidRDefault="0067127D" w:rsidP="00C45434">
      <w:pPr>
        <w:pStyle w:val="Heading2"/>
        <w:numPr>
          <w:ilvl w:val="0"/>
          <w:numId w:val="3"/>
        </w:numPr>
      </w:pPr>
      <w:r>
        <w:t xml:space="preserve">Övriga frågor </w:t>
      </w:r>
    </w:p>
    <w:p w:rsidR="0067127D" w:rsidRDefault="0067127D" w:rsidP="00C45434">
      <w:pPr>
        <w:pStyle w:val="RKnormal"/>
        <w:ind w:left="2880"/>
      </w:pPr>
    </w:p>
    <w:p w:rsidR="0067127D" w:rsidRPr="004D091D" w:rsidRDefault="0067127D" w:rsidP="00B44D04">
      <w:pPr>
        <w:rPr>
          <w:lang w:eastAsia="sv-SE"/>
        </w:rPr>
      </w:pPr>
    </w:p>
    <w:sectPr w:rsidR="0067127D" w:rsidRPr="004D091D" w:rsidSect="0000507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27D" w:rsidRDefault="0067127D">
      <w:r>
        <w:separator/>
      </w:r>
    </w:p>
  </w:endnote>
  <w:endnote w:type="continuationSeparator" w:id="1">
    <w:p w:rsidR="0067127D" w:rsidRDefault="0067127D">
      <w:r>
        <w:continuationSeparator/>
      </w:r>
    </w:p>
  </w:endnote>
  <w:endnote w:type="continuationNotice" w:id="2">
    <w:p w:rsidR="0067127D" w:rsidRDefault="0067127D">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27D" w:rsidRDefault="0067127D">
      <w:r>
        <w:separator/>
      </w:r>
    </w:p>
  </w:footnote>
  <w:footnote w:type="continuationSeparator" w:id="1">
    <w:p w:rsidR="0067127D" w:rsidRDefault="0067127D">
      <w:r>
        <w:continuationSeparator/>
      </w:r>
    </w:p>
  </w:footnote>
  <w:footnote w:type="continuationNotice" w:id="2">
    <w:p w:rsidR="0067127D" w:rsidRDefault="0067127D">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27D" w:rsidRDefault="0067127D" w:rsidP="000050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67127D">
      <w:trPr>
        <w:cantSplit/>
      </w:trPr>
      <w:tc>
        <w:tcPr>
          <w:tcW w:w="3119" w:type="dxa"/>
        </w:tcPr>
        <w:p w:rsidR="0067127D" w:rsidRDefault="0067127D" w:rsidP="00005077">
          <w:pPr>
            <w:pStyle w:val="Header"/>
            <w:spacing w:line="200" w:lineRule="atLeast"/>
            <w:ind w:right="360" w:firstLine="360"/>
            <w:rPr>
              <w:rFonts w:ascii="TradeGothic" w:hAnsi="TradeGothic"/>
              <w:b/>
              <w:bCs/>
              <w:sz w:val="16"/>
            </w:rPr>
          </w:pPr>
        </w:p>
      </w:tc>
      <w:tc>
        <w:tcPr>
          <w:tcW w:w="4111" w:type="dxa"/>
          <w:tcMar>
            <w:left w:w="567" w:type="dxa"/>
          </w:tcMar>
        </w:tcPr>
        <w:p w:rsidR="0067127D" w:rsidRDefault="0067127D">
          <w:pPr>
            <w:pStyle w:val="Header"/>
            <w:ind w:right="360"/>
          </w:pPr>
        </w:p>
      </w:tc>
      <w:tc>
        <w:tcPr>
          <w:tcW w:w="1525" w:type="dxa"/>
        </w:tcPr>
        <w:p w:rsidR="0067127D" w:rsidRDefault="0067127D">
          <w:pPr>
            <w:pStyle w:val="Header"/>
            <w:ind w:right="360"/>
          </w:pPr>
        </w:p>
      </w:tc>
    </w:tr>
  </w:tbl>
  <w:p w:rsidR="0067127D" w:rsidRDefault="0067127D">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27D" w:rsidRDefault="0067127D" w:rsidP="000050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tbl>
    <w:tblPr>
      <w:tblW w:w="0" w:type="auto"/>
      <w:tblInd w:w="-1168" w:type="dxa"/>
      <w:tblLook w:val="0000"/>
    </w:tblPr>
    <w:tblGrid>
      <w:gridCol w:w="3119"/>
      <w:gridCol w:w="4111"/>
      <w:gridCol w:w="1525"/>
    </w:tblGrid>
    <w:tr w:rsidR="0067127D">
      <w:trPr>
        <w:cantSplit/>
      </w:trPr>
      <w:tc>
        <w:tcPr>
          <w:tcW w:w="3119" w:type="dxa"/>
        </w:tcPr>
        <w:p w:rsidR="0067127D" w:rsidRDefault="0067127D" w:rsidP="00005077">
          <w:pPr>
            <w:pStyle w:val="Header"/>
            <w:spacing w:line="200" w:lineRule="atLeast"/>
            <w:ind w:right="360" w:firstLine="360"/>
            <w:rPr>
              <w:rFonts w:ascii="TradeGothic" w:hAnsi="TradeGothic"/>
              <w:b/>
              <w:bCs/>
              <w:sz w:val="16"/>
            </w:rPr>
          </w:pPr>
        </w:p>
      </w:tc>
      <w:tc>
        <w:tcPr>
          <w:tcW w:w="4111" w:type="dxa"/>
          <w:tcMar>
            <w:left w:w="567" w:type="dxa"/>
          </w:tcMar>
        </w:tcPr>
        <w:p w:rsidR="0067127D" w:rsidRDefault="0067127D">
          <w:pPr>
            <w:pStyle w:val="Header"/>
            <w:ind w:right="360"/>
          </w:pPr>
        </w:p>
      </w:tc>
      <w:tc>
        <w:tcPr>
          <w:tcW w:w="1525" w:type="dxa"/>
        </w:tcPr>
        <w:p w:rsidR="0067127D" w:rsidRDefault="0067127D">
          <w:pPr>
            <w:pStyle w:val="Header"/>
            <w:ind w:right="360"/>
          </w:pPr>
        </w:p>
      </w:tc>
    </w:tr>
  </w:tbl>
  <w:p w:rsidR="0067127D" w:rsidRDefault="0067127D">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27D" w:rsidRDefault="0067127D">
    <w:pPr>
      <w:framePr w:w="2948" w:h="1321" w:hRule="exact" w:wrap="notBeside" w:vAnchor="page" w:hAnchor="page" w:x="1362" w:y="653"/>
    </w:pPr>
    <w:r w:rsidRPr="004B5D14">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67127D" w:rsidRPr="00005077" w:rsidRDefault="0067127D">
    <w:pPr>
      <w:pStyle w:val="RKrubrik"/>
      <w:keepNext w:val="0"/>
      <w:tabs>
        <w:tab w:val="clear" w:pos="1134"/>
        <w:tab w:val="clear" w:pos="2835"/>
      </w:tabs>
      <w:spacing w:before="0" w:after="0" w:line="320" w:lineRule="atLeast"/>
      <w:rPr>
        <w:bCs/>
      </w:rPr>
    </w:pPr>
  </w:p>
  <w:p w:rsidR="0067127D" w:rsidRPr="00005077" w:rsidRDefault="0067127D">
    <w:pPr>
      <w:rPr>
        <w:rFonts w:ascii="TradeGothic" w:hAnsi="TradeGothic"/>
        <w:b/>
        <w:bCs/>
        <w:spacing w:val="12"/>
        <w:sz w:val="22"/>
      </w:rPr>
    </w:pPr>
  </w:p>
  <w:p w:rsidR="0067127D" w:rsidRPr="00005077" w:rsidRDefault="0067127D">
    <w:pPr>
      <w:pStyle w:val="RKrubrik"/>
      <w:keepNext w:val="0"/>
      <w:tabs>
        <w:tab w:val="clear" w:pos="1134"/>
        <w:tab w:val="clear" w:pos="2835"/>
      </w:tabs>
      <w:spacing w:before="0" w:after="0" w:line="320" w:lineRule="atLeast"/>
      <w:rPr>
        <w:bCs/>
      </w:rPr>
    </w:pPr>
  </w:p>
  <w:p w:rsidR="0067127D" w:rsidRPr="00005077" w:rsidRDefault="0067127D">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F1A5076"/>
    <w:lvl w:ilvl="0">
      <w:start w:val="1"/>
      <w:numFmt w:val="bullet"/>
      <w:lvlText w:val=""/>
      <w:lvlJc w:val="left"/>
      <w:pPr>
        <w:tabs>
          <w:tab w:val="num" w:pos="357"/>
        </w:tabs>
        <w:ind w:left="357" w:hanging="357"/>
      </w:pPr>
      <w:rPr>
        <w:rFonts w:ascii="Symbol" w:hAnsi="Symbol" w:hint="default"/>
      </w:rPr>
    </w:lvl>
  </w:abstractNum>
  <w:abstractNum w:abstractNumId="1">
    <w:nsid w:val="01EE4622"/>
    <w:multiLevelType w:val="hybridMultilevel"/>
    <w:tmpl w:val="B63232AC"/>
    <w:lvl w:ilvl="0" w:tplc="A2540B3C">
      <w:numFmt w:val="bullet"/>
      <w:lvlText w:val="-"/>
      <w:lvlJc w:val="left"/>
      <w:pPr>
        <w:ind w:left="1800" w:hanging="360"/>
      </w:pPr>
      <w:rPr>
        <w:rFonts w:ascii="OrigGarmnd BT" w:eastAsia="Times New Roman" w:hAnsi="OrigGarmnd BT" w:hint="default"/>
      </w:rPr>
    </w:lvl>
    <w:lvl w:ilvl="1" w:tplc="041D0003" w:tentative="1">
      <w:start w:val="1"/>
      <w:numFmt w:val="bullet"/>
      <w:lvlText w:val="o"/>
      <w:lvlJc w:val="left"/>
      <w:pPr>
        <w:ind w:left="2520" w:hanging="360"/>
      </w:pPr>
      <w:rPr>
        <w:rFonts w:ascii="Courier New" w:hAnsi="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
    <w:nsid w:val="05471A20"/>
    <w:multiLevelType w:val="hybridMultilevel"/>
    <w:tmpl w:val="6A469830"/>
    <w:lvl w:ilvl="0" w:tplc="2F3A3DFC">
      <w:start w:val="1"/>
      <w:numFmt w:val="decimal"/>
      <w:lvlText w:val="%1."/>
      <w:lvlJc w:val="left"/>
      <w:pPr>
        <w:ind w:left="1800" w:hanging="1440"/>
      </w:pPr>
      <w:rPr>
        <w:rFonts w:cs="Times New Roman" w:hint="default"/>
      </w:rPr>
    </w:lvl>
    <w:lvl w:ilvl="1" w:tplc="041D000F">
      <w:start w:val="1"/>
      <w:numFmt w:val="decimal"/>
      <w:lvlText w:val="%2."/>
      <w:lvlJc w:val="left"/>
      <w:pPr>
        <w:ind w:left="1440" w:hanging="360"/>
      </w:pPr>
      <w:rPr>
        <w:rFonts w:cs="Times New Roman" w:hint="default"/>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1CC44B54"/>
    <w:multiLevelType w:val="hybridMultilevel"/>
    <w:tmpl w:val="B77EDFB0"/>
    <w:lvl w:ilvl="0" w:tplc="A2540B3C">
      <w:numFmt w:val="bullet"/>
      <w:lvlText w:val="-"/>
      <w:lvlJc w:val="left"/>
      <w:pPr>
        <w:ind w:left="1800" w:hanging="360"/>
      </w:pPr>
      <w:rPr>
        <w:rFonts w:ascii="OrigGarmnd BT" w:eastAsia="Times New Roman" w:hAnsi="OrigGarmnd BT" w:hint="default"/>
      </w:rPr>
    </w:lvl>
    <w:lvl w:ilvl="1" w:tplc="041D0003" w:tentative="1">
      <w:start w:val="1"/>
      <w:numFmt w:val="bullet"/>
      <w:lvlText w:val="o"/>
      <w:lvlJc w:val="left"/>
      <w:pPr>
        <w:ind w:left="2520" w:hanging="360"/>
      </w:pPr>
      <w:rPr>
        <w:rFonts w:ascii="Courier New" w:hAnsi="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4">
    <w:nsid w:val="31083D2F"/>
    <w:multiLevelType w:val="hybridMultilevel"/>
    <w:tmpl w:val="6A469830"/>
    <w:lvl w:ilvl="0" w:tplc="2F3A3DFC">
      <w:start w:val="1"/>
      <w:numFmt w:val="decimal"/>
      <w:lvlText w:val="%1."/>
      <w:lvlJc w:val="left"/>
      <w:pPr>
        <w:ind w:left="1800" w:hanging="1440"/>
      </w:pPr>
      <w:rPr>
        <w:rFonts w:cs="Times New Roman" w:hint="default"/>
      </w:rPr>
    </w:lvl>
    <w:lvl w:ilvl="1" w:tplc="041D000F">
      <w:start w:val="1"/>
      <w:numFmt w:val="decimal"/>
      <w:lvlText w:val="%2."/>
      <w:lvlJc w:val="left"/>
      <w:pPr>
        <w:ind w:left="1440" w:hanging="360"/>
      </w:pPr>
      <w:rPr>
        <w:rFonts w:cs="Times New Roman" w:hint="default"/>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nsid w:val="613A4529"/>
    <w:multiLevelType w:val="hybridMultilevel"/>
    <w:tmpl w:val="23B66790"/>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6">
    <w:nsid w:val="6A661D42"/>
    <w:multiLevelType w:val="hybridMultilevel"/>
    <w:tmpl w:val="6A469830"/>
    <w:lvl w:ilvl="0" w:tplc="2F3A3DFC">
      <w:start w:val="1"/>
      <w:numFmt w:val="decimal"/>
      <w:lvlText w:val="%1."/>
      <w:lvlJc w:val="left"/>
      <w:pPr>
        <w:ind w:left="1800" w:hanging="1440"/>
      </w:pPr>
      <w:rPr>
        <w:rFonts w:cs="Times New Roman" w:hint="default"/>
      </w:rPr>
    </w:lvl>
    <w:lvl w:ilvl="1" w:tplc="041D000F">
      <w:start w:val="1"/>
      <w:numFmt w:val="decimal"/>
      <w:lvlText w:val="%2."/>
      <w:lvlJc w:val="left"/>
      <w:pPr>
        <w:ind w:left="1440" w:hanging="360"/>
      </w:pPr>
      <w:rPr>
        <w:rFonts w:cs="Times New Roman" w:hint="default"/>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4"/>
  </w:num>
  <w:num w:numId="4">
    <w:abstractNumId w:val="5"/>
  </w:num>
  <w:num w:numId="5">
    <w:abstractNumId w:val="1"/>
  </w:num>
  <w:num w:numId="6">
    <w:abstractNumId w:val="3"/>
  </w:num>
  <w:num w:numId="7">
    <w:abstractNumId w:val="2"/>
  </w:num>
  <w:num w:numId="8">
    <w:abstractNumId w:val="6"/>
  </w:num>
  <w:num w:numId="9">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001"/>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0"/>
    <w:footnote w:id="1"/>
    <w:footnote w:id="2"/>
  </w:footnotePr>
  <w:endnotePr>
    <w:endnote w:id="0"/>
    <w:endnote w:id="1"/>
    <w:endnote w:id="2"/>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2"/>
    <w:docVar w:name="docDep" w:val="6"/>
    <w:docVar w:name="docSprak" w:val="0"/>
  </w:docVars>
  <w:rsids>
    <w:rsidRoot w:val="00005077"/>
    <w:rsid w:val="00005077"/>
    <w:rsid w:val="00007EB3"/>
    <w:rsid w:val="00011246"/>
    <w:rsid w:val="00013C04"/>
    <w:rsid w:val="00014415"/>
    <w:rsid w:val="00021082"/>
    <w:rsid w:val="000251B2"/>
    <w:rsid w:val="00026A46"/>
    <w:rsid w:val="0003327D"/>
    <w:rsid w:val="000362AE"/>
    <w:rsid w:val="000403A6"/>
    <w:rsid w:val="0004439B"/>
    <w:rsid w:val="000459C7"/>
    <w:rsid w:val="00045E00"/>
    <w:rsid w:val="000552E4"/>
    <w:rsid w:val="000562D3"/>
    <w:rsid w:val="00070394"/>
    <w:rsid w:val="00075F57"/>
    <w:rsid w:val="00080C52"/>
    <w:rsid w:val="000843AC"/>
    <w:rsid w:val="00096342"/>
    <w:rsid w:val="000A2239"/>
    <w:rsid w:val="000A58C1"/>
    <w:rsid w:val="000A6536"/>
    <w:rsid w:val="000B0F49"/>
    <w:rsid w:val="000B312F"/>
    <w:rsid w:val="000D333D"/>
    <w:rsid w:val="000D6877"/>
    <w:rsid w:val="000F701D"/>
    <w:rsid w:val="000F7C04"/>
    <w:rsid w:val="001116E5"/>
    <w:rsid w:val="00111D68"/>
    <w:rsid w:val="0011491A"/>
    <w:rsid w:val="00115D0B"/>
    <w:rsid w:val="001178E3"/>
    <w:rsid w:val="00123975"/>
    <w:rsid w:val="00125C5F"/>
    <w:rsid w:val="0012660D"/>
    <w:rsid w:val="0013719B"/>
    <w:rsid w:val="00140629"/>
    <w:rsid w:val="00150384"/>
    <w:rsid w:val="00153F04"/>
    <w:rsid w:val="001562A5"/>
    <w:rsid w:val="001566AF"/>
    <w:rsid w:val="00161096"/>
    <w:rsid w:val="001726CF"/>
    <w:rsid w:val="001728EF"/>
    <w:rsid w:val="0017371B"/>
    <w:rsid w:val="001805B7"/>
    <w:rsid w:val="001817AC"/>
    <w:rsid w:val="00183B6C"/>
    <w:rsid w:val="00191ED5"/>
    <w:rsid w:val="00196DDE"/>
    <w:rsid w:val="001A6FA0"/>
    <w:rsid w:val="001B210B"/>
    <w:rsid w:val="001C2767"/>
    <w:rsid w:val="001C4B4C"/>
    <w:rsid w:val="001D09F8"/>
    <w:rsid w:val="001D317A"/>
    <w:rsid w:val="001E2621"/>
    <w:rsid w:val="001F02EE"/>
    <w:rsid w:val="001F26AD"/>
    <w:rsid w:val="001F2C5E"/>
    <w:rsid w:val="001F3926"/>
    <w:rsid w:val="001F58B4"/>
    <w:rsid w:val="001F79C9"/>
    <w:rsid w:val="0020297B"/>
    <w:rsid w:val="002079DC"/>
    <w:rsid w:val="00220B6F"/>
    <w:rsid w:val="00225012"/>
    <w:rsid w:val="002361F7"/>
    <w:rsid w:val="002429A0"/>
    <w:rsid w:val="00243653"/>
    <w:rsid w:val="002468C8"/>
    <w:rsid w:val="00246F8D"/>
    <w:rsid w:val="002500E3"/>
    <w:rsid w:val="00255B84"/>
    <w:rsid w:val="00257840"/>
    <w:rsid w:val="0026525F"/>
    <w:rsid w:val="00265730"/>
    <w:rsid w:val="0028134B"/>
    <w:rsid w:val="002822B6"/>
    <w:rsid w:val="00286732"/>
    <w:rsid w:val="00292A2E"/>
    <w:rsid w:val="002A0135"/>
    <w:rsid w:val="002B5512"/>
    <w:rsid w:val="002B6963"/>
    <w:rsid w:val="002C547E"/>
    <w:rsid w:val="002D42AD"/>
    <w:rsid w:val="002D4587"/>
    <w:rsid w:val="002D7584"/>
    <w:rsid w:val="002E3D35"/>
    <w:rsid w:val="00307F86"/>
    <w:rsid w:val="00320369"/>
    <w:rsid w:val="00322355"/>
    <w:rsid w:val="003254EA"/>
    <w:rsid w:val="003267C2"/>
    <w:rsid w:val="00330D12"/>
    <w:rsid w:val="00333217"/>
    <w:rsid w:val="00335167"/>
    <w:rsid w:val="00341667"/>
    <w:rsid w:val="003433F6"/>
    <w:rsid w:val="00343E0A"/>
    <w:rsid w:val="003455C7"/>
    <w:rsid w:val="00353163"/>
    <w:rsid w:val="003543C7"/>
    <w:rsid w:val="00354D5D"/>
    <w:rsid w:val="003572DE"/>
    <w:rsid w:val="003635C7"/>
    <w:rsid w:val="00373614"/>
    <w:rsid w:val="00377DAF"/>
    <w:rsid w:val="00382152"/>
    <w:rsid w:val="0038399B"/>
    <w:rsid w:val="0039691E"/>
    <w:rsid w:val="003A3986"/>
    <w:rsid w:val="003A4B5D"/>
    <w:rsid w:val="003A4DFF"/>
    <w:rsid w:val="003E0182"/>
    <w:rsid w:val="003E253E"/>
    <w:rsid w:val="003E2C4C"/>
    <w:rsid w:val="003E3C52"/>
    <w:rsid w:val="003E582C"/>
    <w:rsid w:val="003F6A21"/>
    <w:rsid w:val="003F6BFA"/>
    <w:rsid w:val="00400998"/>
    <w:rsid w:val="00426180"/>
    <w:rsid w:val="004261AA"/>
    <w:rsid w:val="004277D2"/>
    <w:rsid w:val="00440086"/>
    <w:rsid w:val="00441071"/>
    <w:rsid w:val="00447717"/>
    <w:rsid w:val="00447D44"/>
    <w:rsid w:val="00452748"/>
    <w:rsid w:val="00455C56"/>
    <w:rsid w:val="00470DBA"/>
    <w:rsid w:val="0047291E"/>
    <w:rsid w:val="00472995"/>
    <w:rsid w:val="00487A33"/>
    <w:rsid w:val="00487E2F"/>
    <w:rsid w:val="004A110E"/>
    <w:rsid w:val="004A328D"/>
    <w:rsid w:val="004A7757"/>
    <w:rsid w:val="004B5D14"/>
    <w:rsid w:val="004D091D"/>
    <w:rsid w:val="004D35CA"/>
    <w:rsid w:val="004D3631"/>
    <w:rsid w:val="004D51C2"/>
    <w:rsid w:val="004E09A7"/>
    <w:rsid w:val="004E2A76"/>
    <w:rsid w:val="004E729C"/>
    <w:rsid w:val="004F1CCC"/>
    <w:rsid w:val="005016D5"/>
    <w:rsid w:val="00517371"/>
    <w:rsid w:val="0052446B"/>
    <w:rsid w:val="005251BD"/>
    <w:rsid w:val="005326B0"/>
    <w:rsid w:val="005351D5"/>
    <w:rsid w:val="00535371"/>
    <w:rsid w:val="00536242"/>
    <w:rsid w:val="00545C07"/>
    <w:rsid w:val="00555BC8"/>
    <w:rsid w:val="005719D3"/>
    <w:rsid w:val="00572980"/>
    <w:rsid w:val="005735E9"/>
    <w:rsid w:val="005740D7"/>
    <w:rsid w:val="0058762B"/>
    <w:rsid w:val="005877A0"/>
    <w:rsid w:val="00590AB7"/>
    <w:rsid w:val="005933C5"/>
    <w:rsid w:val="0059726E"/>
    <w:rsid w:val="00597871"/>
    <w:rsid w:val="005A049A"/>
    <w:rsid w:val="005A065B"/>
    <w:rsid w:val="005B2D57"/>
    <w:rsid w:val="005B6466"/>
    <w:rsid w:val="005B6BE7"/>
    <w:rsid w:val="005C081F"/>
    <w:rsid w:val="005E0FBB"/>
    <w:rsid w:val="005E2214"/>
    <w:rsid w:val="005E281B"/>
    <w:rsid w:val="005E3E96"/>
    <w:rsid w:val="005F33FE"/>
    <w:rsid w:val="005F570E"/>
    <w:rsid w:val="00601A62"/>
    <w:rsid w:val="00602A99"/>
    <w:rsid w:val="00603ADD"/>
    <w:rsid w:val="00603DD1"/>
    <w:rsid w:val="00607E42"/>
    <w:rsid w:val="00611D83"/>
    <w:rsid w:val="006145BD"/>
    <w:rsid w:val="00617AE5"/>
    <w:rsid w:val="00635229"/>
    <w:rsid w:val="006362F3"/>
    <w:rsid w:val="00636DD0"/>
    <w:rsid w:val="00650E7B"/>
    <w:rsid w:val="00652C08"/>
    <w:rsid w:val="00653027"/>
    <w:rsid w:val="006610CF"/>
    <w:rsid w:val="00664A41"/>
    <w:rsid w:val="00670E1E"/>
    <w:rsid w:val="0067127D"/>
    <w:rsid w:val="006762A8"/>
    <w:rsid w:val="00681EAC"/>
    <w:rsid w:val="00683342"/>
    <w:rsid w:val="00690219"/>
    <w:rsid w:val="00697ED7"/>
    <w:rsid w:val="006B65BB"/>
    <w:rsid w:val="006C4B59"/>
    <w:rsid w:val="006C6C0D"/>
    <w:rsid w:val="006D60CE"/>
    <w:rsid w:val="006E2749"/>
    <w:rsid w:val="006E4E11"/>
    <w:rsid w:val="0071019A"/>
    <w:rsid w:val="00720A87"/>
    <w:rsid w:val="007218DD"/>
    <w:rsid w:val="007242A3"/>
    <w:rsid w:val="007249F1"/>
    <w:rsid w:val="00726DBE"/>
    <w:rsid w:val="007364B8"/>
    <w:rsid w:val="007434C2"/>
    <w:rsid w:val="00746D23"/>
    <w:rsid w:val="00747CCE"/>
    <w:rsid w:val="00757196"/>
    <w:rsid w:val="00761BFC"/>
    <w:rsid w:val="00762E8A"/>
    <w:rsid w:val="0076642D"/>
    <w:rsid w:val="00771597"/>
    <w:rsid w:val="00771AE9"/>
    <w:rsid w:val="00775CDA"/>
    <w:rsid w:val="00782F4A"/>
    <w:rsid w:val="00795888"/>
    <w:rsid w:val="007A6855"/>
    <w:rsid w:val="007B3C64"/>
    <w:rsid w:val="007B4155"/>
    <w:rsid w:val="007B7291"/>
    <w:rsid w:val="007B7ED9"/>
    <w:rsid w:val="007C14A6"/>
    <w:rsid w:val="007D1D4E"/>
    <w:rsid w:val="007F2B30"/>
    <w:rsid w:val="008020D5"/>
    <w:rsid w:val="008046B3"/>
    <w:rsid w:val="008100B2"/>
    <w:rsid w:val="00815EC6"/>
    <w:rsid w:val="0082588D"/>
    <w:rsid w:val="00835C74"/>
    <w:rsid w:val="00845621"/>
    <w:rsid w:val="008540CD"/>
    <w:rsid w:val="00855524"/>
    <w:rsid w:val="00856A83"/>
    <w:rsid w:val="008630DE"/>
    <w:rsid w:val="008649AC"/>
    <w:rsid w:val="00867A26"/>
    <w:rsid w:val="00870E01"/>
    <w:rsid w:val="0087470A"/>
    <w:rsid w:val="00876077"/>
    <w:rsid w:val="008832D7"/>
    <w:rsid w:val="00883D19"/>
    <w:rsid w:val="0088557B"/>
    <w:rsid w:val="00885E70"/>
    <w:rsid w:val="0089288D"/>
    <w:rsid w:val="008944B4"/>
    <w:rsid w:val="00895B58"/>
    <w:rsid w:val="008A66B1"/>
    <w:rsid w:val="008B3257"/>
    <w:rsid w:val="008E6A10"/>
    <w:rsid w:val="008F7C96"/>
    <w:rsid w:val="00907CC4"/>
    <w:rsid w:val="009108FA"/>
    <w:rsid w:val="00931DFF"/>
    <w:rsid w:val="00934C2A"/>
    <w:rsid w:val="00951E71"/>
    <w:rsid w:val="009524A3"/>
    <w:rsid w:val="00952FB7"/>
    <w:rsid w:val="0095715B"/>
    <w:rsid w:val="00962A5A"/>
    <w:rsid w:val="00971052"/>
    <w:rsid w:val="00971AFC"/>
    <w:rsid w:val="009801F9"/>
    <w:rsid w:val="00985860"/>
    <w:rsid w:val="0099679A"/>
    <w:rsid w:val="009972E5"/>
    <w:rsid w:val="009A4090"/>
    <w:rsid w:val="009B2EC4"/>
    <w:rsid w:val="009B4B9F"/>
    <w:rsid w:val="009C63EB"/>
    <w:rsid w:val="009C73C8"/>
    <w:rsid w:val="009D219D"/>
    <w:rsid w:val="009E4025"/>
    <w:rsid w:val="009E7A94"/>
    <w:rsid w:val="009F1201"/>
    <w:rsid w:val="009F30F2"/>
    <w:rsid w:val="009F3311"/>
    <w:rsid w:val="00A041E9"/>
    <w:rsid w:val="00A04D07"/>
    <w:rsid w:val="00A14F25"/>
    <w:rsid w:val="00A232AF"/>
    <w:rsid w:val="00A3043B"/>
    <w:rsid w:val="00A30BDF"/>
    <w:rsid w:val="00A32909"/>
    <w:rsid w:val="00A33BCE"/>
    <w:rsid w:val="00A554D6"/>
    <w:rsid w:val="00A575F3"/>
    <w:rsid w:val="00A60DFF"/>
    <w:rsid w:val="00A8087D"/>
    <w:rsid w:val="00A92F0F"/>
    <w:rsid w:val="00A9303B"/>
    <w:rsid w:val="00A93C5B"/>
    <w:rsid w:val="00AA34FA"/>
    <w:rsid w:val="00AB11E5"/>
    <w:rsid w:val="00AC662D"/>
    <w:rsid w:val="00AD1C07"/>
    <w:rsid w:val="00AD2976"/>
    <w:rsid w:val="00AD65EC"/>
    <w:rsid w:val="00AF339B"/>
    <w:rsid w:val="00AF473C"/>
    <w:rsid w:val="00B03484"/>
    <w:rsid w:val="00B06D13"/>
    <w:rsid w:val="00B07A3B"/>
    <w:rsid w:val="00B12F8D"/>
    <w:rsid w:val="00B145B9"/>
    <w:rsid w:val="00B26A9B"/>
    <w:rsid w:val="00B30D63"/>
    <w:rsid w:val="00B322DD"/>
    <w:rsid w:val="00B40850"/>
    <w:rsid w:val="00B40D7C"/>
    <w:rsid w:val="00B44D04"/>
    <w:rsid w:val="00B52320"/>
    <w:rsid w:val="00B575E5"/>
    <w:rsid w:val="00B666CD"/>
    <w:rsid w:val="00B71CAE"/>
    <w:rsid w:val="00B74EEB"/>
    <w:rsid w:val="00B8409A"/>
    <w:rsid w:val="00B85BB6"/>
    <w:rsid w:val="00B87574"/>
    <w:rsid w:val="00B94E6A"/>
    <w:rsid w:val="00B963E4"/>
    <w:rsid w:val="00BA173A"/>
    <w:rsid w:val="00BB1BE0"/>
    <w:rsid w:val="00BC50DF"/>
    <w:rsid w:val="00BC554D"/>
    <w:rsid w:val="00BD261E"/>
    <w:rsid w:val="00BD2B38"/>
    <w:rsid w:val="00BD4387"/>
    <w:rsid w:val="00BE0992"/>
    <w:rsid w:val="00BE1C32"/>
    <w:rsid w:val="00BE44B4"/>
    <w:rsid w:val="00C017B9"/>
    <w:rsid w:val="00C01B31"/>
    <w:rsid w:val="00C15C29"/>
    <w:rsid w:val="00C1636D"/>
    <w:rsid w:val="00C1707D"/>
    <w:rsid w:val="00C23F38"/>
    <w:rsid w:val="00C24F68"/>
    <w:rsid w:val="00C25367"/>
    <w:rsid w:val="00C340A1"/>
    <w:rsid w:val="00C36E32"/>
    <w:rsid w:val="00C37B1A"/>
    <w:rsid w:val="00C423DB"/>
    <w:rsid w:val="00C44696"/>
    <w:rsid w:val="00C45434"/>
    <w:rsid w:val="00C45D0B"/>
    <w:rsid w:val="00C47ECF"/>
    <w:rsid w:val="00C507BC"/>
    <w:rsid w:val="00C522B9"/>
    <w:rsid w:val="00C524EA"/>
    <w:rsid w:val="00C73B64"/>
    <w:rsid w:val="00C77F80"/>
    <w:rsid w:val="00C806CE"/>
    <w:rsid w:val="00C923D4"/>
    <w:rsid w:val="00C92E67"/>
    <w:rsid w:val="00CA0272"/>
    <w:rsid w:val="00CA13C2"/>
    <w:rsid w:val="00CA33E2"/>
    <w:rsid w:val="00CA39BD"/>
    <w:rsid w:val="00CA3B36"/>
    <w:rsid w:val="00CB42EA"/>
    <w:rsid w:val="00CB7489"/>
    <w:rsid w:val="00CC2D7F"/>
    <w:rsid w:val="00CC5D3C"/>
    <w:rsid w:val="00CD299C"/>
    <w:rsid w:val="00CD34B4"/>
    <w:rsid w:val="00CD45B3"/>
    <w:rsid w:val="00CE2C56"/>
    <w:rsid w:val="00CF2334"/>
    <w:rsid w:val="00CF3E29"/>
    <w:rsid w:val="00CF5630"/>
    <w:rsid w:val="00D0720A"/>
    <w:rsid w:val="00D07EE7"/>
    <w:rsid w:val="00D133D7"/>
    <w:rsid w:val="00D24B9E"/>
    <w:rsid w:val="00D2677F"/>
    <w:rsid w:val="00D37857"/>
    <w:rsid w:val="00D41FC3"/>
    <w:rsid w:val="00D43E05"/>
    <w:rsid w:val="00D50C6A"/>
    <w:rsid w:val="00D50EAB"/>
    <w:rsid w:val="00D514B8"/>
    <w:rsid w:val="00D61636"/>
    <w:rsid w:val="00D62E4F"/>
    <w:rsid w:val="00D6783C"/>
    <w:rsid w:val="00D67B51"/>
    <w:rsid w:val="00D7065C"/>
    <w:rsid w:val="00D72A61"/>
    <w:rsid w:val="00D75113"/>
    <w:rsid w:val="00D900CA"/>
    <w:rsid w:val="00D92D5F"/>
    <w:rsid w:val="00DA458F"/>
    <w:rsid w:val="00DB2570"/>
    <w:rsid w:val="00DC1EA4"/>
    <w:rsid w:val="00DC42F2"/>
    <w:rsid w:val="00DD4A74"/>
    <w:rsid w:val="00DE2E09"/>
    <w:rsid w:val="00DE312C"/>
    <w:rsid w:val="00DF6C01"/>
    <w:rsid w:val="00DF6F52"/>
    <w:rsid w:val="00E03A91"/>
    <w:rsid w:val="00E03B01"/>
    <w:rsid w:val="00E12752"/>
    <w:rsid w:val="00E31D70"/>
    <w:rsid w:val="00E36D3B"/>
    <w:rsid w:val="00E474BF"/>
    <w:rsid w:val="00E5536D"/>
    <w:rsid w:val="00E570E0"/>
    <w:rsid w:val="00E5717E"/>
    <w:rsid w:val="00E60F06"/>
    <w:rsid w:val="00E63B87"/>
    <w:rsid w:val="00E76601"/>
    <w:rsid w:val="00E83A49"/>
    <w:rsid w:val="00E86BD0"/>
    <w:rsid w:val="00E95958"/>
    <w:rsid w:val="00E96F11"/>
    <w:rsid w:val="00EA377B"/>
    <w:rsid w:val="00EB0EAE"/>
    <w:rsid w:val="00EB157F"/>
    <w:rsid w:val="00EB1596"/>
    <w:rsid w:val="00EB4539"/>
    <w:rsid w:val="00EB650E"/>
    <w:rsid w:val="00EB7D5A"/>
    <w:rsid w:val="00EC25F9"/>
    <w:rsid w:val="00EC3B36"/>
    <w:rsid w:val="00EC4927"/>
    <w:rsid w:val="00EC5A21"/>
    <w:rsid w:val="00EC64FF"/>
    <w:rsid w:val="00ED583F"/>
    <w:rsid w:val="00EE1C2B"/>
    <w:rsid w:val="00EF07F1"/>
    <w:rsid w:val="00EF2669"/>
    <w:rsid w:val="00EF6D83"/>
    <w:rsid w:val="00F0048B"/>
    <w:rsid w:val="00F01AB7"/>
    <w:rsid w:val="00F0716B"/>
    <w:rsid w:val="00F16449"/>
    <w:rsid w:val="00F17ABC"/>
    <w:rsid w:val="00F22EAE"/>
    <w:rsid w:val="00F31507"/>
    <w:rsid w:val="00F34FAF"/>
    <w:rsid w:val="00F35F2F"/>
    <w:rsid w:val="00F37B50"/>
    <w:rsid w:val="00F40D90"/>
    <w:rsid w:val="00F42802"/>
    <w:rsid w:val="00F509B6"/>
    <w:rsid w:val="00F700D5"/>
    <w:rsid w:val="00F70EDB"/>
    <w:rsid w:val="00F74453"/>
    <w:rsid w:val="00F7497F"/>
    <w:rsid w:val="00F77EA4"/>
    <w:rsid w:val="00F82D0B"/>
    <w:rsid w:val="00F84391"/>
    <w:rsid w:val="00F9115C"/>
    <w:rsid w:val="00F97A7A"/>
    <w:rsid w:val="00FA0665"/>
    <w:rsid w:val="00FA2C5E"/>
    <w:rsid w:val="00FB1B95"/>
    <w:rsid w:val="00FC0E29"/>
    <w:rsid w:val="00FC2E07"/>
    <w:rsid w:val="00FC6512"/>
    <w:rsid w:val="00FC6FDF"/>
    <w:rsid w:val="00FE77F0"/>
    <w:rsid w:val="00FF045F"/>
    <w:rsid w:val="00FF0B74"/>
    <w:rsid w:val="00FF471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60D"/>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12660D"/>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B40850"/>
    <w:pPr>
      <w:spacing w:before="360" w:after="0"/>
      <w:outlineLvl w:val="1"/>
    </w:pPr>
  </w:style>
  <w:style w:type="paragraph" w:styleId="Heading3">
    <w:name w:val="heading 3"/>
    <w:basedOn w:val="Heading2"/>
    <w:next w:val="RKnormal"/>
    <w:link w:val="Heading3Char"/>
    <w:uiPriority w:val="99"/>
    <w:qFormat/>
    <w:rsid w:val="0012660D"/>
    <w:pPr>
      <w:spacing w:after="120" w:line="240" w:lineRule="atLeast"/>
      <w:outlineLvl w:val="2"/>
    </w:pPr>
    <w:rPr>
      <w:b w:val="0"/>
    </w:rPr>
  </w:style>
  <w:style w:type="paragraph" w:styleId="Heading4">
    <w:name w:val="heading 4"/>
    <w:basedOn w:val="Heading3"/>
    <w:next w:val="RKnormal"/>
    <w:link w:val="Heading4Char"/>
    <w:uiPriority w:val="99"/>
    <w:qFormat/>
    <w:rsid w:val="00B40850"/>
    <w:pPr>
      <w:spacing w:before="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5167"/>
    <w:rPr>
      <w:rFonts w:ascii="TradeGothic" w:hAnsi="TradeGothic" w:cs="Times New Roman"/>
      <w:b/>
      <w:kern w:val="28"/>
      <w:sz w:val="22"/>
      <w:lang w:eastAsia="en-US"/>
    </w:rPr>
  </w:style>
  <w:style w:type="character" w:customStyle="1" w:styleId="Heading2Char">
    <w:name w:val="Heading 2 Char"/>
    <w:basedOn w:val="DefaultParagraphFont"/>
    <w:link w:val="Heading2"/>
    <w:uiPriority w:val="99"/>
    <w:locked/>
    <w:rsid w:val="000403A6"/>
    <w:rPr>
      <w:rFonts w:ascii="TradeGothic" w:hAnsi="TradeGothic" w:cs="Times New Roman"/>
      <w:b/>
      <w:kern w:val="28"/>
      <w:sz w:val="22"/>
      <w:lang w:eastAsia="en-US"/>
    </w:rPr>
  </w:style>
  <w:style w:type="character" w:customStyle="1" w:styleId="Heading3Char">
    <w:name w:val="Heading 3 Char"/>
    <w:basedOn w:val="DefaultParagraphFont"/>
    <w:link w:val="Heading3"/>
    <w:uiPriority w:val="9"/>
    <w:semiHidden/>
    <w:rsid w:val="00325A3B"/>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325A3B"/>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12660D"/>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12660D"/>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325A3B"/>
    <w:rPr>
      <w:rFonts w:ascii="OrigGarmnd BT" w:hAnsi="OrigGarmnd BT"/>
      <w:sz w:val="24"/>
      <w:szCs w:val="20"/>
      <w:lang w:eastAsia="en-US"/>
    </w:rPr>
  </w:style>
  <w:style w:type="paragraph" w:styleId="Header">
    <w:name w:val="header"/>
    <w:basedOn w:val="Normal"/>
    <w:link w:val="HeaderChar"/>
    <w:uiPriority w:val="99"/>
    <w:rsid w:val="0012660D"/>
    <w:pPr>
      <w:tabs>
        <w:tab w:val="center" w:pos="4153"/>
        <w:tab w:val="right" w:pos="8306"/>
      </w:tabs>
    </w:pPr>
  </w:style>
  <w:style w:type="character" w:customStyle="1" w:styleId="HeaderChar">
    <w:name w:val="Header Char"/>
    <w:basedOn w:val="DefaultParagraphFont"/>
    <w:link w:val="Header"/>
    <w:uiPriority w:val="99"/>
    <w:semiHidden/>
    <w:rsid w:val="00325A3B"/>
    <w:rPr>
      <w:rFonts w:ascii="OrigGarmnd BT" w:hAnsi="OrigGarmnd BT"/>
      <w:sz w:val="24"/>
      <w:szCs w:val="20"/>
      <w:lang w:eastAsia="en-US"/>
    </w:rPr>
  </w:style>
  <w:style w:type="paragraph" w:customStyle="1" w:styleId="RKnormal">
    <w:name w:val="RKnormal"/>
    <w:basedOn w:val="Normal"/>
    <w:link w:val="RKnormalChar"/>
    <w:uiPriority w:val="99"/>
    <w:rsid w:val="0012660D"/>
    <w:pPr>
      <w:tabs>
        <w:tab w:val="left" w:pos="2835"/>
      </w:tabs>
      <w:spacing w:line="240" w:lineRule="atLeast"/>
    </w:pPr>
  </w:style>
  <w:style w:type="paragraph" w:customStyle="1" w:styleId="RKrubrik">
    <w:name w:val="RKrubrik"/>
    <w:basedOn w:val="RKnormal"/>
    <w:next w:val="RKnormal"/>
    <w:uiPriority w:val="99"/>
    <w:rsid w:val="0012660D"/>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12660D"/>
    <w:rPr>
      <w:rFonts w:cs="Times New Roman"/>
    </w:rPr>
  </w:style>
  <w:style w:type="character" w:styleId="Strong">
    <w:name w:val="Strong"/>
    <w:basedOn w:val="DefaultParagraphFont"/>
    <w:uiPriority w:val="99"/>
    <w:qFormat/>
    <w:rsid w:val="00B40850"/>
    <w:rPr>
      <w:rFonts w:cs="Times New Roman"/>
      <w:b/>
    </w:rPr>
  </w:style>
  <w:style w:type="paragraph" w:styleId="BalloonText">
    <w:name w:val="Balloon Text"/>
    <w:basedOn w:val="Normal"/>
    <w:link w:val="BalloonTextChar"/>
    <w:uiPriority w:val="99"/>
    <w:rsid w:val="009B4B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9B4B9F"/>
    <w:rPr>
      <w:rFonts w:ascii="Tahoma" w:hAnsi="Tahoma" w:cs="Tahoma"/>
      <w:sz w:val="16"/>
      <w:szCs w:val="16"/>
      <w:lang w:eastAsia="en-US"/>
    </w:rPr>
  </w:style>
  <w:style w:type="character" w:customStyle="1" w:styleId="RKnormalChar">
    <w:name w:val="RKnormal Char"/>
    <w:link w:val="RKnormal"/>
    <w:uiPriority w:val="99"/>
    <w:locked/>
    <w:rsid w:val="00C73B64"/>
    <w:rPr>
      <w:rFonts w:ascii="OrigGarmnd BT" w:hAnsi="OrigGarmnd BT"/>
      <w:sz w:val="24"/>
      <w:lang w:eastAsia="en-US"/>
    </w:rPr>
  </w:style>
  <w:style w:type="paragraph" w:styleId="NormalIndent">
    <w:name w:val="Normal Indent"/>
    <w:basedOn w:val="Normal"/>
    <w:uiPriority w:val="99"/>
    <w:rsid w:val="003F6BFA"/>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ListParagraph">
    <w:name w:val="List Paragraph"/>
    <w:basedOn w:val="Normal"/>
    <w:uiPriority w:val="99"/>
    <w:qFormat/>
    <w:rsid w:val="003F6BFA"/>
    <w:pPr>
      <w:ind w:left="720"/>
      <w:contextualSpacing/>
    </w:pPr>
  </w:style>
  <w:style w:type="paragraph" w:customStyle="1" w:styleId="Default">
    <w:name w:val="Default"/>
    <w:uiPriority w:val="99"/>
    <w:rsid w:val="00007EB3"/>
    <w:pPr>
      <w:autoSpaceDE w:val="0"/>
      <w:autoSpaceDN w:val="0"/>
      <w:adjustRightInd w:val="0"/>
    </w:pPr>
    <w:rPr>
      <w:rFonts w:ascii="OrigGarmnd BT" w:hAnsi="OrigGarmnd BT" w:cs="OrigGarmnd BT"/>
      <w:color w:val="000000"/>
      <w:sz w:val="24"/>
      <w:szCs w:val="24"/>
    </w:rPr>
  </w:style>
  <w:style w:type="character" w:customStyle="1" w:styleId="hps">
    <w:name w:val="hps"/>
    <w:basedOn w:val="DefaultParagraphFont"/>
    <w:uiPriority w:val="99"/>
    <w:rsid w:val="00007EB3"/>
    <w:rPr>
      <w:rFonts w:cs="Times New Roman"/>
    </w:rPr>
  </w:style>
  <w:style w:type="character" w:styleId="CommentReference">
    <w:name w:val="annotation reference"/>
    <w:basedOn w:val="DefaultParagraphFont"/>
    <w:uiPriority w:val="99"/>
    <w:rsid w:val="00F9115C"/>
    <w:rPr>
      <w:rFonts w:cs="Times New Roman"/>
      <w:sz w:val="16"/>
      <w:szCs w:val="16"/>
    </w:rPr>
  </w:style>
  <w:style w:type="paragraph" w:styleId="CommentText">
    <w:name w:val="annotation text"/>
    <w:basedOn w:val="Normal"/>
    <w:link w:val="CommentTextChar"/>
    <w:uiPriority w:val="99"/>
    <w:rsid w:val="00F9115C"/>
    <w:pPr>
      <w:spacing w:line="240" w:lineRule="auto"/>
    </w:pPr>
    <w:rPr>
      <w:sz w:val="20"/>
    </w:rPr>
  </w:style>
  <w:style w:type="character" w:customStyle="1" w:styleId="CommentTextChar">
    <w:name w:val="Comment Text Char"/>
    <w:basedOn w:val="DefaultParagraphFont"/>
    <w:link w:val="CommentText"/>
    <w:uiPriority w:val="99"/>
    <w:locked/>
    <w:rsid w:val="00F9115C"/>
    <w:rPr>
      <w:rFonts w:ascii="OrigGarmnd BT" w:hAnsi="OrigGarmnd BT" w:cs="Times New Roman"/>
      <w:lang w:eastAsia="en-US"/>
    </w:rPr>
  </w:style>
  <w:style w:type="paragraph" w:styleId="CommentSubject">
    <w:name w:val="annotation subject"/>
    <w:basedOn w:val="CommentText"/>
    <w:next w:val="CommentText"/>
    <w:link w:val="CommentSubjectChar"/>
    <w:uiPriority w:val="99"/>
    <w:rsid w:val="00F9115C"/>
    <w:rPr>
      <w:b/>
      <w:bCs/>
    </w:rPr>
  </w:style>
  <w:style w:type="character" w:customStyle="1" w:styleId="CommentSubjectChar">
    <w:name w:val="Comment Subject Char"/>
    <w:basedOn w:val="CommentTextChar"/>
    <w:link w:val="CommentSubject"/>
    <w:uiPriority w:val="99"/>
    <w:locked/>
    <w:rsid w:val="00F9115C"/>
    <w:rPr>
      <w:b/>
      <w:bCs/>
    </w:rPr>
  </w:style>
  <w:style w:type="paragraph" w:customStyle="1" w:styleId="Char3">
    <w:name w:val="Char3"/>
    <w:basedOn w:val="Normal"/>
    <w:uiPriority w:val="99"/>
    <w:rsid w:val="00A575F3"/>
    <w:pPr>
      <w:overflowPunct/>
      <w:autoSpaceDE/>
      <w:autoSpaceDN/>
      <w:adjustRightInd/>
      <w:spacing w:after="160" w:line="240" w:lineRule="exact"/>
      <w:textAlignment w:val="auto"/>
    </w:pPr>
    <w:rPr>
      <w:rFonts w:ascii="Tahoma" w:hAnsi="Tahoma"/>
      <w:sz w:val="20"/>
      <w:lang w:val="en-US"/>
    </w:rPr>
  </w:style>
  <w:style w:type="paragraph" w:styleId="PlainText">
    <w:name w:val="Plain Text"/>
    <w:basedOn w:val="Normal"/>
    <w:link w:val="PlainTextChar"/>
    <w:uiPriority w:val="99"/>
    <w:rsid w:val="00E12752"/>
    <w:pPr>
      <w:overflowPunct/>
      <w:autoSpaceDE/>
      <w:autoSpaceDN/>
      <w:adjustRightInd/>
      <w:spacing w:line="240" w:lineRule="auto"/>
      <w:textAlignment w:val="auto"/>
    </w:pPr>
    <w:rPr>
      <w:rFonts w:ascii="Calibri" w:hAnsi="Calibri"/>
      <w:sz w:val="22"/>
      <w:szCs w:val="21"/>
    </w:rPr>
  </w:style>
  <w:style w:type="character" w:customStyle="1" w:styleId="PlainTextChar">
    <w:name w:val="Plain Text Char"/>
    <w:basedOn w:val="DefaultParagraphFont"/>
    <w:link w:val="PlainText"/>
    <w:uiPriority w:val="99"/>
    <w:locked/>
    <w:rsid w:val="00E12752"/>
    <w:rPr>
      <w:rFonts w:ascii="Calibri" w:eastAsia="Times New Roman" w:hAnsi="Calibri" w:cs="Times New Roman"/>
      <w:sz w:val="21"/>
      <w:szCs w:val="21"/>
      <w:lang w:eastAsia="en-US"/>
    </w:rPr>
  </w:style>
  <w:style w:type="paragraph" w:styleId="Title">
    <w:name w:val="Title"/>
    <w:basedOn w:val="Normal"/>
    <w:link w:val="TitleChar"/>
    <w:uiPriority w:val="99"/>
    <w:qFormat/>
    <w:rsid w:val="00DE312C"/>
    <w:pPr>
      <w:overflowPunct/>
      <w:autoSpaceDE/>
      <w:autoSpaceDN/>
      <w:adjustRightInd/>
      <w:spacing w:before="480" w:after="240" w:line="240" w:lineRule="auto"/>
      <w:jc w:val="center"/>
      <w:textAlignment w:val="auto"/>
    </w:pPr>
    <w:rPr>
      <w:rFonts w:ascii="Times New Roman" w:hAnsi="Times New Roman"/>
      <w:b/>
      <w:bCs/>
      <w:i/>
      <w:szCs w:val="32"/>
      <w:u w:val="single"/>
      <w:lang w:val="en-GB" w:eastAsia="fr-BE"/>
    </w:rPr>
  </w:style>
  <w:style w:type="character" w:customStyle="1" w:styleId="TitleChar">
    <w:name w:val="Title Char"/>
    <w:basedOn w:val="DefaultParagraphFont"/>
    <w:link w:val="Title"/>
    <w:uiPriority w:val="99"/>
    <w:locked/>
    <w:rsid w:val="00DE312C"/>
    <w:rPr>
      <w:rFonts w:cs="Times New Roman"/>
      <w:b/>
      <w:bCs/>
      <w:i/>
      <w:sz w:val="32"/>
      <w:szCs w:val="32"/>
      <w:u w:val="single"/>
      <w:lang w:val="en-GB" w:eastAsia="fr-BE"/>
    </w:rPr>
  </w:style>
  <w:style w:type="paragraph" w:customStyle="1" w:styleId="PointManual">
    <w:name w:val="Point Manual"/>
    <w:basedOn w:val="Normal"/>
    <w:link w:val="PointManualChar"/>
    <w:uiPriority w:val="99"/>
    <w:rsid w:val="00DE312C"/>
    <w:pPr>
      <w:overflowPunct/>
      <w:autoSpaceDE/>
      <w:autoSpaceDN/>
      <w:adjustRightInd/>
      <w:spacing w:before="200" w:line="240" w:lineRule="auto"/>
      <w:ind w:left="567" w:hanging="567"/>
      <w:textAlignment w:val="auto"/>
    </w:pPr>
    <w:rPr>
      <w:rFonts w:ascii="Times New Roman" w:hAnsi="Times New Roman"/>
      <w:szCs w:val="24"/>
      <w:lang w:val="en-GB" w:eastAsia="fr-BE"/>
    </w:rPr>
  </w:style>
  <w:style w:type="paragraph" w:customStyle="1" w:styleId="PointManual1">
    <w:name w:val="Point Manual (1)"/>
    <w:basedOn w:val="Normal"/>
    <w:uiPriority w:val="99"/>
    <w:rsid w:val="00DE312C"/>
    <w:pPr>
      <w:overflowPunct/>
      <w:autoSpaceDE/>
      <w:autoSpaceDN/>
      <w:adjustRightInd/>
      <w:spacing w:line="240" w:lineRule="auto"/>
      <w:ind w:left="1134" w:hanging="567"/>
      <w:textAlignment w:val="auto"/>
      <w:outlineLvl w:val="0"/>
    </w:pPr>
    <w:rPr>
      <w:rFonts w:ascii="Times New Roman" w:hAnsi="Times New Roman"/>
      <w:szCs w:val="24"/>
      <w:lang w:val="en-GB" w:eastAsia="fr-BE"/>
    </w:rPr>
  </w:style>
  <w:style w:type="paragraph" w:customStyle="1" w:styleId="PointManual2">
    <w:name w:val="Point Manual (2)"/>
    <w:basedOn w:val="Normal"/>
    <w:uiPriority w:val="99"/>
    <w:rsid w:val="00DE312C"/>
    <w:pPr>
      <w:overflowPunct/>
      <w:autoSpaceDE/>
      <w:autoSpaceDN/>
      <w:adjustRightInd/>
      <w:spacing w:line="240" w:lineRule="auto"/>
      <w:ind w:left="1701" w:hanging="567"/>
      <w:textAlignment w:val="auto"/>
      <w:outlineLvl w:val="1"/>
    </w:pPr>
    <w:rPr>
      <w:rFonts w:ascii="Times New Roman" w:hAnsi="Times New Roman"/>
      <w:szCs w:val="24"/>
      <w:lang w:val="en-GB" w:eastAsia="fr-BE"/>
    </w:rPr>
  </w:style>
  <w:style w:type="character" w:customStyle="1" w:styleId="PointManualChar">
    <w:name w:val="Point Manual Char"/>
    <w:link w:val="PointManual"/>
    <w:uiPriority w:val="99"/>
    <w:locked/>
    <w:rsid w:val="00DE312C"/>
    <w:rPr>
      <w:sz w:val="24"/>
      <w:lang w:val="en-GB" w:eastAsia="fr-BE"/>
    </w:rPr>
  </w:style>
  <w:style w:type="paragraph" w:customStyle="1" w:styleId="Fichefinancirestandardtitreacte">
    <w:name w:val="Fiche financière (standard) titre (acte)"/>
    <w:basedOn w:val="Normal"/>
    <w:next w:val="Normal"/>
    <w:uiPriority w:val="99"/>
    <w:rsid w:val="00652C08"/>
    <w:pPr>
      <w:overflowPunct/>
      <w:autoSpaceDE/>
      <w:autoSpaceDN/>
      <w:adjustRightInd/>
      <w:spacing w:before="120" w:after="120" w:line="240" w:lineRule="auto"/>
      <w:jc w:val="center"/>
      <w:textAlignment w:val="auto"/>
    </w:pPr>
    <w:rPr>
      <w:rFonts w:ascii="Times New Roman" w:hAnsi="Times New Roman"/>
      <w:b/>
      <w:bCs/>
      <w:szCs w:val="24"/>
      <w:u w:val="single"/>
      <w:lang w:val="fr-FR" w:eastAsia="en-GB"/>
    </w:rPr>
  </w:style>
  <w:style w:type="paragraph" w:styleId="ListBullet">
    <w:name w:val="List Bullet"/>
    <w:basedOn w:val="Normal"/>
    <w:uiPriority w:val="99"/>
    <w:rsid w:val="00E60F06"/>
    <w:pPr>
      <w:numPr>
        <w:numId w:val="8"/>
      </w:numPr>
      <w:tabs>
        <w:tab w:val="num" w:pos="357"/>
      </w:tabs>
      <w:ind w:left="357" w:hanging="357"/>
      <w:contextualSpacing/>
      <w:textAlignment w:val="auto"/>
    </w:pPr>
  </w:style>
</w:styles>
</file>

<file path=word/webSettings.xml><?xml version="1.0" encoding="utf-8"?>
<w:webSettings xmlns:r="http://schemas.openxmlformats.org/officeDocument/2006/relationships" xmlns:w="http://schemas.openxmlformats.org/wordprocessingml/2006/main">
  <w:divs>
    <w:div w:id="25915471">
      <w:marLeft w:val="0"/>
      <w:marRight w:val="0"/>
      <w:marTop w:val="0"/>
      <w:marBottom w:val="0"/>
      <w:divBdr>
        <w:top w:val="none" w:sz="0" w:space="0" w:color="auto"/>
        <w:left w:val="none" w:sz="0" w:space="0" w:color="auto"/>
        <w:bottom w:val="none" w:sz="0" w:space="0" w:color="auto"/>
        <w:right w:val="none" w:sz="0" w:space="0" w:color="auto"/>
      </w:divBdr>
    </w:div>
    <w:div w:id="25915472">
      <w:marLeft w:val="0"/>
      <w:marRight w:val="0"/>
      <w:marTop w:val="0"/>
      <w:marBottom w:val="0"/>
      <w:divBdr>
        <w:top w:val="none" w:sz="0" w:space="0" w:color="auto"/>
        <w:left w:val="none" w:sz="0" w:space="0" w:color="auto"/>
        <w:bottom w:val="none" w:sz="0" w:space="0" w:color="auto"/>
        <w:right w:val="none" w:sz="0" w:space="0" w:color="auto"/>
      </w:divBdr>
    </w:div>
    <w:div w:id="25915473">
      <w:marLeft w:val="0"/>
      <w:marRight w:val="0"/>
      <w:marTop w:val="0"/>
      <w:marBottom w:val="0"/>
      <w:divBdr>
        <w:top w:val="none" w:sz="0" w:space="0" w:color="auto"/>
        <w:left w:val="none" w:sz="0" w:space="0" w:color="auto"/>
        <w:bottom w:val="none" w:sz="0" w:space="0" w:color="auto"/>
        <w:right w:val="none" w:sz="0" w:space="0" w:color="auto"/>
      </w:divBdr>
    </w:div>
    <w:div w:id="25915474">
      <w:marLeft w:val="0"/>
      <w:marRight w:val="0"/>
      <w:marTop w:val="0"/>
      <w:marBottom w:val="0"/>
      <w:divBdr>
        <w:top w:val="none" w:sz="0" w:space="0" w:color="auto"/>
        <w:left w:val="none" w:sz="0" w:space="0" w:color="auto"/>
        <w:bottom w:val="none" w:sz="0" w:space="0" w:color="auto"/>
        <w:right w:val="none" w:sz="0" w:space="0" w:color="auto"/>
      </w:divBdr>
    </w:div>
    <w:div w:id="25915475">
      <w:marLeft w:val="0"/>
      <w:marRight w:val="0"/>
      <w:marTop w:val="0"/>
      <w:marBottom w:val="0"/>
      <w:divBdr>
        <w:top w:val="none" w:sz="0" w:space="0" w:color="auto"/>
        <w:left w:val="none" w:sz="0" w:space="0" w:color="auto"/>
        <w:bottom w:val="none" w:sz="0" w:space="0" w:color="auto"/>
        <w:right w:val="none" w:sz="0" w:space="0" w:color="auto"/>
      </w:divBdr>
    </w:div>
    <w:div w:id="25915476">
      <w:marLeft w:val="0"/>
      <w:marRight w:val="0"/>
      <w:marTop w:val="0"/>
      <w:marBottom w:val="0"/>
      <w:divBdr>
        <w:top w:val="none" w:sz="0" w:space="0" w:color="auto"/>
        <w:left w:val="none" w:sz="0" w:space="0" w:color="auto"/>
        <w:bottom w:val="none" w:sz="0" w:space="0" w:color="auto"/>
        <w:right w:val="none" w:sz="0" w:space="0" w:color="auto"/>
      </w:divBdr>
    </w:div>
    <w:div w:id="25915477">
      <w:marLeft w:val="0"/>
      <w:marRight w:val="0"/>
      <w:marTop w:val="0"/>
      <w:marBottom w:val="0"/>
      <w:divBdr>
        <w:top w:val="none" w:sz="0" w:space="0" w:color="auto"/>
        <w:left w:val="none" w:sz="0" w:space="0" w:color="auto"/>
        <w:bottom w:val="none" w:sz="0" w:space="0" w:color="auto"/>
        <w:right w:val="none" w:sz="0" w:space="0" w:color="auto"/>
      </w:divBdr>
    </w:div>
    <w:div w:id="25915478">
      <w:marLeft w:val="0"/>
      <w:marRight w:val="0"/>
      <w:marTop w:val="0"/>
      <w:marBottom w:val="0"/>
      <w:divBdr>
        <w:top w:val="none" w:sz="0" w:space="0" w:color="auto"/>
        <w:left w:val="none" w:sz="0" w:space="0" w:color="auto"/>
        <w:bottom w:val="none" w:sz="0" w:space="0" w:color="auto"/>
        <w:right w:val="none" w:sz="0" w:space="0" w:color="auto"/>
      </w:divBdr>
    </w:div>
    <w:div w:id="25915479">
      <w:marLeft w:val="0"/>
      <w:marRight w:val="0"/>
      <w:marTop w:val="0"/>
      <w:marBottom w:val="0"/>
      <w:divBdr>
        <w:top w:val="none" w:sz="0" w:space="0" w:color="auto"/>
        <w:left w:val="none" w:sz="0" w:space="0" w:color="auto"/>
        <w:bottom w:val="none" w:sz="0" w:space="0" w:color="auto"/>
        <w:right w:val="none" w:sz="0" w:space="0" w:color="auto"/>
      </w:divBdr>
    </w:div>
    <w:div w:id="25915480">
      <w:marLeft w:val="0"/>
      <w:marRight w:val="0"/>
      <w:marTop w:val="0"/>
      <w:marBottom w:val="0"/>
      <w:divBdr>
        <w:top w:val="none" w:sz="0" w:space="0" w:color="auto"/>
        <w:left w:val="none" w:sz="0" w:space="0" w:color="auto"/>
        <w:bottom w:val="none" w:sz="0" w:space="0" w:color="auto"/>
        <w:right w:val="none" w:sz="0" w:space="0" w:color="auto"/>
      </w:divBdr>
    </w:div>
    <w:div w:id="25915481">
      <w:marLeft w:val="0"/>
      <w:marRight w:val="0"/>
      <w:marTop w:val="0"/>
      <w:marBottom w:val="0"/>
      <w:divBdr>
        <w:top w:val="none" w:sz="0" w:space="0" w:color="auto"/>
        <w:left w:val="none" w:sz="0" w:space="0" w:color="auto"/>
        <w:bottom w:val="none" w:sz="0" w:space="0" w:color="auto"/>
        <w:right w:val="none" w:sz="0" w:space="0" w:color="auto"/>
      </w:divBdr>
    </w:div>
    <w:div w:id="25915482">
      <w:marLeft w:val="0"/>
      <w:marRight w:val="0"/>
      <w:marTop w:val="0"/>
      <w:marBottom w:val="0"/>
      <w:divBdr>
        <w:top w:val="none" w:sz="0" w:space="0" w:color="auto"/>
        <w:left w:val="none" w:sz="0" w:space="0" w:color="auto"/>
        <w:bottom w:val="none" w:sz="0" w:space="0" w:color="auto"/>
        <w:right w:val="none" w:sz="0" w:space="0" w:color="auto"/>
      </w:divBdr>
    </w:div>
    <w:div w:id="25915483">
      <w:marLeft w:val="0"/>
      <w:marRight w:val="0"/>
      <w:marTop w:val="0"/>
      <w:marBottom w:val="0"/>
      <w:divBdr>
        <w:top w:val="none" w:sz="0" w:space="0" w:color="auto"/>
        <w:left w:val="none" w:sz="0" w:space="0" w:color="auto"/>
        <w:bottom w:val="none" w:sz="0" w:space="0" w:color="auto"/>
        <w:right w:val="none" w:sz="0" w:space="0" w:color="auto"/>
      </w:divBdr>
    </w:div>
    <w:div w:id="25915484">
      <w:marLeft w:val="0"/>
      <w:marRight w:val="0"/>
      <w:marTop w:val="0"/>
      <w:marBottom w:val="0"/>
      <w:divBdr>
        <w:top w:val="none" w:sz="0" w:space="0" w:color="auto"/>
        <w:left w:val="none" w:sz="0" w:space="0" w:color="auto"/>
        <w:bottom w:val="none" w:sz="0" w:space="0" w:color="auto"/>
        <w:right w:val="none" w:sz="0" w:space="0" w:color="auto"/>
      </w:divBdr>
    </w:div>
    <w:div w:id="25915485">
      <w:marLeft w:val="0"/>
      <w:marRight w:val="0"/>
      <w:marTop w:val="0"/>
      <w:marBottom w:val="0"/>
      <w:divBdr>
        <w:top w:val="none" w:sz="0" w:space="0" w:color="auto"/>
        <w:left w:val="none" w:sz="0" w:space="0" w:color="auto"/>
        <w:bottom w:val="none" w:sz="0" w:space="0" w:color="auto"/>
        <w:right w:val="none" w:sz="0" w:space="0" w:color="auto"/>
      </w:divBdr>
    </w:div>
    <w:div w:id="25915486">
      <w:marLeft w:val="0"/>
      <w:marRight w:val="0"/>
      <w:marTop w:val="0"/>
      <w:marBottom w:val="0"/>
      <w:divBdr>
        <w:top w:val="none" w:sz="0" w:space="0" w:color="auto"/>
        <w:left w:val="none" w:sz="0" w:space="0" w:color="auto"/>
        <w:bottom w:val="none" w:sz="0" w:space="0" w:color="auto"/>
        <w:right w:val="none" w:sz="0" w:space="0" w:color="auto"/>
      </w:divBdr>
    </w:div>
    <w:div w:id="25915487">
      <w:marLeft w:val="0"/>
      <w:marRight w:val="0"/>
      <w:marTop w:val="0"/>
      <w:marBottom w:val="0"/>
      <w:divBdr>
        <w:top w:val="none" w:sz="0" w:space="0" w:color="auto"/>
        <w:left w:val="none" w:sz="0" w:space="0" w:color="auto"/>
        <w:bottom w:val="none" w:sz="0" w:space="0" w:color="auto"/>
        <w:right w:val="none" w:sz="0" w:space="0" w:color="auto"/>
      </w:divBdr>
    </w:div>
    <w:div w:id="25915488">
      <w:marLeft w:val="0"/>
      <w:marRight w:val="0"/>
      <w:marTop w:val="0"/>
      <w:marBottom w:val="0"/>
      <w:divBdr>
        <w:top w:val="none" w:sz="0" w:space="0" w:color="auto"/>
        <w:left w:val="none" w:sz="0" w:space="0" w:color="auto"/>
        <w:bottom w:val="none" w:sz="0" w:space="0" w:color="auto"/>
        <w:right w:val="none" w:sz="0" w:space="0" w:color="auto"/>
      </w:divBdr>
    </w:div>
    <w:div w:id="25915489">
      <w:marLeft w:val="0"/>
      <w:marRight w:val="0"/>
      <w:marTop w:val="0"/>
      <w:marBottom w:val="0"/>
      <w:divBdr>
        <w:top w:val="none" w:sz="0" w:space="0" w:color="auto"/>
        <w:left w:val="none" w:sz="0" w:space="0" w:color="auto"/>
        <w:bottom w:val="none" w:sz="0" w:space="0" w:color="auto"/>
        <w:right w:val="none" w:sz="0" w:space="0" w:color="auto"/>
      </w:divBdr>
    </w:div>
    <w:div w:id="25915490">
      <w:marLeft w:val="0"/>
      <w:marRight w:val="0"/>
      <w:marTop w:val="0"/>
      <w:marBottom w:val="0"/>
      <w:divBdr>
        <w:top w:val="none" w:sz="0" w:space="0" w:color="auto"/>
        <w:left w:val="none" w:sz="0" w:space="0" w:color="auto"/>
        <w:bottom w:val="none" w:sz="0" w:space="0" w:color="auto"/>
        <w:right w:val="none" w:sz="0" w:space="0" w:color="auto"/>
      </w:divBdr>
    </w:div>
    <w:div w:id="25915491">
      <w:marLeft w:val="0"/>
      <w:marRight w:val="0"/>
      <w:marTop w:val="0"/>
      <w:marBottom w:val="0"/>
      <w:divBdr>
        <w:top w:val="none" w:sz="0" w:space="0" w:color="auto"/>
        <w:left w:val="none" w:sz="0" w:space="0" w:color="auto"/>
        <w:bottom w:val="none" w:sz="0" w:space="0" w:color="auto"/>
        <w:right w:val="none" w:sz="0" w:space="0" w:color="auto"/>
      </w:divBdr>
    </w:div>
    <w:div w:id="25915492">
      <w:marLeft w:val="0"/>
      <w:marRight w:val="0"/>
      <w:marTop w:val="0"/>
      <w:marBottom w:val="0"/>
      <w:divBdr>
        <w:top w:val="none" w:sz="0" w:space="0" w:color="auto"/>
        <w:left w:val="none" w:sz="0" w:space="0" w:color="auto"/>
        <w:bottom w:val="none" w:sz="0" w:space="0" w:color="auto"/>
        <w:right w:val="none" w:sz="0" w:space="0" w:color="auto"/>
      </w:divBdr>
    </w:div>
    <w:div w:id="25915493">
      <w:marLeft w:val="0"/>
      <w:marRight w:val="0"/>
      <w:marTop w:val="0"/>
      <w:marBottom w:val="0"/>
      <w:divBdr>
        <w:top w:val="none" w:sz="0" w:space="0" w:color="auto"/>
        <w:left w:val="none" w:sz="0" w:space="0" w:color="auto"/>
        <w:bottom w:val="none" w:sz="0" w:space="0" w:color="auto"/>
        <w:right w:val="none" w:sz="0" w:space="0" w:color="auto"/>
      </w:divBdr>
    </w:div>
    <w:div w:id="25915494">
      <w:marLeft w:val="0"/>
      <w:marRight w:val="0"/>
      <w:marTop w:val="0"/>
      <w:marBottom w:val="0"/>
      <w:divBdr>
        <w:top w:val="none" w:sz="0" w:space="0" w:color="auto"/>
        <w:left w:val="none" w:sz="0" w:space="0" w:color="auto"/>
        <w:bottom w:val="none" w:sz="0" w:space="0" w:color="auto"/>
        <w:right w:val="none" w:sz="0" w:space="0" w:color="auto"/>
      </w:divBdr>
    </w:div>
    <w:div w:id="25915495">
      <w:marLeft w:val="0"/>
      <w:marRight w:val="0"/>
      <w:marTop w:val="0"/>
      <w:marBottom w:val="0"/>
      <w:divBdr>
        <w:top w:val="none" w:sz="0" w:space="0" w:color="auto"/>
        <w:left w:val="none" w:sz="0" w:space="0" w:color="auto"/>
        <w:bottom w:val="none" w:sz="0" w:space="0" w:color="auto"/>
        <w:right w:val="none" w:sz="0" w:space="0" w:color="auto"/>
      </w:divBdr>
    </w:div>
    <w:div w:id="25915496">
      <w:marLeft w:val="0"/>
      <w:marRight w:val="0"/>
      <w:marTop w:val="0"/>
      <w:marBottom w:val="0"/>
      <w:divBdr>
        <w:top w:val="none" w:sz="0" w:space="0" w:color="auto"/>
        <w:left w:val="none" w:sz="0" w:space="0" w:color="auto"/>
        <w:bottom w:val="none" w:sz="0" w:space="0" w:color="auto"/>
        <w:right w:val="none" w:sz="0" w:space="0" w:color="auto"/>
      </w:divBdr>
    </w:div>
    <w:div w:id="25915497">
      <w:marLeft w:val="0"/>
      <w:marRight w:val="0"/>
      <w:marTop w:val="0"/>
      <w:marBottom w:val="0"/>
      <w:divBdr>
        <w:top w:val="none" w:sz="0" w:space="0" w:color="auto"/>
        <w:left w:val="none" w:sz="0" w:space="0" w:color="auto"/>
        <w:bottom w:val="none" w:sz="0" w:space="0" w:color="auto"/>
        <w:right w:val="none" w:sz="0" w:space="0" w:color="auto"/>
      </w:divBdr>
    </w:div>
    <w:div w:id="25915498">
      <w:marLeft w:val="0"/>
      <w:marRight w:val="0"/>
      <w:marTop w:val="0"/>
      <w:marBottom w:val="0"/>
      <w:divBdr>
        <w:top w:val="none" w:sz="0" w:space="0" w:color="auto"/>
        <w:left w:val="none" w:sz="0" w:space="0" w:color="auto"/>
        <w:bottom w:val="none" w:sz="0" w:space="0" w:color="auto"/>
        <w:right w:val="none" w:sz="0" w:space="0" w:color="auto"/>
      </w:divBdr>
    </w:div>
    <w:div w:id="25915499">
      <w:marLeft w:val="0"/>
      <w:marRight w:val="0"/>
      <w:marTop w:val="0"/>
      <w:marBottom w:val="0"/>
      <w:divBdr>
        <w:top w:val="none" w:sz="0" w:space="0" w:color="auto"/>
        <w:left w:val="none" w:sz="0" w:space="0" w:color="auto"/>
        <w:bottom w:val="none" w:sz="0" w:space="0" w:color="auto"/>
        <w:right w:val="none" w:sz="0" w:space="0" w:color="auto"/>
      </w:divBdr>
    </w:div>
    <w:div w:id="25915500">
      <w:marLeft w:val="0"/>
      <w:marRight w:val="0"/>
      <w:marTop w:val="0"/>
      <w:marBottom w:val="0"/>
      <w:divBdr>
        <w:top w:val="none" w:sz="0" w:space="0" w:color="auto"/>
        <w:left w:val="none" w:sz="0" w:space="0" w:color="auto"/>
        <w:bottom w:val="none" w:sz="0" w:space="0" w:color="auto"/>
        <w:right w:val="none" w:sz="0" w:space="0" w:color="auto"/>
      </w:divBdr>
    </w:div>
    <w:div w:id="25915501">
      <w:marLeft w:val="0"/>
      <w:marRight w:val="0"/>
      <w:marTop w:val="0"/>
      <w:marBottom w:val="0"/>
      <w:divBdr>
        <w:top w:val="none" w:sz="0" w:space="0" w:color="auto"/>
        <w:left w:val="none" w:sz="0" w:space="0" w:color="auto"/>
        <w:bottom w:val="none" w:sz="0" w:space="0" w:color="auto"/>
        <w:right w:val="none" w:sz="0" w:space="0" w:color="auto"/>
      </w:divBdr>
    </w:div>
    <w:div w:id="25915502">
      <w:marLeft w:val="0"/>
      <w:marRight w:val="0"/>
      <w:marTop w:val="0"/>
      <w:marBottom w:val="0"/>
      <w:divBdr>
        <w:top w:val="none" w:sz="0" w:space="0" w:color="auto"/>
        <w:left w:val="none" w:sz="0" w:space="0" w:color="auto"/>
        <w:bottom w:val="none" w:sz="0" w:space="0" w:color="auto"/>
        <w:right w:val="none" w:sz="0" w:space="0" w:color="auto"/>
      </w:divBdr>
    </w:div>
    <w:div w:id="25915503">
      <w:marLeft w:val="0"/>
      <w:marRight w:val="0"/>
      <w:marTop w:val="0"/>
      <w:marBottom w:val="0"/>
      <w:divBdr>
        <w:top w:val="none" w:sz="0" w:space="0" w:color="auto"/>
        <w:left w:val="none" w:sz="0" w:space="0" w:color="auto"/>
        <w:bottom w:val="none" w:sz="0" w:space="0" w:color="auto"/>
        <w:right w:val="none" w:sz="0" w:space="0" w:color="auto"/>
      </w:divBdr>
    </w:div>
    <w:div w:id="25915504">
      <w:marLeft w:val="0"/>
      <w:marRight w:val="0"/>
      <w:marTop w:val="0"/>
      <w:marBottom w:val="0"/>
      <w:divBdr>
        <w:top w:val="none" w:sz="0" w:space="0" w:color="auto"/>
        <w:left w:val="none" w:sz="0" w:space="0" w:color="auto"/>
        <w:bottom w:val="none" w:sz="0" w:space="0" w:color="auto"/>
        <w:right w:val="none" w:sz="0" w:space="0" w:color="auto"/>
      </w:divBdr>
    </w:div>
    <w:div w:id="25915505">
      <w:marLeft w:val="0"/>
      <w:marRight w:val="0"/>
      <w:marTop w:val="0"/>
      <w:marBottom w:val="0"/>
      <w:divBdr>
        <w:top w:val="none" w:sz="0" w:space="0" w:color="auto"/>
        <w:left w:val="none" w:sz="0" w:space="0" w:color="auto"/>
        <w:bottom w:val="none" w:sz="0" w:space="0" w:color="auto"/>
        <w:right w:val="none" w:sz="0" w:space="0" w:color="auto"/>
      </w:divBdr>
    </w:div>
    <w:div w:id="25915506">
      <w:marLeft w:val="0"/>
      <w:marRight w:val="0"/>
      <w:marTop w:val="0"/>
      <w:marBottom w:val="0"/>
      <w:divBdr>
        <w:top w:val="none" w:sz="0" w:space="0" w:color="auto"/>
        <w:left w:val="none" w:sz="0" w:space="0" w:color="auto"/>
        <w:bottom w:val="none" w:sz="0" w:space="0" w:color="auto"/>
        <w:right w:val="none" w:sz="0" w:space="0" w:color="auto"/>
      </w:divBdr>
    </w:div>
    <w:div w:id="25915507">
      <w:marLeft w:val="0"/>
      <w:marRight w:val="0"/>
      <w:marTop w:val="0"/>
      <w:marBottom w:val="0"/>
      <w:divBdr>
        <w:top w:val="none" w:sz="0" w:space="0" w:color="auto"/>
        <w:left w:val="none" w:sz="0" w:space="0" w:color="auto"/>
        <w:bottom w:val="none" w:sz="0" w:space="0" w:color="auto"/>
        <w:right w:val="none" w:sz="0" w:space="0" w:color="auto"/>
      </w:divBdr>
    </w:div>
    <w:div w:id="25915508">
      <w:marLeft w:val="0"/>
      <w:marRight w:val="0"/>
      <w:marTop w:val="0"/>
      <w:marBottom w:val="0"/>
      <w:divBdr>
        <w:top w:val="none" w:sz="0" w:space="0" w:color="auto"/>
        <w:left w:val="none" w:sz="0" w:space="0" w:color="auto"/>
        <w:bottom w:val="none" w:sz="0" w:space="0" w:color="auto"/>
        <w:right w:val="none" w:sz="0" w:space="0" w:color="auto"/>
      </w:divBdr>
    </w:div>
    <w:div w:id="25915509">
      <w:marLeft w:val="0"/>
      <w:marRight w:val="0"/>
      <w:marTop w:val="0"/>
      <w:marBottom w:val="0"/>
      <w:divBdr>
        <w:top w:val="none" w:sz="0" w:space="0" w:color="auto"/>
        <w:left w:val="none" w:sz="0" w:space="0" w:color="auto"/>
        <w:bottom w:val="none" w:sz="0" w:space="0" w:color="auto"/>
        <w:right w:val="none" w:sz="0" w:space="0" w:color="auto"/>
      </w:divBdr>
    </w:div>
    <w:div w:id="25915510">
      <w:marLeft w:val="0"/>
      <w:marRight w:val="0"/>
      <w:marTop w:val="0"/>
      <w:marBottom w:val="0"/>
      <w:divBdr>
        <w:top w:val="none" w:sz="0" w:space="0" w:color="auto"/>
        <w:left w:val="none" w:sz="0" w:space="0" w:color="auto"/>
        <w:bottom w:val="none" w:sz="0" w:space="0" w:color="auto"/>
        <w:right w:val="none" w:sz="0" w:space="0" w:color="auto"/>
      </w:divBdr>
    </w:div>
    <w:div w:id="25915511">
      <w:marLeft w:val="0"/>
      <w:marRight w:val="0"/>
      <w:marTop w:val="0"/>
      <w:marBottom w:val="0"/>
      <w:divBdr>
        <w:top w:val="none" w:sz="0" w:space="0" w:color="auto"/>
        <w:left w:val="none" w:sz="0" w:space="0" w:color="auto"/>
        <w:bottom w:val="none" w:sz="0" w:space="0" w:color="auto"/>
        <w:right w:val="none" w:sz="0" w:space="0" w:color="auto"/>
      </w:divBdr>
    </w:div>
    <w:div w:id="25915512">
      <w:marLeft w:val="0"/>
      <w:marRight w:val="0"/>
      <w:marTop w:val="0"/>
      <w:marBottom w:val="0"/>
      <w:divBdr>
        <w:top w:val="none" w:sz="0" w:space="0" w:color="auto"/>
        <w:left w:val="none" w:sz="0" w:space="0" w:color="auto"/>
        <w:bottom w:val="none" w:sz="0" w:space="0" w:color="auto"/>
        <w:right w:val="none" w:sz="0" w:space="0" w:color="auto"/>
      </w:divBdr>
    </w:div>
    <w:div w:id="25915513">
      <w:marLeft w:val="0"/>
      <w:marRight w:val="0"/>
      <w:marTop w:val="0"/>
      <w:marBottom w:val="0"/>
      <w:divBdr>
        <w:top w:val="none" w:sz="0" w:space="0" w:color="auto"/>
        <w:left w:val="none" w:sz="0" w:space="0" w:color="auto"/>
        <w:bottom w:val="none" w:sz="0" w:space="0" w:color="auto"/>
        <w:right w:val="none" w:sz="0" w:space="0" w:color="auto"/>
      </w:divBdr>
    </w:div>
    <w:div w:id="25915514">
      <w:marLeft w:val="0"/>
      <w:marRight w:val="0"/>
      <w:marTop w:val="0"/>
      <w:marBottom w:val="0"/>
      <w:divBdr>
        <w:top w:val="none" w:sz="0" w:space="0" w:color="auto"/>
        <w:left w:val="none" w:sz="0" w:space="0" w:color="auto"/>
        <w:bottom w:val="none" w:sz="0" w:space="0" w:color="auto"/>
        <w:right w:val="none" w:sz="0" w:space="0" w:color="auto"/>
      </w:divBdr>
    </w:div>
    <w:div w:id="25915515">
      <w:marLeft w:val="0"/>
      <w:marRight w:val="0"/>
      <w:marTop w:val="0"/>
      <w:marBottom w:val="0"/>
      <w:divBdr>
        <w:top w:val="none" w:sz="0" w:space="0" w:color="auto"/>
        <w:left w:val="none" w:sz="0" w:space="0" w:color="auto"/>
        <w:bottom w:val="none" w:sz="0" w:space="0" w:color="auto"/>
        <w:right w:val="none" w:sz="0" w:space="0" w:color="auto"/>
      </w:divBdr>
    </w:div>
    <w:div w:id="25915516">
      <w:marLeft w:val="0"/>
      <w:marRight w:val="0"/>
      <w:marTop w:val="0"/>
      <w:marBottom w:val="0"/>
      <w:divBdr>
        <w:top w:val="none" w:sz="0" w:space="0" w:color="auto"/>
        <w:left w:val="none" w:sz="0" w:space="0" w:color="auto"/>
        <w:bottom w:val="none" w:sz="0" w:space="0" w:color="auto"/>
        <w:right w:val="none" w:sz="0" w:space="0" w:color="auto"/>
      </w:divBdr>
    </w:div>
    <w:div w:id="25915517">
      <w:marLeft w:val="0"/>
      <w:marRight w:val="0"/>
      <w:marTop w:val="0"/>
      <w:marBottom w:val="0"/>
      <w:divBdr>
        <w:top w:val="none" w:sz="0" w:space="0" w:color="auto"/>
        <w:left w:val="none" w:sz="0" w:space="0" w:color="auto"/>
        <w:bottom w:val="none" w:sz="0" w:space="0" w:color="auto"/>
        <w:right w:val="none" w:sz="0" w:space="0" w:color="auto"/>
      </w:divBdr>
    </w:div>
    <w:div w:id="25915518">
      <w:marLeft w:val="0"/>
      <w:marRight w:val="0"/>
      <w:marTop w:val="0"/>
      <w:marBottom w:val="0"/>
      <w:divBdr>
        <w:top w:val="none" w:sz="0" w:space="0" w:color="auto"/>
        <w:left w:val="none" w:sz="0" w:space="0" w:color="auto"/>
        <w:bottom w:val="none" w:sz="0" w:space="0" w:color="auto"/>
        <w:right w:val="none" w:sz="0" w:space="0" w:color="auto"/>
      </w:divBdr>
    </w:div>
    <w:div w:id="25915519">
      <w:marLeft w:val="0"/>
      <w:marRight w:val="0"/>
      <w:marTop w:val="0"/>
      <w:marBottom w:val="0"/>
      <w:divBdr>
        <w:top w:val="none" w:sz="0" w:space="0" w:color="auto"/>
        <w:left w:val="none" w:sz="0" w:space="0" w:color="auto"/>
        <w:bottom w:val="none" w:sz="0" w:space="0" w:color="auto"/>
        <w:right w:val="none" w:sz="0" w:space="0" w:color="auto"/>
      </w:divBdr>
    </w:div>
    <w:div w:id="25915520">
      <w:marLeft w:val="0"/>
      <w:marRight w:val="0"/>
      <w:marTop w:val="0"/>
      <w:marBottom w:val="0"/>
      <w:divBdr>
        <w:top w:val="none" w:sz="0" w:space="0" w:color="auto"/>
        <w:left w:val="none" w:sz="0" w:space="0" w:color="auto"/>
        <w:bottom w:val="none" w:sz="0" w:space="0" w:color="auto"/>
        <w:right w:val="none" w:sz="0" w:space="0" w:color="auto"/>
      </w:divBdr>
    </w:div>
    <w:div w:id="25915521">
      <w:marLeft w:val="0"/>
      <w:marRight w:val="0"/>
      <w:marTop w:val="0"/>
      <w:marBottom w:val="0"/>
      <w:divBdr>
        <w:top w:val="none" w:sz="0" w:space="0" w:color="auto"/>
        <w:left w:val="none" w:sz="0" w:space="0" w:color="auto"/>
        <w:bottom w:val="none" w:sz="0" w:space="0" w:color="auto"/>
        <w:right w:val="none" w:sz="0" w:space="0" w:color="auto"/>
      </w:divBdr>
    </w:div>
    <w:div w:id="25915522">
      <w:marLeft w:val="0"/>
      <w:marRight w:val="0"/>
      <w:marTop w:val="0"/>
      <w:marBottom w:val="0"/>
      <w:divBdr>
        <w:top w:val="none" w:sz="0" w:space="0" w:color="auto"/>
        <w:left w:val="none" w:sz="0" w:space="0" w:color="auto"/>
        <w:bottom w:val="none" w:sz="0" w:space="0" w:color="auto"/>
        <w:right w:val="none" w:sz="0" w:space="0" w:color="auto"/>
      </w:divBdr>
    </w:div>
    <w:div w:id="25915523">
      <w:marLeft w:val="0"/>
      <w:marRight w:val="0"/>
      <w:marTop w:val="0"/>
      <w:marBottom w:val="0"/>
      <w:divBdr>
        <w:top w:val="none" w:sz="0" w:space="0" w:color="auto"/>
        <w:left w:val="none" w:sz="0" w:space="0" w:color="auto"/>
        <w:bottom w:val="none" w:sz="0" w:space="0" w:color="auto"/>
        <w:right w:val="none" w:sz="0" w:space="0" w:color="auto"/>
      </w:divBdr>
    </w:div>
    <w:div w:id="25915524">
      <w:marLeft w:val="0"/>
      <w:marRight w:val="0"/>
      <w:marTop w:val="0"/>
      <w:marBottom w:val="0"/>
      <w:divBdr>
        <w:top w:val="none" w:sz="0" w:space="0" w:color="auto"/>
        <w:left w:val="none" w:sz="0" w:space="0" w:color="auto"/>
        <w:bottom w:val="none" w:sz="0" w:space="0" w:color="auto"/>
        <w:right w:val="none" w:sz="0" w:space="0" w:color="auto"/>
      </w:divBdr>
    </w:div>
    <w:div w:id="25915525">
      <w:marLeft w:val="0"/>
      <w:marRight w:val="0"/>
      <w:marTop w:val="0"/>
      <w:marBottom w:val="0"/>
      <w:divBdr>
        <w:top w:val="none" w:sz="0" w:space="0" w:color="auto"/>
        <w:left w:val="none" w:sz="0" w:space="0" w:color="auto"/>
        <w:bottom w:val="none" w:sz="0" w:space="0" w:color="auto"/>
        <w:right w:val="none" w:sz="0" w:space="0" w:color="auto"/>
      </w:divBdr>
    </w:div>
    <w:div w:id="25915526">
      <w:marLeft w:val="0"/>
      <w:marRight w:val="0"/>
      <w:marTop w:val="0"/>
      <w:marBottom w:val="0"/>
      <w:divBdr>
        <w:top w:val="none" w:sz="0" w:space="0" w:color="auto"/>
        <w:left w:val="none" w:sz="0" w:space="0" w:color="auto"/>
        <w:bottom w:val="none" w:sz="0" w:space="0" w:color="auto"/>
        <w:right w:val="none" w:sz="0" w:space="0" w:color="auto"/>
      </w:divBdr>
    </w:div>
    <w:div w:id="25915527">
      <w:marLeft w:val="0"/>
      <w:marRight w:val="0"/>
      <w:marTop w:val="0"/>
      <w:marBottom w:val="0"/>
      <w:divBdr>
        <w:top w:val="none" w:sz="0" w:space="0" w:color="auto"/>
        <w:left w:val="none" w:sz="0" w:space="0" w:color="auto"/>
        <w:bottom w:val="none" w:sz="0" w:space="0" w:color="auto"/>
        <w:right w:val="none" w:sz="0" w:space="0" w:color="auto"/>
      </w:divBdr>
    </w:div>
    <w:div w:id="25915528">
      <w:marLeft w:val="0"/>
      <w:marRight w:val="0"/>
      <w:marTop w:val="0"/>
      <w:marBottom w:val="0"/>
      <w:divBdr>
        <w:top w:val="none" w:sz="0" w:space="0" w:color="auto"/>
        <w:left w:val="none" w:sz="0" w:space="0" w:color="auto"/>
        <w:bottom w:val="none" w:sz="0" w:space="0" w:color="auto"/>
        <w:right w:val="none" w:sz="0" w:space="0" w:color="auto"/>
      </w:divBdr>
    </w:div>
    <w:div w:id="25915529">
      <w:marLeft w:val="0"/>
      <w:marRight w:val="0"/>
      <w:marTop w:val="0"/>
      <w:marBottom w:val="0"/>
      <w:divBdr>
        <w:top w:val="none" w:sz="0" w:space="0" w:color="auto"/>
        <w:left w:val="none" w:sz="0" w:space="0" w:color="auto"/>
        <w:bottom w:val="none" w:sz="0" w:space="0" w:color="auto"/>
        <w:right w:val="none" w:sz="0" w:space="0" w:color="auto"/>
      </w:divBdr>
    </w:div>
    <w:div w:id="25915530">
      <w:marLeft w:val="0"/>
      <w:marRight w:val="0"/>
      <w:marTop w:val="0"/>
      <w:marBottom w:val="0"/>
      <w:divBdr>
        <w:top w:val="none" w:sz="0" w:space="0" w:color="auto"/>
        <w:left w:val="none" w:sz="0" w:space="0" w:color="auto"/>
        <w:bottom w:val="none" w:sz="0" w:space="0" w:color="auto"/>
        <w:right w:val="none" w:sz="0" w:space="0" w:color="auto"/>
      </w:divBdr>
    </w:div>
    <w:div w:id="25915531">
      <w:marLeft w:val="0"/>
      <w:marRight w:val="0"/>
      <w:marTop w:val="0"/>
      <w:marBottom w:val="0"/>
      <w:divBdr>
        <w:top w:val="none" w:sz="0" w:space="0" w:color="auto"/>
        <w:left w:val="none" w:sz="0" w:space="0" w:color="auto"/>
        <w:bottom w:val="none" w:sz="0" w:space="0" w:color="auto"/>
        <w:right w:val="none" w:sz="0" w:space="0" w:color="auto"/>
      </w:divBdr>
    </w:div>
    <w:div w:id="25915532">
      <w:marLeft w:val="0"/>
      <w:marRight w:val="0"/>
      <w:marTop w:val="0"/>
      <w:marBottom w:val="0"/>
      <w:divBdr>
        <w:top w:val="none" w:sz="0" w:space="0" w:color="auto"/>
        <w:left w:val="none" w:sz="0" w:space="0" w:color="auto"/>
        <w:bottom w:val="none" w:sz="0" w:space="0" w:color="auto"/>
        <w:right w:val="none" w:sz="0" w:space="0" w:color="auto"/>
      </w:divBdr>
    </w:div>
    <w:div w:id="25915533">
      <w:marLeft w:val="0"/>
      <w:marRight w:val="0"/>
      <w:marTop w:val="0"/>
      <w:marBottom w:val="0"/>
      <w:divBdr>
        <w:top w:val="none" w:sz="0" w:space="0" w:color="auto"/>
        <w:left w:val="none" w:sz="0" w:space="0" w:color="auto"/>
        <w:bottom w:val="none" w:sz="0" w:space="0" w:color="auto"/>
        <w:right w:val="none" w:sz="0" w:space="0" w:color="auto"/>
      </w:divBdr>
    </w:div>
    <w:div w:id="25915534">
      <w:marLeft w:val="0"/>
      <w:marRight w:val="0"/>
      <w:marTop w:val="0"/>
      <w:marBottom w:val="0"/>
      <w:divBdr>
        <w:top w:val="none" w:sz="0" w:space="0" w:color="auto"/>
        <w:left w:val="none" w:sz="0" w:space="0" w:color="auto"/>
        <w:bottom w:val="none" w:sz="0" w:space="0" w:color="auto"/>
        <w:right w:val="none" w:sz="0" w:space="0" w:color="auto"/>
      </w:divBdr>
    </w:div>
    <w:div w:id="25915535">
      <w:marLeft w:val="0"/>
      <w:marRight w:val="0"/>
      <w:marTop w:val="0"/>
      <w:marBottom w:val="0"/>
      <w:divBdr>
        <w:top w:val="none" w:sz="0" w:space="0" w:color="auto"/>
        <w:left w:val="none" w:sz="0" w:space="0" w:color="auto"/>
        <w:bottom w:val="none" w:sz="0" w:space="0" w:color="auto"/>
        <w:right w:val="none" w:sz="0" w:space="0" w:color="auto"/>
      </w:divBdr>
    </w:div>
    <w:div w:id="25915536">
      <w:marLeft w:val="0"/>
      <w:marRight w:val="0"/>
      <w:marTop w:val="0"/>
      <w:marBottom w:val="0"/>
      <w:divBdr>
        <w:top w:val="none" w:sz="0" w:space="0" w:color="auto"/>
        <w:left w:val="none" w:sz="0" w:space="0" w:color="auto"/>
        <w:bottom w:val="none" w:sz="0" w:space="0" w:color="auto"/>
        <w:right w:val="none" w:sz="0" w:space="0" w:color="auto"/>
      </w:divBdr>
    </w:div>
    <w:div w:id="25915537">
      <w:marLeft w:val="0"/>
      <w:marRight w:val="0"/>
      <w:marTop w:val="0"/>
      <w:marBottom w:val="0"/>
      <w:divBdr>
        <w:top w:val="none" w:sz="0" w:space="0" w:color="auto"/>
        <w:left w:val="none" w:sz="0" w:space="0" w:color="auto"/>
        <w:bottom w:val="none" w:sz="0" w:space="0" w:color="auto"/>
        <w:right w:val="none" w:sz="0" w:space="0" w:color="auto"/>
      </w:divBdr>
    </w:div>
    <w:div w:id="25915538">
      <w:marLeft w:val="0"/>
      <w:marRight w:val="0"/>
      <w:marTop w:val="0"/>
      <w:marBottom w:val="0"/>
      <w:divBdr>
        <w:top w:val="none" w:sz="0" w:space="0" w:color="auto"/>
        <w:left w:val="none" w:sz="0" w:space="0" w:color="auto"/>
        <w:bottom w:val="none" w:sz="0" w:space="0" w:color="auto"/>
        <w:right w:val="none" w:sz="0" w:space="0" w:color="auto"/>
      </w:divBdr>
    </w:div>
    <w:div w:id="25915539">
      <w:marLeft w:val="0"/>
      <w:marRight w:val="0"/>
      <w:marTop w:val="0"/>
      <w:marBottom w:val="0"/>
      <w:divBdr>
        <w:top w:val="none" w:sz="0" w:space="0" w:color="auto"/>
        <w:left w:val="none" w:sz="0" w:space="0" w:color="auto"/>
        <w:bottom w:val="none" w:sz="0" w:space="0" w:color="auto"/>
        <w:right w:val="none" w:sz="0" w:space="0" w:color="auto"/>
      </w:divBdr>
    </w:div>
    <w:div w:id="25915540">
      <w:marLeft w:val="0"/>
      <w:marRight w:val="0"/>
      <w:marTop w:val="0"/>
      <w:marBottom w:val="0"/>
      <w:divBdr>
        <w:top w:val="none" w:sz="0" w:space="0" w:color="auto"/>
        <w:left w:val="none" w:sz="0" w:space="0" w:color="auto"/>
        <w:bottom w:val="none" w:sz="0" w:space="0" w:color="auto"/>
        <w:right w:val="none" w:sz="0" w:space="0" w:color="auto"/>
      </w:divBdr>
    </w:div>
    <w:div w:id="25915541">
      <w:marLeft w:val="0"/>
      <w:marRight w:val="0"/>
      <w:marTop w:val="0"/>
      <w:marBottom w:val="0"/>
      <w:divBdr>
        <w:top w:val="none" w:sz="0" w:space="0" w:color="auto"/>
        <w:left w:val="none" w:sz="0" w:space="0" w:color="auto"/>
        <w:bottom w:val="none" w:sz="0" w:space="0" w:color="auto"/>
        <w:right w:val="none" w:sz="0" w:space="0" w:color="auto"/>
      </w:divBdr>
    </w:div>
    <w:div w:id="25915542">
      <w:marLeft w:val="0"/>
      <w:marRight w:val="0"/>
      <w:marTop w:val="0"/>
      <w:marBottom w:val="0"/>
      <w:divBdr>
        <w:top w:val="none" w:sz="0" w:space="0" w:color="auto"/>
        <w:left w:val="none" w:sz="0" w:space="0" w:color="auto"/>
        <w:bottom w:val="none" w:sz="0" w:space="0" w:color="auto"/>
        <w:right w:val="none" w:sz="0" w:space="0" w:color="auto"/>
      </w:divBdr>
    </w:div>
    <w:div w:id="25915543">
      <w:marLeft w:val="0"/>
      <w:marRight w:val="0"/>
      <w:marTop w:val="0"/>
      <w:marBottom w:val="0"/>
      <w:divBdr>
        <w:top w:val="none" w:sz="0" w:space="0" w:color="auto"/>
        <w:left w:val="none" w:sz="0" w:space="0" w:color="auto"/>
        <w:bottom w:val="none" w:sz="0" w:space="0" w:color="auto"/>
        <w:right w:val="none" w:sz="0" w:space="0" w:color="auto"/>
      </w:divBdr>
    </w:div>
    <w:div w:id="25915544">
      <w:marLeft w:val="0"/>
      <w:marRight w:val="0"/>
      <w:marTop w:val="0"/>
      <w:marBottom w:val="0"/>
      <w:divBdr>
        <w:top w:val="none" w:sz="0" w:space="0" w:color="auto"/>
        <w:left w:val="none" w:sz="0" w:space="0" w:color="auto"/>
        <w:bottom w:val="none" w:sz="0" w:space="0" w:color="auto"/>
        <w:right w:val="none" w:sz="0" w:space="0" w:color="auto"/>
      </w:divBdr>
    </w:div>
    <w:div w:id="25915545">
      <w:marLeft w:val="0"/>
      <w:marRight w:val="0"/>
      <w:marTop w:val="0"/>
      <w:marBottom w:val="0"/>
      <w:divBdr>
        <w:top w:val="none" w:sz="0" w:space="0" w:color="auto"/>
        <w:left w:val="none" w:sz="0" w:space="0" w:color="auto"/>
        <w:bottom w:val="none" w:sz="0" w:space="0" w:color="auto"/>
        <w:right w:val="none" w:sz="0" w:space="0" w:color="auto"/>
      </w:divBdr>
    </w:div>
    <w:div w:id="25915546">
      <w:marLeft w:val="0"/>
      <w:marRight w:val="0"/>
      <w:marTop w:val="0"/>
      <w:marBottom w:val="0"/>
      <w:divBdr>
        <w:top w:val="none" w:sz="0" w:space="0" w:color="auto"/>
        <w:left w:val="none" w:sz="0" w:space="0" w:color="auto"/>
        <w:bottom w:val="none" w:sz="0" w:space="0" w:color="auto"/>
        <w:right w:val="none" w:sz="0" w:space="0" w:color="auto"/>
      </w:divBdr>
    </w:div>
    <w:div w:id="25915547">
      <w:marLeft w:val="0"/>
      <w:marRight w:val="0"/>
      <w:marTop w:val="0"/>
      <w:marBottom w:val="0"/>
      <w:divBdr>
        <w:top w:val="none" w:sz="0" w:space="0" w:color="auto"/>
        <w:left w:val="none" w:sz="0" w:space="0" w:color="auto"/>
        <w:bottom w:val="none" w:sz="0" w:space="0" w:color="auto"/>
        <w:right w:val="none" w:sz="0" w:space="0" w:color="auto"/>
      </w:divBdr>
    </w:div>
    <w:div w:id="25915548">
      <w:marLeft w:val="0"/>
      <w:marRight w:val="0"/>
      <w:marTop w:val="0"/>
      <w:marBottom w:val="0"/>
      <w:divBdr>
        <w:top w:val="none" w:sz="0" w:space="0" w:color="auto"/>
        <w:left w:val="none" w:sz="0" w:space="0" w:color="auto"/>
        <w:bottom w:val="none" w:sz="0" w:space="0" w:color="auto"/>
        <w:right w:val="none" w:sz="0" w:space="0" w:color="auto"/>
      </w:divBdr>
    </w:div>
    <w:div w:id="25915549">
      <w:marLeft w:val="0"/>
      <w:marRight w:val="0"/>
      <w:marTop w:val="0"/>
      <w:marBottom w:val="0"/>
      <w:divBdr>
        <w:top w:val="none" w:sz="0" w:space="0" w:color="auto"/>
        <w:left w:val="none" w:sz="0" w:space="0" w:color="auto"/>
        <w:bottom w:val="none" w:sz="0" w:space="0" w:color="auto"/>
        <w:right w:val="none" w:sz="0" w:space="0" w:color="auto"/>
      </w:divBdr>
    </w:div>
    <w:div w:id="25915550">
      <w:marLeft w:val="0"/>
      <w:marRight w:val="0"/>
      <w:marTop w:val="0"/>
      <w:marBottom w:val="0"/>
      <w:divBdr>
        <w:top w:val="none" w:sz="0" w:space="0" w:color="auto"/>
        <w:left w:val="none" w:sz="0" w:space="0" w:color="auto"/>
        <w:bottom w:val="none" w:sz="0" w:space="0" w:color="auto"/>
        <w:right w:val="none" w:sz="0" w:space="0" w:color="auto"/>
      </w:divBdr>
    </w:div>
    <w:div w:id="25915551">
      <w:marLeft w:val="0"/>
      <w:marRight w:val="0"/>
      <w:marTop w:val="0"/>
      <w:marBottom w:val="0"/>
      <w:divBdr>
        <w:top w:val="none" w:sz="0" w:space="0" w:color="auto"/>
        <w:left w:val="none" w:sz="0" w:space="0" w:color="auto"/>
        <w:bottom w:val="none" w:sz="0" w:space="0" w:color="auto"/>
        <w:right w:val="none" w:sz="0" w:space="0" w:color="auto"/>
      </w:divBdr>
    </w:div>
    <w:div w:id="25915552">
      <w:marLeft w:val="0"/>
      <w:marRight w:val="0"/>
      <w:marTop w:val="0"/>
      <w:marBottom w:val="0"/>
      <w:divBdr>
        <w:top w:val="none" w:sz="0" w:space="0" w:color="auto"/>
        <w:left w:val="none" w:sz="0" w:space="0" w:color="auto"/>
        <w:bottom w:val="none" w:sz="0" w:space="0" w:color="auto"/>
        <w:right w:val="none" w:sz="0" w:space="0" w:color="auto"/>
      </w:divBdr>
    </w:div>
    <w:div w:id="25915553">
      <w:marLeft w:val="0"/>
      <w:marRight w:val="0"/>
      <w:marTop w:val="0"/>
      <w:marBottom w:val="0"/>
      <w:divBdr>
        <w:top w:val="none" w:sz="0" w:space="0" w:color="auto"/>
        <w:left w:val="none" w:sz="0" w:space="0" w:color="auto"/>
        <w:bottom w:val="none" w:sz="0" w:space="0" w:color="auto"/>
        <w:right w:val="none" w:sz="0" w:space="0" w:color="auto"/>
      </w:divBdr>
    </w:div>
    <w:div w:id="25915554">
      <w:marLeft w:val="0"/>
      <w:marRight w:val="0"/>
      <w:marTop w:val="0"/>
      <w:marBottom w:val="0"/>
      <w:divBdr>
        <w:top w:val="none" w:sz="0" w:space="0" w:color="auto"/>
        <w:left w:val="none" w:sz="0" w:space="0" w:color="auto"/>
        <w:bottom w:val="none" w:sz="0" w:space="0" w:color="auto"/>
        <w:right w:val="none" w:sz="0" w:space="0" w:color="auto"/>
      </w:divBdr>
    </w:div>
    <w:div w:id="25915555">
      <w:marLeft w:val="0"/>
      <w:marRight w:val="0"/>
      <w:marTop w:val="0"/>
      <w:marBottom w:val="0"/>
      <w:divBdr>
        <w:top w:val="none" w:sz="0" w:space="0" w:color="auto"/>
        <w:left w:val="none" w:sz="0" w:space="0" w:color="auto"/>
        <w:bottom w:val="none" w:sz="0" w:space="0" w:color="auto"/>
        <w:right w:val="none" w:sz="0" w:space="0" w:color="auto"/>
      </w:divBdr>
    </w:div>
    <w:div w:id="25915556">
      <w:marLeft w:val="0"/>
      <w:marRight w:val="0"/>
      <w:marTop w:val="0"/>
      <w:marBottom w:val="0"/>
      <w:divBdr>
        <w:top w:val="none" w:sz="0" w:space="0" w:color="auto"/>
        <w:left w:val="none" w:sz="0" w:space="0" w:color="auto"/>
        <w:bottom w:val="none" w:sz="0" w:space="0" w:color="auto"/>
        <w:right w:val="none" w:sz="0" w:space="0" w:color="auto"/>
      </w:divBdr>
    </w:div>
    <w:div w:id="25915557">
      <w:marLeft w:val="0"/>
      <w:marRight w:val="0"/>
      <w:marTop w:val="0"/>
      <w:marBottom w:val="0"/>
      <w:divBdr>
        <w:top w:val="none" w:sz="0" w:space="0" w:color="auto"/>
        <w:left w:val="none" w:sz="0" w:space="0" w:color="auto"/>
        <w:bottom w:val="none" w:sz="0" w:space="0" w:color="auto"/>
        <w:right w:val="none" w:sz="0" w:space="0" w:color="auto"/>
      </w:divBdr>
    </w:div>
    <w:div w:id="25915558">
      <w:marLeft w:val="0"/>
      <w:marRight w:val="0"/>
      <w:marTop w:val="0"/>
      <w:marBottom w:val="0"/>
      <w:divBdr>
        <w:top w:val="none" w:sz="0" w:space="0" w:color="auto"/>
        <w:left w:val="none" w:sz="0" w:space="0" w:color="auto"/>
        <w:bottom w:val="none" w:sz="0" w:space="0" w:color="auto"/>
        <w:right w:val="none" w:sz="0" w:space="0" w:color="auto"/>
      </w:divBdr>
    </w:div>
    <w:div w:id="25915559">
      <w:marLeft w:val="0"/>
      <w:marRight w:val="0"/>
      <w:marTop w:val="0"/>
      <w:marBottom w:val="0"/>
      <w:divBdr>
        <w:top w:val="none" w:sz="0" w:space="0" w:color="auto"/>
        <w:left w:val="none" w:sz="0" w:space="0" w:color="auto"/>
        <w:bottom w:val="none" w:sz="0" w:space="0" w:color="auto"/>
        <w:right w:val="none" w:sz="0" w:space="0" w:color="auto"/>
      </w:divBdr>
    </w:div>
    <w:div w:id="25915560">
      <w:marLeft w:val="0"/>
      <w:marRight w:val="0"/>
      <w:marTop w:val="0"/>
      <w:marBottom w:val="0"/>
      <w:divBdr>
        <w:top w:val="none" w:sz="0" w:space="0" w:color="auto"/>
        <w:left w:val="none" w:sz="0" w:space="0" w:color="auto"/>
        <w:bottom w:val="none" w:sz="0" w:space="0" w:color="auto"/>
        <w:right w:val="none" w:sz="0" w:space="0" w:color="auto"/>
      </w:divBdr>
    </w:div>
    <w:div w:id="25915561">
      <w:marLeft w:val="0"/>
      <w:marRight w:val="0"/>
      <w:marTop w:val="0"/>
      <w:marBottom w:val="0"/>
      <w:divBdr>
        <w:top w:val="none" w:sz="0" w:space="0" w:color="auto"/>
        <w:left w:val="none" w:sz="0" w:space="0" w:color="auto"/>
        <w:bottom w:val="none" w:sz="0" w:space="0" w:color="auto"/>
        <w:right w:val="none" w:sz="0" w:space="0" w:color="auto"/>
      </w:divBdr>
    </w:div>
    <w:div w:id="25915562">
      <w:marLeft w:val="0"/>
      <w:marRight w:val="0"/>
      <w:marTop w:val="0"/>
      <w:marBottom w:val="0"/>
      <w:divBdr>
        <w:top w:val="none" w:sz="0" w:space="0" w:color="auto"/>
        <w:left w:val="none" w:sz="0" w:space="0" w:color="auto"/>
        <w:bottom w:val="none" w:sz="0" w:space="0" w:color="auto"/>
        <w:right w:val="none" w:sz="0" w:space="0" w:color="auto"/>
      </w:divBdr>
    </w:div>
    <w:div w:id="25915563">
      <w:marLeft w:val="0"/>
      <w:marRight w:val="0"/>
      <w:marTop w:val="0"/>
      <w:marBottom w:val="0"/>
      <w:divBdr>
        <w:top w:val="none" w:sz="0" w:space="0" w:color="auto"/>
        <w:left w:val="none" w:sz="0" w:space="0" w:color="auto"/>
        <w:bottom w:val="none" w:sz="0" w:space="0" w:color="auto"/>
        <w:right w:val="none" w:sz="0" w:space="0" w:color="auto"/>
      </w:divBdr>
    </w:div>
    <w:div w:id="25915564">
      <w:marLeft w:val="0"/>
      <w:marRight w:val="0"/>
      <w:marTop w:val="0"/>
      <w:marBottom w:val="0"/>
      <w:divBdr>
        <w:top w:val="none" w:sz="0" w:space="0" w:color="auto"/>
        <w:left w:val="none" w:sz="0" w:space="0" w:color="auto"/>
        <w:bottom w:val="none" w:sz="0" w:space="0" w:color="auto"/>
        <w:right w:val="none" w:sz="0" w:space="0" w:color="auto"/>
      </w:divBdr>
    </w:div>
    <w:div w:id="25915565">
      <w:marLeft w:val="0"/>
      <w:marRight w:val="0"/>
      <w:marTop w:val="0"/>
      <w:marBottom w:val="0"/>
      <w:divBdr>
        <w:top w:val="none" w:sz="0" w:space="0" w:color="auto"/>
        <w:left w:val="none" w:sz="0" w:space="0" w:color="auto"/>
        <w:bottom w:val="none" w:sz="0" w:space="0" w:color="auto"/>
        <w:right w:val="none" w:sz="0" w:space="0" w:color="auto"/>
      </w:divBdr>
    </w:div>
    <w:div w:id="25915566">
      <w:marLeft w:val="0"/>
      <w:marRight w:val="0"/>
      <w:marTop w:val="0"/>
      <w:marBottom w:val="0"/>
      <w:divBdr>
        <w:top w:val="none" w:sz="0" w:space="0" w:color="auto"/>
        <w:left w:val="none" w:sz="0" w:space="0" w:color="auto"/>
        <w:bottom w:val="none" w:sz="0" w:space="0" w:color="auto"/>
        <w:right w:val="none" w:sz="0" w:space="0" w:color="auto"/>
      </w:divBdr>
    </w:div>
    <w:div w:id="25915567">
      <w:marLeft w:val="0"/>
      <w:marRight w:val="0"/>
      <w:marTop w:val="0"/>
      <w:marBottom w:val="0"/>
      <w:divBdr>
        <w:top w:val="none" w:sz="0" w:space="0" w:color="auto"/>
        <w:left w:val="none" w:sz="0" w:space="0" w:color="auto"/>
        <w:bottom w:val="none" w:sz="0" w:space="0" w:color="auto"/>
        <w:right w:val="none" w:sz="0" w:space="0" w:color="auto"/>
      </w:divBdr>
    </w:div>
    <w:div w:id="25915568">
      <w:marLeft w:val="0"/>
      <w:marRight w:val="0"/>
      <w:marTop w:val="0"/>
      <w:marBottom w:val="0"/>
      <w:divBdr>
        <w:top w:val="none" w:sz="0" w:space="0" w:color="auto"/>
        <w:left w:val="none" w:sz="0" w:space="0" w:color="auto"/>
        <w:bottom w:val="none" w:sz="0" w:space="0" w:color="auto"/>
        <w:right w:val="none" w:sz="0" w:space="0" w:color="auto"/>
      </w:divBdr>
    </w:div>
    <w:div w:id="25915569">
      <w:marLeft w:val="0"/>
      <w:marRight w:val="0"/>
      <w:marTop w:val="0"/>
      <w:marBottom w:val="0"/>
      <w:divBdr>
        <w:top w:val="none" w:sz="0" w:space="0" w:color="auto"/>
        <w:left w:val="none" w:sz="0" w:space="0" w:color="auto"/>
        <w:bottom w:val="none" w:sz="0" w:space="0" w:color="auto"/>
        <w:right w:val="none" w:sz="0" w:space="0" w:color="auto"/>
      </w:divBdr>
    </w:div>
    <w:div w:id="25915570">
      <w:marLeft w:val="0"/>
      <w:marRight w:val="0"/>
      <w:marTop w:val="0"/>
      <w:marBottom w:val="0"/>
      <w:divBdr>
        <w:top w:val="none" w:sz="0" w:space="0" w:color="auto"/>
        <w:left w:val="none" w:sz="0" w:space="0" w:color="auto"/>
        <w:bottom w:val="none" w:sz="0" w:space="0" w:color="auto"/>
        <w:right w:val="none" w:sz="0" w:space="0" w:color="auto"/>
      </w:divBdr>
    </w:div>
    <w:div w:id="25915571">
      <w:marLeft w:val="0"/>
      <w:marRight w:val="0"/>
      <w:marTop w:val="0"/>
      <w:marBottom w:val="0"/>
      <w:divBdr>
        <w:top w:val="none" w:sz="0" w:space="0" w:color="auto"/>
        <w:left w:val="none" w:sz="0" w:space="0" w:color="auto"/>
        <w:bottom w:val="none" w:sz="0" w:space="0" w:color="auto"/>
        <w:right w:val="none" w:sz="0" w:space="0" w:color="auto"/>
      </w:divBdr>
    </w:div>
    <w:div w:id="25915572">
      <w:marLeft w:val="0"/>
      <w:marRight w:val="0"/>
      <w:marTop w:val="0"/>
      <w:marBottom w:val="0"/>
      <w:divBdr>
        <w:top w:val="none" w:sz="0" w:space="0" w:color="auto"/>
        <w:left w:val="none" w:sz="0" w:space="0" w:color="auto"/>
        <w:bottom w:val="none" w:sz="0" w:space="0" w:color="auto"/>
        <w:right w:val="none" w:sz="0" w:space="0" w:color="auto"/>
      </w:divBdr>
    </w:div>
    <w:div w:id="25915573">
      <w:marLeft w:val="0"/>
      <w:marRight w:val="0"/>
      <w:marTop w:val="0"/>
      <w:marBottom w:val="0"/>
      <w:divBdr>
        <w:top w:val="none" w:sz="0" w:space="0" w:color="auto"/>
        <w:left w:val="none" w:sz="0" w:space="0" w:color="auto"/>
        <w:bottom w:val="none" w:sz="0" w:space="0" w:color="auto"/>
        <w:right w:val="none" w:sz="0" w:space="0" w:color="auto"/>
      </w:divBdr>
    </w:div>
    <w:div w:id="25915574">
      <w:marLeft w:val="0"/>
      <w:marRight w:val="0"/>
      <w:marTop w:val="0"/>
      <w:marBottom w:val="0"/>
      <w:divBdr>
        <w:top w:val="none" w:sz="0" w:space="0" w:color="auto"/>
        <w:left w:val="none" w:sz="0" w:space="0" w:color="auto"/>
        <w:bottom w:val="none" w:sz="0" w:space="0" w:color="auto"/>
        <w:right w:val="none" w:sz="0" w:space="0" w:color="auto"/>
      </w:divBdr>
    </w:div>
    <w:div w:id="25915575">
      <w:marLeft w:val="0"/>
      <w:marRight w:val="0"/>
      <w:marTop w:val="0"/>
      <w:marBottom w:val="0"/>
      <w:divBdr>
        <w:top w:val="none" w:sz="0" w:space="0" w:color="auto"/>
        <w:left w:val="none" w:sz="0" w:space="0" w:color="auto"/>
        <w:bottom w:val="none" w:sz="0" w:space="0" w:color="auto"/>
        <w:right w:val="none" w:sz="0" w:space="0" w:color="auto"/>
      </w:divBdr>
    </w:div>
    <w:div w:id="25915576">
      <w:marLeft w:val="0"/>
      <w:marRight w:val="0"/>
      <w:marTop w:val="0"/>
      <w:marBottom w:val="0"/>
      <w:divBdr>
        <w:top w:val="none" w:sz="0" w:space="0" w:color="auto"/>
        <w:left w:val="none" w:sz="0" w:space="0" w:color="auto"/>
        <w:bottom w:val="none" w:sz="0" w:space="0" w:color="auto"/>
        <w:right w:val="none" w:sz="0" w:space="0" w:color="auto"/>
      </w:divBdr>
    </w:div>
    <w:div w:id="25915577">
      <w:marLeft w:val="0"/>
      <w:marRight w:val="0"/>
      <w:marTop w:val="0"/>
      <w:marBottom w:val="0"/>
      <w:divBdr>
        <w:top w:val="none" w:sz="0" w:space="0" w:color="auto"/>
        <w:left w:val="none" w:sz="0" w:space="0" w:color="auto"/>
        <w:bottom w:val="none" w:sz="0" w:space="0" w:color="auto"/>
        <w:right w:val="none" w:sz="0" w:space="0" w:color="auto"/>
      </w:divBdr>
    </w:div>
    <w:div w:id="25915578">
      <w:marLeft w:val="0"/>
      <w:marRight w:val="0"/>
      <w:marTop w:val="0"/>
      <w:marBottom w:val="0"/>
      <w:divBdr>
        <w:top w:val="none" w:sz="0" w:space="0" w:color="auto"/>
        <w:left w:val="none" w:sz="0" w:space="0" w:color="auto"/>
        <w:bottom w:val="none" w:sz="0" w:space="0" w:color="auto"/>
        <w:right w:val="none" w:sz="0" w:space="0" w:color="auto"/>
      </w:divBdr>
    </w:div>
    <w:div w:id="25915579">
      <w:marLeft w:val="0"/>
      <w:marRight w:val="0"/>
      <w:marTop w:val="0"/>
      <w:marBottom w:val="0"/>
      <w:divBdr>
        <w:top w:val="none" w:sz="0" w:space="0" w:color="auto"/>
        <w:left w:val="none" w:sz="0" w:space="0" w:color="auto"/>
        <w:bottom w:val="none" w:sz="0" w:space="0" w:color="auto"/>
        <w:right w:val="none" w:sz="0" w:space="0" w:color="auto"/>
      </w:divBdr>
    </w:div>
    <w:div w:id="25915580">
      <w:marLeft w:val="0"/>
      <w:marRight w:val="0"/>
      <w:marTop w:val="0"/>
      <w:marBottom w:val="0"/>
      <w:divBdr>
        <w:top w:val="none" w:sz="0" w:space="0" w:color="auto"/>
        <w:left w:val="none" w:sz="0" w:space="0" w:color="auto"/>
        <w:bottom w:val="none" w:sz="0" w:space="0" w:color="auto"/>
        <w:right w:val="none" w:sz="0" w:space="0" w:color="auto"/>
      </w:divBdr>
    </w:div>
    <w:div w:id="25915581">
      <w:marLeft w:val="0"/>
      <w:marRight w:val="0"/>
      <w:marTop w:val="0"/>
      <w:marBottom w:val="0"/>
      <w:divBdr>
        <w:top w:val="none" w:sz="0" w:space="0" w:color="auto"/>
        <w:left w:val="none" w:sz="0" w:space="0" w:color="auto"/>
        <w:bottom w:val="none" w:sz="0" w:space="0" w:color="auto"/>
        <w:right w:val="none" w:sz="0" w:space="0" w:color="auto"/>
      </w:divBdr>
    </w:div>
    <w:div w:id="25915582">
      <w:marLeft w:val="0"/>
      <w:marRight w:val="0"/>
      <w:marTop w:val="0"/>
      <w:marBottom w:val="0"/>
      <w:divBdr>
        <w:top w:val="none" w:sz="0" w:space="0" w:color="auto"/>
        <w:left w:val="none" w:sz="0" w:space="0" w:color="auto"/>
        <w:bottom w:val="none" w:sz="0" w:space="0" w:color="auto"/>
        <w:right w:val="none" w:sz="0" w:space="0" w:color="auto"/>
      </w:divBdr>
    </w:div>
    <w:div w:id="259155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2005</Words>
  <Characters>13357</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KON0211A</dc:creator>
  <cp:keywords/>
  <dc:description/>
  <cp:lastModifiedBy>jn0806ab</cp:lastModifiedBy>
  <cp:revision>2</cp:revision>
  <cp:lastPrinted>2013-12-02T11:40:00Z</cp:lastPrinted>
  <dcterms:created xsi:type="dcterms:W3CDTF">2013-12-02T11:40:00Z</dcterms:created>
  <dcterms:modified xsi:type="dcterms:W3CDTF">2013-12-02T11:40:00Z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0x01010053E1D612BA3F4E21AA250ECD751942B30007066CD283236A4C80B9E4798741B7C6</vt:lpwstr>
  </property>
  <property fmtid="{D5CDD505-2E9C-101B-9397-08002B2CF9AE}" pid="6" name="Departementsenhet">
    <vt:lpwstr>1;#Finansdepartementet|0b2f41b1-db50-472c-80a1-d21b0254fb2b</vt:lpwstr>
  </property>
  <property fmtid="{D5CDD505-2E9C-101B-9397-08002B2CF9AE}" pid="7" name="Aktivitetskategori">
    <vt:lpwstr>17;#4.1.2. Rådsarbete|1af30613-4dfb-4481-b80b-5c962e3e508b</vt:lpwstr>
  </property>
  <property fmtid="{D5CDD505-2E9C-101B-9397-08002B2CF9AE}" pid="8" name="_dlc_DocIdItemGuid">
    <vt:lpwstr>58039597-e1e0-4c46-920b-3386155ace65</vt:lpwstr>
  </property>
  <property fmtid="{D5CDD505-2E9C-101B-9397-08002B2CF9AE}" pid="9" name="Departementsenhet1">
    <vt:lpwstr>1;#Finansdepartementet|0b2f41b1-db50-472c-80a1-d21b0254fb2b</vt:lpwstr>
  </property>
  <property fmtid="{D5CDD505-2E9C-101B-9397-08002B2CF9AE}" pid="10" name="ja01b8bc4bea4d6683c0d8279d494392">
    <vt:lpwstr>Finansdepartementet|0b2f41b1-db50-472c-80a1-d21b0254fb2b</vt:lpwstr>
  </property>
  <property fmtid="{D5CDD505-2E9C-101B-9397-08002B2CF9AE}" pid="11" name="pb4955162ab74ed2ba6d97acd609bfa9">
    <vt:lpwstr>Finansdepartementet|0b2f41b1-db50-472c-80a1-d21b0254fb2b</vt:lpwstr>
  </property>
  <property fmtid="{D5CDD505-2E9C-101B-9397-08002B2CF9AE}" pid="12" name="_dlc_DocId">
    <vt:lpwstr>M623RS5WZCRU-223-1692</vt:lpwstr>
  </property>
  <property fmtid="{D5CDD505-2E9C-101B-9397-08002B2CF9AE}" pid="13" name="_dlc_DocIdUrl">
    <vt:lpwstr>http://rkdhs-fi/ECOFIN/_layouts/DocIdRedir.aspx?ID=M623RS5WZCRU-223-1692, M623RS5WZCRU-223-1692</vt:lpwstr>
  </property>
  <property fmtid="{D5CDD505-2E9C-101B-9397-08002B2CF9AE}" pid="14" name="TaxCatchAll">
    <vt:lpwstr>17;#;#1;#</vt:lpwstr>
  </property>
  <property fmtid="{D5CDD505-2E9C-101B-9397-08002B2CF9AE}" pid="15" name="Nyckelord">
    <vt:lpwstr/>
  </property>
  <property fmtid="{D5CDD505-2E9C-101B-9397-08002B2CF9AE}" pid="16" name="Diarienummer">
    <vt:lpwstr/>
  </property>
  <property fmtid="{D5CDD505-2E9C-101B-9397-08002B2CF9AE}" pid="17" name="p9288b129226400383b88cd27048369c">
    <vt:lpwstr>4.1.2. Rådsarbete1af30613-4dfb-4481-b80b-5c962e3e508b</vt:lpwstr>
  </property>
  <property fmtid="{D5CDD505-2E9C-101B-9397-08002B2CF9AE}" pid="18" name="Sekretess m.m.">
    <vt:lpwstr/>
  </property>
  <property fmtid="{D5CDD505-2E9C-101B-9397-08002B2CF9AE}" pid="19" name="k46d94c0acf84ab9a79866a9d8b1905f">
    <vt:lpwstr>Finansdepartementet0b2f41b1-db50-472c-80a1-d21b0254fb2b</vt:lpwstr>
  </property>
</Properties>
</file>